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header52.xml" ContentType="application/vnd.openxmlformats-officedocument.wordprocessingml.header+xml"/>
  <Override PartName="/word/footer5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0.xml" ContentType="application/vnd.openxmlformats-officedocument.wordprocessingml.footer+xml"/>
  <Override PartName="/word/footer6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7.xml" ContentType="application/vnd.openxmlformats-officedocument.wordprocessingml.header+xml"/>
  <Override PartName="/word/header58.xml" ContentType="application/vnd.openxmlformats-officedocument.wordprocessingml.header+xml"/>
  <Override PartName="/word/footer6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88.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89.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90.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C37" w:rsidRPr="006A1BDC" w:rsidRDefault="00132C37" w:rsidP="006A1BDC"/>
    <w:p w:rsidR="00132C37" w:rsidRDefault="00132C37" w:rsidP="00132C37"/>
    <w:p w:rsidR="00132C37" w:rsidRPr="00892DE3" w:rsidRDefault="00C952AB" w:rsidP="00132C37">
      <w:pPr>
        <w:spacing w:line="240" w:lineRule="atLeast"/>
      </w:pPr>
      <w:r w:rsidRPr="00892DE3">
        <w:rPr>
          <w:noProof/>
          <w:lang w:eastAsia="en-AU"/>
        </w:rPr>
        <mc:AlternateContent>
          <mc:Choice Requires="wps">
            <w:drawing>
              <wp:anchor distT="0" distB="0" distL="114300" distR="114300" simplePos="0" relativeHeight="251662336" behindDoc="0" locked="0" layoutInCell="1" allowOverlap="1" wp14:anchorId="62A1BC30" wp14:editId="71BD58B3">
                <wp:simplePos x="0" y="0"/>
                <wp:positionH relativeFrom="column">
                  <wp:posOffset>3204655</wp:posOffset>
                </wp:positionH>
                <wp:positionV relativeFrom="paragraph">
                  <wp:posOffset>7127875</wp:posOffset>
                </wp:positionV>
                <wp:extent cx="3689131" cy="91440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131" cy="914400"/>
                        </a:xfrm>
                        <a:prstGeom prst="rect">
                          <a:avLst/>
                        </a:prstGeom>
                        <a:noFill/>
                        <a:ln w="9525">
                          <a:noFill/>
                          <a:miter lim="800000"/>
                          <a:headEnd/>
                          <a:tailEnd/>
                        </a:ln>
                      </wps:spPr>
                      <wps:txbx>
                        <w:txbxContent>
                          <w:p w:rsidR="00A4241D" w:rsidRPr="00C952AB" w:rsidRDefault="00A4241D" w:rsidP="00132C37">
                            <w:pPr>
                              <w:rPr>
                                <w:rFonts w:ascii="Arial" w:hAnsi="Arial" w:cs="Arial"/>
                                <w:color w:val="FFFFFF" w:themeColor="background1"/>
                                <w:sz w:val="30"/>
                                <w:szCs w:val="30"/>
                              </w:rPr>
                            </w:pPr>
                            <w:r w:rsidRPr="00C952AB">
                              <w:rPr>
                                <w:rFonts w:ascii="Arial" w:hAnsi="Arial" w:cs="Arial"/>
                                <w:color w:val="FFFFFF" w:themeColor="background1"/>
                                <w:sz w:val="30"/>
                                <w:szCs w:val="30"/>
                              </w:rPr>
                              <w:t xml:space="preserve">Model financial statements and report </w:t>
                            </w:r>
                            <w:r>
                              <w:rPr>
                                <w:rFonts w:ascii="Arial" w:hAnsi="Arial" w:cs="Arial"/>
                                <w:color w:val="FFFFFF" w:themeColor="background1"/>
                                <w:sz w:val="30"/>
                                <w:szCs w:val="30"/>
                              </w:rPr>
                              <w:br/>
                            </w:r>
                            <w:r w:rsidRPr="00C952AB">
                              <w:rPr>
                                <w:rFonts w:ascii="Arial" w:hAnsi="Arial" w:cs="Arial"/>
                                <w:color w:val="FFFFFF" w:themeColor="background1"/>
                                <w:sz w:val="30"/>
                                <w:szCs w:val="30"/>
                              </w:rPr>
                              <w:t>of operations guidance for reporting</w:t>
                            </w:r>
                            <w:r>
                              <w:rPr>
                                <w:rFonts w:ascii="Arial" w:hAnsi="Arial" w:cs="Arial"/>
                                <w:color w:val="FFFFFF" w:themeColor="background1"/>
                                <w:sz w:val="30"/>
                                <w:szCs w:val="30"/>
                              </w:rPr>
                              <w:t xml:space="preserve"> </w:t>
                            </w:r>
                            <w:r w:rsidRPr="00C952AB">
                              <w:rPr>
                                <w:rFonts w:ascii="Arial" w:hAnsi="Arial" w:cs="Arial"/>
                                <w:color w:val="FFFFFF" w:themeColor="background1"/>
                                <w:sz w:val="30"/>
                                <w:szCs w:val="30"/>
                              </w:rPr>
                              <w:t>period ending 30 June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35pt;margin-top:561.25pt;width:290.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l7Cg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" filled="f" stroked="f">
                <v:textbox>
                  <w:txbxContent>
                    <w:p w:rsidR="00A4241D" w:rsidRPr="00C952AB" w:rsidRDefault="00A4241D" w:rsidP="00132C37">
                      <w:pPr>
                        <w:rPr>
                          <w:rFonts w:ascii="Arial" w:hAnsi="Arial" w:cs="Arial"/>
                          <w:color w:val="FFFFFF" w:themeColor="background1"/>
                          <w:sz w:val="30"/>
                          <w:szCs w:val="30"/>
                        </w:rPr>
                      </w:pPr>
                      <w:r w:rsidRPr="00C952AB">
                        <w:rPr>
                          <w:rFonts w:ascii="Arial" w:hAnsi="Arial" w:cs="Arial"/>
                          <w:color w:val="FFFFFF" w:themeColor="background1"/>
                          <w:sz w:val="30"/>
                          <w:szCs w:val="30"/>
                        </w:rPr>
                        <w:t xml:space="preserve">Model financial statements and report </w:t>
                      </w:r>
                      <w:r>
                        <w:rPr>
                          <w:rFonts w:ascii="Arial" w:hAnsi="Arial" w:cs="Arial"/>
                          <w:color w:val="FFFFFF" w:themeColor="background1"/>
                          <w:sz w:val="30"/>
                          <w:szCs w:val="30"/>
                        </w:rPr>
                        <w:br/>
                      </w:r>
                      <w:r w:rsidRPr="00C952AB">
                        <w:rPr>
                          <w:rFonts w:ascii="Arial" w:hAnsi="Arial" w:cs="Arial"/>
                          <w:color w:val="FFFFFF" w:themeColor="background1"/>
                          <w:sz w:val="30"/>
                          <w:szCs w:val="30"/>
                        </w:rPr>
                        <w:t>of operations guidance for reporting</w:t>
                      </w:r>
                      <w:r>
                        <w:rPr>
                          <w:rFonts w:ascii="Arial" w:hAnsi="Arial" w:cs="Arial"/>
                          <w:color w:val="FFFFFF" w:themeColor="background1"/>
                          <w:sz w:val="30"/>
                          <w:szCs w:val="30"/>
                        </w:rPr>
                        <w:t xml:space="preserve"> </w:t>
                      </w:r>
                      <w:r w:rsidRPr="00C952AB">
                        <w:rPr>
                          <w:rFonts w:ascii="Arial" w:hAnsi="Arial" w:cs="Arial"/>
                          <w:color w:val="FFFFFF" w:themeColor="background1"/>
                          <w:sz w:val="30"/>
                          <w:szCs w:val="30"/>
                        </w:rPr>
                        <w:t>period ending 30 June 2017</w:t>
                      </w:r>
                    </w:p>
                  </w:txbxContent>
                </v:textbox>
              </v:shape>
            </w:pict>
          </mc:Fallback>
        </mc:AlternateContent>
      </w:r>
      <w:r w:rsidRPr="00892DE3">
        <w:rPr>
          <w:noProof/>
          <w:lang w:eastAsia="en-AU"/>
        </w:rPr>
        <mc:AlternateContent>
          <mc:Choice Requires="wps">
            <w:drawing>
              <wp:anchor distT="0" distB="0" distL="114300" distR="114300" simplePos="0" relativeHeight="251661312" behindDoc="0" locked="0" layoutInCell="1" allowOverlap="1" wp14:anchorId="0800AE03" wp14:editId="1D205A9F">
                <wp:simplePos x="0" y="0"/>
                <wp:positionH relativeFrom="column">
                  <wp:posOffset>-87630</wp:posOffset>
                </wp:positionH>
                <wp:positionV relativeFrom="paragraph">
                  <wp:posOffset>287129</wp:posOffset>
                </wp:positionV>
                <wp:extent cx="4981903" cy="1371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903" cy="1371600"/>
                        </a:xfrm>
                        <a:prstGeom prst="rect">
                          <a:avLst/>
                        </a:prstGeom>
                        <a:noFill/>
                        <a:ln w="9525">
                          <a:noFill/>
                          <a:miter lim="800000"/>
                          <a:headEnd/>
                          <a:tailEnd/>
                        </a:ln>
                      </wps:spPr>
                      <wps:txbx>
                        <w:txbxContent>
                          <w:p w:rsidR="00A4241D" w:rsidRPr="00C952AB" w:rsidRDefault="00A4241D" w:rsidP="00C952AB">
                            <w:pPr>
                              <w:spacing w:line="216" w:lineRule="auto"/>
                              <w:rPr>
                                <w:rFonts w:ascii="Arial" w:hAnsi="Arial" w:cs="Arial"/>
                                <w:sz w:val="56"/>
                                <w:szCs w:val="52"/>
                              </w:rPr>
                            </w:pPr>
                            <w:r w:rsidRPr="00C952AB">
                              <w:rPr>
                                <w:rFonts w:ascii="Arial" w:hAnsi="Arial" w:cs="Arial"/>
                                <w:b/>
                                <w:color w:val="201547"/>
                                <w:sz w:val="56"/>
                                <w:szCs w:val="52"/>
                              </w:rPr>
                              <w:t>2016–17</w:t>
                            </w:r>
                            <w:r w:rsidRPr="00C952AB">
                              <w:rPr>
                                <w:rFonts w:ascii="Arial" w:hAnsi="Arial" w:cs="Arial"/>
                                <w:sz w:val="56"/>
                                <w:szCs w:val="52"/>
                              </w:rPr>
                              <w:t xml:space="preserve"> Model Report </w:t>
                            </w:r>
                            <w:r w:rsidRPr="00C952AB">
                              <w:rPr>
                                <w:rFonts w:ascii="Arial" w:hAnsi="Arial" w:cs="Arial"/>
                                <w:sz w:val="56"/>
                                <w:szCs w:val="52"/>
                              </w:rPr>
                              <w:br/>
                              <w:t>for Victorian Government</w:t>
                            </w:r>
                            <w:r w:rsidRPr="00C952AB">
                              <w:rPr>
                                <w:rFonts w:ascii="Arial" w:hAnsi="Arial" w:cs="Arial"/>
                                <w:sz w:val="56"/>
                                <w:szCs w:val="52"/>
                              </w:rPr>
                              <w:br/>
                              <w:t>Departments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9pt;margin-top:22.6pt;width:392.3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" filled="f" stroked="f">
                <v:textbox>
                  <w:txbxContent>
                    <w:p w:rsidR="00A4241D" w:rsidRPr="00C952AB" w:rsidRDefault="00A4241D" w:rsidP="00C952AB">
                      <w:pPr>
                        <w:spacing w:line="216" w:lineRule="auto"/>
                        <w:rPr>
                          <w:rFonts w:ascii="Arial" w:hAnsi="Arial" w:cs="Arial"/>
                          <w:sz w:val="56"/>
                          <w:szCs w:val="52"/>
                        </w:rPr>
                      </w:pPr>
                      <w:r w:rsidRPr="00C952AB">
                        <w:rPr>
                          <w:rFonts w:ascii="Arial" w:hAnsi="Arial" w:cs="Arial"/>
                          <w:b/>
                          <w:color w:val="201547"/>
                          <w:sz w:val="56"/>
                          <w:szCs w:val="52"/>
                        </w:rPr>
                        <w:t>2016–17</w:t>
                      </w:r>
                      <w:r w:rsidRPr="00C952AB">
                        <w:rPr>
                          <w:rFonts w:ascii="Arial" w:hAnsi="Arial" w:cs="Arial"/>
                          <w:sz w:val="56"/>
                          <w:szCs w:val="52"/>
                        </w:rPr>
                        <w:t xml:space="preserve"> Model Report </w:t>
                      </w:r>
                      <w:r w:rsidRPr="00C952AB">
                        <w:rPr>
                          <w:rFonts w:ascii="Arial" w:hAnsi="Arial" w:cs="Arial"/>
                          <w:sz w:val="56"/>
                          <w:szCs w:val="52"/>
                        </w:rPr>
                        <w:br/>
                        <w:t>for Victorian Government</w:t>
                      </w:r>
                      <w:r w:rsidRPr="00C952AB">
                        <w:rPr>
                          <w:rFonts w:ascii="Arial" w:hAnsi="Arial" w:cs="Arial"/>
                          <w:sz w:val="56"/>
                          <w:szCs w:val="52"/>
                        </w:rPr>
                        <w:br/>
                        <w:t>Departments</w:t>
                      </w:r>
                    </w:p>
                  </w:txbxContent>
                </v:textbox>
              </v:shape>
            </w:pict>
          </mc:Fallback>
        </mc:AlternateContent>
      </w:r>
      <w:r w:rsidR="00132C37" w:rsidRPr="00892DE3">
        <w:br w:type="page"/>
      </w:r>
      <w:bookmarkStart w:id="0" w:name="_GoBack"/>
      <w:bookmarkEnd w:id="0"/>
    </w:p>
    <w:p w:rsidR="00132C37" w:rsidRPr="00892DE3" w:rsidRDefault="00132C37" w:rsidP="00132C37"/>
    <w:p w:rsidR="00132C37" w:rsidRPr="00892DE3" w:rsidRDefault="00132C37" w:rsidP="00132C37"/>
    <w:p w:rsidR="00132C37" w:rsidRPr="00892DE3" w:rsidRDefault="00132C37" w:rsidP="00132C37"/>
    <w:p w:rsidR="00132C37" w:rsidRPr="00892DE3" w:rsidRDefault="00132C37" w:rsidP="00132C37"/>
    <w:p w:rsidR="00132C37" w:rsidRPr="00892DE3" w:rsidRDefault="00132C37" w:rsidP="00132C37"/>
    <w:p w:rsidR="00132C37" w:rsidRPr="00892DE3" w:rsidRDefault="00132C37" w:rsidP="00132C37"/>
    <w:p w:rsidR="00132C37" w:rsidRPr="00892DE3" w:rsidRDefault="00132C37" w:rsidP="00132C37">
      <w:r w:rsidRPr="00892DE3">
        <w:rPr>
          <w:noProof/>
          <w:lang w:eastAsia="en-AU"/>
        </w:rPr>
        <mc:AlternateContent>
          <mc:Choice Requires="wpg">
            <w:drawing>
              <wp:inline distT="0" distB="0" distL="0" distR="0" wp14:anchorId="7D413BB5" wp14:editId="4A9C8690">
                <wp:extent cx="4572000" cy="7285355"/>
                <wp:effectExtent l="0" t="0" r="0" b="0"/>
                <wp:docPr id="296" name="Group 9"/>
                <wp:cNvGraphicFramePr/>
                <a:graphic xmlns:a="http://schemas.openxmlformats.org/drawingml/2006/main">
                  <a:graphicData uri="http://schemas.microsoft.com/office/word/2010/wordprocessingGroup">
                    <wpg:wgp>
                      <wpg:cNvGrpSpPr/>
                      <wpg:grpSpPr>
                        <a:xfrm>
                          <a:off x="0" y="0"/>
                          <a:ext cx="4572000" cy="7285355"/>
                          <a:chOff x="0" y="0"/>
                          <a:chExt cx="4572000" cy="7285355"/>
                        </a:xfrm>
                      </wpg:grpSpPr>
                      <wps:wsp>
                        <wps:cNvPr id="297" name="Rectangle 297"/>
                        <wps:cNvSpPr/>
                        <wps:spPr>
                          <a:xfrm>
                            <a:off x="0" y="0"/>
                            <a:ext cx="4572000" cy="7285355"/>
                          </a:xfrm>
                          <a:prstGeom prst="rect">
                            <a:avLst/>
                          </a:prstGeom>
                        </wps:spPr>
                        <wps:txbx>
                          <w:txbxContent>
                            <w:p w:rsidR="00A4241D" w:rsidRDefault="00A4241D" w:rsidP="00132C37">
                              <w:pPr>
                                <w:pStyle w:val="NormalWeb"/>
                                <w:spacing w:before="0"/>
                              </w:pPr>
                              <w:r>
                                <w:rPr>
                                  <w:rFonts w:asciiTheme="minorHAnsi" w:hAnsi="Calibri" w:cstheme="minorBidi"/>
                                  <w:color w:val="000000" w:themeColor="text1"/>
                                  <w:kern w:val="24"/>
                                  <w:sz w:val="20"/>
                                  <w:szCs w:val="20"/>
                                </w:rPr>
                                <w:t>The Secretary</w:t>
                              </w:r>
                            </w:p>
                            <w:p w:rsidR="00A4241D" w:rsidRDefault="00A4241D" w:rsidP="00132C37">
                              <w:pPr>
                                <w:pStyle w:val="NormalWeb"/>
                                <w:spacing w:before="0"/>
                              </w:pPr>
                              <w:r>
                                <w:rPr>
                                  <w:rFonts w:asciiTheme="minorHAnsi" w:hAnsi="Calibri" w:cstheme="minorBidi"/>
                                  <w:color w:val="000000" w:themeColor="text1"/>
                                  <w:kern w:val="24"/>
                                  <w:sz w:val="20"/>
                                  <w:szCs w:val="20"/>
                                  <w:lang w:val="en-US"/>
                                </w:rPr>
                                <w:t>Department of Treasury and Finance</w:t>
                              </w:r>
                            </w:p>
                            <w:p w:rsidR="00A4241D" w:rsidRDefault="00A4241D" w:rsidP="00132C37">
                              <w:pPr>
                                <w:pStyle w:val="NormalWeb"/>
                                <w:spacing w:before="0"/>
                              </w:pPr>
                              <w:r>
                                <w:rPr>
                                  <w:rFonts w:asciiTheme="minorHAnsi" w:hAnsi="Calibri" w:cstheme="minorBidi"/>
                                  <w:color w:val="000000" w:themeColor="text1"/>
                                  <w:kern w:val="24"/>
                                  <w:sz w:val="20"/>
                                  <w:szCs w:val="20"/>
                                </w:rPr>
                                <w:t>1 Treasury Place</w:t>
                              </w:r>
                            </w:p>
                            <w:p w:rsidR="00A4241D" w:rsidRDefault="00A4241D" w:rsidP="00132C37">
                              <w:pPr>
                                <w:pStyle w:val="NormalWeb"/>
                                <w:spacing w:before="0"/>
                              </w:pPr>
                              <w:r>
                                <w:rPr>
                                  <w:rFonts w:asciiTheme="minorHAnsi" w:hAnsi="Calibri" w:cstheme="minorBidi"/>
                                  <w:color w:val="000000" w:themeColor="text1"/>
                                  <w:kern w:val="24"/>
                                  <w:sz w:val="20"/>
                                  <w:szCs w:val="20"/>
                                </w:rPr>
                                <w:t>Melbourne Victoria, 3002</w:t>
                              </w: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Australia</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Telephone: +61 3 9651 5111</w:t>
                              </w:r>
                            </w:p>
                            <w:p w:rsidR="00A4241D" w:rsidRDefault="00A4241D" w:rsidP="00132C37">
                              <w:pPr>
                                <w:pStyle w:val="NormalWeb"/>
                                <w:spacing w:before="0"/>
                              </w:pPr>
                              <w:r>
                                <w:rPr>
                                  <w:rFonts w:asciiTheme="minorHAnsi" w:hAnsi="Calibri" w:cstheme="minorBidi"/>
                                  <w:color w:val="000000" w:themeColor="text1"/>
                                  <w:kern w:val="24"/>
                                  <w:sz w:val="20"/>
                                  <w:szCs w:val="20"/>
                                  <w:lang w:val="it-IT"/>
                                </w:rPr>
                                <w:t>Facsimile: +61 3 9651 5298</w:t>
                              </w: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Website: dtf.vic.gov.au</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Authorised by the Victorian Government</w:t>
                              </w:r>
                            </w:p>
                            <w:p w:rsidR="00A4241D" w:rsidRDefault="00A4241D"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1 Treasury Place, Melbourne, 3002</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w:t>
                              </w:r>
                              <w:r>
                                <w:rPr>
                                  <w:rFonts w:asciiTheme="minorHAnsi" w:hAnsi="Calibri" w:cstheme="minorBidi"/>
                                  <w:color w:val="000000" w:themeColor="text1"/>
                                  <w:kern w:val="24"/>
                                  <w:sz w:val="20"/>
                                  <w:szCs w:val="20"/>
                                  <w:lang w:val="en-US"/>
                                </w:rPr>
                                <w:t xml:space="preserve"> State of Victoria (Department of Treasury and Finance) 2017</w:t>
                              </w: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lang w:val="en-US"/>
                                </w:rPr>
                                <w:t xml:space="preserve">You are free to re-use this work under a Creative Commons </w:t>
                              </w:r>
                              <w:r>
                                <w:rPr>
                                  <w:rFonts w:asciiTheme="minorHAnsi" w:hAnsi="Calibri" w:cstheme="minorBidi"/>
                                  <w:color w:val="000000" w:themeColor="text1"/>
                                  <w:kern w:val="24"/>
                                  <w:sz w:val="20"/>
                                  <w:szCs w:val="20"/>
                                  <w:lang w:val="en-US"/>
                                </w:rPr>
                                <w:br/>
                                <w:t xml:space="preserve">Attribution 4.0 licence, provided you credit the State of </w:t>
                              </w:r>
                              <w:r>
                                <w:rPr>
                                  <w:rFonts w:asciiTheme="minorHAnsi" w:hAnsi="Calibri" w:cstheme="minorBidi"/>
                                  <w:color w:val="000000" w:themeColor="text1"/>
                                  <w:kern w:val="24"/>
                                  <w:sz w:val="20"/>
                                  <w:szCs w:val="20"/>
                                  <w:lang w:val="en-US"/>
                                </w:rPr>
                                <w:br/>
                                <w:t xml:space="preserve">Victoria (Department of Treasury and Finance) as author, </w:t>
                              </w:r>
                              <w:r>
                                <w:rPr>
                                  <w:rFonts w:asciiTheme="minorHAnsi" w:hAnsi="Calibri" w:cstheme="minorBidi"/>
                                  <w:color w:val="000000" w:themeColor="text1"/>
                                  <w:kern w:val="24"/>
                                  <w:sz w:val="20"/>
                                  <w:szCs w:val="20"/>
                                  <w:lang w:val="en-US"/>
                                </w:rPr>
                                <w:br/>
                                <w:t xml:space="preserve">indicate if changes were made and comply with the other </w:t>
                              </w:r>
                              <w:r>
                                <w:rPr>
                                  <w:rFonts w:asciiTheme="minorHAnsi" w:hAnsi="Calibri" w:cstheme="minorBidi"/>
                                  <w:color w:val="000000" w:themeColor="text1"/>
                                  <w:kern w:val="24"/>
                                  <w:sz w:val="20"/>
                                  <w:szCs w:val="20"/>
                                  <w:lang w:val="en-US"/>
                                </w:rPr>
                                <w:br/>
                                <w:t xml:space="preserve">licence terms. The licence does not apply to any branding, </w:t>
                              </w:r>
                              <w:r>
                                <w:rPr>
                                  <w:rFonts w:asciiTheme="minorHAnsi" w:hAnsi="Calibri" w:cstheme="minorBidi"/>
                                  <w:color w:val="000000" w:themeColor="text1"/>
                                  <w:kern w:val="24"/>
                                  <w:sz w:val="20"/>
                                  <w:szCs w:val="20"/>
                                  <w:lang w:val="en-US"/>
                                </w:rPr>
                                <w:br/>
                              </w:r>
                              <w:r>
                                <w:rPr>
                                  <w:rFonts w:asciiTheme="minorHAnsi" w:hAnsi="Calibri" w:cstheme="minorBidi"/>
                                  <w:color w:val="000000" w:themeColor="text1"/>
                                  <w:kern w:val="24"/>
                                  <w:sz w:val="20"/>
                                  <w:szCs w:val="20"/>
                                </w:rPr>
                                <w:t>including Government logos.</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ISSN 1833-5721</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Published May 2017</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b/>
                                  <w:bCs/>
                                  <w:color w:val="000000" w:themeColor="text1"/>
                                  <w:kern w:val="24"/>
                                  <w:sz w:val="20"/>
                                  <w:szCs w:val="20"/>
                                </w:rPr>
                                <w:t>Important disclaimer</w:t>
                              </w:r>
                              <w:r>
                                <w:rPr>
                                  <w:rFonts w:asciiTheme="minorHAnsi" w:hAnsi="Calibri" w:cstheme="minorBidi"/>
                                  <w:color w:val="000000" w:themeColor="text1"/>
                                  <w:kern w:val="24"/>
                                  <w:sz w:val="20"/>
                                  <w:szCs w:val="20"/>
                                </w:rPr>
                                <w:t>:</w:t>
                              </w:r>
                            </w:p>
                            <w:p w:rsidR="00A4241D" w:rsidRDefault="00A4241D" w:rsidP="00132C37">
                              <w:pPr>
                                <w:pStyle w:val="NormalWeb"/>
                                <w:spacing w:before="0"/>
                              </w:pPr>
                              <w:r>
                                <w:rPr>
                                  <w:rFonts w:asciiTheme="minorHAnsi" w:hAnsi="Calibri" w:cstheme="minorBidi"/>
                                  <w:color w:val="000000" w:themeColor="text1"/>
                                  <w:kern w:val="24"/>
                                  <w:sz w:val="20"/>
                                  <w:szCs w:val="20"/>
                                  <w:lang w:val="en-US"/>
                                </w:rPr>
                                <w:t>The Department of Treasury and Finance is not</w:t>
                              </w:r>
                            </w:p>
                            <w:p w:rsidR="00A4241D" w:rsidRDefault="00A4241D" w:rsidP="00132C37">
                              <w:pPr>
                                <w:pStyle w:val="NormalWeb"/>
                                <w:spacing w:before="0"/>
                              </w:pPr>
                              <w:r>
                                <w:rPr>
                                  <w:rFonts w:asciiTheme="minorHAnsi" w:hAnsi="Calibri" w:cstheme="minorBidi"/>
                                  <w:color w:val="000000" w:themeColor="text1"/>
                                  <w:kern w:val="24"/>
                                  <w:sz w:val="20"/>
                                  <w:szCs w:val="20"/>
                                  <w:lang w:val="en-US"/>
                                </w:rPr>
                                <w:t>engaged in rendering legal, accounting or other</w:t>
                              </w: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professional advice.</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While all reasonable care has been taken in the</w:t>
                              </w:r>
                            </w:p>
                            <w:p w:rsidR="00A4241D" w:rsidRDefault="00A4241D" w:rsidP="00132C37">
                              <w:pPr>
                                <w:pStyle w:val="NormalWeb"/>
                                <w:spacing w:before="0"/>
                              </w:pPr>
                              <w:r>
                                <w:rPr>
                                  <w:rFonts w:asciiTheme="minorHAnsi" w:hAnsi="Calibri" w:cstheme="minorBidi"/>
                                  <w:color w:val="000000" w:themeColor="text1"/>
                                  <w:kern w:val="24"/>
                                  <w:sz w:val="20"/>
                                  <w:szCs w:val="20"/>
                                  <w:lang w:val="en-US"/>
                                </w:rPr>
                                <w:t>preparation of information contained in this</w:t>
                              </w:r>
                            </w:p>
                            <w:p w:rsidR="00A4241D" w:rsidRDefault="00A4241D" w:rsidP="00132C37">
                              <w:pPr>
                                <w:pStyle w:val="NormalWeb"/>
                                <w:spacing w:before="0"/>
                              </w:pPr>
                              <w:r>
                                <w:rPr>
                                  <w:rFonts w:asciiTheme="minorHAnsi" w:hAnsi="Calibri" w:cstheme="minorBidi"/>
                                  <w:color w:val="000000" w:themeColor="text1"/>
                                  <w:kern w:val="24"/>
                                  <w:sz w:val="20"/>
                                  <w:szCs w:val="20"/>
                                  <w:lang w:val="en-US"/>
                                </w:rPr>
                                <w:t>publication, no responsibility is taken for any action(s)</w:t>
                              </w:r>
                            </w:p>
                            <w:p w:rsidR="00A4241D" w:rsidRDefault="00A4241D" w:rsidP="00132C37">
                              <w:pPr>
                                <w:pStyle w:val="NormalWeb"/>
                                <w:spacing w:before="0"/>
                              </w:pPr>
                              <w:r>
                                <w:rPr>
                                  <w:rFonts w:asciiTheme="minorHAnsi" w:hAnsi="Calibri" w:cstheme="minorBidi"/>
                                  <w:color w:val="000000" w:themeColor="text1"/>
                                  <w:kern w:val="24"/>
                                  <w:sz w:val="20"/>
                                  <w:szCs w:val="20"/>
                                  <w:lang w:val="en-US"/>
                                </w:rPr>
                                <w:t>taken on the basis of information contained herein nor</w:t>
                              </w:r>
                            </w:p>
                            <w:p w:rsidR="00A4241D" w:rsidRDefault="00A4241D"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for any errors or omissions in that information.</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The Department of Treasury and Finance expressly</w:t>
                              </w:r>
                            </w:p>
                            <w:p w:rsidR="00A4241D" w:rsidRDefault="00A4241D" w:rsidP="00132C37">
                              <w:pPr>
                                <w:pStyle w:val="NormalWeb"/>
                                <w:spacing w:before="0"/>
                              </w:pPr>
                              <w:r>
                                <w:rPr>
                                  <w:rFonts w:asciiTheme="minorHAnsi" w:hAnsi="Calibri" w:cstheme="minorBidi"/>
                                  <w:color w:val="000000" w:themeColor="text1"/>
                                  <w:kern w:val="24"/>
                                  <w:sz w:val="20"/>
                                  <w:szCs w:val="20"/>
                                  <w:lang w:val="en-US"/>
                                </w:rPr>
                                <w:t>disclaims any liability whatsoever, to any person,</w:t>
                              </w:r>
                            </w:p>
                            <w:p w:rsidR="00A4241D" w:rsidRDefault="00A4241D" w:rsidP="00132C37">
                              <w:pPr>
                                <w:pStyle w:val="NormalWeb"/>
                                <w:spacing w:before="0"/>
                              </w:pPr>
                              <w:r>
                                <w:rPr>
                                  <w:rFonts w:asciiTheme="minorHAnsi" w:hAnsi="Calibri" w:cstheme="minorBidi"/>
                                  <w:color w:val="000000" w:themeColor="text1"/>
                                  <w:kern w:val="24"/>
                                  <w:sz w:val="20"/>
                                  <w:szCs w:val="20"/>
                                  <w:lang w:val="en-US"/>
                                </w:rPr>
                                <w:t>whether purchaser or not, in relation to any reliance,</w:t>
                              </w:r>
                            </w:p>
                            <w:p w:rsidR="00A4241D" w:rsidRDefault="00A4241D"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in whole or in part, on such information.</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Persons should consult a suitably qualified professional</w:t>
                              </w:r>
                            </w:p>
                            <w:p w:rsidR="00A4241D" w:rsidRDefault="00A4241D" w:rsidP="00132C37">
                              <w:pPr>
                                <w:pStyle w:val="NormalWeb"/>
                                <w:spacing w:before="0"/>
                              </w:pPr>
                              <w:r>
                                <w:rPr>
                                  <w:rFonts w:asciiTheme="minorHAnsi" w:hAnsi="Calibri" w:cstheme="minorBidi"/>
                                  <w:color w:val="000000" w:themeColor="text1"/>
                                  <w:kern w:val="24"/>
                                  <w:sz w:val="20"/>
                                  <w:szCs w:val="20"/>
                                  <w:lang w:val="en-US"/>
                                </w:rPr>
                                <w:t>adviser to obtain advice tailored to their particular</w:t>
                              </w: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circumstances.</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The Department of Technology is a fictitious department</w:t>
                              </w:r>
                            </w:p>
                            <w:p w:rsidR="00A4241D" w:rsidRDefault="00A4241D" w:rsidP="00132C37">
                              <w:pPr>
                                <w:pStyle w:val="NormalWeb"/>
                                <w:spacing w:before="0"/>
                              </w:pPr>
                              <w:r>
                                <w:rPr>
                                  <w:rFonts w:asciiTheme="minorHAnsi" w:hAnsi="Calibri" w:cstheme="minorBidi"/>
                                  <w:color w:val="000000" w:themeColor="text1"/>
                                  <w:kern w:val="24"/>
                                  <w:sz w:val="20"/>
                                  <w:szCs w:val="20"/>
                                  <w:lang w:val="en-US"/>
                                </w:rPr>
                                <w:t>and has been used only for the purposes of illustrating</w:t>
                              </w:r>
                            </w:p>
                            <w:p w:rsidR="00A4241D" w:rsidRDefault="00A4241D" w:rsidP="00132C37">
                              <w:pPr>
                                <w:pStyle w:val="NormalWeb"/>
                                <w:spacing w:before="0"/>
                              </w:pPr>
                              <w:r>
                                <w:rPr>
                                  <w:rFonts w:asciiTheme="minorHAnsi" w:hAnsi="Calibri" w:cstheme="minorBidi"/>
                                  <w:color w:val="000000" w:themeColor="text1"/>
                                  <w:kern w:val="24"/>
                                  <w:sz w:val="20"/>
                                  <w:szCs w:val="20"/>
                                  <w:lang w:val="en-US"/>
                                </w:rPr>
                                <w:t>financial reporting requirements for Victorian</w:t>
                              </w:r>
                            </w:p>
                            <w:p w:rsidR="00A4241D" w:rsidRDefault="00A4241D" w:rsidP="00132C37">
                              <w:pPr>
                                <w:pStyle w:val="NormalWeb"/>
                                <w:spacing w:before="0"/>
                              </w:pPr>
                              <w:r>
                                <w:rPr>
                                  <w:rFonts w:asciiTheme="minorHAnsi" w:hAnsi="Calibri" w:cstheme="minorBidi"/>
                                  <w:color w:val="000000" w:themeColor="text1"/>
                                  <w:kern w:val="24"/>
                                  <w:sz w:val="20"/>
                                  <w:szCs w:val="20"/>
                                </w:rPr>
                                <w:t xml:space="preserve">government departments. </w:t>
                              </w:r>
                            </w:p>
                          </w:txbxContent>
                        </wps:txbx>
                        <wps:bodyPr>
                          <a:spAutoFit/>
                        </wps:bodyPr>
                      </wps:wsp>
                      <pic:pic xmlns:pic="http://schemas.openxmlformats.org/drawingml/2006/picture">
                        <pic:nvPicPr>
                          <pic:cNvPr id="298" name="Picture 298">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81947" y="2068812"/>
                            <a:ext cx="1114425" cy="381000"/>
                          </a:xfrm>
                          <a:prstGeom prst="rect">
                            <a:avLst/>
                          </a:prstGeom>
                          <a:noFill/>
                          <a:ln>
                            <a:noFill/>
                          </a:ln>
                        </pic:spPr>
                      </pic:pic>
                    </wpg:wgp>
                  </a:graphicData>
                </a:graphic>
              </wp:inline>
            </w:drawing>
          </mc:Choice>
          <mc:Fallback>
            <w:pict>
              <v:group id="Group 9" o:spid="_x0000_s1028" style="width:5in;height:573.65pt;mso-position-horizontal-relative:char;mso-position-vertical-relative:line" coordsize="45720,7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">
                <v:rect id="Rectangle 297" o:spid="_x0000_s1029" style="position:absolute;width:45720;height:7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ZdcUA&#10;AADcAAAADwAAAGRycy9kb3ducmV2LnhtbESP3YrCMBSE74V9h3AEb0RTRXTtGmXxB6p3dn2AY3O2&#10;rTYnpYla336zIHg5zMw3zGLVmkrcqXGlZQWjYQSCOLO65FzB6Wc3+AThPLLGyjIpeJKD1fKjs8BY&#10;2wcf6Z76XAQIuxgVFN7XsZQuK8igG9qaOHi/tjHog2xyqRt8BLip5DiKptJgyWGhwJrWBWXX9GYU&#10;7A+Tw2mdyMt1Xm76ySyN5Hm6VarXbb+/QHhq/Tv8aidawXg+g/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tl1xQAAANwAAAAPAAAAAAAAAAAAAAAAAJgCAABkcnMv&#10;ZG93bnJldi54bWxQSwUGAAAAAAQABAD1AAAAigMAAAAA&#10;" filled="f" stroked="f">
                  <v:textbox style="mso-fit-shape-to-text:t">
                    <w:txbxContent>
                      <w:p w:rsidR="00A4241D" w:rsidRDefault="00A4241D" w:rsidP="00132C37">
                        <w:pPr>
                          <w:pStyle w:val="NormalWeb"/>
                          <w:spacing w:before="0"/>
                        </w:pPr>
                        <w:r>
                          <w:rPr>
                            <w:rFonts w:asciiTheme="minorHAnsi" w:hAnsi="Calibri" w:cstheme="minorBidi"/>
                            <w:color w:val="000000" w:themeColor="text1"/>
                            <w:kern w:val="24"/>
                            <w:sz w:val="20"/>
                            <w:szCs w:val="20"/>
                          </w:rPr>
                          <w:t>The Secretary</w:t>
                        </w:r>
                      </w:p>
                      <w:p w:rsidR="00A4241D" w:rsidRDefault="00A4241D" w:rsidP="00132C37">
                        <w:pPr>
                          <w:pStyle w:val="NormalWeb"/>
                          <w:spacing w:before="0"/>
                        </w:pPr>
                        <w:r>
                          <w:rPr>
                            <w:rFonts w:asciiTheme="minorHAnsi" w:hAnsi="Calibri" w:cstheme="minorBidi"/>
                            <w:color w:val="000000" w:themeColor="text1"/>
                            <w:kern w:val="24"/>
                            <w:sz w:val="20"/>
                            <w:szCs w:val="20"/>
                            <w:lang w:val="en-US"/>
                          </w:rPr>
                          <w:t>Department of Treasury and Finance</w:t>
                        </w:r>
                      </w:p>
                      <w:p w:rsidR="00A4241D" w:rsidRDefault="00A4241D" w:rsidP="00132C37">
                        <w:pPr>
                          <w:pStyle w:val="NormalWeb"/>
                          <w:spacing w:before="0"/>
                        </w:pPr>
                        <w:r>
                          <w:rPr>
                            <w:rFonts w:asciiTheme="minorHAnsi" w:hAnsi="Calibri" w:cstheme="minorBidi"/>
                            <w:color w:val="000000" w:themeColor="text1"/>
                            <w:kern w:val="24"/>
                            <w:sz w:val="20"/>
                            <w:szCs w:val="20"/>
                          </w:rPr>
                          <w:t>1 Treasury Place</w:t>
                        </w:r>
                      </w:p>
                      <w:p w:rsidR="00A4241D" w:rsidRDefault="00A4241D" w:rsidP="00132C37">
                        <w:pPr>
                          <w:pStyle w:val="NormalWeb"/>
                          <w:spacing w:before="0"/>
                        </w:pPr>
                        <w:r>
                          <w:rPr>
                            <w:rFonts w:asciiTheme="minorHAnsi" w:hAnsi="Calibri" w:cstheme="minorBidi"/>
                            <w:color w:val="000000" w:themeColor="text1"/>
                            <w:kern w:val="24"/>
                            <w:sz w:val="20"/>
                            <w:szCs w:val="20"/>
                          </w:rPr>
                          <w:t>Melbourne Victoria, 3002</w:t>
                        </w: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Australia</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Telephone: +61 3 9651 5111</w:t>
                        </w:r>
                      </w:p>
                      <w:p w:rsidR="00A4241D" w:rsidRDefault="00A4241D" w:rsidP="00132C37">
                        <w:pPr>
                          <w:pStyle w:val="NormalWeb"/>
                          <w:spacing w:before="0"/>
                        </w:pPr>
                        <w:r>
                          <w:rPr>
                            <w:rFonts w:asciiTheme="minorHAnsi" w:hAnsi="Calibri" w:cstheme="minorBidi"/>
                            <w:color w:val="000000" w:themeColor="text1"/>
                            <w:kern w:val="24"/>
                            <w:sz w:val="20"/>
                            <w:szCs w:val="20"/>
                            <w:lang w:val="it-IT"/>
                          </w:rPr>
                          <w:t>Facsimile: +61 3 9651 5298</w:t>
                        </w: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Website: dtf.vic.gov.au</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Authorised by the Victorian Government</w:t>
                        </w:r>
                      </w:p>
                      <w:p w:rsidR="00A4241D" w:rsidRDefault="00A4241D"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1 Treasury Place, Melbourne, 3002</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w:t>
                        </w:r>
                        <w:r>
                          <w:rPr>
                            <w:rFonts w:asciiTheme="minorHAnsi" w:hAnsi="Calibri" w:cstheme="minorBidi"/>
                            <w:color w:val="000000" w:themeColor="text1"/>
                            <w:kern w:val="24"/>
                            <w:sz w:val="20"/>
                            <w:szCs w:val="20"/>
                            <w:lang w:val="en-US"/>
                          </w:rPr>
                          <w:t xml:space="preserve"> State of Victoria (Department of Treasury and Finance) 2017</w:t>
                        </w: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lang w:val="en-US"/>
                          </w:rPr>
                          <w:t xml:space="preserve">You are free to re-use this work under a Creative Commons </w:t>
                        </w:r>
                        <w:r>
                          <w:rPr>
                            <w:rFonts w:asciiTheme="minorHAnsi" w:hAnsi="Calibri" w:cstheme="minorBidi"/>
                            <w:color w:val="000000" w:themeColor="text1"/>
                            <w:kern w:val="24"/>
                            <w:sz w:val="20"/>
                            <w:szCs w:val="20"/>
                            <w:lang w:val="en-US"/>
                          </w:rPr>
                          <w:br/>
                          <w:t xml:space="preserve">Attribution 4.0 licence, provided you credit the State of </w:t>
                        </w:r>
                        <w:r>
                          <w:rPr>
                            <w:rFonts w:asciiTheme="minorHAnsi" w:hAnsi="Calibri" w:cstheme="minorBidi"/>
                            <w:color w:val="000000" w:themeColor="text1"/>
                            <w:kern w:val="24"/>
                            <w:sz w:val="20"/>
                            <w:szCs w:val="20"/>
                            <w:lang w:val="en-US"/>
                          </w:rPr>
                          <w:br/>
                          <w:t xml:space="preserve">Victoria (Department of Treasury and Finance) as author, </w:t>
                        </w:r>
                        <w:r>
                          <w:rPr>
                            <w:rFonts w:asciiTheme="minorHAnsi" w:hAnsi="Calibri" w:cstheme="minorBidi"/>
                            <w:color w:val="000000" w:themeColor="text1"/>
                            <w:kern w:val="24"/>
                            <w:sz w:val="20"/>
                            <w:szCs w:val="20"/>
                            <w:lang w:val="en-US"/>
                          </w:rPr>
                          <w:br/>
                          <w:t xml:space="preserve">indicate if changes were made and comply with the other </w:t>
                        </w:r>
                        <w:r>
                          <w:rPr>
                            <w:rFonts w:asciiTheme="minorHAnsi" w:hAnsi="Calibri" w:cstheme="minorBidi"/>
                            <w:color w:val="000000" w:themeColor="text1"/>
                            <w:kern w:val="24"/>
                            <w:sz w:val="20"/>
                            <w:szCs w:val="20"/>
                            <w:lang w:val="en-US"/>
                          </w:rPr>
                          <w:br/>
                          <w:t xml:space="preserve">licence terms. The licence does not apply to any branding, </w:t>
                        </w:r>
                        <w:r>
                          <w:rPr>
                            <w:rFonts w:asciiTheme="minorHAnsi" w:hAnsi="Calibri" w:cstheme="minorBidi"/>
                            <w:color w:val="000000" w:themeColor="text1"/>
                            <w:kern w:val="24"/>
                            <w:sz w:val="20"/>
                            <w:szCs w:val="20"/>
                            <w:lang w:val="en-US"/>
                          </w:rPr>
                          <w:br/>
                        </w:r>
                        <w:r>
                          <w:rPr>
                            <w:rFonts w:asciiTheme="minorHAnsi" w:hAnsi="Calibri" w:cstheme="minorBidi"/>
                            <w:color w:val="000000" w:themeColor="text1"/>
                            <w:kern w:val="24"/>
                            <w:sz w:val="20"/>
                            <w:szCs w:val="20"/>
                          </w:rPr>
                          <w:t>including Government logos.</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ISSN 1833-5721</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Published May 2017</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b/>
                            <w:bCs/>
                            <w:color w:val="000000" w:themeColor="text1"/>
                            <w:kern w:val="24"/>
                            <w:sz w:val="20"/>
                            <w:szCs w:val="20"/>
                          </w:rPr>
                          <w:t>Important disclaimer</w:t>
                        </w:r>
                        <w:r>
                          <w:rPr>
                            <w:rFonts w:asciiTheme="minorHAnsi" w:hAnsi="Calibri" w:cstheme="minorBidi"/>
                            <w:color w:val="000000" w:themeColor="text1"/>
                            <w:kern w:val="24"/>
                            <w:sz w:val="20"/>
                            <w:szCs w:val="20"/>
                          </w:rPr>
                          <w:t>:</w:t>
                        </w:r>
                      </w:p>
                      <w:p w:rsidR="00A4241D" w:rsidRDefault="00A4241D" w:rsidP="00132C37">
                        <w:pPr>
                          <w:pStyle w:val="NormalWeb"/>
                          <w:spacing w:before="0"/>
                        </w:pPr>
                        <w:r>
                          <w:rPr>
                            <w:rFonts w:asciiTheme="minorHAnsi" w:hAnsi="Calibri" w:cstheme="minorBidi"/>
                            <w:color w:val="000000" w:themeColor="text1"/>
                            <w:kern w:val="24"/>
                            <w:sz w:val="20"/>
                            <w:szCs w:val="20"/>
                            <w:lang w:val="en-US"/>
                          </w:rPr>
                          <w:t>The Department of Treasury and Finance is not</w:t>
                        </w:r>
                      </w:p>
                      <w:p w:rsidR="00A4241D" w:rsidRDefault="00A4241D" w:rsidP="00132C37">
                        <w:pPr>
                          <w:pStyle w:val="NormalWeb"/>
                          <w:spacing w:before="0"/>
                        </w:pPr>
                        <w:r>
                          <w:rPr>
                            <w:rFonts w:asciiTheme="minorHAnsi" w:hAnsi="Calibri" w:cstheme="minorBidi"/>
                            <w:color w:val="000000" w:themeColor="text1"/>
                            <w:kern w:val="24"/>
                            <w:sz w:val="20"/>
                            <w:szCs w:val="20"/>
                            <w:lang w:val="en-US"/>
                          </w:rPr>
                          <w:t>engaged in rendering legal, accounting or other</w:t>
                        </w: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professional advice.</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While all reasonable care has been taken in the</w:t>
                        </w:r>
                      </w:p>
                      <w:p w:rsidR="00A4241D" w:rsidRDefault="00A4241D" w:rsidP="00132C37">
                        <w:pPr>
                          <w:pStyle w:val="NormalWeb"/>
                          <w:spacing w:before="0"/>
                        </w:pPr>
                        <w:r>
                          <w:rPr>
                            <w:rFonts w:asciiTheme="minorHAnsi" w:hAnsi="Calibri" w:cstheme="minorBidi"/>
                            <w:color w:val="000000" w:themeColor="text1"/>
                            <w:kern w:val="24"/>
                            <w:sz w:val="20"/>
                            <w:szCs w:val="20"/>
                            <w:lang w:val="en-US"/>
                          </w:rPr>
                          <w:t>preparation of information contained in this</w:t>
                        </w:r>
                      </w:p>
                      <w:p w:rsidR="00A4241D" w:rsidRDefault="00A4241D" w:rsidP="00132C37">
                        <w:pPr>
                          <w:pStyle w:val="NormalWeb"/>
                          <w:spacing w:before="0"/>
                        </w:pPr>
                        <w:r>
                          <w:rPr>
                            <w:rFonts w:asciiTheme="minorHAnsi" w:hAnsi="Calibri" w:cstheme="minorBidi"/>
                            <w:color w:val="000000" w:themeColor="text1"/>
                            <w:kern w:val="24"/>
                            <w:sz w:val="20"/>
                            <w:szCs w:val="20"/>
                            <w:lang w:val="en-US"/>
                          </w:rPr>
                          <w:t>publication, no responsibility is taken for any action(s)</w:t>
                        </w:r>
                      </w:p>
                      <w:p w:rsidR="00A4241D" w:rsidRDefault="00A4241D" w:rsidP="00132C37">
                        <w:pPr>
                          <w:pStyle w:val="NormalWeb"/>
                          <w:spacing w:before="0"/>
                        </w:pPr>
                        <w:r>
                          <w:rPr>
                            <w:rFonts w:asciiTheme="minorHAnsi" w:hAnsi="Calibri" w:cstheme="minorBidi"/>
                            <w:color w:val="000000" w:themeColor="text1"/>
                            <w:kern w:val="24"/>
                            <w:sz w:val="20"/>
                            <w:szCs w:val="20"/>
                            <w:lang w:val="en-US"/>
                          </w:rPr>
                          <w:t>taken on the basis of information contained herein nor</w:t>
                        </w:r>
                      </w:p>
                      <w:p w:rsidR="00A4241D" w:rsidRDefault="00A4241D"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for any errors or omissions in that information.</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The Department of Treasury and Finance expressly</w:t>
                        </w:r>
                      </w:p>
                      <w:p w:rsidR="00A4241D" w:rsidRDefault="00A4241D" w:rsidP="00132C37">
                        <w:pPr>
                          <w:pStyle w:val="NormalWeb"/>
                          <w:spacing w:before="0"/>
                        </w:pPr>
                        <w:r>
                          <w:rPr>
                            <w:rFonts w:asciiTheme="minorHAnsi" w:hAnsi="Calibri" w:cstheme="minorBidi"/>
                            <w:color w:val="000000" w:themeColor="text1"/>
                            <w:kern w:val="24"/>
                            <w:sz w:val="20"/>
                            <w:szCs w:val="20"/>
                            <w:lang w:val="en-US"/>
                          </w:rPr>
                          <w:t>disclaims any liability whatsoever, to any person,</w:t>
                        </w:r>
                      </w:p>
                      <w:p w:rsidR="00A4241D" w:rsidRDefault="00A4241D" w:rsidP="00132C37">
                        <w:pPr>
                          <w:pStyle w:val="NormalWeb"/>
                          <w:spacing w:before="0"/>
                        </w:pPr>
                        <w:r>
                          <w:rPr>
                            <w:rFonts w:asciiTheme="minorHAnsi" w:hAnsi="Calibri" w:cstheme="minorBidi"/>
                            <w:color w:val="000000" w:themeColor="text1"/>
                            <w:kern w:val="24"/>
                            <w:sz w:val="20"/>
                            <w:szCs w:val="20"/>
                            <w:lang w:val="en-US"/>
                          </w:rPr>
                          <w:t>whether purchaser or not, in relation to any reliance,</w:t>
                        </w:r>
                      </w:p>
                      <w:p w:rsidR="00A4241D" w:rsidRDefault="00A4241D"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in whole or in part, on such information.</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Persons should consult a suitably qualified professional</w:t>
                        </w:r>
                      </w:p>
                      <w:p w:rsidR="00A4241D" w:rsidRDefault="00A4241D" w:rsidP="00132C37">
                        <w:pPr>
                          <w:pStyle w:val="NormalWeb"/>
                          <w:spacing w:before="0"/>
                        </w:pPr>
                        <w:r>
                          <w:rPr>
                            <w:rFonts w:asciiTheme="minorHAnsi" w:hAnsi="Calibri" w:cstheme="minorBidi"/>
                            <w:color w:val="000000" w:themeColor="text1"/>
                            <w:kern w:val="24"/>
                            <w:sz w:val="20"/>
                            <w:szCs w:val="20"/>
                            <w:lang w:val="en-US"/>
                          </w:rPr>
                          <w:t>adviser to obtain advice tailored to their particular</w:t>
                        </w:r>
                      </w:p>
                      <w:p w:rsidR="00A4241D" w:rsidRDefault="00A4241D"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circumstances.</w:t>
                        </w:r>
                      </w:p>
                      <w:p w:rsidR="00A4241D" w:rsidRPr="003126DE" w:rsidRDefault="00A4241D" w:rsidP="00132C37">
                        <w:pPr>
                          <w:pStyle w:val="NormalWeb"/>
                          <w:spacing w:before="0"/>
                          <w:rPr>
                            <w:rFonts w:asciiTheme="minorHAnsi" w:hAnsiTheme="minorHAnsi"/>
                            <w:sz w:val="12"/>
                            <w:szCs w:val="12"/>
                          </w:rPr>
                        </w:pPr>
                      </w:p>
                      <w:p w:rsidR="00A4241D" w:rsidRDefault="00A4241D" w:rsidP="00132C37">
                        <w:pPr>
                          <w:pStyle w:val="NormalWeb"/>
                          <w:spacing w:before="0"/>
                        </w:pPr>
                        <w:r>
                          <w:rPr>
                            <w:rFonts w:asciiTheme="minorHAnsi" w:hAnsi="Calibri" w:cstheme="minorBidi"/>
                            <w:color w:val="000000" w:themeColor="text1"/>
                            <w:kern w:val="24"/>
                            <w:sz w:val="20"/>
                            <w:szCs w:val="20"/>
                            <w:lang w:val="en-US"/>
                          </w:rPr>
                          <w:t>The Department of Technology is a fictitious department</w:t>
                        </w:r>
                      </w:p>
                      <w:p w:rsidR="00A4241D" w:rsidRDefault="00A4241D" w:rsidP="00132C37">
                        <w:pPr>
                          <w:pStyle w:val="NormalWeb"/>
                          <w:spacing w:before="0"/>
                        </w:pPr>
                        <w:r>
                          <w:rPr>
                            <w:rFonts w:asciiTheme="minorHAnsi" w:hAnsi="Calibri" w:cstheme="minorBidi"/>
                            <w:color w:val="000000" w:themeColor="text1"/>
                            <w:kern w:val="24"/>
                            <w:sz w:val="20"/>
                            <w:szCs w:val="20"/>
                            <w:lang w:val="en-US"/>
                          </w:rPr>
                          <w:t>and has been used only for the purposes of illustrating</w:t>
                        </w:r>
                      </w:p>
                      <w:p w:rsidR="00A4241D" w:rsidRDefault="00A4241D" w:rsidP="00132C37">
                        <w:pPr>
                          <w:pStyle w:val="NormalWeb"/>
                          <w:spacing w:before="0"/>
                        </w:pPr>
                        <w:r>
                          <w:rPr>
                            <w:rFonts w:asciiTheme="minorHAnsi" w:hAnsi="Calibri" w:cstheme="minorBidi"/>
                            <w:color w:val="000000" w:themeColor="text1"/>
                            <w:kern w:val="24"/>
                            <w:sz w:val="20"/>
                            <w:szCs w:val="20"/>
                            <w:lang w:val="en-US"/>
                          </w:rPr>
                          <w:t>financial reporting requirements for Victorian</w:t>
                        </w:r>
                      </w:p>
                      <w:p w:rsidR="00A4241D" w:rsidRDefault="00A4241D" w:rsidP="00132C37">
                        <w:pPr>
                          <w:pStyle w:val="NormalWeb"/>
                          <w:spacing w:before="0"/>
                        </w:pPr>
                        <w:r>
                          <w:rPr>
                            <w:rFonts w:asciiTheme="minorHAnsi" w:hAnsi="Calibri" w:cstheme="minorBidi"/>
                            <w:color w:val="000000" w:themeColor="text1"/>
                            <w:kern w:val="24"/>
                            <w:sz w:val="20"/>
                            <w:szCs w:val="20"/>
                          </w:rPr>
                          <w:t xml:space="preserve">government departments.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30" type="#_x0000_t75" href="http://creativecommons.org/licenses/by/4.0/" style="position:absolute;left:819;top:20688;width:11144;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GrS/AAAA3AAAAA8AAABkcnMvZG93bnJldi54bWxET02LwjAQvQv7H8IseLOpRYtWoyyCIHuz&#10;q3gdmrENNpPSZGv995uDsMfH+97uR9uKgXpvHCuYJykI4sppw7WCy89xtgLhA7LG1jEpeJGH/e5j&#10;ssVCuyefaShDLWII+wIVNCF0hZS+asiiT1xHHLm76y2GCPta6h6fMdy2MkvTXFo0HBsa7OjQUPUo&#10;f62C9TkfSvp2dX5b3a6HZfZaoDFKTT/Hrw2IQGP4F7/dJ60gW8e18Uw8AnL3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qRq0vwAAANwAAAAPAAAAAAAAAAAAAAAAAJ8CAABk&#10;cnMvZG93bnJldi54bWxQSwUGAAAAAAQABAD3AAAAiwMAAAAA&#10;" o:button="t">
                  <v:fill o:detectmouseclick="t"/>
                  <v:imagedata r:id="rId11" o:title=""/>
                </v:shape>
                <w10:anchorlock/>
              </v:group>
            </w:pict>
          </mc:Fallback>
        </mc:AlternateContent>
      </w:r>
    </w:p>
    <w:p w:rsidR="00FB1AE1" w:rsidRPr="00892DE3" w:rsidRDefault="00FB1AE1" w:rsidP="00132C37"/>
    <w:p w:rsidR="00132C37" w:rsidRPr="00892DE3" w:rsidRDefault="00132C37" w:rsidP="00132C37">
      <w:pPr>
        <w:sectPr w:rsidR="00132C37" w:rsidRPr="00892DE3" w:rsidSect="006D4EA2">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152" w:right="864" w:bottom="1152" w:left="864" w:header="432" w:footer="432" w:gutter="0"/>
          <w:pgNumType w:fmt="lowerRoman" w:start="1"/>
          <w:cols w:space="720"/>
        </w:sectPr>
      </w:pPr>
    </w:p>
    <w:p w:rsidR="00132C37" w:rsidRPr="00892DE3" w:rsidRDefault="00132C37" w:rsidP="00D12685">
      <w:pPr>
        <w:pBdr>
          <w:bottom w:val="single" w:sz="12" w:space="1" w:color="auto"/>
        </w:pBdr>
        <w:spacing w:before="0"/>
        <w:rPr>
          <w:rFonts w:ascii="Arial" w:hAnsi="Arial" w:cs="Arial"/>
          <w:b/>
          <w:caps/>
          <w:sz w:val="28"/>
        </w:rPr>
      </w:pPr>
      <w:r w:rsidRPr="00892DE3">
        <w:rPr>
          <w:rFonts w:ascii="Arial" w:hAnsi="Arial" w:cs="Arial"/>
          <w:b/>
          <w:caps/>
          <w:sz w:val="28"/>
        </w:rPr>
        <w:lastRenderedPageBreak/>
        <w:t>A message from the Minister for Finance</w:t>
      </w:r>
    </w:p>
    <w:p w:rsidR="00D12685" w:rsidRPr="00892DE3" w:rsidRDefault="00D12685" w:rsidP="00132C37"/>
    <w:p w:rsidR="00132C37" w:rsidRPr="00892DE3" w:rsidRDefault="00132C37" w:rsidP="00132C37">
      <w:r w:rsidRPr="00892DE3">
        <w:t xml:space="preserve">I am pleased to endorse the streamlined 2016–17 </w:t>
      </w:r>
      <w:r w:rsidRPr="00892DE3">
        <w:rPr>
          <w:i/>
        </w:rPr>
        <w:t>Model Report for Victorian Government Departments</w:t>
      </w:r>
      <w:r w:rsidRPr="00892DE3">
        <w:t xml:space="preserve"> (the Model) together with the revised user guidance material.</w:t>
      </w:r>
    </w:p>
    <w:p w:rsidR="00132C37" w:rsidRPr="00892DE3" w:rsidRDefault="00132C37" w:rsidP="00132C37">
      <w:r w:rsidRPr="00892DE3">
        <w:t xml:space="preserve">To provide consistency in the preparation of financial reports across the Victorian government, </w:t>
      </w:r>
      <w:r w:rsidR="00493775" w:rsidRPr="00892DE3">
        <w:t xml:space="preserve">the 2016-17 </w:t>
      </w:r>
      <w:r w:rsidRPr="00892DE3">
        <w:t xml:space="preserve">Model has been updated in a streamlined format, consistent with the new format adopted for the 2015-16 </w:t>
      </w:r>
      <w:r w:rsidRPr="00892DE3">
        <w:rPr>
          <w:i/>
        </w:rPr>
        <w:t>State of Victoria’s Annual Financial Report</w:t>
      </w:r>
      <w:r w:rsidRPr="00892DE3">
        <w:t xml:space="preserve">. </w:t>
      </w:r>
    </w:p>
    <w:p w:rsidR="00132C37" w:rsidRPr="00892DE3" w:rsidRDefault="00132C37" w:rsidP="00132C37">
      <w:r w:rsidRPr="00892DE3">
        <w:t xml:space="preserve">The primary objective of streamlined reporting is to improve the effectiveness of communicating </w:t>
      </w:r>
      <w:r w:rsidR="00493775" w:rsidRPr="00892DE3">
        <w:t xml:space="preserve">the </w:t>
      </w:r>
      <w:r w:rsidRPr="00892DE3">
        <w:t xml:space="preserve">financial performance and position of reporting entities in the delivery of their services, with </w:t>
      </w:r>
      <w:r w:rsidR="00493775" w:rsidRPr="00892DE3">
        <w:t xml:space="preserve">a </w:t>
      </w:r>
      <w:r w:rsidRPr="00892DE3">
        <w:t xml:space="preserve">particular focus on: </w:t>
      </w:r>
    </w:p>
    <w:p w:rsidR="00132C37" w:rsidRPr="00892DE3" w:rsidRDefault="00132C37" w:rsidP="00132C37">
      <w:pPr>
        <w:pStyle w:val="ListBullet"/>
      </w:pPr>
      <w:r w:rsidRPr="00892DE3">
        <w:t>rewriting, reordering and relabelling the notes to the financial statements to provide greater insight into operations and outcomes; and</w:t>
      </w:r>
    </w:p>
    <w:p w:rsidR="00132C37" w:rsidRPr="00892DE3" w:rsidRDefault="00132C37" w:rsidP="00132C37">
      <w:pPr>
        <w:pStyle w:val="ListBullet"/>
      </w:pPr>
      <w:r w:rsidRPr="00892DE3">
        <w:t xml:space="preserve">removing immaterial or irrelevant disclosures; </w:t>
      </w:r>
    </w:p>
    <w:p w:rsidR="00132C37" w:rsidRDefault="00132C37" w:rsidP="00132C37">
      <w:r w:rsidRPr="00892DE3">
        <w:t>while still fully complying with relevant legislative requirements and having due regard to stakeholder expectations such as those of the Public Accounts and Estimates Committee</w:t>
      </w:r>
      <w:r w:rsidR="00493775" w:rsidRPr="00892DE3">
        <w:t xml:space="preserve"> and users of public sector financial reports</w:t>
      </w:r>
      <w:r w:rsidRPr="00892DE3">
        <w:t>.</w:t>
      </w:r>
    </w:p>
    <w:p w:rsidR="00811F01" w:rsidRPr="00892DE3" w:rsidRDefault="00811F01" w:rsidP="00132C37">
      <w:r>
        <w:t>Furthermore, additional guidance materials and appendices have b</w:t>
      </w:r>
      <w:r w:rsidR="007A7BD3">
        <w:t>een added to the 2016-17 Model to assist preparers with the planning and preparation of disclosures in their annual reports.</w:t>
      </w:r>
    </w:p>
    <w:p w:rsidR="00132C37" w:rsidRPr="00892DE3" w:rsidRDefault="00132C37" w:rsidP="00132C37">
      <w:r w:rsidRPr="00892DE3">
        <w:t xml:space="preserve">This publication serves as the State’s primary compliance guide under Standing Direction 5.2 </w:t>
      </w:r>
      <w:r w:rsidRPr="00892DE3">
        <w:rPr>
          <w:i/>
        </w:rPr>
        <w:t>Annual reporting</w:t>
      </w:r>
      <w:r w:rsidR="009C2DE3">
        <w:t xml:space="preserve"> in facilitating t</w:t>
      </w:r>
      <w:r w:rsidRPr="00892DE3">
        <w:t>he provision of high quality and accurate information through annual reports</w:t>
      </w:r>
      <w:r w:rsidR="009C2DE3">
        <w:t>, which</w:t>
      </w:r>
      <w:r w:rsidRPr="00892DE3">
        <w:t xml:space="preserve"> is an essential part of open, accountable and effective government. This version of the Model contains further enhancements based on user feedback, and revisions consistent with the relevant Australian Accounting Standards including Interpretations (AASs) and Financial Reporting Directions (FRDs). The Model will also assist with the preparation of, and the information collected for, the State’s consolidated Annual Financial Report.</w:t>
      </w:r>
    </w:p>
    <w:p w:rsidR="00132C37" w:rsidRPr="00892DE3" w:rsidRDefault="00132C37" w:rsidP="00132C37">
      <w:r w:rsidRPr="00892DE3">
        <w:t>All Victorian government departments are required to comply with the Model. In addition, many of our public sector entities operating as stand-alone business enterprises use this public sector Model as the authoritative guide to assist them in the preparation of their annual reports. I strongly encourage all Victorian public sector entities to follow this Model where relevant and appropriate for their users, to ensure that Victoria maintains its high standard of reporting on t</w:t>
      </w:r>
      <w:r w:rsidR="00351FAD" w:rsidRPr="00892DE3">
        <w:t>he use of all public resources.</w:t>
      </w:r>
    </w:p>
    <w:p w:rsidR="00132C37" w:rsidRPr="00892DE3" w:rsidRDefault="00132C37" w:rsidP="00132C37">
      <w:r w:rsidRPr="00892DE3">
        <w:t>I commend this revision of the Model to you as the benchmark for Victorian public sector financial reporting.</w:t>
      </w:r>
    </w:p>
    <w:p w:rsidR="00132C37" w:rsidRPr="00892DE3" w:rsidRDefault="00132C37" w:rsidP="00132C37"/>
    <w:p w:rsidR="00132C37" w:rsidRPr="00892DE3" w:rsidRDefault="00132C37" w:rsidP="00132C37"/>
    <w:p w:rsidR="00132C37" w:rsidRPr="00892DE3" w:rsidRDefault="00132C37" w:rsidP="00132C37"/>
    <w:p w:rsidR="00132C37" w:rsidRPr="00892DE3" w:rsidRDefault="00132C37" w:rsidP="00132C37">
      <w:pPr>
        <w:rPr>
          <w:b/>
        </w:rPr>
      </w:pPr>
      <w:r w:rsidRPr="00892DE3">
        <w:rPr>
          <w:b/>
        </w:rPr>
        <w:t>ROBIN SCOTT MP</w:t>
      </w:r>
    </w:p>
    <w:p w:rsidR="00132C37" w:rsidRPr="00892DE3" w:rsidRDefault="00132C37" w:rsidP="00132C37">
      <w:r w:rsidRPr="00892DE3">
        <w:t>Minister for Finance</w:t>
      </w:r>
    </w:p>
    <w:p w:rsidR="00132C37" w:rsidRPr="00892DE3" w:rsidRDefault="00132C37" w:rsidP="00132C37"/>
    <w:p w:rsidR="00132C37" w:rsidRPr="00892DE3" w:rsidRDefault="00132C37" w:rsidP="00132C37"/>
    <w:p w:rsidR="00FB1AE1" w:rsidRPr="00892DE3" w:rsidRDefault="00FB1AE1">
      <w:pPr>
        <w:keepLines w:val="0"/>
        <w:rPr>
          <w:rFonts w:ascii="Arial" w:hAnsi="Arial" w:cs="Arial"/>
          <w:b/>
          <w:caps/>
          <w:sz w:val="28"/>
        </w:rPr>
      </w:pPr>
      <w:r w:rsidRPr="00892DE3">
        <w:rPr>
          <w:rFonts w:ascii="Arial" w:hAnsi="Arial" w:cs="Arial"/>
          <w:b/>
          <w:caps/>
          <w:sz w:val="28"/>
        </w:rPr>
        <w:br w:type="page"/>
      </w:r>
    </w:p>
    <w:p w:rsidR="00132C37" w:rsidRPr="00892DE3" w:rsidRDefault="00132C37" w:rsidP="00FB1AE1">
      <w:pPr>
        <w:pBdr>
          <w:bottom w:val="single" w:sz="12" w:space="1" w:color="auto"/>
        </w:pBdr>
        <w:spacing w:before="360"/>
        <w:rPr>
          <w:rFonts w:ascii="Arial" w:hAnsi="Arial" w:cs="Arial"/>
          <w:b/>
          <w:caps/>
          <w:sz w:val="28"/>
        </w:rPr>
      </w:pPr>
      <w:r w:rsidRPr="00892DE3">
        <w:rPr>
          <w:rFonts w:ascii="Arial" w:hAnsi="Arial" w:cs="Arial"/>
          <w:b/>
          <w:caps/>
          <w:sz w:val="28"/>
        </w:rPr>
        <w:lastRenderedPageBreak/>
        <w:t>ACKNOWLEDGMENTS</w:t>
      </w:r>
    </w:p>
    <w:p w:rsidR="00D12685" w:rsidRPr="00892DE3" w:rsidRDefault="00D12685" w:rsidP="00132C37"/>
    <w:p w:rsidR="00132C37" w:rsidRPr="00892DE3" w:rsidRDefault="00132C37" w:rsidP="00132C37">
      <w:r w:rsidRPr="00892DE3">
        <w:t>The Department of Treasury and Finance (DTF) wishes to acknowledge the suggestions and comments provided by users and departments for the preparation of the 2017 edition of this publication. DTF would also like to express its gratitude to the Victorian Auditor-General’s Office for its significant contribution and support of the Model.</w:t>
      </w:r>
    </w:p>
    <w:p w:rsidR="00132C37" w:rsidRPr="00892DE3" w:rsidRDefault="00132C37" w:rsidP="00132C37"/>
    <w:p w:rsidR="00132C37" w:rsidRPr="00892DE3" w:rsidRDefault="00132C37" w:rsidP="00132C37">
      <w:pPr>
        <w:sectPr w:rsidR="00132C37" w:rsidRPr="00892DE3" w:rsidSect="00D12685">
          <w:headerReference w:type="even" r:id="rId18"/>
          <w:headerReference w:type="default" r:id="rId19"/>
          <w:footerReference w:type="even" r:id="rId20"/>
          <w:footerReference w:type="default" r:id="rId21"/>
          <w:footerReference w:type="first" r:id="rId22"/>
          <w:pgSz w:w="11906" w:h="16838" w:code="9"/>
          <w:pgMar w:top="1134" w:right="1134" w:bottom="1134" w:left="1134" w:header="624" w:footer="567" w:gutter="0"/>
          <w:pgNumType w:fmt="lowerRoman" w:start="1"/>
          <w:cols w:sep="1" w:space="567"/>
          <w:titlePg/>
          <w:docGrid w:linePitch="360"/>
        </w:sectPr>
      </w:pPr>
    </w:p>
    <w:p w:rsidR="00132C37" w:rsidRPr="00892DE3" w:rsidRDefault="00132C37" w:rsidP="00FB1AE1">
      <w:pPr>
        <w:pBdr>
          <w:bottom w:val="single" w:sz="12" w:space="1" w:color="auto"/>
        </w:pBdr>
        <w:spacing w:before="360"/>
        <w:rPr>
          <w:rFonts w:ascii="Arial" w:hAnsi="Arial" w:cs="Arial"/>
          <w:b/>
          <w:caps/>
          <w:sz w:val="28"/>
        </w:rPr>
      </w:pPr>
      <w:r w:rsidRPr="00892DE3">
        <w:rPr>
          <w:rFonts w:ascii="Arial" w:hAnsi="Arial" w:cs="Arial"/>
          <w:b/>
          <w:caps/>
          <w:sz w:val="28"/>
        </w:rPr>
        <w:lastRenderedPageBreak/>
        <w:t>Table of contents</w:t>
      </w:r>
    </w:p>
    <w:p w:rsidR="0075222E" w:rsidRDefault="00132C37">
      <w:pPr>
        <w:pStyle w:val="TOC1"/>
        <w:rPr>
          <w:rFonts w:asciiTheme="minorHAnsi" w:eastAsiaTheme="minorEastAsia" w:hAnsiTheme="minorHAnsi"/>
          <w:b w:val="0"/>
          <w:noProof/>
          <w:spacing w:val="0"/>
          <w:sz w:val="22"/>
          <w:szCs w:val="22"/>
          <w:lang w:eastAsia="en-AU"/>
        </w:rPr>
      </w:pPr>
      <w:r w:rsidRPr="00892DE3">
        <w:rPr>
          <w:color w:val="53565A"/>
          <w:szCs w:val="22"/>
        </w:rPr>
        <w:fldChar w:fldCharType="begin"/>
      </w:r>
      <w:r w:rsidRPr="00892DE3">
        <w:instrText xml:space="preserve"> TOC \h \z \t "Heading 1,</w:instrText>
      </w:r>
      <w:r w:rsidR="00FB1AE1" w:rsidRPr="00892DE3">
        <w:instrText>1</w:instrText>
      </w:r>
      <w:r w:rsidRPr="00892DE3">
        <w:instrText>,Chapter heading,1</w:instrText>
      </w:r>
      <w:r w:rsidR="00FB1AE1" w:rsidRPr="00892DE3">
        <w:instrText>,Heading 2,2</w:instrText>
      </w:r>
      <w:r w:rsidR="00D12685" w:rsidRPr="00892DE3">
        <w:instrText>,Appendix Heading,2</w:instrText>
      </w:r>
      <w:r w:rsidRPr="00892DE3">
        <w:instrText xml:space="preserve">" </w:instrText>
      </w:r>
      <w:r w:rsidRPr="00892DE3">
        <w:rPr>
          <w:color w:val="53565A"/>
          <w:szCs w:val="22"/>
        </w:rPr>
        <w:fldChar w:fldCharType="separate"/>
      </w:r>
      <w:hyperlink w:anchor="_Toc481592307" w:history="1">
        <w:r w:rsidR="0075222E" w:rsidRPr="00EC7EA3">
          <w:rPr>
            <w:rStyle w:val="Hyperlink"/>
            <w:noProof/>
          </w:rPr>
          <w:t>Introduction</w:t>
        </w:r>
        <w:r w:rsidR="0075222E">
          <w:rPr>
            <w:noProof/>
            <w:webHidden/>
          </w:rPr>
          <w:tab/>
        </w:r>
        <w:r w:rsidR="0075222E">
          <w:rPr>
            <w:noProof/>
            <w:webHidden/>
          </w:rPr>
          <w:fldChar w:fldCharType="begin"/>
        </w:r>
        <w:r w:rsidR="0075222E">
          <w:rPr>
            <w:noProof/>
            <w:webHidden/>
          </w:rPr>
          <w:instrText xml:space="preserve"> PAGEREF _Toc481592307 \h </w:instrText>
        </w:r>
        <w:r w:rsidR="0075222E">
          <w:rPr>
            <w:noProof/>
            <w:webHidden/>
          </w:rPr>
        </w:r>
        <w:r w:rsidR="0075222E">
          <w:rPr>
            <w:noProof/>
            <w:webHidden/>
          </w:rPr>
          <w:fldChar w:fldCharType="separate"/>
        </w:r>
        <w:r w:rsidR="00F63B17">
          <w:rPr>
            <w:noProof/>
            <w:webHidden/>
          </w:rPr>
          <w:t>1</w:t>
        </w:r>
        <w:r w:rsidR="0075222E">
          <w:rPr>
            <w:noProof/>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08" w:history="1">
        <w:r w:rsidR="0075222E" w:rsidRPr="00EC7EA3">
          <w:rPr>
            <w:rStyle w:val="Hyperlink"/>
          </w:rPr>
          <w:t>Legislative background</w:t>
        </w:r>
        <w:r w:rsidR="0075222E">
          <w:rPr>
            <w:webHidden/>
          </w:rPr>
          <w:tab/>
        </w:r>
        <w:r w:rsidR="0075222E">
          <w:rPr>
            <w:webHidden/>
          </w:rPr>
          <w:fldChar w:fldCharType="begin"/>
        </w:r>
        <w:r w:rsidR="0075222E">
          <w:rPr>
            <w:webHidden/>
          </w:rPr>
          <w:instrText xml:space="preserve"> PAGEREF _Toc481592308 \h </w:instrText>
        </w:r>
        <w:r w:rsidR="0075222E">
          <w:rPr>
            <w:webHidden/>
          </w:rPr>
        </w:r>
        <w:r w:rsidR="0075222E">
          <w:rPr>
            <w:webHidden/>
          </w:rPr>
          <w:fldChar w:fldCharType="separate"/>
        </w:r>
        <w:r w:rsidR="00F63B17">
          <w:rPr>
            <w:webHidden/>
          </w:rPr>
          <w:t>1</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09" w:history="1">
        <w:r w:rsidR="0075222E" w:rsidRPr="00EC7EA3">
          <w:rPr>
            <w:rStyle w:val="Hyperlink"/>
          </w:rPr>
          <w:t>Financial accountability and reporting</w:t>
        </w:r>
        <w:r w:rsidR="0075222E">
          <w:rPr>
            <w:webHidden/>
          </w:rPr>
          <w:tab/>
        </w:r>
        <w:r w:rsidR="0075222E">
          <w:rPr>
            <w:webHidden/>
          </w:rPr>
          <w:fldChar w:fldCharType="begin"/>
        </w:r>
        <w:r w:rsidR="0075222E">
          <w:rPr>
            <w:webHidden/>
          </w:rPr>
          <w:instrText xml:space="preserve"> PAGEREF _Toc481592309 \h </w:instrText>
        </w:r>
        <w:r w:rsidR="0075222E">
          <w:rPr>
            <w:webHidden/>
          </w:rPr>
        </w:r>
        <w:r w:rsidR="0075222E">
          <w:rPr>
            <w:webHidden/>
          </w:rPr>
          <w:fldChar w:fldCharType="separate"/>
        </w:r>
        <w:r w:rsidR="00F63B17">
          <w:rPr>
            <w:webHidden/>
          </w:rPr>
          <w:t>1</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10" w:history="1">
        <w:r w:rsidR="0075222E" w:rsidRPr="00EC7EA3">
          <w:rPr>
            <w:rStyle w:val="Hyperlink"/>
          </w:rPr>
          <w:t>Reporting structure of the State of Victoria</w:t>
        </w:r>
        <w:r w:rsidR="0075222E">
          <w:rPr>
            <w:webHidden/>
          </w:rPr>
          <w:tab/>
        </w:r>
        <w:r w:rsidR="0075222E">
          <w:rPr>
            <w:webHidden/>
          </w:rPr>
          <w:fldChar w:fldCharType="begin"/>
        </w:r>
        <w:r w:rsidR="0075222E">
          <w:rPr>
            <w:webHidden/>
          </w:rPr>
          <w:instrText xml:space="preserve"> PAGEREF _Toc481592310 \h </w:instrText>
        </w:r>
        <w:r w:rsidR="0075222E">
          <w:rPr>
            <w:webHidden/>
          </w:rPr>
        </w:r>
        <w:r w:rsidR="0075222E">
          <w:rPr>
            <w:webHidden/>
          </w:rPr>
          <w:fldChar w:fldCharType="separate"/>
        </w:r>
        <w:r w:rsidR="00F63B17">
          <w:rPr>
            <w:webHidden/>
          </w:rPr>
          <w:t>3</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11" w:history="1">
        <w:r w:rsidR="0075222E" w:rsidRPr="00EC7EA3">
          <w:rPr>
            <w:rStyle w:val="Hyperlink"/>
          </w:rPr>
          <w:t>Basis of each financial publication</w:t>
        </w:r>
        <w:r w:rsidR="0075222E">
          <w:rPr>
            <w:webHidden/>
          </w:rPr>
          <w:tab/>
        </w:r>
        <w:r w:rsidR="0075222E">
          <w:rPr>
            <w:webHidden/>
          </w:rPr>
          <w:fldChar w:fldCharType="begin"/>
        </w:r>
        <w:r w:rsidR="0075222E">
          <w:rPr>
            <w:webHidden/>
          </w:rPr>
          <w:instrText xml:space="preserve"> PAGEREF _Toc481592311 \h </w:instrText>
        </w:r>
        <w:r w:rsidR="0075222E">
          <w:rPr>
            <w:webHidden/>
          </w:rPr>
        </w:r>
        <w:r w:rsidR="0075222E">
          <w:rPr>
            <w:webHidden/>
          </w:rPr>
          <w:fldChar w:fldCharType="separate"/>
        </w:r>
        <w:r w:rsidR="00F63B17">
          <w:rPr>
            <w:webHidden/>
          </w:rPr>
          <w:t>4</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12" w:history="1">
        <w:r w:rsidR="0075222E" w:rsidRPr="00EC7EA3">
          <w:rPr>
            <w:rStyle w:val="Hyperlink"/>
          </w:rPr>
          <w:t>The Model report – purpose and scope</w:t>
        </w:r>
        <w:r w:rsidR="0075222E">
          <w:rPr>
            <w:webHidden/>
          </w:rPr>
          <w:tab/>
        </w:r>
        <w:r w:rsidR="0075222E">
          <w:rPr>
            <w:webHidden/>
          </w:rPr>
          <w:fldChar w:fldCharType="begin"/>
        </w:r>
        <w:r w:rsidR="0075222E">
          <w:rPr>
            <w:webHidden/>
          </w:rPr>
          <w:instrText xml:space="preserve"> PAGEREF _Toc481592312 \h </w:instrText>
        </w:r>
        <w:r w:rsidR="0075222E">
          <w:rPr>
            <w:webHidden/>
          </w:rPr>
        </w:r>
        <w:r w:rsidR="0075222E">
          <w:rPr>
            <w:webHidden/>
          </w:rPr>
          <w:fldChar w:fldCharType="separate"/>
        </w:r>
        <w:r w:rsidR="00F63B17">
          <w:rPr>
            <w:webHidden/>
          </w:rPr>
          <w:t>5</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13" w:history="1">
        <w:r w:rsidR="0075222E" w:rsidRPr="00EC7EA3">
          <w:rPr>
            <w:rStyle w:val="Hyperlink"/>
          </w:rPr>
          <w:t>How to use the Model report</w:t>
        </w:r>
        <w:r w:rsidR="0075222E">
          <w:rPr>
            <w:webHidden/>
          </w:rPr>
          <w:tab/>
        </w:r>
        <w:r w:rsidR="0075222E">
          <w:rPr>
            <w:webHidden/>
          </w:rPr>
          <w:fldChar w:fldCharType="begin"/>
        </w:r>
        <w:r w:rsidR="0075222E">
          <w:rPr>
            <w:webHidden/>
          </w:rPr>
          <w:instrText xml:space="preserve"> PAGEREF _Toc481592313 \h </w:instrText>
        </w:r>
        <w:r w:rsidR="0075222E">
          <w:rPr>
            <w:webHidden/>
          </w:rPr>
        </w:r>
        <w:r w:rsidR="0075222E">
          <w:rPr>
            <w:webHidden/>
          </w:rPr>
          <w:fldChar w:fldCharType="separate"/>
        </w:r>
        <w:r w:rsidR="00F63B17">
          <w:rPr>
            <w:webHidden/>
          </w:rPr>
          <w:t>5</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14" w:history="1">
        <w:r w:rsidR="0075222E" w:rsidRPr="00EC7EA3">
          <w:rPr>
            <w:rStyle w:val="Hyperlink"/>
          </w:rPr>
          <w:t>Setting The Scene</w:t>
        </w:r>
        <w:r w:rsidR="0075222E">
          <w:rPr>
            <w:webHidden/>
          </w:rPr>
          <w:tab/>
        </w:r>
        <w:r w:rsidR="0075222E">
          <w:rPr>
            <w:webHidden/>
          </w:rPr>
          <w:fldChar w:fldCharType="begin"/>
        </w:r>
        <w:r w:rsidR="0075222E">
          <w:rPr>
            <w:webHidden/>
          </w:rPr>
          <w:instrText xml:space="preserve"> PAGEREF _Toc481592314 \h </w:instrText>
        </w:r>
        <w:r w:rsidR="0075222E">
          <w:rPr>
            <w:webHidden/>
          </w:rPr>
        </w:r>
        <w:r w:rsidR="0075222E">
          <w:rPr>
            <w:webHidden/>
          </w:rPr>
          <w:fldChar w:fldCharType="separate"/>
        </w:r>
        <w:r w:rsidR="00F63B17">
          <w:rPr>
            <w:webHidden/>
          </w:rPr>
          <w:t>6</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15" w:history="1">
        <w:r w:rsidR="0075222E" w:rsidRPr="00EC7EA3">
          <w:rPr>
            <w:rStyle w:val="Hyperlink"/>
          </w:rPr>
          <w:t>A model to assist with public sector financial reporting requirements</w:t>
        </w:r>
        <w:r w:rsidR="0075222E">
          <w:rPr>
            <w:webHidden/>
          </w:rPr>
          <w:tab/>
        </w:r>
        <w:r w:rsidR="0075222E">
          <w:rPr>
            <w:webHidden/>
          </w:rPr>
          <w:fldChar w:fldCharType="begin"/>
        </w:r>
        <w:r w:rsidR="0075222E">
          <w:rPr>
            <w:webHidden/>
          </w:rPr>
          <w:instrText xml:space="preserve"> PAGEREF _Toc481592315 \h </w:instrText>
        </w:r>
        <w:r w:rsidR="0075222E">
          <w:rPr>
            <w:webHidden/>
          </w:rPr>
        </w:r>
        <w:r w:rsidR="0075222E">
          <w:rPr>
            <w:webHidden/>
          </w:rPr>
          <w:fldChar w:fldCharType="separate"/>
        </w:r>
        <w:r w:rsidR="00F63B17">
          <w:rPr>
            <w:webHidden/>
          </w:rPr>
          <w:t>6</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16" w:history="1">
        <w:r w:rsidR="0075222E" w:rsidRPr="00EC7EA3">
          <w:rPr>
            <w:rStyle w:val="Hyperlink"/>
          </w:rPr>
          <w:t>The model financial statements have changed… significantly!</w:t>
        </w:r>
        <w:r w:rsidR="0075222E">
          <w:rPr>
            <w:webHidden/>
          </w:rPr>
          <w:tab/>
        </w:r>
        <w:r w:rsidR="0075222E">
          <w:rPr>
            <w:webHidden/>
          </w:rPr>
          <w:fldChar w:fldCharType="begin"/>
        </w:r>
        <w:r w:rsidR="0075222E">
          <w:rPr>
            <w:webHidden/>
          </w:rPr>
          <w:instrText xml:space="preserve"> PAGEREF _Toc481592316 \h </w:instrText>
        </w:r>
        <w:r w:rsidR="0075222E">
          <w:rPr>
            <w:webHidden/>
          </w:rPr>
        </w:r>
        <w:r w:rsidR="0075222E">
          <w:rPr>
            <w:webHidden/>
          </w:rPr>
          <w:fldChar w:fldCharType="separate"/>
        </w:r>
        <w:r w:rsidR="00F63B17">
          <w:rPr>
            <w:webHidden/>
          </w:rPr>
          <w:t>6</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17" w:history="1">
        <w:r w:rsidR="0075222E" w:rsidRPr="00EC7EA3">
          <w:rPr>
            <w:rStyle w:val="Hyperlink"/>
          </w:rPr>
          <w:t>Setting out the disclosures and guidance</w:t>
        </w:r>
        <w:r w:rsidR="0075222E">
          <w:rPr>
            <w:webHidden/>
          </w:rPr>
          <w:tab/>
        </w:r>
        <w:r w:rsidR="0075222E">
          <w:rPr>
            <w:webHidden/>
          </w:rPr>
          <w:fldChar w:fldCharType="begin"/>
        </w:r>
        <w:r w:rsidR="0075222E">
          <w:rPr>
            <w:webHidden/>
          </w:rPr>
          <w:instrText xml:space="preserve"> PAGEREF _Toc481592317 \h </w:instrText>
        </w:r>
        <w:r w:rsidR="0075222E">
          <w:rPr>
            <w:webHidden/>
          </w:rPr>
        </w:r>
        <w:r w:rsidR="0075222E">
          <w:rPr>
            <w:webHidden/>
          </w:rPr>
          <w:fldChar w:fldCharType="separate"/>
        </w:r>
        <w:r w:rsidR="00F63B17">
          <w:rPr>
            <w:webHidden/>
          </w:rPr>
          <w:t>7</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18" w:history="1">
        <w:r w:rsidR="0075222E" w:rsidRPr="00EC7EA3">
          <w:rPr>
            <w:rStyle w:val="Hyperlink"/>
          </w:rPr>
          <w:t>Where to go for additional information on streamlined financial statements</w:t>
        </w:r>
        <w:r w:rsidR="0075222E">
          <w:rPr>
            <w:webHidden/>
          </w:rPr>
          <w:tab/>
        </w:r>
        <w:r w:rsidR="0075222E">
          <w:rPr>
            <w:webHidden/>
          </w:rPr>
          <w:fldChar w:fldCharType="begin"/>
        </w:r>
        <w:r w:rsidR="0075222E">
          <w:rPr>
            <w:webHidden/>
          </w:rPr>
          <w:instrText xml:space="preserve"> PAGEREF _Toc481592318 \h </w:instrText>
        </w:r>
        <w:r w:rsidR="0075222E">
          <w:rPr>
            <w:webHidden/>
          </w:rPr>
        </w:r>
        <w:r w:rsidR="0075222E">
          <w:rPr>
            <w:webHidden/>
          </w:rPr>
          <w:fldChar w:fldCharType="separate"/>
        </w:r>
        <w:r w:rsidR="00F63B17">
          <w:rPr>
            <w:webHidden/>
          </w:rPr>
          <w:t>7</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19" w:history="1">
        <w:r w:rsidR="0075222E" w:rsidRPr="00EC7EA3">
          <w:rPr>
            <w:rStyle w:val="Hyperlink"/>
          </w:rPr>
          <w:t>Structure of the Model report and disclosure requirements</w:t>
        </w:r>
        <w:r w:rsidR="0075222E">
          <w:rPr>
            <w:webHidden/>
          </w:rPr>
          <w:tab/>
        </w:r>
        <w:r w:rsidR="0075222E">
          <w:rPr>
            <w:webHidden/>
          </w:rPr>
          <w:fldChar w:fldCharType="begin"/>
        </w:r>
        <w:r w:rsidR="0075222E">
          <w:rPr>
            <w:webHidden/>
          </w:rPr>
          <w:instrText xml:space="preserve"> PAGEREF _Toc481592319 \h </w:instrText>
        </w:r>
        <w:r w:rsidR="0075222E">
          <w:rPr>
            <w:webHidden/>
          </w:rPr>
        </w:r>
        <w:r w:rsidR="0075222E">
          <w:rPr>
            <w:webHidden/>
          </w:rPr>
          <w:fldChar w:fldCharType="separate"/>
        </w:r>
        <w:r w:rsidR="00F63B17">
          <w:rPr>
            <w:webHidden/>
          </w:rPr>
          <w:t>8</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20" w:history="1">
        <w:r w:rsidR="0075222E" w:rsidRPr="00EC7EA3">
          <w:rPr>
            <w:rStyle w:val="Hyperlink"/>
          </w:rPr>
          <w:t>‘Keys’ used in the illustrations and guidance</w:t>
        </w:r>
        <w:r w:rsidR="0075222E">
          <w:rPr>
            <w:webHidden/>
          </w:rPr>
          <w:tab/>
        </w:r>
        <w:r w:rsidR="0075222E">
          <w:rPr>
            <w:webHidden/>
          </w:rPr>
          <w:fldChar w:fldCharType="begin"/>
        </w:r>
        <w:r w:rsidR="0075222E">
          <w:rPr>
            <w:webHidden/>
          </w:rPr>
          <w:instrText xml:space="preserve"> PAGEREF _Toc481592320 \h </w:instrText>
        </w:r>
        <w:r w:rsidR="0075222E">
          <w:rPr>
            <w:webHidden/>
          </w:rPr>
        </w:r>
        <w:r w:rsidR="0075222E">
          <w:rPr>
            <w:webHidden/>
          </w:rPr>
          <w:fldChar w:fldCharType="separate"/>
        </w:r>
        <w:r w:rsidR="00F63B17">
          <w:rPr>
            <w:webHidden/>
          </w:rPr>
          <w:t>8</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21" w:history="1">
        <w:r w:rsidR="0075222E" w:rsidRPr="00EC7EA3">
          <w:rPr>
            <w:rStyle w:val="Hyperlink"/>
          </w:rPr>
          <w:t>Source references</w:t>
        </w:r>
        <w:r w:rsidR="0075222E">
          <w:rPr>
            <w:webHidden/>
          </w:rPr>
          <w:tab/>
        </w:r>
        <w:r w:rsidR="0075222E">
          <w:rPr>
            <w:webHidden/>
          </w:rPr>
          <w:fldChar w:fldCharType="begin"/>
        </w:r>
        <w:r w:rsidR="0075222E">
          <w:rPr>
            <w:webHidden/>
          </w:rPr>
          <w:instrText xml:space="preserve"> PAGEREF _Toc481592321 \h </w:instrText>
        </w:r>
        <w:r w:rsidR="0075222E">
          <w:rPr>
            <w:webHidden/>
          </w:rPr>
        </w:r>
        <w:r w:rsidR="0075222E">
          <w:rPr>
            <w:webHidden/>
          </w:rPr>
          <w:fldChar w:fldCharType="separate"/>
        </w:r>
        <w:r w:rsidR="00F63B17">
          <w:rPr>
            <w:webHidden/>
          </w:rPr>
          <w:t>9</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22" w:history="1">
        <w:r w:rsidR="0075222E" w:rsidRPr="00EC7EA3">
          <w:rPr>
            <w:rStyle w:val="Hyperlink"/>
          </w:rPr>
          <w:t>The design and printing of annual reports</w:t>
        </w:r>
        <w:r w:rsidR="0075222E">
          <w:rPr>
            <w:webHidden/>
          </w:rPr>
          <w:tab/>
        </w:r>
        <w:r w:rsidR="0075222E">
          <w:rPr>
            <w:webHidden/>
          </w:rPr>
          <w:fldChar w:fldCharType="begin"/>
        </w:r>
        <w:r w:rsidR="0075222E">
          <w:rPr>
            <w:webHidden/>
          </w:rPr>
          <w:instrText xml:space="preserve"> PAGEREF _Toc481592322 \h </w:instrText>
        </w:r>
        <w:r w:rsidR="0075222E">
          <w:rPr>
            <w:webHidden/>
          </w:rPr>
        </w:r>
        <w:r w:rsidR="0075222E">
          <w:rPr>
            <w:webHidden/>
          </w:rPr>
          <w:fldChar w:fldCharType="separate"/>
        </w:r>
        <w:r w:rsidR="00F63B17">
          <w:rPr>
            <w:webHidden/>
          </w:rPr>
          <w:t>9</w:t>
        </w:r>
        <w:r w:rsidR="0075222E">
          <w:rPr>
            <w:webHidden/>
          </w:rPr>
          <w:fldChar w:fldCharType="end"/>
        </w:r>
      </w:hyperlink>
    </w:p>
    <w:p w:rsidR="0075222E" w:rsidRDefault="003C212D">
      <w:pPr>
        <w:pStyle w:val="TOC1"/>
        <w:rPr>
          <w:rFonts w:asciiTheme="minorHAnsi" w:eastAsiaTheme="minorEastAsia" w:hAnsiTheme="minorHAnsi"/>
          <w:b w:val="0"/>
          <w:noProof/>
          <w:spacing w:val="0"/>
          <w:sz w:val="22"/>
          <w:szCs w:val="22"/>
          <w:lang w:eastAsia="en-AU"/>
        </w:rPr>
      </w:pPr>
      <w:hyperlink w:anchor="_Toc481592323" w:history="1">
        <w:r w:rsidR="0075222E" w:rsidRPr="00EC7EA3">
          <w:rPr>
            <w:rStyle w:val="Hyperlink"/>
            <w:noProof/>
          </w:rPr>
          <w:t>Department of Technology – Model report of operations</w:t>
        </w:r>
        <w:r w:rsidR="0075222E">
          <w:rPr>
            <w:noProof/>
            <w:webHidden/>
          </w:rPr>
          <w:tab/>
        </w:r>
        <w:r w:rsidR="0075222E">
          <w:rPr>
            <w:noProof/>
            <w:webHidden/>
          </w:rPr>
          <w:fldChar w:fldCharType="begin"/>
        </w:r>
        <w:r w:rsidR="0075222E">
          <w:rPr>
            <w:noProof/>
            <w:webHidden/>
          </w:rPr>
          <w:instrText xml:space="preserve"> PAGEREF _Toc481592323 \h </w:instrText>
        </w:r>
        <w:r w:rsidR="0075222E">
          <w:rPr>
            <w:noProof/>
            <w:webHidden/>
          </w:rPr>
        </w:r>
        <w:r w:rsidR="0075222E">
          <w:rPr>
            <w:noProof/>
            <w:webHidden/>
          </w:rPr>
          <w:fldChar w:fldCharType="separate"/>
        </w:r>
        <w:r w:rsidR="00F63B17">
          <w:rPr>
            <w:noProof/>
            <w:webHidden/>
          </w:rPr>
          <w:t>10</w:t>
        </w:r>
        <w:r w:rsidR="0075222E">
          <w:rPr>
            <w:noProof/>
            <w:webHidden/>
          </w:rPr>
          <w:fldChar w:fldCharType="end"/>
        </w:r>
      </w:hyperlink>
    </w:p>
    <w:p w:rsidR="0075222E" w:rsidRDefault="003C212D">
      <w:pPr>
        <w:pStyle w:val="TOC1"/>
        <w:rPr>
          <w:rFonts w:asciiTheme="minorHAnsi" w:eastAsiaTheme="minorEastAsia" w:hAnsiTheme="minorHAnsi"/>
          <w:b w:val="0"/>
          <w:noProof/>
          <w:spacing w:val="0"/>
          <w:sz w:val="22"/>
          <w:szCs w:val="22"/>
          <w:lang w:eastAsia="en-AU"/>
        </w:rPr>
      </w:pPr>
      <w:hyperlink w:anchor="_Toc481592324" w:history="1">
        <w:r w:rsidR="0075222E" w:rsidRPr="00EC7EA3">
          <w:rPr>
            <w:rStyle w:val="Hyperlink"/>
            <w:noProof/>
          </w:rPr>
          <w:t>Department of Technology – Model financial statements</w:t>
        </w:r>
        <w:r w:rsidR="0075222E">
          <w:rPr>
            <w:noProof/>
            <w:webHidden/>
          </w:rPr>
          <w:tab/>
        </w:r>
        <w:r w:rsidR="0075222E">
          <w:rPr>
            <w:noProof/>
            <w:webHidden/>
          </w:rPr>
          <w:fldChar w:fldCharType="begin"/>
        </w:r>
        <w:r w:rsidR="0075222E">
          <w:rPr>
            <w:noProof/>
            <w:webHidden/>
          </w:rPr>
          <w:instrText xml:space="preserve"> PAGEREF _Toc481592324 \h </w:instrText>
        </w:r>
        <w:r w:rsidR="0075222E">
          <w:rPr>
            <w:noProof/>
            <w:webHidden/>
          </w:rPr>
        </w:r>
        <w:r w:rsidR="0075222E">
          <w:rPr>
            <w:noProof/>
            <w:webHidden/>
          </w:rPr>
          <w:fldChar w:fldCharType="separate"/>
        </w:r>
        <w:r w:rsidR="00F63B17">
          <w:rPr>
            <w:noProof/>
            <w:webHidden/>
          </w:rPr>
          <w:t>69</w:t>
        </w:r>
        <w:r w:rsidR="0075222E">
          <w:rPr>
            <w:noProof/>
            <w:webHidden/>
          </w:rPr>
          <w:fldChar w:fldCharType="end"/>
        </w:r>
      </w:hyperlink>
    </w:p>
    <w:p w:rsidR="0075222E" w:rsidRDefault="003C212D">
      <w:pPr>
        <w:pStyle w:val="TOC1"/>
        <w:rPr>
          <w:rFonts w:asciiTheme="minorHAnsi" w:eastAsiaTheme="minorEastAsia" w:hAnsiTheme="minorHAnsi"/>
          <w:b w:val="0"/>
          <w:noProof/>
          <w:spacing w:val="0"/>
          <w:sz w:val="22"/>
          <w:szCs w:val="22"/>
          <w:lang w:eastAsia="en-AU"/>
        </w:rPr>
      </w:pPr>
      <w:hyperlink w:anchor="_Toc481592325" w:history="1">
        <w:r w:rsidR="0075222E" w:rsidRPr="00EC7EA3">
          <w:rPr>
            <w:rStyle w:val="Hyperlink"/>
            <w:noProof/>
          </w:rPr>
          <w:t>Guidance Sections</w:t>
        </w:r>
        <w:r w:rsidR="0075222E">
          <w:rPr>
            <w:noProof/>
            <w:webHidden/>
          </w:rPr>
          <w:tab/>
        </w:r>
        <w:r w:rsidR="0075222E">
          <w:rPr>
            <w:noProof/>
            <w:webHidden/>
          </w:rPr>
          <w:fldChar w:fldCharType="begin"/>
        </w:r>
        <w:r w:rsidR="0075222E">
          <w:rPr>
            <w:noProof/>
            <w:webHidden/>
          </w:rPr>
          <w:instrText xml:space="preserve"> PAGEREF _Toc481592325 \h </w:instrText>
        </w:r>
        <w:r w:rsidR="0075222E">
          <w:rPr>
            <w:noProof/>
            <w:webHidden/>
          </w:rPr>
        </w:r>
        <w:r w:rsidR="0075222E">
          <w:rPr>
            <w:noProof/>
            <w:webHidden/>
          </w:rPr>
          <w:fldChar w:fldCharType="separate"/>
        </w:r>
        <w:r w:rsidR="00F63B17">
          <w:rPr>
            <w:noProof/>
            <w:webHidden/>
          </w:rPr>
          <w:t>218</w:t>
        </w:r>
        <w:r w:rsidR="0075222E">
          <w:rPr>
            <w:noProof/>
            <w:webHidden/>
          </w:rPr>
          <w:fldChar w:fldCharType="end"/>
        </w:r>
      </w:hyperlink>
    </w:p>
    <w:p w:rsidR="0075222E" w:rsidRDefault="003C212D">
      <w:pPr>
        <w:pStyle w:val="TOC1"/>
        <w:rPr>
          <w:rFonts w:asciiTheme="minorHAnsi" w:eastAsiaTheme="minorEastAsia" w:hAnsiTheme="minorHAnsi"/>
          <w:b w:val="0"/>
          <w:noProof/>
          <w:spacing w:val="0"/>
          <w:sz w:val="22"/>
          <w:szCs w:val="22"/>
          <w:lang w:eastAsia="en-AU"/>
        </w:rPr>
      </w:pPr>
      <w:hyperlink w:anchor="_Toc481592326" w:history="1">
        <w:r w:rsidR="0075222E" w:rsidRPr="00EC7EA3">
          <w:rPr>
            <w:rStyle w:val="Hyperlink"/>
            <w:noProof/>
          </w:rPr>
          <w:t>Guidance section 1:  ‘How to’ guide to streamline a set of financial statements</w:t>
        </w:r>
        <w:r w:rsidR="0075222E">
          <w:rPr>
            <w:noProof/>
            <w:webHidden/>
          </w:rPr>
          <w:tab/>
        </w:r>
        <w:r w:rsidR="0075222E">
          <w:rPr>
            <w:noProof/>
            <w:webHidden/>
          </w:rPr>
          <w:fldChar w:fldCharType="begin"/>
        </w:r>
        <w:r w:rsidR="0075222E">
          <w:rPr>
            <w:noProof/>
            <w:webHidden/>
          </w:rPr>
          <w:instrText xml:space="preserve"> PAGEREF _Toc481592326 \h </w:instrText>
        </w:r>
        <w:r w:rsidR="0075222E">
          <w:rPr>
            <w:noProof/>
            <w:webHidden/>
          </w:rPr>
        </w:r>
        <w:r w:rsidR="0075222E">
          <w:rPr>
            <w:noProof/>
            <w:webHidden/>
          </w:rPr>
          <w:fldChar w:fldCharType="separate"/>
        </w:r>
        <w:r w:rsidR="00F63B17">
          <w:rPr>
            <w:noProof/>
            <w:webHidden/>
          </w:rPr>
          <w:t>219</w:t>
        </w:r>
        <w:r w:rsidR="0075222E">
          <w:rPr>
            <w:noProof/>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27" w:history="1">
        <w:r w:rsidR="0075222E" w:rsidRPr="00EC7EA3">
          <w:rPr>
            <w:rStyle w:val="Hyperlink"/>
          </w:rPr>
          <w:t>G1.</w:t>
        </w:r>
        <w:r w:rsidR="0075222E">
          <w:rPr>
            <w:rFonts w:asciiTheme="minorHAnsi" w:eastAsiaTheme="minorEastAsia" w:hAnsiTheme="minorHAnsi"/>
            <w:spacing w:val="0"/>
            <w:sz w:val="22"/>
            <w:szCs w:val="22"/>
            <w:lang w:eastAsia="en-AU"/>
          </w:rPr>
          <w:tab/>
        </w:r>
        <w:r w:rsidR="0075222E" w:rsidRPr="00EC7EA3">
          <w:rPr>
            <w:rStyle w:val="Hyperlink"/>
          </w:rPr>
          <w:t>Introduction</w:t>
        </w:r>
        <w:r w:rsidR="0075222E">
          <w:rPr>
            <w:webHidden/>
          </w:rPr>
          <w:tab/>
        </w:r>
        <w:r w:rsidR="0075222E">
          <w:rPr>
            <w:webHidden/>
          </w:rPr>
          <w:fldChar w:fldCharType="begin"/>
        </w:r>
        <w:r w:rsidR="0075222E">
          <w:rPr>
            <w:webHidden/>
          </w:rPr>
          <w:instrText xml:space="preserve"> PAGEREF _Toc481592327 \h </w:instrText>
        </w:r>
        <w:r w:rsidR="0075222E">
          <w:rPr>
            <w:webHidden/>
          </w:rPr>
        </w:r>
        <w:r w:rsidR="0075222E">
          <w:rPr>
            <w:webHidden/>
          </w:rPr>
          <w:fldChar w:fldCharType="separate"/>
        </w:r>
        <w:r w:rsidR="00F63B17">
          <w:rPr>
            <w:webHidden/>
          </w:rPr>
          <w:t>220</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28" w:history="1">
        <w:r w:rsidR="0075222E" w:rsidRPr="00EC7EA3">
          <w:rPr>
            <w:rStyle w:val="Hyperlink"/>
          </w:rPr>
          <w:t>G2.</w:t>
        </w:r>
        <w:r w:rsidR="0075222E">
          <w:rPr>
            <w:rFonts w:asciiTheme="minorHAnsi" w:eastAsiaTheme="minorEastAsia" w:hAnsiTheme="minorHAnsi"/>
            <w:spacing w:val="0"/>
            <w:sz w:val="22"/>
            <w:szCs w:val="22"/>
            <w:lang w:eastAsia="en-AU"/>
          </w:rPr>
          <w:tab/>
        </w:r>
        <w:r w:rsidR="0075222E" w:rsidRPr="00EC7EA3">
          <w:rPr>
            <w:rStyle w:val="Hyperlink"/>
          </w:rPr>
          <w:t>The process of streamlining</w:t>
        </w:r>
        <w:r w:rsidR="0075222E">
          <w:rPr>
            <w:webHidden/>
          </w:rPr>
          <w:tab/>
        </w:r>
        <w:r w:rsidR="0075222E">
          <w:rPr>
            <w:webHidden/>
          </w:rPr>
          <w:fldChar w:fldCharType="begin"/>
        </w:r>
        <w:r w:rsidR="0075222E">
          <w:rPr>
            <w:webHidden/>
          </w:rPr>
          <w:instrText xml:space="preserve"> PAGEREF _Toc481592328 \h </w:instrText>
        </w:r>
        <w:r w:rsidR="0075222E">
          <w:rPr>
            <w:webHidden/>
          </w:rPr>
        </w:r>
        <w:r w:rsidR="0075222E">
          <w:rPr>
            <w:webHidden/>
          </w:rPr>
          <w:fldChar w:fldCharType="separate"/>
        </w:r>
        <w:r w:rsidR="00F63B17">
          <w:rPr>
            <w:webHidden/>
          </w:rPr>
          <w:t>221</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29" w:history="1">
        <w:r w:rsidR="0075222E" w:rsidRPr="00EC7EA3">
          <w:rPr>
            <w:rStyle w:val="Hyperlink"/>
          </w:rPr>
          <w:t>G3.</w:t>
        </w:r>
        <w:r w:rsidR="0075222E">
          <w:rPr>
            <w:rFonts w:asciiTheme="minorHAnsi" w:eastAsiaTheme="minorEastAsia" w:hAnsiTheme="minorHAnsi"/>
            <w:spacing w:val="0"/>
            <w:sz w:val="22"/>
            <w:szCs w:val="22"/>
            <w:lang w:eastAsia="en-AU"/>
          </w:rPr>
          <w:tab/>
        </w:r>
        <w:r w:rsidR="0075222E" w:rsidRPr="00EC7EA3">
          <w:rPr>
            <w:rStyle w:val="Hyperlink"/>
          </w:rPr>
          <w:t>Further information</w:t>
        </w:r>
        <w:r w:rsidR="0075222E">
          <w:rPr>
            <w:webHidden/>
          </w:rPr>
          <w:tab/>
        </w:r>
        <w:r w:rsidR="0075222E">
          <w:rPr>
            <w:webHidden/>
          </w:rPr>
          <w:fldChar w:fldCharType="begin"/>
        </w:r>
        <w:r w:rsidR="0075222E">
          <w:rPr>
            <w:webHidden/>
          </w:rPr>
          <w:instrText xml:space="preserve"> PAGEREF _Toc481592329 \h </w:instrText>
        </w:r>
        <w:r w:rsidR="0075222E">
          <w:rPr>
            <w:webHidden/>
          </w:rPr>
        </w:r>
        <w:r w:rsidR="0075222E">
          <w:rPr>
            <w:webHidden/>
          </w:rPr>
          <w:fldChar w:fldCharType="separate"/>
        </w:r>
        <w:r w:rsidR="00F63B17">
          <w:rPr>
            <w:webHidden/>
          </w:rPr>
          <w:t>226</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30" w:history="1">
        <w:r w:rsidR="0075222E" w:rsidRPr="00EC7EA3">
          <w:rPr>
            <w:rStyle w:val="Hyperlink"/>
          </w:rPr>
          <w:t>G4.</w:t>
        </w:r>
        <w:r w:rsidR="0075222E">
          <w:rPr>
            <w:rFonts w:asciiTheme="minorHAnsi" w:eastAsiaTheme="minorEastAsia" w:hAnsiTheme="minorHAnsi"/>
            <w:spacing w:val="0"/>
            <w:sz w:val="22"/>
            <w:szCs w:val="22"/>
            <w:lang w:eastAsia="en-AU"/>
          </w:rPr>
          <w:tab/>
        </w:r>
        <w:r w:rsidR="0075222E" w:rsidRPr="00EC7EA3">
          <w:rPr>
            <w:rStyle w:val="Hyperlink"/>
          </w:rPr>
          <w:t>Example materiality documentation template</w:t>
        </w:r>
        <w:r w:rsidR="0075222E">
          <w:rPr>
            <w:webHidden/>
          </w:rPr>
          <w:tab/>
        </w:r>
        <w:r w:rsidR="0075222E">
          <w:rPr>
            <w:webHidden/>
          </w:rPr>
          <w:fldChar w:fldCharType="begin"/>
        </w:r>
        <w:r w:rsidR="0075222E">
          <w:rPr>
            <w:webHidden/>
          </w:rPr>
          <w:instrText xml:space="preserve"> PAGEREF _Toc481592330 \h </w:instrText>
        </w:r>
        <w:r w:rsidR="0075222E">
          <w:rPr>
            <w:webHidden/>
          </w:rPr>
        </w:r>
        <w:r w:rsidR="0075222E">
          <w:rPr>
            <w:webHidden/>
          </w:rPr>
          <w:fldChar w:fldCharType="separate"/>
        </w:r>
        <w:r w:rsidR="00F63B17">
          <w:rPr>
            <w:webHidden/>
          </w:rPr>
          <w:t>227</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31" w:history="1">
        <w:r w:rsidR="0075222E" w:rsidRPr="00EC7EA3">
          <w:rPr>
            <w:rStyle w:val="Hyperlink"/>
          </w:rPr>
          <w:t>G5.</w:t>
        </w:r>
        <w:r w:rsidR="0075222E">
          <w:rPr>
            <w:rFonts w:asciiTheme="minorHAnsi" w:eastAsiaTheme="minorEastAsia" w:hAnsiTheme="minorHAnsi"/>
            <w:spacing w:val="0"/>
            <w:sz w:val="22"/>
            <w:szCs w:val="22"/>
            <w:lang w:eastAsia="en-AU"/>
          </w:rPr>
          <w:tab/>
        </w:r>
        <w:r w:rsidR="0075222E" w:rsidRPr="00EC7EA3">
          <w:rPr>
            <w:rStyle w:val="Hyperlink"/>
          </w:rPr>
          <w:t>Example of revised note structure for departments</w:t>
        </w:r>
        <w:r w:rsidR="0075222E">
          <w:rPr>
            <w:webHidden/>
          </w:rPr>
          <w:tab/>
        </w:r>
        <w:r w:rsidR="0075222E">
          <w:rPr>
            <w:webHidden/>
          </w:rPr>
          <w:fldChar w:fldCharType="begin"/>
        </w:r>
        <w:r w:rsidR="0075222E">
          <w:rPr>
            <w:webHidden/>
          </w:rPr>
          <w:instrText xml:space="preserve"> PAGEREF _Toc481592331 \h </w:instrText>
        </w:r>
        <w:r w:rsidR="0075222E">
          <w:rPr>
            <w:webHidden/>
          </w:rPr>
        </w:r>
        <w:r w:rsidR="0075222E">
          <w:rPr>
            <w:webHidden/>
          </w:rPr>
          <w:fldChar w:fldCharType="separate"/>
        </w:r>
        <w:r w:rsidR="00F63B17">
          <w:rPr>
            <w:webHidden/>
          </w:rPr>
          <w:t>228</w:t>
        </w:r>
        <w:r w:rsidR="0075222E">
          <w:rPr>
            <w:webHidden/>
          </w:rPr>
          <w:fldChar w:fldCharType="end"/>
        </w:r>
      </w:hyperlink>
    </w:p>
    <w:p w:rsidR="0075222E" w:rsidRDefault="003C212D">
      <w:pPr>
        <w:pStyle w:val="TOC2"/>
        <w:rPr>
          <w:rFonts w:asciiTheme="minorHAnsi" w:eastAsiaTheme="minorEastAsia" w:hAnsiTheme="minorHAnsi"/>
          <w:spacing w:val="0"/>
          <w:sz w:val="22"/>
          <w:szCs w:val="22"/>
          <w:lang w:eastAsia="en-AU"/>
        </w:rPr>
      </w:pPr>
      <w:hyperlink w:anchor="_Toc481592332" w:history="1">
        <w:r w:rsidR="0075222E" w:rsidRPr="00EC7EA3">
          <w:rPr>
            <w:rStyle w:val="Hyperlink"/>
          </w:rPr>
          <w:t>G6.</w:t>
        </w:r>
        <w:r w:rsidR="0075222E">
          <w:rPr>
            <w:rFonts w:asciiTheme="minorHAnsi" w:eastAsiaTheme="minorEastAsia" w:hAnsiTheme="minorHAnsi"/>
            <w:spacing w:val="0"/>
            <w:sz w:val="22"/>
            <w:szCs w:val="22"/>
            <w:lang w:eastAsia="en-AU"/>
          </w:rPr>
          <w:tab/>
        </w:r>
        <w:r w:rsidR="0075222E" w:rsidRPr="00EC7EA3">
          <w:rPr>
            <w:rStyle w:val="Hyperlink"/>
          </w:rPr>
          <w:t>Example of note mapping template</w:t>
        </w:r>
        <w:r w:rsidR="0075222E">
          <w:rPr>
            <w:webHidden/>
          </w:rPr>
          <w:tab/>
        </w:r>
        <w:r w:rsidR="0075222E">
          <w:rPr>
            <w:webHidden/>
          </w:rPr>
          <w:fldChar w:fldCharType="begin"/>
        </w:r>
        <w:r w:rsidR="0075222E">
          <w:rPr>
            <w:webHidden/>
          </w:rPr>
          <w:instrText xml:space="preserve"> PAGEREF _Toc481592332 \h </w:instrText>
        </w:r>
        <w:r w:rsidR="0075222E">
          <w:rPr>
            <w:webHidden/>
          </w:rPr>
        </w:r>
        <w:r w:rsidR="0075222E">
          <w:rPr>
            <w:webHidden/>
          </w:rPr>
          <w:fldChar w:fldCharType="separate"/>
        </w:r>
        <w:r w:rsidR="00F63B17">
          <w:rPr>
            <w:webHidden/>
          </w:rPr>
          <w:t>232</w:t>
        </w:r>
        <w:r w:rsidR="0075222E">
          <w:rPr>
            <w:webHidden/>
          </w:rPr>
          <w:fldChar w:fldCharType="end"/>
        </w:r>
      </w:hyperlink>
    </w:p>
    <w:p w:rsidR="0075222E" w:rsidRDefault="003C212D">
      <w:pPr>
        <w:pStyle w:val="TOC1"/>
        <w:rPr>
          <w:rFonts w:asciiTheme="minorHAnsi" w:eastAsiaTheme="minorEastAsia" w:hAnsiTheme="minorHAnsi"/>
          <w:b w:val="0"/>
          <w:noProof/>
          <w:spacing w:val="0"/>
          <w:sz w:val="22"/>
          <w:szCs w:val="22"/>
          <w:lang w:eastAsia="en-AU"/>
        </w:rPr>
      </w:pPr>
      <w:hyperlink w:anchor="_Toc481592333" w:history="1">
        <w:r w:rsidR="0075222E" w:rsidRPr="00EC7EA3">
          <w:rPr>
            <w:rStyle w:val="Hyperlink"/>
            <w:noProof/>
          </w:rPr>
          <w:t>Guidance section 2:  General and specific disclosure requirements, including presentation requirements</w:t>
        </w:r>
        <w:r w:rsidR="0075222E">
          <w:rPr>
            <w:noProof/>
            <w:webHidden/>
          </w:rPr>
          <w:tab/>
        </w:r>
        <w:r w:rsidR="0075222E">
          <w:rPr>
            <w:noProof/>
            <w:webHidden/>
          </w:rPr>
          <w:fldChar w:fldCharType="begin"/>
        </w:r>
        <w:r w:rsidR="0075222E">
          <w:rPr>
            <w:noProof/>
            <w:webHidden/>
          </w:rPr>
          <w:instrText xml:space="preserve"> PAGEREF _Toc481592333 \h </w:instrText>
        </w:r>
        <w:r w:rsidR="0075222E">
          <w:rPr>
            <w:noProof/>
            <w:webHidden/>
          </w:rPr>
        </w:r>
        <w:r w:rsidR="0075222E">
          <w:rPr>
            <w:noProof/>
            <w:webHidden/>
          </w:rPr>
          <w:fldChar w:fldCharType="separate"/>
        </w:r>
        <w:r w:rsidR="00F63B17">
          <w:rPr>
            <w:noProof/>
            <w:webHidden/>
          </w:rPr>
          <w:t>233</w:t>
        </w:r>
        <w:r w:rsidR="0075222E">
          <w:rPr>
            <w:noProof/>
            <w:webHidden/>
          </w:rPr>
          <w:fldChar w:fldCharType="end"/>
        </w:r>
      </w:hyperlink>
    </w:p>
    <w:p w:rsidR="0075222E" w:rsidRDefault="003C212D">
      <w:pPr>
        <w:pStyle w:val="TOC1"/>
        <w:rPr>
          <w:rFonts w:asciiTheme="minorHAnsi" w:eastAsiaTheme="minorEastAsia" w:hAnsiTheme="minorHAnsi"/>
          <w:b w:val="0"/>
          <w:noProof/>
          <w:spacing w:val="0"/>
          <w:sz w:val="22"/>
          <w:szCs w:val="22"/>
          <w:lang w:eastAsia="en-AU"/>
        </w:rPr>
      </w:pPr>
      <w:hyperlink w:anchor="_Toc481592334" w:history="1">
        <w:r w:rsidR="0075222E" w:rsidRPr="00EC7EA3">
          <w:rPr>
            <w:rStyle w:val="Hyperlink"/>
            <w:noProof/>
          </w:rPr>
          <w:t>Guidance section 3:  What is not disclosed in the Model financial statements</w:t>
        </w:r>
        <w:r w:rsidR="0075222E">
          <w:rPr>
            <w:noProof/>
            <w:webHidden/>
          </w:rPr>
          <w:tab/>
        </w:r>
        <w:r w:rsidR="0075222E">
          <w:rPr>
            <w:noProof/>
            <w:webHidden/>
          </w:rPr>
          <w:fldChar w:fldCharType="begin"/>
        </w:r>
        <w:r w:rsidR="0075222E">
          <w:rPr>
            <w:noProof/>
            <w:webHidden/>
          </w:rPr>
          <w:instrText xml:space="preserve"> PAGEREF _Toc481592334 \h </w:instrText>
        </w:r>
        <w:r w:rsidR="0075222E">
          <w:rPr>
            <w:noProof/>
            <w:webHidden/>
          </w:rPr>
        </w:r>
        <w:r w:rsidR="0075222E">
          <w:rPr>
            <w:noProof/>
            <w:webHidden/>
          </w:rPr>
          <w:fldChar w:fldCharType="separate"/>
        </w:r>
        <w:r w:rsidR="00F63B17">
          <w:rPr>
            <w:noProof/>
            <w:webHidden/>
          </w:rPr>
          <w:t>235</w:t>
        </w:r>
        <w:r w:rsidR="0075222E">
          <w:rPr>
            <w:noProof/>
            <w:webHidden/>
          </w:rPr>
          <w:fldChar w:fldCharType="end"/>
        </w:r>
      </w:hyperlink>
    </w:p>
    <w:p w:rsidR="0075222E" w:rsidRDefault="003C212D">
      <w:pPr>
        <w:pStyle w:val="TOC1"/>
        <w:rPr>
          <w:rFonts w:asciiTheme="minorHAnsi" w:eastAsiaTheme="minorEastAsia" w:hAnsiTheme="minorHAnsi"/>
          <w:b w:val="0"/>
          <w:noProof/>
          <w:spacing w:val="0"/>
          <w:sz w:val="22"/>
          <w:szCs w:val="22"/>
          <w:lang w:eastAsia="en-AU"/>
        </w:rPr>
      </w:pPr>
      <w:hyperlink w:anchor="_Toc481592335" w:history="1">
        <w:r w:rsidR="0075222E" w:rsidRPr="00EC7EA3">
          <w:rPr>
            <w:rStyle w:val="Hyperlink"/>
            <w:noProof/>
          </w:rPr>
          <w:t>Appendices</w:t>
        </w:r>
        <w:r w:rsidR="0075222E">
          <w:rPr>
            <w:noProof/>
            <w:webHidden/>
          </w:rPr>
          <w:tab/>
        </w:r>
        <w:r w:rsidR="0075222E">
          <w:rPr>
            <w:noProof/>
            <w:webHidden/>
          </w:rPr>
          <w:fldChar w:fldCharType="begin"/>
        </w:r>
        <w:r w:rsidR="0075222E">
          <w:rPr>
            <w:noProof/>
            <w:webHidden/>
          </w:rPr>
          <w:instrText xml:space="preserve"> PAGEREF _Toc481592335 \h </w:instrText>
        </w:r>
        <w:r w:rsidR="0075222E">
          <w:rPr>
            <w:noProof/>
            <w:webHidden/>
          </w:rPr>
        </w:r>
        <w:r w:rsidR="0075222E">
          <w:rPr>
            <w:noProof/>
            <w:webHidden/>
          </w:rPr>
          <w:fldChar w:fldCharType="separate"/>
        </w:r>
        <w:r w:rsidR="00F63B17">
          <w:rPr>
            <w:noProof/>
            <w:webHidden/>
          </w:rPr>
          <w:t>236</w:t>
        </w:r>
        <w:r w:rsidR="0075222E">
          <w:rPr>
            <w:noProof/>
            <w:webHidden/>
          </w:rPr>
          <w:fldChar w:fldCharType="end"/>
        </w:r>
      </w:hyperlink>
    </w:p>
    <w:p w:rsidR="0075222E" w:rsidRDefault="003C212D" w:rsidP="0075222E">
      <w:pPr>
        <w:pStyle w:val="TOC2"/>
        <w:tabs>
          <w:tab w:val="left" w:pos="1843"/>
        </w:tabs>
        <w:rPr>
          <w:rFonts w:asciiTheme="minorHAnsi" w:eastAsiaTheme="minorEastAsia" w:hAnsiTheme="minorHAnsi"/>
          <w:spacing w:val="0"/>
          <w:sz w:val="22"/>
          <w:szCs w:val="22"/>
          <w:lang w:eastAsia="en-AU"/>
        </w:rPr>
      </w:pPr>
      <w:hyperlink w:anchor="_Toc481592336" w:history="1">
        <w:r w:rsidR="0075222E" w:rsidRPr="00EC7EA3">
          <w:rPr>
            <w:rStyle w:val="Hyperlink"/>
          </w:rPr>
          <w:t>Appendix 1:</w:t>
        </w:r>
        <w:r w:rsidR="0075222E">
          <w:rPr>
            <w:rFonts w:asciiTheme="minorHAnsi" w:eastAsiaTheme="minorEastAsia" w:hAnsiTheme="minorHAnsi"/>
            <w:spacing w:val="0"/>
            <w:sz w:val="22"/>
            <w:szCs w:val="22"/>
            <w:lang w:eastAsia="en-AU"/>
          </w:rPr>
          <w:tab/>
        </w:r>
        <w:r w:rsidR="0075222E" w:rsidRPr="00EC7EA3">
          <w:rPr>
            <w:rStyle w:val="Hyperlink"/>
          </w:rPr>
          <w:t>Extracts of whole of government financial statements and analysis of disclosures</w:t>
        </w:r>
        <w:r w:rsidR="0075222E">
          <w:rPr>
            <w:webHidden/>
          </w:rPr>
          <w:tab/>
        </w:r>
        <w:r w:rsidR="0075222E">
          <w:rPr>
            <w:webHidden/>
          </w:rPr>
          <w:fldChar w:fldCharType="begin"/>
        </w:r>
        <w:r w:rsidR="0075222E">
          <w:rPr>
            <w:webHidden/>
          </w:rPr>
          <w:instrText xml:space="preserve"> PAGEREF _Toc481592336 \h </w:instrText>
        </w:r>
        <w:r w:rsidR="0075222E">
          <w:rPr>
            <w:webHidden/>
          </w:rPr>
        </w:r>
        <w:r w:rsidR="0075222E">
          <w:rPr>
            <w:webHidden/>
          </w:rPr>
          <w:fldChar w:fldCharType="separate"/>
        </w:r>
        <w:r w:rsidR="00F63B17">
          <w:rPr>
            <w:webHidden/>
          </w:rPr>
          <w:t>237</w:t>
        </w:r>
        <w:r w:rsidR="0075222E">
          <w:rPr>
            <w:webHidden/>
          </w:rPr>
          <w:fldChar w:fldCharType="end"/>
        </w:r>
      </w:hyperlink>
    </w:p>
    <w:p w:rsidR="0075222E" w:rsidRDefault="003C212D" w:rsidP="0075222E">
      <w:pPr>
        <w:pStyle w:val="TOC2"/>
        <w:tabs>
          <w:tab w:val="left" w:pos="1843"/>
        </w:tabs>
        <w:rPr>
          <w:rFonts w:asciiTheme="minorHAnsi" w:eastAsiaTheme="minorEastAsia" w:hAnsiTheme="minorHAnsi"/>
          <w:spacing w:val="0"/>
          <w:sz w:val="22"/>
          <w:szCs w:val="22"/>
          <w:lang w:eastAsia="en-AU"/>
        </w:rPr>
      </w:pPr>
      <w:hyperlink w:anchor="_Toc481592337" w:history="1">
        <w:r w:rsidR="0075222E" w:rsidRPr="00EC7EA3">
          <w:rPr>
            <w:rStyle w:val="Hyperlink"/>
          </w:rPr>
          <w:t>Appendix 2:</w:t>
        </w:r>
        <w:r w:rsidR="0075222E">
          <w:rPr>
            <w:rFonts w:asciiTheme="minorHAnsi" w:eastAsiaTheme="minorEastAsia" w:hAnsiTheme="minorHAnsi"/>
            <w:spacing w:val="0"/>
            <w:sz w:val="22"/>
            <w:szCs w:val="22"/>
            <w:lang w:eastAsia="en-AU"/>
          </w:rPr>
          <w:tab/>
        </w:r>
        <w:r w:rsidR="0075222E" w:rsidRPr="00EC7EA3">
          <w:rPr>
            <w:rStyle w:val="Hyperlink"/>
          </w:rPr>
          <w:t>Budgetary reporting:  explanation of material variances between budget and actual outcomes</w:t>
        </w:r>
        <w:r w:rsidR="0075222E">
          <w:rPr>
            <w:webHidden/>
          </w:rPr>
          <w:tab/>
        </w:r>
        <w:r w:rsidR="0075222E">
          <w:rPr>
            <w:webHidden/>
          </w:rPr>
          <w:fldChar w:fldCharType="begin"/>
        </w:r>
        <w:r w:rsidR="0075222E">
          <w:rPr>
            <w:webHidden/>
          </w:rPr>
          <w:instrText xml:space="preserve"> PAGEREF _Toc481592337 \h </w:instrText>
        </w:r>
        <w:r w:rsidR="0075222E">
          <w:rPr>
            <w:webHidden/>
          </w:rPr>
        </w:r>
        <w:r w:rsidR="0075222E">
          <w:rPr>
            <w:webHidden/>
          </w:rPr>
          <w:fldChar w:fldCharType="separate"/>
        </w:r>
        <w:r w:rsidR="00F63B17">
          <w:rPr>
            <w:webHidden/>
          </w:rPr>
          <w:t>252</w:t>
        </w:r>
        <w:r w:rsidR="0075222E">
          <w:rPr>
            <w:webHidden/>
          </w:rPr>
          <w:fldChar w:fldCharType="end"/>
        </w:r>
      </w:hyperlink>
    </w:p>
    <w:p w:rsidR="0075222E" w:rsidRDefault="003C212D" w:rsidP="00F46516">
      <w:pPr>
        <w:pStyle w:val="TOC2"/>
        <w:tabs>
          <w:tab w:val="left" w:pos="1843"/>
        </w:tabs>
        <w:rPr>
          <w:rFonts w:asciiTheme="minorHAnsi" w:eastAsiaTheme="minorEastAsia" w:hAnsiTheme="minorHAnsi"/>
          <w:spacing w:val="0"/>
          <w:sz w:val="22"/>
          <w:szCs w:val="22"/>
          <w:lang w:eastAsia="en-AU"/>
        </w:rPr>
      </w:pPr>
      <w:hyperlink w:anchor="_Toc481592338" w:history="1">
        <w:r w:rsidR="0075222E" w:rsidRPr="00EC7EA3">
          <w:rPr>
            <w:rStyle w:val="Hyperlink"/>
          </w:rPr>
          <w:t xml:space="preserve">Appendix 3: </w:t>
        </w:r>
        <w:r w:rsidR="0075222E">
          <w:rPr>
            <w:rFonts w:asciiTheme="minorHAnsi" w:eastAsiaTheme="minorEastAsia" w:hAnsiTheme="minorHAnsi"/>
            <w:spacing w:val="0"/>
            <w:sz w:val="22"/>
            <w:szCs w:val="22"/>
            <w:lang w:eastAsia="en-AU"/>
          </w:rPr>
          <w:tab/>
        </w:r>
        <w:r w:rsidR="0075222E" w:rsidRPr="00EC7EA3">
          <w:rPr>
            <w:rStyle w:val="Hyperlink"/>
          </w:rPr>
          <w:t>Understanding the independent auditor’s report</w:t>
        </w:r>
        <w:r w:rsidR="0075222E">
          <w:rPr>
            <w:webHidden/>
          </w:rPr>
          <w:tab/>
        </w:r>
        <w:r w:rsidR="0075222E">
          <w:rPr>
            <w:webHidden/>
          </w:rPr>
          <w:fldChar w:fldCharType="begin"/>
        </w:r>
        <w:r w:rsidR="0075222E">
          <w:rPr>
            <w:webHidden/>
          </w:rPr>
          <w:instrText xml:space="preserve"> PAGEREF _Toc481592338 \h </w:instrText>
        </w:r>
        <w:r w:rsidR="0075222E">
          <w:rPr>
            <w:webHidden/>
          </w:rPr>
        </w:r>
        <w:r w:rsidR="0075222E">
          <w:rPr>
            <w:webHidden/>
          </w:rPr>
          <w:fldChar w:fldCharType="separate"/>
        </w:r>
        <w:r w:rsidR="00F63B17">
          <w:rPr>
            <w:webHidden/>
          </w:rPr>
          <w:t>258</w:t>
        </w:r>
        <w:r w:rsidR="0075222E">
          <w:rPr>
            <w:webHidden/>
          </w:rPr>
          <w:fldChar w:fldCharType="end"/>
        </w:r>
      </w:hyperlink>
    </w:p>
    <w:p w:rsidR="0075222E" w:rsidRDefault="003C212D" w:rsidP="0075222E">
      <w:pPr>
        <w:pStyle w:val="TOC2"/>
        <w:tabs>
          <w:tab w:val="left" w:pos="1843"/>
        </w:tabs>
        <w:rPr>
          <w:rFonts w:asciiTheme="minorHAnsi" w:eastAsiaTheme="minorEastAsia" w:hAnsiTheme="minorHAnsi"/>
          <w:spacing w:val="0"/>
          <w:sz w:val="22"/>
          <w:szCs w:val="22"/>
          <w:lang w:eastAsia="en-AU"/>
        </w:rPr>
      </w:pPr>
      <w:hyperlink w:anchor="_Toc481592339" w:history="1">
        <w:r w:rsidR="0075222E" w:rsidRPr="00EC7EA3">
          <w:rPr>
            <w:rStyle w:val="Hyperlink"/>
          </w:rPr>
          <w:t>Appendix 4:</w:t>
        </w:r>
        <w:r w:rsidR="0075222E">
          <w:rPr>
            <w:rFonts w:asciiTheme="minorHAnsi" w:eastAsiaTheme="minorEastAsia" w:hAnsiTheme="minorHAnsi"/>
            <w:spacing w:val="0"/>
            <w:sz w:val="22"/>
            <w:szCs w:val="22"/>
            <w:lang w:eastAsia="en-AU"/>
          </w:rPr>
          <w:tab/>
        </w:r>
        <w:r w:rsidR="0075222E" w:rsidRPr="00EC7EA3">
          <w:rPr>
            <w:rStyle w:val="Hyperlink"/>
          </w:rPr>
          <w:t>AASB 10 Consolidated Financial Statements checklist – control analysis for Victorian public sector entities</w:t>
        </w:r>
        <w:r w:rsidR="0075222E">
          <w:rPr>
            <w:webHidden/>
          </w:rPr>
          <w:tab/>
        </w:r>
        <w:r w:rsidR="0075222E">
          <w:rPr>
            <w:webHidden/>
          </w:rPr>
          <w:fldChar w:fldCharType="begin"/>
        </w:r>
        <w:r w:rsidR="0075222E">
          <w:rPr>
            <w:webHidden/>
          </w:rPr>
          <w:instrText xml:space="preserve"> PAGEREF _Toc481592339 \h </w:instrText>
        </w:r>
        <w:r w:rsidR="0075222E">
          <w:rPr>
            <w:webHidden/>
          </w:rPr>
        </w:r>
        <w:r w:rsidR="0075222E">
          <w:rPr>
            <w:webHidden/>
          </w:rPr>
          <w:fldChar w:fldCharType="separate"/>
        </w:r>
        <w:r w:rsidR="00F63B17">
          <w:rPr>
            <w:webHidden/>
          </w:rPr>
          <w:t>260</w:t>
        </w:r>
        <w:r w:rsidR="0075222E">
          <w:rPr>
            <w:webHidden/>
          </w:rPr>
          <w:fldChar w:fldCharType="end"/>
        </w:r>
      </w:hyperlink>
    </w:p>
    <w:p w:rsidR="0075222E" w:rsidRDefault="003C212D" w:rsidP="0075222E">
      <w:pPr>
        <w:pStyle w:val="TOC2"/>
        <w:tabs>
          <w:tab w:val="left" w:pos="1843"/>
        </w:tabs>
        <w:rPr>
          <w:rFonts w:asciiTheme="minorHAnsi" w:eastAsiaTheme="minorEastAsia" w:hAnsiTheme="minorHAnsi"/>
          <w:spacing w:val="0"/>
          <w:sz w:val="22"/>
          <w:szCs w:val="22"/>
          <w:lang w:eastAsia="en-AU"/>
        </w:rPr>
      </w:pPr>
      <w:hyperlink w:anchor="_Toc481592340" w:history="1">
        <w:r w:rsidR="0075222E" w:rsidRPr="00EC7EA3">
          <w:rPr>
            <w:rStyle w:val="Hyperlink"/>
          </w:rPr>
          <w:t>Appendix 5:</w:t>
        </w:r>
        <w:r w:rsidR="0075222E">
          <w:rPr>
            <w:rFonts w:asciiTheme="minorHAnsi" w:eastAsiaTheme="minorEastAsia" w:hAnsiTheme="minorHAnsi"/>
            <w:spacing w:val="0"/>
            <w:sz w:val="22"/>
            <w:szCs w:val="22"/>
            <w:lang w:eastAsia="en-AU"/>
          </w:rPr>
          <w:tab/>
        </w:r>
        <w:r w:rsidR="0075222E" w:rsidRPr="00EC7EA3">
          <w:rPr>
            <w:rStyle w:val="Hyperlink"/>
          </w:rPr>
          <w:t>Interests in subsidiary and unconsolidated structured entities</w:t>
        </w:r>
        <w:r w:rsidR="0075222E">
          <w:rPr>
            <w:webHidden/>
          </w:rPr>
          <w:tab/>
        </w:r>
        <w:r w:rsidR="0075222E">
          <w:rPr>
            <w:webHidden/>
          </w:rPr>
          <w:fldChar w:fldCharType="begin"/>
        </w:r>
        <w:r w:rsidR="0075222E">
          <w:rPr>
            <w:webHidden/>
          </w:rPr>
          <w:instrText xml:space="preserve"> PAGEREF _Toc481592340 \h </w:instrText>
        </w:r>
        <w:r w:rsidR="0075222E">
          <w:rPr>
            <w:webHidden/>
          </w:rPr>
        </w:r>
        <w:r w:rsidR="0075222E">
          <w:rPr>
            <w:webHidden/>
          </w:rPr>
          <w:fldChar w:fldCharType="separate"/>
        </w:r>
        <w:r w:rsidR="00F63B17">
          <w:rPr>
            <w:webHidden/>
          </w:rPr>
          <w:t>270</w:t>
        </w:r>
        <w:r w:rsidR="0075222E">
          <w:rPr>
            <w:webHidden/>
          </w:rPr>
          <w:fldChar w:fldCharType="end"/>
        </w:r>
      </w:hyperlink>
    </w:p>
    <w:p w:rsidR="0075222E" w:rsidRDefault="003C212D" w:rsidP="0075222E">
      <w:pPr>
        <w:pStyle w:val="TOC2"/>
        <w:tabs>
          <w:tab w:val="left" w:pos="1843"/>
        </w:tabs>
        <w:rPr>
          <w:rFonts w:asciiTheme="minorHAnsi" w:eastAsiaTheme="minorEastAsia" w:hAnsiTheme="minorHAnsi"/>
          <w:spacing w:val="0"/>
          <w:sz w:val="22"/>
          <w:szCs w:val="22"/>
          <w:lang w:eastAsia="en-AU"/>
        </w:rPr>
      </w:pPr>
      <w:hyperlink w:anchor="_Toc481592341" w:history="1">
        <w:r w:rsidR="0075222E" w:rsidRPr="00EC7EA3">
          <w:rPr>
            <w:rStyle w:val="Hyperlink"/>
          </w:rPr>
          <w:t>Appendix 6:</w:t>
        </w:r>
        <w:r w:rsidR="0075222E">
          <w:rPr>
            <w:rFonts w:asciiTheme="minorHAnsi" w:eastAsiaTheme="minorEastAsia" w:hAnsiTheme="minorHAnsi"/>
            <w:spacing w:val="0"/>
            <w:sz w:val="22"/>
            <w:szCs w:val="22"/>
            <w:lang w:eastAsia="en-AU"/>
          </w:rPr>
          <w:tab/>
        </w:r>
        <w:r w:rsidR="0075222E" w:rsidRPr="00EC7EA3">
          <w:rPr>
            <w:rStyle w:val="Hyperlink"/>
          </w:rPr>
          <w:t>Annual leave provisions</w:t>
        </w:r>
        <w:r w:rsidR="0075222E">
          <w:rPr>
            <w:webHidden/>
          </w:rPr>
          <w:tab/>
        </w:r>
        <w:r w:rsidR="0075222E">
          <w:rPr>
            <w:webHidden/>
          </w:rPr>
          <w:fldChar w:fldCharType="begin"/>
        </w:r>
        <w:r w:rsidR="0075222E">
          <w:rPr>
            <w:webHidden/>
          </w:rPr>
          <w:instrText xml:space="preserve"> PAGEREF _Toc481592341 \h </w:instrText>
        </w:r>
        <w:r w:rsidR="0075222E">
          <w:rPr>
            <w:webHidden/>
          </w:rPr>
        </w:r>
        <w:r w:rsidR="0075222E">
          <w:rPr>
            <w:webHidden/>
          </w:rPr>
          <w:fldChar w:fldCharType="separate"/>
        </w:r>
        <w:r w:rsidR="00F63B17">
          <w:rPr>
            <w:webHidden/>
          </w:rPr>
          <w:t>273</w:t>
        </w:r>
        <w:r w:rsidR="0075222E">
          <w:rPr>
            <w:webHidden/>
          </w:rPr>
          <w:fldChar w:fldCharType="end"/>
        </w:r>
      </w:hyperlink>
    </w:p>
    <w:p w:rsidR="0075222E" w:rsidRDefault="003C212D" w:rsidP="0075222E">
      <w:pPr>
        <w:pStyle w:val="TOC2"/>
        <w:tabs>
          <w:tab w:val="left" w:pos="1843"/>
        </w:tabs>
        <w:rPr>
          <w:rFonts w:asciiTheme="minorHAnsi" w:eastAsiaTheme="minorEastAsia" w:hAnsiTheme="minorHAnsi"/>
          <w:spacing w:val="0"/>
          <w:sz w:val="22"/>
          <w:szCs w:val="22"/>
          <w:lang w:eastAsia="en-AU"/>
        </w:rPr>
      </w:pPr>
      <w:hyperlink w:anchor="_Toc481592342" w:history="1">
        <w:r w:rsidR="0075222E" w:rsidRPr="00EC7EA3">
          <w:rPr>
            <w:rStyle w:val="Hyperlink"/>
          </w:rPr>
          <w:t>Appendix 7:</w:t>
        </w:r>
        <w:r w:rsidR="0075222E">
          <w:rPr>
            <w:rFonts w:asciiTheme="minorHAnsi" w:eastAsiaTheme="minorEastAsia" w:hAnsiTheme="minorHAnsi"/>
            <w:spacing w:val="0"/>
            <w:sz w:val="22"/>
            <w:szCs w:val="22"/>
            <w:lang w:eastAsia="en-AU"/>
          </w:rPr>
          <w:tab/>
        </w:r>
        <w:r w:rsidR="0075222E" w:rsidRPr="00EC7EA3">
          <w:rPr>
            <w:rStyle w:val="Hyperlink"/>
          </w:rPr>
          <w:t>Fair value measurement indicative expectations</w:t>
        </w:r>
        <w:r w:rsidR="0075222E">
          <w:rPr>
            <w:webHidden/>
          </w:rPr>
          <w:tab/>
        </w:r>
        <w:r w:rsidR="0075222E">
          <w:rPr>
            <w:webHidden/>
          </w:rPr>
          <w:fldChar w:fldCharType="begin"/>
        </w:r>
        <w:r w:rsidR="0075222E">
          <w:rPr>
            <w:webHidden/>
          </w:rPr>
          <w:instrText xml:space="preserve"> PAGEREF _Toc481592342 \h </w:instrText>
        </w:r>
        <w:r w:rsidR="0075222E">
          <w:rPr>
            <w:webHidden/>
          </w:rPr>
        </w:r>
        <w:r w:rsidR="0075222E">
          <w:rPr>
            <w:webHidden/>
          </w:rPr>
          <w:fldChar w:fldCharType="separate"/>
        </w:r>
        <w:r w:rsidR="00F63B17">
          <w:rPr>
            <w:webHidden/>
          </w:rPr>
          <w:t>276</w:t>
        </w:r>
        <w:r w:rsidR="0075222E">
          <w:rPr>
            <w:webHidden/>
          </w:rPr>
          <w:fldChar w:fldCharType="end"/>
        </w:r>
      </w:hyperlink>
    </w:p>
    <w:p w:rsidR="0075222E" w:rsidRDefault="003C212D" w:rsidP="0075222E">
      <w:pPr>
        <w:pStyle w:val="TOC2"/>
        <w:tabs>
          <w:tab w:val="left" w:pos="1843"/>
        </w:tabs>
        <w:rPr>
          <w:rFonts w:asciiTheme="minorHAnsi" w:eastAsiaTheme="minorEastAsia" w:hAnsiTheme="minorHAnsi"/>
          <w:spacing w:val="0"/>
          <w:sz w:val="22"/>
          <w:szCs w:val="22"/>
          <w:lang w:eastAsia="en-AU"/>
        </w:rPr>
      </w:pPr>
      <w:hyperlink w:anchor="_Toc481592343" w:history="1">
        <w:r w:rsidR="0075222E" w:rsidRPr="00EC7EA3">
          <w:rPr>
            <w:rStyle w:val="Hyperlink"/>
          </w:rPr>
          <w:t>Appendix 8:</w:t>
        </w:r>
        <w:r w:rsidR="0075222E">
          <w:rPr>
            <w:rFonts w:asciiTheme="minorHAnsi" w:eastAsiaTheme="minorEastAsia" w:hAnsiTheme="minorHAnsi"/>
            <w:spacing w:val="0"/>
            <w:sz w:val="22"/>
            <w:szCs w:val="22"/>
            <w:lang w:eastAsia="en-AU"/>
          </w:rPr>
          <w:tab/>
        </w:r>
        <w:r w:rsidR="0075222E" w:rsidRPr="00EC7EA3">
          <w:rPr>
            <w:rStyle w:val="Hyperlink"/>
          </w:rPr>
          <w:t>Practical classification guide between transactions and other economic flows</w:t>
        </w:r>
        <w:r w:rsidR="0075222E">
          <w:rPr>
            <w:webHidden/>
          </w:rPr>
          <w:tab/>
        </w:r>
        <w:r w:rsidR="0075222E">
          <w:rPr>
            <w:webHidden/>
          </w:rPr>
          <w:fldChar w:fldCharType="begin"/>
        </w:r>
        <w:r w:rsidR="0075222E">
          <w:rPr>
            <w:webHidden/>
          </w:rPr>
          <w:instrText xml:space="preserve"> PAGEREF _Toc481592343 \h </w:instrText>
        </w:r>
        <w:r w:rsidR="0075222E">
          <w:rPr>
            <w:webHidden/>
          </w:rPr>
        </w:r>
        <w:r w:rsidR="0075222E">
          <w:rPr>
            <w:webHidden/>
          </w:rPr>
          <w:fldChar w:fldCharType="separate"/>
        </w:r>
        <w:r w:rsidR="00F63B17">
          <w:rPr>
            <w:webHidden/>
          </w:rPr>
          <w:t>277</w:t>
        </w:r>
        <w:r w:rsidR="0075222E">
          <w:rPr>
            <w:webHidden/>
          </w:rPr>
          <w:fldChar w:fldCharType="end"/>
        </w:r>
      </w:hyperlink>
    </w:p>
    <w:p w:rsidR="0075222E" w:rsidRDefault="003C212D" w:rsidP="0075222E">
      <w:pPr>
        <w:pStyle w:val="TOC2"/>
        <w:tabs>
          <w:tab w:val="left" w:pos="1843"/>
        </w:tabs>
        <w:rPr>
          <w:rFonts w:asciiTheme="minorHAnsi" w:eastAsiaTheme="minorEastAsia" w:hAnsiTheme="minorHAnsi"/>
          <w:spacing w:val="0"/>
          <w:sz w:val="22"/>
          <w:szCs w:val="22"/>
          <w:lang w:eastAsia="en-AU"/>
        </w:rPr>
      </w:pPr>
      <w:hyperlink w:anchor="_Toc481592344" w:history="1">
        <w:r w:rsidR="0075222E" w:rsidRPr="00EC7EA3">
          <w:rPr>
            <w:rStyle w:val="Hyperlink"/>
          </w:rPr>
          <w:t>Appendix 9:</w:t>
        </w:r>
        <w:r w:rsidR="0075222E">
          <w:rPr>
            <w:rFonts w:asciiTheme="minorHAnsi" w:eastAsiaTheme="minorEastAsia" w:hAnsiTheme="minorHAnsi"/>
            <w:spacing w:val="0"/>
            <w:sz w:val="22"/>
            <w:szCs w:val="22"/>
            <w:lang w:eastAsia="en-AU"/>
          </w:rPr>
          <w:tab/>
        </w:r>
        <w:r w:rsidR="0075222E" w:rsidRPr="00EC7EA3">
          <w:rPr>
            <w:rStyle w:val="Hyperlink"/>
          </w:rPr>
          <w:t>Declaration Certificate for executives – the certificate for declaration of related party transactions in compliance with aasb 124</w:t>
        </w:r>
        <w:r w:rsidR="0075222E">
          <w:rPr>
            <w:webHidden/>
          </w:rPr>
          <w:tab/>
        </w:r>
        <w:r w:rsidR="0075222E">
          <w:rPr>
            <w:webHidden/>
          </w:rPr>
          <w:fldChar w:fldCharType="begin"/>
        </w:r>
        <w:r w:rsidR="0075222E">
          <w:rPr>
            <w:webHidden/>
          </w:rPr>
          <w:instrText xml:space="preserve"> PAGEREF _Toc481592344 \h </w:instrText>
        </w:r>
        <w:r w:rsidR="0075222E">
          <w:rPr>
            <w:webHidden/>
          </w:rPr>
        </w:r>
        <w:r w:rsidR="0075222E">
          <w:rPr>
            <w:webHidden/>
          </w:rPr>
          <w:fldChar w:fldCharType="separate"/>
        </w:r>
        <w:r w:rsidR="00F63B17">
          <w:rPr>
            <w:webHidden/>
          </w:rPr>
          <w:t>278</w:t>
        </w:r>
        <w:r w:rsidR="0075222E">
          <w:rPr>
            <w:webHidden/>
          </w:rPr>
          <w:fldChar w:fldCharType="end"/>
        </w:r>
      </w:hyperlink>
    </w:p>
    <w:p w:rsidR="0075222E" w:rsidRDefault="003C212D" w:rsidP="0075222E">
      <w:pPr>
        <w:pStyle w:val="TOC2"/>
        <w:tabs>
          <w:tab w:val="left" w:pos="1787"/>
          <w:tab w:val="left" w:pos="1843"/>
        </w:tabs>
        <w:rPr>
          <w:rFonts w:asciiTheme="minorHAnsi" w:eastAsiaTheme="minorEastAsia" w:hAnsiTheme="minorHAnsi"/>
          <w:spacing w:val="0"/>
          <w:sz w:val="22"/>
          <w:szCs w:val="22"/>
          <w:lang w:eastAsia="en-AU"/>
        </w:rPr>
      </w:pPr>
      <w:hyperlink w:anchor="_Toc481592345" w:history="1">
        <w:r w:rsidR="0075222E" w:rsidRPr="00EC7EA3">
          <w:rPr>
            <w:rStyle w:val="Hyperlink"/>
          </w:rPr>
          <w:t>Appendix 10:</w:t>
        </w:r>
        <w:r w:rsidR="0075222E">
          <w:rPr>
            <w:rFonts w:asciiTheme="minorHAnsi" w:eastAsiaTheme="minorEastAsia" w:hAnsiTheme="minorHAnsi"/>
            <w:spacing w:val="0"/>
            <w:sz w:val="22"/>
            <w:szCs w:val="22"/>
            <w:lang w:eastAsia="en-AU"/>
          </w:rPr>
          <w:tab/>
        </w:r>
        <w:r w:rsidR="0075222E" w:rsidRPr="00EC7EA3">
          <w:rPr>
            <w:rStyle w:val="Hyperlink"/>
          </w:rPr>
          <w:t xml:space="preserve">AASB 124 </w:t>
        </w:r>
        <w:r w:rsidR="0075222E" w:rsidRPr="00EC7EA3">
          <w:rPr>
            <w:rStyle w:val="Hyperlink"/>
            <w:i/>
          </w:rPr>
          <w:t xml:space="preserve">Related Party Disclosures – </w:t>
        </w:r>
        <w:r w:rsidR="0075222E" w:rsidRPr="00EC7EA3">
          <w:rPr>
            <w:rStyle w:val="Hyperlink"/>
          </w:rPr>
          <w:t>entity management checklist</w:t>
        </w:r>
        <w:r w:rsidR="0075222E">
          <w:rPr>
            <w:webHidden/>
          </w:rPr>
          <w:tab/>
        </w:r>
        <w:r w:rsidR="0075222E">
          <w:rPr>
            <w:webHidden/>
          </w:rPr>
          <w:fldChar w:fldCharType="begin"/>
        </w:r>
        <w:r w:rsidR="0075222E">
          <w:rPr>
            <w:webHidden/>
          </w:rPr>
          <w:instrText xml:space="preserve"> PAGEREF _Toc481592345 \h </w:instrText>
        </w:r>
        <w:r w:rsidR="0075222E">
          <w:rPr>
            <w:webHidden/>
          </w:rPr>
        </w:r>
        <w:r w:rsidR="0075222E">
          <w:rPr>
            <w:webHidden/>
          </w:rPr>
          <w:fldChar w:fldCharType="separate"/>
        </w:r>
        <w:r w:rsidR="00F63B17">
          <w:rPr>
            <w:webHidden/>
          </w:rPr>
          <w:t>294</w:t>
        </w:r>
        <w:r w:rsidR="0075222E">
          <w:rPr>
            <w:webHidden/>
          </w:rPr>
          <w:fldChar w:fldCharType="end"/>
        </w:r>
      </w:hyperlink>
    </w:p>
    <w:p w:rsidR="0075222E" w:rsidRDefault="003C212D" w:rsidP="0075222E">
      <w:pPr>
        <w:pStyle w:val="TOC2"/>
        <w:tabs>
          <w:tab w:val="left" w:pos="1787"/>
          <w:tab w:val="left" w:pos="1843"/>
        </w:tabs>
        <w:rPr>
          <w:rFonts w:asciiTheme="minorHAnsi" w:eastAsiaTheme="minorEastAsia" w:hAnsiTheme="minorHAnsi"/>
          <w:spacing w:val="0"/>
          <w:sz w:val="22"/>
          <w:szCs w:val="22"/>
          <w:lang w:eastAsia="en-AU"/>
        </w:rPr>
      </w:pPr>
      <w:hyperlink w:anchor="_Toc481592346" w:history="1">
        <w:r w:rsidR="0075222E" w:rsidRPr="00EC7EA3">
          <w:rPr>
            <w:rStyle w:val="Hyperlink"/>
          </w:rPr>
          <w:t>Appendix 11:</w:t>
        </w:r>
        <w:r w:rsidR="0075222E">
          <w:rPr>
            <w:rFonts w:asciiTheme="minorHAnsi" w:eastAsiaTheme="minorEastAsia" w:hAnsiTheme="minorHAnsi"/>
            <w:spacing w:val="0"/>
            <w:sz w:val="22"/>
            <w:szCs w:val="22"/>
            <w:lang w:eastAsia="en-AU"/>
          </w:rPr>
          <w:tab/>
        </w:r>
        <w:r w:rsidR="0075222E" w:rsidRPr="00EC7EA3">
          <w:rPr>
            <w:rStyle w:val="Hyperlink"/>
          </w:rPr>
          <w:t>When to account for surplus assets as ‘held for sale’</w:t>
        </w:r>
        <w:r w:rsidR="0075222E">
          <w:rPr>
            <w:webHidden/>
          </w:rPr>
          <w:tab/>
        </w:r>
        <w:r w:rsidR="0075222E">
          <w:rPr>
            <w:webHidden/>
          </w:rPr>
          <w:fldChar w:fldCharType="begin"/>
        </w:r>
        <w:r w:rsidR="0075222E">
          <w:rPr>
            <w:webHidden/>
          </w:rPr>
          <w:instrText xml:space="preserve"> PAGEREF _Toc481592346 \h </w:instrText>
        </w:r>
        <w:r w:rsidR="0075222E">
          <w:rPr>
            <w:webHidden/>
          </w:rPr>
        </w:r>
        <w:r w:rsidR="0075222E">
          <w:rPr>
            <w:webHidden/>
          </w:rPr>
          <w:fldChar w:fldCharType="separate"/>
        </w:r>
        <w:r w:rsidR="00F63B17">
          <w:rPr>
            <w:webHidden/>
          </w:rPr>
          <w:t>306</w:t>
        </w:r>
        <w:r w:rsidR="0075222E">
          <w:rPr>
            <w:webHidden/>
          </w:rPr>
          <w:fldChar w:fldCharType="end"/>
        </w:r>
      </w:hyperlink>
    </w:p>
    <w:p w:rsidR="0075222E" w:rsidRDefault="003C212D" w:rsidP="0075222E">
      <w:pPr>
        <w:pStyle w:val="TOC2"/>
        <w:tabs>
          <w:tab w:val="left" w:pos="1787"/>
          <w:tab w:val="left" w:pos="1843"/>
        </w:tabs>
        <w:rPr>
          <w:rFonts w:asciiTheme="minorHAnsi" w:eastAsiaTheme="minorEastAsia" w:hAnsiTheme="minorHAnsi"/>
          <w:spacing w:val="0"/>
          <w:sz w:val="22"/>
          <w:szCs w:val="22"/>
          <w:lang w:eastAsia="en-AU"/>
        </w:rPr>
      </w:pPr>
      <w:hyperlink w:anchor="_Toc481592347" w:history="1">
        <w:r w:rsidR="0075222E" w:rsidRPr="00EC7EA3">
          <w:rPr>
            <w:rStyle w:val="Hyperlink"/>
          </w:rPr>
          <w:t>Appendix 12:</w:t>
        </w:r>
        <w:r w:rsidR="0075222E">
          <w:rPr>
            <w:rFonts w:asciiTheme="minorHAnsi" w:eastAsiaTheme="minorEastAsia" w:hAnsiTheme="minorHAnsi"/>
            <w:spacing w:val="0"/>
            <w:sz w:val="22"/>
            <w:szCs w:val="22"/>
            <w:lang w:eastAsia="en-AU"/>
          </w:rPr>
          <w:tab/>
        </w:r>
        <w:r w:rsidR="0075222E" w:rsidRPr="00EC7EA3">
          <w:rPr>
            <w:rStyle w:val="Hyperlink"/>
          </w:rPr>
          <w:t xml:space="preserve">Summary of new/revised accounting standards effective for current and </w:t>
        </w:r>
        <w:r w:rsidR="0075222E">
          <w:rPr>
            <w:rStyle w:val="Hyperlink"/>
          </w:rPr>
          <w:br/>
        </w:r>
        <w:r w:rsidR="0075222E" w:rsidRPr="00EC7EA3">
          <w:rPr>
            <w:rStyle w:val="Hyperlink"/>
          </w:rPr>
          <w:t>future reporting periods</w:t>
        </w:r>
        <w:r w:rsidR="0075222E">
          <w:rPr>
            <w:webHidden/>
          </w:rPr>
          <w:tab/>
        </w:r>
        <w:r w:rsidR="0075222E">
          <w:rPr>
            <w:webHidden/>
          </w:rPr>
          <w:fldChar w:fldCharType="begin"/>
        </w:r>
        <w:r w:rsidR="0075222E">
          <w:rPr>
            <w:webHidden/>
          </w:rPr>
          <w:instrText xml:space="preserve"> PAGEREF _Toc481592347 \h </w:instrText>
        </w:r>
        <w:r w:rsidR="0075222E">
          <w:rPr>
            <w:webHidden/>
          </w:rPr>
        </w:r>
        <w:r w:rsidR="0075222E">
          <w:rPr>
            <w:webHidden/>
          </w:rPr>
          <w:fldChar w:fldCharType="separate"/>
        </w:r>
        <w:r w:rsidR="00F63B17">
          <w:rPr>
            <w:webHidden/>
          </w:rPr>
          <w:t>310</w:t>
        </w:r>
        <w:r w:rsidR="0075222E">
          <w:rPr>
            <w:webHidden/>
          </w:rPr>
          <w:fldChar w:fldCharType="end"/>
        </w:r>
      </w:hyperlink>
    </w:p>
    <w:p w:rsidR="0075222E" w:rsidRDefault="003C212D" w:rsidP="0075222E">
      <w:pPr>
        <w:pStyle w:val="TOC2"/>
        <w:tabs>
          <w:tab w:val="left" w:pos="1787"/>
          <w:tab w:val="left" w:pos="1843"/>
        </w:tabs>
        <w:rPr>
          <w:rFonts w:asciiTheme="minorHAnsi" w:eastAsiaTheme="minorEastAsia" w:hAnsiTheme="minorHAnsi"/>
          <w:spacing w:val="0"/>
          <w:sz w:val="22"/>
          <w:szCs w:val="22"/>
          <w:lang w:eastAsia="en-AU"/>
        </w:rPr>
      </w:pPr>
      <w:hyperlink w:anchor="_Toc481592348" w:history="1">
        <w:r w:rsidR="0075222E" w:rsidRPr="00EC7EA3">
          <w:rPr>
            <w:rStyle w:val="Hyperlink"/>
          </w:rPr>
          <w:t>Appendix 13:</w:t>
        </w:r>
        <w:r w:rsidR="0075222E">
          <w:rPr>
            <w:rFonts w:asciiTheme="minorHAnsi" w:eastAsiaTheme="minorEastAsia" w:hAnsiTheme="minorHAnsi"/>
            <w:spacing w:val="0"/>
            <w:sz w:val="22"/>
            <w:szCs w:val="22"/>
            <w:lang w:eastAsia="en-AU"/>
          </w:rPr>
          <w:tab/>
        </w:r>
        <w:r w:rsidR="0075222E" w:rsidRPr="00EC7EA3">
          <w:rPr>
            <w:rStyle w:val="Hyperlink"/>
          </w:rPr>
          <w:t xml:space="preserve">AASB reporting requirements for For-Profit and Not-for-Profit entities in the </w:t>
        </w:r>
        <w:r w:rsidR="0075222E">
          <w:rPr>
            <w:rStyle w:val="Hyperlink"/>
          </w:rPr>
          <w:br/>
        </w:r>
        <w:r w:rsidR="0075222E" w:rsidRPr="00EC7EA3">
          <w:rPr>
            <w:rStyle w:val="Hyperlink"/>
          </w:rPr>
          <w:t>Victorian Public Sector</w:t>
        </w:r>
        <w:r w:rsidR="0075222E">
          <w:rPr>
            <w:webHidden/>
          </w:rPr>
          <w:tab/>
        </w:r>
        <w:r w:rsidR="0075222E">
          <w:rPr>
            <w:webHidden/>
          </w:rPr>
          <w:fldChar w:fldCharType="begin"/>
        </w:r>
        <w:r w:rsidR="0075222E">
          <w:rPr>
            <w:webHidden/>
          </w:rPr>
          <w:instrText xml:space="preserve"> PAGEREF _Toc481592348 \h </w:instrText>
        </w:r>
        <w:r w:rsidR="0075222E">
          <w:rPr>
            <w:webHidden/>
          </w:rPr>
        </w:r>
        <w:r w:rsidR="0075222E">
          <w:rPr>
            <w:webHidden/>
          </w:rPr>
          <w:fldChar w:fldCharType="separate"/>
        </w:r>
        <w:r w:rsidR="00F63B17">
          <w:rPr>
            <w:webHidden/>
          </w:rPr>
          <w:t>313</w:t>
        </w:r>
        <w:r w:rsidR="0075222E">
          <w:rPr>
            <w:webHidden/>
          </w:rPr>
          <w:fldChar w:fldCharType="end"/>
        </w:r>
      </w:hyperlink>
    </w:p>
    <w:p w:rsidR="00A97BF5" w:rsidRPr="00892DE3" w:rsidRDefault="00132C37" w:rsidP="00D12685">
      <w:pPr>
        <w:ind w:left="720"/>
        <w:rPr>
          <w:noProof/>
          <w:spacing w:val="-2"/>
          <w:szCs w:val="19"/>
        </w:rPr>
      </w:pPr>
      <w:r w:rsidRPr="00892DE3">
        <w:rPr>
          <w:noProof/>
          <w:spacing w:val="-2"/>
          <w:szCs w:val="19"/>
        </w:rPr>
        <w:fldChar w:fldCharType="end"/>
      </w:r>
    </w:p>
    <w:p w:rsidR="00132C37" w:rsidRPr="00892DE3" w:rsidRDefault="00132C37" w:rsidP="00132C37"/>
    <w:p w:rsidR="00132C37" w:rsidRPr="00892DE3" w:rsidRDefault="00132C37" w:rsidP="00132C37"/>
    <w:p w:rsidR="00132C37" w:rsidRPr="00892DE3" w:rsidRDefault="00132C37" w:rsidP="00132C37">
      <w:pPr>
        <w:sectPr w:rsidR="00132C37" w:rsidRPr="00892DE3" w:rsidSect="00B07BA0">
          <w:headerReference w:type="even" r:id="rId23"/>
          <w:footerReference w:type="even" r:id="rId24"/>
          <w:footerReference w:type="default" r:id="rId25"/>
          <w:footerReference w:type="first" r:id="rId26"/>
          <w:pgSz w:w="11906" w:h="16838" w:code="9"/>
          <w:pgMar w:top="1134" w:right="1134" w:bottom="1134" w:left="1134" w:header="624" w:footer="567" w:gutter="0"/>
          <w:pgNumType w:fmt="lowerRoman"/>
          <w:cols w:sep="1" w:space="567"/>
          <w:titlePg/>
          <w:docGrid w:linePitch="360"/>
        </w:sectPr>
      </w:pPr>
    </w:p>
    <w:p w:rsidR="00132C37" w:rsidRPr="00892DE3" w:rsidRDefault="00132C37" w:rsidP="00132C37">
      <w:pPr>
        <w:pStyle w:val="Heading10"/>
      </w:pPr>
      <w:bookmarkStart w:id="1" w:name="_Toc481592307"/>
      <w:r w:rsidRPr="00892DE3">
        <w:lastRenderedPageBreak/>
        <w:t>Introduction</w:t>
      </w:r>
      <w:bookmarkEnd w:id="1"/>
    </w:p>
    <w:p w:rsidR="00132C37" w:rsidRPr="00892DE3" w:rsidRDefault="00132C37" w:rsidP="00132C37">
      <w:pPr>
        <w:rPr>
          <w:noProof/>
          <w:lang w:eastAsia="en-AU"/>
        </w:rPr>
      </w:pPr>
      <w:r w:rsidRPr="00892DE3">
        <w:rPr>
          <w:noProof/>
          <w:lang w:eastAsia="en-AU"/>
        </w:rPr>
        <w:t xml:space="preserve">The Victorian Government provides a number of publications to inform Parliament, and the wider community about its financial plans, outcome and position. Many relate to individual agencies while others, on a consolidated basis, cover a sector or the whole of Victorian Government. Agencies fund, deliver and regulate a wide range of services on behalf of the Government, mainly related to education, health, public safety, transport and communication. Most of these services are funded through taxes, levies, fees from the sale of goods and services, and grants from the Commonwealth Government. Through their day to day operations, all </w:t>
      </w:r>
      <w:r w:rsidR="000E0984" w:rsidRPr="00892DE3">
        <w:rPr>
          <w:noProof/>
          <w:lang w:eastAsia="en-AU"/>
        </w:rPr>
        <w:t>agencies</w:t>
      </w:r>
      <w:r w:rsidRPr="00892DE3">
        <w:rPr>
          <w:noProof/>
          <w:lang w:eastAsia="en-AU"/>
        </w:rPr>
        <w:t xml:space="preserve"> are involved in the financial management of and accountability for the State’s finances.</w:t>
      </w:r>
    </w:p>
    <w:p w:rsidR="00132C37" w:rsidRPr="00892DE3" w:rsidRDefault="00132C37" w:rsidP="00351FAD">
      <w:pPr>
        <w:pStyle w:val="Heading20"/>
      </w:pPr>
      <w:bookmarkStart w:id="2" w:name="_Toc481592308"/>
      <w:r w:rsidRPr="00892DE3">
        <w:t>Legislative background</w:t>
      </w:r>
      <w:bookmarkEnd w:id="2"/>
    </w:p>
    <w:p w:rsidR="00132C37" w:rsidRPr="00892DE3" w:rsidRDefault="00132C37" w:rsidP="00132C37">
      <w:pPr>
        <w:rPr>
          <w:noProof/>
          <w:lang w:eastAsia="en-AU"/>
        </w:rPr>
      </w:pPr>
      <w:r w:rsidRPr="00892DE3">
        <w:rPr>
          <w:noProof/>
          <w:lang w:eastAsia="en-AU"/>
        </w:rPr>
        <w:t xml:space="preserve">The </w:t>
      </w:r>
      <w:r w:rsidRPr="00892DE3">
        <w:rPr>
          <w:i/>
          <w:noProof/>
          <w:lang w:eastAsia="en-AU"/>
        </w:rPr>
        <w:t>Constitution Act 1975</w:t>
      </w:r>
      <w:r w:rsidRPr="00892DE3">
        <w:rPr>
          <w:noProof/>
          <w:lang w:eastAsia="en-AU"/>
        </w:rPr>
        <w:t xml:space="preserve"> sets down that only Parliament can give approval to the executive government to spend public funds. The Government, in turn, is committed to sound financial management of the State’s public services and infrastructure assets. All Victorian public sector bodies operate under a prudent financial management framework comprising elements from the </w:t>
      </w:r>
      <w:r w:rsidRPr="00892DE3">
        <w:rPr>
          <w:i/>
          <w:noProof/>
          <w:lang w:eastAsia="en-AU"/>
        </w:rPr>
        <w:t>Constitution Act 1975</w:t>
      </w:r>
      <w:r w:rsidRPr="00892DE3">
        <w:rPr>
          <w:noProof/>
          <w:lang w:eastAsia="en-AU"/>
        </w:rPr>
        <w:t xml:space="preserve">, </w:t>
      </w:r>
      <w:r w:rsidRPr="00892DE3">
        <w:rPr>
          <w:i/>
          <w:noProof/>
          <w:lang w:eastAsia="en-AU"/>
        </w:rPr>
        <w:t>Appropriation Acts</w:t>
      </w:r>
      <w:r w:rsidRPr="00892DE3">
        <w:rPr>
          <w:noProof/>
          <w:lang w:eastAsia="en-AU"/>
        </w:rPr>
        <w:t xml:space="preserve"> (annual and standing), the </w:t>
      </w:r>
      <w:r w:rsidRPr="00892DE3">
        <w:rPr>
          <w:i/>
          <w:noProof/>
          <w:lang w:eastAsia="en-AU"/>
        </w:rPr>
        <w:t>Financial Management Act 1994</w:t>
      </w:r>
      <w:r w:rsidRPr="00892DE3">
        <w:rPr>
          <w:noProof/>
          <w:lang w:eastAsia="en-AU"/>
        </w:rPr>
        <w:t xml:space="preserve"> (FMA), the </w:t>
      </w:r>
      <w:r w:rsidRPr="00892DE3">
        <w:rPr>
          <w:i/>
          <w:noProof/>
          <w:lang w:eastAsia="en-AU"/>
        </w:rPr>
        <w:t>Borrowing and Investment Powers Act 1987</w:t>
      </w:r>
      <w:r w:rsidRPr="00892DE3">
        <w:rPr>
          <w:noProof/>
          <w:lang w:eastAsia="en-AU"/>
        </w:rPr>
        <w:t xml:space="preserve">, the </w:t>
      </w:r>
      <w:r w:rsidRPr="00892DE3">
        <w:rPr>
          <w:i/>
          <w:noProof/>
          <w:lang w:eastAsia="en-AU"/>
        </w:rPr>
        <w:t>Public Administration Act 2004</w:t>
      </w:r>
      <w:r w:rsidRPr="00892DE3">
        <w:rPr>
          <w:noProof/>
          <w:lang w:eastAsia="en-AU"/>
        </w:rPr>
        <w:t xml:space="preserve"> and the </w:t>
      </w:r>
      <w:r w:rsidRPr="00892DE3">
        <w:rPr>
          <w:i/>
          <w:noProof/>
          <w:lang w:eastAsia="en-AU"/>
        </w:rPr>
        <w:t>Audit Act 1994</w:t>
      </w:r>
      <w:r w:rsidRPr="00892DE3">
        <w:rPr>
          <w:noProof/>
          <w:lang w:eastAsia="en-AU"/>
        </w:rPr>
        <w:t>. All of these Acts may contain sections that affect the requirements of the budget and financial reporting obligations to Parliament. In particular, the FMA governs the use of public money, and the accountability processes and subordinate legislation with which the Government, departments and other public sector bodies are obliged to comply. Note that the terms ‘department’ and ‘public body’ are defined in the FMA. ‘Agency’ is a term used in the Standing Directions of the Minister for Finance, which includes departments and public bodies.</w:t>
      </w:r>
    </w:p>
    <w:p w:rsidR="00132C37" w:rsidRPr="00892DE3" w:rsidRDefault="00132C37" w:rsidP="00132C37">
      <w:pPr>
        <w:pStyle w:val="Heading20"/>
        <w:rPr>
          <w:noProof/>
        </w:rPr>
      </w:pPr>
      <w:bookmarkStart w:id="3" w:name="_Toc481592309"/>
      <w:r w:rsidRPr="00892DE3">
        <w:rPr>
          <w:noProof/>
        </w:rPr>
        <w:t>Financial accountability and reporting</w:t>
      </w:r>
      <w:bookmarkEnd w:id="3"/>
    </w:p>
    <w:p w:rsidR="00132C37" w:rsidRPr="00892DE3" w:rsidRDefault="00132C37" w:rsidP="00132C37">
      <w:pPr>
        <w:pStyle w:val="Heading30"/>
      </w:pPr>
      <w:r w:rsidRPr="00892DE3">
        <w:rPr>
          <w:noProof/>
        </w:rPr>
        <w:t>Key financial publications for the State of Victoria</w:t>
      </w:r>
    </w:p>
    <w:p w:rsidR="00132C37" w:rsidRPr="00892DE3" w:rsidRDefault="00132C37" w:rsidP="00132C37">
      <w:pPr>
        <w:rPr>
          <w:noProof/>
          <w:lang w:eastAsia="en-AU"/>
        </w:rPr>
      </w:pPr>
      <w:r w:rsidRPr="00892DE3">
        <w:rPr>
          <w:noProof/>
          <w:lang w:eastAsia="en-AU"/>
        </w:rPr>
        <w:t xml:space="preserve">The Department of Treasury and Finance (DTF) is responsible for the coordination, preparation and publication of the State’s main planning and financial accountability documents that are required under the FMA. These include budgetary and financial reports, which are summarised in Diagram 1 </w:t>
      </w:r>
      <w:r w:rsidRPr="00892DE3">
        <w:rPr>
          <w:i/>
          <w:noProof/>
          <w:lang w:eastAsia="en-AU"/>
        </w:rPr>
        <w:t>2016-17 annual financial publication cycle</w:t>
      </w:r>
      <w:r w:rsidRPr="00892DE3">
        <w:rPr>
          <w:noProof/>
          <w:lang w:eastAsia="en-AU"/>
        </w:rPr>
        <w:t xml:space="preserve"> and include:</w:t>
      </w:r>
    </w:p>
    <w:p w:rsidR="00132C37" w:rsidRPr="00892DE3" w:rsidRDefault="00132C37" w:rsidP="00132C37">
      <w:pPr>
        <w:pStyle w:val="ListBullet"/>
        <w:rPr>
          <w:noProof/>
          <w:lang w:eastAsia="en-AU"/>
        </w:rPr>
      </w:pPr>
      <w:r w:rsidRPr="00892DE3">
        <w:rPr>
          <w:noProof/>
          <w:lang w:eastAsia="en-AU"/>
        </w:rPr>
        <w:t>State budget papers (BPs) in conjunction with the Appropriation Bills;</w:t>
      </w:r>
    </w:p>
    <w:p w:rsidR="00132C37" w:rsidRPr="00892DE3" w:rsidRDefault="00132C37" w:rsidP="00132C37">
      <w:pPr>
        <w:pStyle w:val="ListBullet"/>
        <w:rPr>
          <w:noProof/>
          <w:lang w:eastAsia="en-AU"/>
        </w:rPr>
      </w:pPr>
      <w:r w:rsidRPr="00892DE3">
        <w:rPr>
          <w:noProof/>
          <w:lang w:eastAsia="en-AU"/>
        </w:rPr>
        <w:t>Budget Update;</w:t>
      </w:r>
    </w:p>
    <w:p w:rsidR="00132C37" w:rsidRPr="00892DE3" w:rsidRDefault="00132C37" w:rsidP="00132C37">
      <w:pPr>
        <w:pStyle w:val="ListBullet"/>
        <w:rPr>
          <w:noProof/>
          <w:lang w:eastAsia="en-AU"/>
        </w:rPr>
      </w:pPr>
      <w:r w:rsidRPr="00892DE3">
        <w:rPr>
          <w:noProof/>
          <w:lang w:eastAsia="en-AU"/>
        </w:rPr>
        <w:t>Annual Financial Report (AFR);</w:t>
      </w:r>
    </w:p>
    <w:p w:rsidR="00132C37" w:rsidRPr="00892DE3" w:rsidRDefault="00132C37" w:rsidP="00132C37">
      <w:pPr>
        <w:pStyle w:val="ListBullet"/>
        <w:rPr>
          <w:noProof/>
          <w:lang w:eastAsia="en-AU"/>
        </w:rPr>
      </w:pPr>
      <w:r w:rsidRPr="00892DE3">
        <w:rPr>
          <w:noProof/>
          <w:lang w:eastAsia="en-AU"/>
        </w:rPr>
        <w:t>interim financial reports, including Quarterly Financial Reports and Mid-Year Financial Report (QFR and MYFR); and</w:t>
      </w:r>
    </w:p>
    <w:p w:rsidR="00132C37" w:rsidRPr="00892DE3" w:rsidRDefault="00132C37" w:rsidP="00132C37">
      <w:pPr>
        <w:pStyle w:val="ListBullet"/>
        <w:rPr>
          <w:noProof/>
          <w:lang w:eastAsia="en-AU"/>
        </w:rPr>
      </w:pPr>
      <w:r w:rsidRPr="00892DE3">
        <w:rPr>
          <w:noProof/>
          <w:lang w:eastAsia="en-AU"/>
        </w:rPr>
        <w:t>Pre-Election Budget Update (PEBU) – only in election years.</w:t>
      </w:r>
    </w:p>
    <w:p w:rsidR="00132C37" w:rsidRPr="00892DE3" w:rsidRDefault="00132C37" w:rsidP="00132C37">
      <w:pPr>
        <w:rPr>
          <w:noProof/>
          <w:lang w:eastAsia="en-AU"/>
        </w:rPr>
      </w:pPr>
      <w:r w:rsidRPr="00892DE3">
        <w:rPr>
          <w:noProof/>
          <w:lang w:eastAsia="en-AU"/>
        </w:rPr>
        <w:t xml:space="preserve">Each of these publications provides a consolidated set of financial statements and accompanying notes based on data submitted by </w:t>
      </w:r>
      <w:r w:rsidR="000E0984" w:rsidRPr="00892DE3">
        <w:rPr>
          <w:noProof/>
          <w:lang w:eastAsia="en-AU"/>
        </w:rPr>
        <w:t>all agencies</w:t>
      </w:r>
      <w:r w:rsidRPr="00892DE3">
        <w:rPr>
          <w:noProof/>
          <w:lang w:eastAsia="en-AU"/>
        </w:rPr>
        <w:t xml:space="preserve">. In addition to the consolidated financial statements, </w:t>
      </w:r>
      <w:r w:rsidR="000E0984" w:rsidRPr="00892DE3">
        <w:rPr>
          <w:noProof/>
          <w:lang w:eastAsia="en-AU"/>
        </w:rPr>
        <w:t>all agencies</w:t>
      </w:r>
      <w:r w:rsidRPr="00892DE3">
        <w:rPr>
          <w:noProof/>
          <w:lang w:eastAsia="en-AU"/>
        </w:rPr>
        <w:t xml:space="preserve"> prepares its own entity annual report.</w:t>
      </w:r>
    </w:p>
    <w:p w:rsidR="00132C37" w:rsidRPr="00892DE3" w:rsidRDefault="00132C37" w:rsidP="00132C37">
      <w:pPr>
        <w:rPr>
          <w:noProof/>
          <w:lang w:eastAsia="en-AU"/>
        </w:rPr>
      </w:pPr>
      <w:r w:rsidRPr="00892DE3">
        <w:rPr>
          <w:noProof/>
          <w:lang w:eastAsia="en-AU"/>
        </w:rPr>
        <w:t>DTF also provides the State’s consolidated financial data to the Australian Bureau of Statistics (ABS) for inclusion in the national accounts and other statistical reports</w:t>
      </w:r>
      <w:r w:rsidR="00B70DED" w:rsidRPr="00892DE3">
        <w:rPr>
          <w:vertAlign w:val="superscript"/>
        </w:rPr>
        <w:footnoteReference w:id="1"/>
      </w:r>
      <w:r w:rsidRPr="00892DE3">
        <w:rPr>
          <w:noProof/>
          <w:lang w:eastAsia="en-AU"/>
        </w:rPr>
        <w:t>. The analysis and application of this data has significant consequences for the State. For example, the ABS publishes interstate comparisons of this financial data, which is relied upon by national authorities such as the Commonwealth Grants Commission when allocating the GST pool and other Commonwealth grant funding across the states and territories.</w:t>
      </w:r>
    </w:p>
    <w:p w:rsidR="00132C37" w:rsidRPr="00892DE3" w:rsidRDefault="00132C37" w:rsidP="00132C37">
      <w:r w:rsidRPr="00892DE3">
        <w:rPr>
          <w:noProof/>
          <w:lang w:eastAsia="en-AU"/>
        </w:rPr>
        <w:t>Therefore, high quality financial data is required, not only to fairly reflect the Government’s financial performance and management of the State’s resources, but also to fairly represent the level of activity in the State that impacts on the quantum of funding received by Victoria from the Commonwealth Government.</w:t>
      </w:r>
    </w:p>
    <w:p w:rsidR="006D4EA2" w:rsidRPr="00892DE3" w:rsidRDefault="006D4EA2">
      <w:pPr>
        <w:keepLines w:val="0"/>
      </w:pPr>
      <w:r w:rsidRPr="00892DE3">
        <w:br w:type="page"/>
      </w:r>
    </w:p>
    <w:p w:rsidR="006D4EA2" w:rsidRPr="00892DE3" w:rsidRDefault="006D4EA2" w:rsidP="00AA770B">
      <w:pPr>
        <w:pStyle w:val="Heading30"/>
        <w:rPr>
          <w:noProof/>
        </w:rPr>
      </w:pPr>
      <w:r w:rsidRPr="00892DE3">
        <w:rPr>
          <w:noProof/>
        </w:rPr>
        <w:lastRenderedPageBreak/>
        <w:t>Resource materials</w:t>
      </w:r>
    </w:p>
    <w:p w:rsidR="006D4EA2" w:rsidRPr="00892DE3" w:rsidRDefault="006D4EA2" w:rsidP="006D4EA2">
      <w:pPr>
        <w:rPr>
          <w:noProof/>
          <w:lang w:eastAsia="en-AU"/>
        </w:rPr>
      </w:pPr>
      <w:r w:rsidRPr="00892DE3">
        <w:rPr>
          <w:noProof/>
          <w:lang w:eastAsia="en-AU"/>
        </w:rPr>
        <w:t>In support of the State’s financial management legislative framework and provision of high quality financial data, DTF issues budgetary, regulatory and other financial reporting materials to enable consistency in the way public sector bodies record and submit their financial data to DTF. Some of the main guidance materials include:</w:t>
      </w:r>
    </w:p>
    <w:p w:rsidR="006D4EA2" w:rsidRPr="00892DE3" w:rsidRDefault="006D4EA2" w:rsidP="006D4EA2">
      <w:pPr>
        <w:pStyle w:val="ListBullet"/>
        <w:rPr>
          <w:noProof/>
          <w:lang w:eastAsia="en-AU"/>
        </w:rPr>
      </w:pPr>
      <w:r w:rsidRPr="00892DE3">
        <w:rPr>
          <w:noProof/>
          <w:lang w:eastAsia="en-AU"/>
        </w:rPr>
        <w:t xml:space="preserve">Standing Directions of the Minister for Finance and associated instructions and guidance </w:t>
      </w:r>
    </w:p>
    <w:p w:rsidR="006D4EA2" w:rsidRPr="00892DE3" w:rsidRDefault="006D4EA2" w:rsidP="006D4EA2">
      <w:pPr>
        <w:pStyle w:val="ListBullet"/>
        <w:rPr>
          <w:noProof/>
          <w:lang w:eastAsia="en-AU"/>
        </w:rPr>
      </w:pPr>
      <w:r w:rsidRPr="00892DE3">
        <w:rPr>
          <w:noProof/>
          <w:lang w:eastAsia="en-AU"/>
        </w:rPr>
        <w:t>Financial Reporting Directions (FRDs)</w:t>
      </w:r>
      <w:r w:rsidRPr="00892DE3">
        <w:rPr>
          <w:vertAlign w:val="superscript"/>
        </w:rPr>
        <w:footnoteReference w:id="2"/>
      </w:r>
      <w:r w:rsidRPr="00892DE3">
        <w:rPr>
          <w:noProof/>
          <w:lang w:eastAsia="en-AU"/>
        </w:rPr>
        <w:t>;</w:t>
      </w:r>
    </w:p>
    <w:p w:rsidR="006D4EA2" w:rsidRPr="00892DE3" w:rsidRDefault="006D4EA2" w:rsidP="006D4EA2">
      <w:pPr>
        <w:pStyle w:val="ListBullet"/>
        <w:rPr>
          <w:noProof/>
          <w:lang w:eastAsia="en-AU"/>
        </w:rPr>
      </w:pPr>
      <w:r w:rsidRPr="00892DE3">
        <w:rPr>
          <w:noProof/>
          <w:lang w:eastAsia="en-AU"/>
        </w:rPr>
        <w:t xml:space="preserve">Budget Operations Framework (BOF), Financial Reporting Operations Framework (FROF) and Performance Management Framework (PMF); and </w:t>
      </w:r>
    </w:p>
    <w:p w:rsidR="006D4EA2" w:rsidRPr="00892DE3" w:rsidRDefault="006D4EA2" w:rsidP="006D4EA2">
      <w:pPr>
        <w:pStyle w:val="ListBullet"/>
        <w:rPr>
          <w:noProof/>
          <w:lang w:eastAsia="en-AU"/>
        </w:rPr>
      </w:pPr>
      <w:r w:rsidRPr="00892DE3">
        <w:rPr>
          <w:noProof/>
          <w:lang w:eastAsia="en-AU"/>
        </w:rPr>
        <w:t>The Model Report for Victorian Government Departments, which is revised and issued annually.</w:t>
      </w:r>
    </w:p>
    <w:p w:rsidR="006D4EA2" w:rsidRPr="00892DE3" w:rsidRDefault="006D4EA2" w:rsidP="006D4EA2">
      <w:pPr>
        <w:rPr>
          <w:noProof/>
          <w:lang w:eastAsia="en-AU"/>
        </w:rPr>
      </w:pPr>
      <w:r w:rsidRPr="00892DE3">
        <w:rPr>
          <w:noProof/>
          <w:lang w:eastAsia="en-AU"/>
        </w:rPr>
        <w:t>In February 2016, the Minister for Finance issued the revised Standing Directions under the FMA, which are applicable from 1 July 2016 and have been incorporated into the 2016-17 Model. The reform will help modernise Victoria’s public financial management through strengthened accountability, planning and decision making, and a stronger flow of information between departments, agencies and government.</w:t>
      </w:r>
    </w:p>
    <w:p w:rsidR="006D4EA2" w:rsidRPr="00892DE3" w:rsidRDefault="006D4EA2" w:rsidP="006D4EA2">
      <w:pPr>
        <w:pStyle w:val="TableHeading"/>
      </w:pPr>
      <w:r w:rsidRPr="00892DE3">
        <w:t>Diagram 1: 2016-17 annual financial publication cycle</w:t>
      </w:r>
    </w:p>
    <w:p w:rsidR="006D4EA2" w:rsidRPr="00892DE3" w:rsidRDefault="006D4EA2" w:rsidP="006D4EA2">
      <w:pPr>
        <w:pStyle w:val="Tabletextcentred"/>
        <w:rPr>
          <w:sz w:val="15"/>
          <w:szCs w:val="15"/>
        </w:rPr>
      </w:pPr>
      <w:r w:rsidRPr="00892DE3">
        <w:rPr>
          <w:sz w:val="15"/>
          <w:szCs w:val="15"/>
        </w:rPr>
        <w:object w:dxaOrig="10828" w:dyaOrig="10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1pt;height:266.1pt" o:ole="">
            <v:imagedata r:id="rId27" o:title=""/>
          </v:shape>
          <o:OLEObject Type="Embed" ProgID="Visio.Drawing.11" ShapeID="_x0000_i1025" DrawAspect="Content" ObjectID="_1578394203" r:id="rId28"/>
        </w:object>
      </w:r>
    </w:p>
    <w:p w:rsidR="006D4EA2" w:rsidRPr="00892DE3" w:rsidRDefault="006D4EA2" w:rsidP="006D4EA2">
      <w:pPr>
        <w:pStyle w:val="Source"/>
      </w:pPr>
      <w:r w:rsidRPr="00892DE3">
        <w:t xml:space="preserve">Source: Department of Treasury and Finance </w:t>
      </w:r>
    </w:p>
    <w:p w:rsidR="006D4EA2" w:rsidRPr="00892DE3" w:rsidRDefault="006D4EA2" w:rsidP="006D4EA2">
      <w:pPr>
        <w:pStyle w:val="Note"/>
      </w:pPr>
      <w:r w:rsidRPr="00892DE3">
        <w:t xml:space="preserve">Notes: </w:t>
      </w:r>
    </w:p>
    <w:p w:rsidR="006D4EA2" w:rsidRPr="00892DE3" w:rsidRDefault="006D4EA2" w:rsidP="006D4EA2">
      <w:pPr>
        <w:pStyle w:val="Note"/>
      </w:pPr>
      <w:r w:rsidRPr="00892DE3">
        <w:t>(</w:t>
      </w:r>
      <w:r w:rsidR="00351FAD" w:rsidRPr="00892DE3">
        <w:t>a</w:t>
      </w:r>
      <w:r w:rsidRPr="00892DE3">
        <w:t>)</w:t>
      </w:r>
      <w:r w:rsidRPr="00892DE3">
        <w:tab/>
        <w:t xml:space="preserve">The darker the shading the more intensive the work effort. </w:t>
      </w:r>
    </w:p>
    <w:p w:rsidR="006D4EA2" w:rsidRPr="00892DE3" w:rsidRDefault="006D4EA2" w:rsidP="006D4EA2">
      <w:pPr>
        <w:pStyle w:val="Note"/>
      </w:pPr>
      <w:r w:rsidRPr="00892DE3">
        <w:t>(</w:t>
      </w:r>
      <w:r w:rsidR="00351FAD" w:rsidRPr="00892DE3">
        <w:t>b</w:t>
      </w:r>
      <w:r w:rsidRPr="00892DE3">
        <w:t>)</w:t>
      </w:r>
      <w:r w:rsidRPr="00892DE3">
        <w:tab/>
        <w:t>PEBU is only published in an election year. Refer to Diagram 3.</w:t>
      </w:r>
    </w:p>
    <w:p w:rsidR="006D4EA2" w:rsidRPr="00892DE3" w:rsidRDefault="00351FAD" w:rsidP="006D4EA2">
      <w:pPr>
        <w:pStyle w:val="Note"/>
      </w:pPr>
      <w:r w:rsidRPr="00892DE3">
        <w:t>(c</w:t>
      </w:r>
      <w:r w:rsidR="006D4EA2" w:rsidRPr="00892DE3">
        <w:t>)</w:t>
      </w:r>
      <w:r w:rsidR="006D4EA2" w:rsidRPr="00892DE3">
        <w:tab/>
        <w:t>Appropriation Bills are prepared and tabled with the Budget.</w:t>
      </w:r>
    </w:p>
    <w:p w:rsidR="006D4EA2" w:rsidRPr="00892DE3" w:rsidRDefault="006D4EA2" w:rsidP="006D4EA2">
      <w:pPr>
        <w:pStyle w:val="Note"/>
      </w:pPr>
      <w:r w:rsidRPr="00892DE3">
        <w:t>(</w:t>
      </w:r>
      <w:r w:rsidR="00351FAD" w:rsidRPr="00892DE3">
        <w:t>d</w:t>
      </w:r>
      <w:r w:rsidRPr="00892DE3">
        <w:t>)</w:t>
      </w:r>
      <w:r w:rsidRPr="00892DE3">
        <w:tab/>
        <w:t>The timelines illustrated above are indicative only.</w:t>
      </w:r>
    </w:p>
    <w:p w:rsidR="006D4EA2" w:rsidRPr="00892DE3" w:rsidRDefault="006D4EA2" w:rsidP="006D4EA2">
      <w:pPr>
        <w:pStyle w:val="Note"/>
      </w:pPr>
      <w:r w:rsidRPr="00892DE3">
        <w:br w:type="page"/>
      </w:r>
    </w:p>
    <w:p w:rsidR="006D4EA2" w:rsidRPr="00892DE3" w:rsidRDefault="006D4EA2" w:rsidP="00AA770B">
      <w:pPr>
        <w:pStyle w:val="Heading20"/>
      </w:pPr>
      <w:bookmarkStart w:id="4" w:name="_Toc481592310"/>
      <w:r w:rsidRPr="00892DE3">
        <w:lastRenderedPageBreak/>
        <w:t>Reporting structure of the State of Victoria</w:t>
      </w:r>
      <w:bookmarkEnd w:id="4"/>
    </w:p>
    <w:p w:rsidR="006D4EA2" w:rsidRPr="00892DE3" w:rsidRDefault="006D4EA2" w:rsidP="006D4EA2">
      <w:r w:rsidRPr="00892DE3">
        <w:t xml:space="preserve">The Victorian public sector includes a range of agencies established by legislation for specified purposes, including departments, statutory authorities, state owned corporations, school councils, boards, trusts, and advisory and management committees. Most of these agencies are established as ‘not for profit’ organisations, with a small group of 16 entities, mainly from the finance and metropolitan water portfolios, operating as ‘for profit’ organisations. </w:t>
      </w:r>
    </w:p>
    <w:p w:rsidR="006D4EA2" w:rsidRPr="00892DE3" w:rsidRDefault="006D4EA2" w:rsidP="006D4EA2">
      <w:r w:rsidRPr="00892DE3">
        <w:t>The reporting structure for the State is based on the System of National Accounts</w:t>
      </w:r>
      <w:r w:rsidRPr="00892DE3">
        <w:rPr>
          <w:rStyle w:val="FootnoteReference"/>
        </w:rPr>
        <w:footnoteReference w:customMarkFollows="1" w:id="3"/>
        <w:t>3</w:t>
      </w:r>
      <w:r w:rsidRPr="00892DE3">
        <w:t xml:space="preserve">, which classifies public sector bodies into either the general government sector, public non-financial corporations (PNFCs) or public financial corporations (PFCs) sectors. Diagram 2 </w:t>
      </w:r>
      <w:r w:rsidRPr="00892DE3">
        <w:rPr>
          <w:i/>
        </w:rPr>
        <w:t>Reporting structure of the State of Victoria</w:t>
      </w:r>
      <w:r w:rsidRPr="00892DE3">
        <w:t>, provides an overview of this reporting structure.</w:t>
      </w:r>
    </w:p>
    <w:p w:rsidR="006D4EA2" w:rsidRPr="00892DE3" w:rsidRDefault="006D4EA2" w:rsidP="006D4EA2">
      <w:pPr>
        <w:pStyle w:val="TableHeading"/>
      </w:pPr>
      <w:r w:rsidRPr="00892DE3">
        <w:t>Diagram 2: Reporting structure of the State of Victoria</w:t>
      </w:r>
    </w:p>
    <w:p w:rsidR="006D4EA2" w:rsidRPr="00892DE3" w:rsidRDefault="006D4EA2" w:rsidP="006D4EA2">
      <w:pPr>
        <w:pStyle w:val="Tabletextcentred"/>
        <w:rPr>
          <w:sz w:val="15"/>
          <w:szCs w:val="15"/>
        </w:rPr>
      </w:pPr>
      <w:r w:rsidRPr="00892DE3">
        <w:rPr>
          <w:sz w:val="15"/>
          <w:szCs w:val="15"/>
        </w:rPr>
        <mc:AlternateContent>
          <mc:Choice Requires="wpg">
            <w:drawing>
              <wp:inline distT="0" distB="0" distL="0" distR="0" wp14:anchorId="71E32D3C" wp14:editId="334B385B">
                <wp:extent cx="4660848" cy="2352676"/>
                <wp:effectExtent l="0" t="0" r="26035" b="28575"/>
                <wp:docPr id="20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848" cy="2352676"/>
                          <a:chOff x="2025" y="4976"/>
                          <a:chExt cx="8052" cy="3918"/>
                        </a:xfrm>
                      </wpg:grpSpPr>
                      <wps:wsp>
                        <wps:cNvPr id="203" name="Rectangle 643"/>
                        <wps:cNvSpPr>
                          <a:spLocks noChangeArrowheads="1"/>
                        </wps:cNvSpPr>
                        <wps:spPr bwMode="auto">
                          <a:xfrm>
                            <a:off x="2030" y="4976"/>
                            <a:ext cx="8042" cy="602"/>
                          </a:xfrm>
                          <a:prstGeom prst="roundRect">
                            <a:avLst/>
                          </a:prstGeom>
                          <a:solidFill>
                            <a:srgbClr val="FFFFFF"/>
                          </a:solidFill>
                          <a:ln w="9525">
                            <a:solidFill>
                              <a:srgbClr val="000000"/>
                            </a:solidFill>
                            <a:miter lim="800000"/>
                            <a:headEnd/>
                            <a:tailEnd/>
                          </a:ln>
                        </wps:spPr>
                        <wps:txbx>
                          <w:txbxContent>
                            <w:p w:rsidR="00A4241D" w:rsidRPr="00540F3F" w:rsidRDefault="00A4241D" w:rsidP="006D4EA2">
                              <w:pPr>
                                <w:pStyle w:val="Tabletextcentred"/>
                              </w:pPr>
                              <w:r w:rsidRPr="00540F3F">
                                <w:t>State of Victoria</w:t>
                              </w:r>
                            </w:p>
                          </w:txbxContent>
                        </wps:txbx>
                        <wps:bodyPr rot="0" vert="horz" wrap="square" lIns="0" tIns="45720" rIns="0" bIns="45720" anchor="ctr" anchorCtr="0" upright="1">
                          <a:noAutofit/>
                        </wps:bodyPr>
                      </wps:wsp>
                      <wps:wsp>
                        <wps:cNvPr id="204" name="Rectangle 644"/>
                        <wps:cNvSpPr>
                          <a:spLocks noChangeArrowheads="1"/>
                        </wps:cNvSpPr>
                        <wps:spPr bwMode="auto">
                          <a:xfrm>
                            <a:off x="2030" y="6012"/>
                            <a:ext cx="5233" cy="447"/>
                          </a:xfrm>
                          <a:prstGeom prst="roundRect">
                            <a:avLst/>
                          </a:prstGeom>
                          <a:solidFill>
                            <a:srgbClr val="FFFFFF"/>
                          </a:solidFill>
                          <a:ln w="9525">
                            <a:solidFill>
                              <a:srgbClr val="000000"/>
                            </a:solidFill>
                            <a:miter lim="800000"/>
                            <a:headEnd/>
                            <a:tailEnd/>
                          </a:ln>
                        </wps:spPr>
                        <wps:txbx>
                          <w:txbxContent>
                            <w:p w:rsidR="00A4241D" w:rsidRPr="00EE3A30" w:rsidRDefault="00A4241D" w:rsidP="006D4EA2">
                              <w:pPr>
                                <w:pStyle w:val="Tabletextcentred"/>
                              </w:pPr>
                              <w:r w:rsidRPr="00EE3A30">
                                <w:t>Non-financial public sector</w:t>
                              </w:r>
                            </w:p>
                          </w:txbxContent>
                        </wps:txbx>
                        <wps:bodyPr rot="0" vert="horz" wrap="square" lIns="0" tIns="45720" rIns="0" bIns="45720" anchor="ctr" anchorCtr="0" upright="1">
                          <a:noAutofit/>
                        </wps:bodyPr>
                      </wps:wsp>
                      <wps:wsp>
                        <wps:cNvPr id="205" name="Rectangle 645"/>
                        <wps:cNvSpPr>
                          <a:spLocks noChangeArrowheads="1"/>
                        </wps:cNvSpPr>
                        <wps:spPr bwMode="auto">
                          <a:xfrm>
                            <a:off x="2030" y="7117"/>
                            <a:ext cx="2699" cy="672"/>
                          </a:xfrm>
                          <a:prstGeom prst="roundRect">
                            <a:avLst/>
                          </a:prstGeom>
                          <a:solidFill>
                            <a:srgbClr val="FFFFFF"/>
                          </a:solidFill>
                          <a:ln w="9525">
                            <a:solidFill>
                              <a:srgbClr val="000000"/>
                            </a:solidFill>
                            <a:miter lim="800000"/>
                            <a:headEnd/>
                            <a:tailEnd/>
                          </a:ln>
                        </wps:spPr>
                        <wps:txbx>
                          <w:txbxContent>
                            <w:p w:rsidR="00A4241D" w:rsidRPr="00EE3A30" w:rsidRDefault="00A4241D" w:rsidP="006D4EA2">
                              <w:pPr>
                                <w:pStyle w:val="Tabletextcentred"/>
                              </w:pPr>
                              <w:r w:rsidRPr="00EE3A30">
                                <w:t>General government</w:t>
                              </w:r>
                            </w:p>
                          </w:txbxContent>
                        </wps:txbx>
                        <wps:bodyPr rot="0" vert="horz" wrap="square" lIns="0" tIns="45720" rIns="0" bIns="45720" anchor="ctr" anchorCtr="0" upright="1">
                          <a:noAutofit/>
                        </wps:bodyPr>
                      </wps:wsp>
                      <wps:wsp>
                        <wps:cNvPr id="206" name="Rectangle 646"/>
                        <wps:cNvSpPr>
                          <a:spLocks noChangeArrowheads="1"/>
                        </wps:cNvSpPr>
                        <wps:spPr bwMode="auto">
                          <a:xfrm>
                            <a:off x="4828" y="7117"/>
                            <a:ext cx="2434" cy="672"/>
                          </a:xfrm>
                          <a:prstGeom prst="roundRect">
                            <a:avLst/>
                          </a:prstGeom>
                          <a:solidFill>
                            <a:srgbClr val="FFFFFF"/>
                          </a:solidFill>
                          <a:ln w="9525">
                            <a:solidFill>
                              <a:srgbClr val="000000"/>
                            </a:solidFill>
                            <a:miter lim="800000"/>
                            <a:headEnd/>
                            <a:tailEnd/>
                          </a:ln>
                        </wps:spPr>
                        <wps:txbx>
                          <w:txbxContent>
                            <w:p w:rsidR="00A4241D" w:rsidRPr="00EE3A30" w:rsidRDefault="00A4241D" w:rsidP="006D4EA2">
                              <w:pPr>
                                <w:pStyle w:val="Tabletextcentred"/>
                              </w:pPr>
                              <w:r w:rsidRPr="00EE3A30">
                                <w:t>Public non-financial corporations</w:t>
                              </w:r>
                            </w:p>
                          </w:txbxContent>
                        </wps:txbx>
                        <wps:bodyPr rot="0" vert="horz" wrap="square" lIns="0" tIns="45720" rIns="0" bIns="45720" anchor="ctr" anchorCtr="0" upright="1">
                          <a:noAutofit/>
                        </wps:bodyPr>
                      </wps:wsp>
                      <wps:wsp>
                        <wps:cNvPr id="207" name="Rectangle 647"/>
                        <wps:cNvSpPr>
                          <a:spLocks noChangeArrowheads="1"/>
                        </wps:cNvSpPr>
                        <wps:spPr bwMode="auto">
                          <a:xfrm>
                            <a:off x="7373" y="7117"/>
                            <a:ext cx="2703" cy="672"/>
                          </a:xfrm>
                          <a:prstGeom prst="roundRect">
                            <a:avLst/>
                          </a:prstGeom>
                          <a:solidFill>
                            <a:srgbClr val="FFFFFF"/>
                          </a:solidFill>
                          <a:ln w="9525">
                            <a:solidFill>
                              <a:srgbClr val="000000"/>
                            </a:solidFill>
                            <a:miter lim="800000"/>
                            <a:headEnd/>
                            <a:tailEnd/>
                          </a:ln>
                        </wps:spPr>
                        <wps:txbx>
                          <w:txbxContent>
                            <w:p w:rsidR="00A4241D" w:rsidRPr="00EE3A30" w:rsidRDefault="00A4241D" w:rsidP="006D4EA2">
                              <w:pPr>
                                <w:pStyle w:val="Tabletextcentred"/>
                              </w:pPr>
                              <w:r w:rsidRPr="00EE3A30">
                                <w:t>Public financial corporations</w:t>
                              </w:r>
                            </w:p>
                          </w:txbxContent>
                        </wps:txbx>
                        <wps:bodyPr rot="0" vert="horz" wrap="square" lIns="0" tIns="45720" rIns="0" bIns="45720" anchor="ctr" anchorCtr="0" upright="1">
                          <a:noAutofit/>
                        </wps:bodyPr>
                      </wps:wsp>
                      <wps:wsp>
                        <wps:cNvPr id="208" name="Rectangle 648"/>
                        <wps:cNvSpPr>
                          <a:spLocks noChangeArrowheads="1"/>
                        </wps:cNvSpPr>
                        <wps:spPr bwMode="auto">
                          <a:xfrm>
                            <a:off x="2025" y="8222"/>
                            <a:ext cx="2054" cy="672"/>
                          </a:xfrm>
                          <a:custGeom>
                            <a:avLst/>
                            <a:gdLst>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02588 w 1202823"/>
                              <a:gd name="connsiteY4" fmla="*/ 403522 h 403522"/>
                              <a:gd name="connsiteX5" fmla="*/ 67255 w 1202823"/>
                              <a:gd name="connsiteY5" fmla="*/ 403522 h 403522"/>
                              <a:gd name="connsiteX6" fmla="*/ 0 w 1202823"/>
                              <a:gd name="connsiteY6" fmla="*/ 336267 h 403522"/>
                              <a:gd name="connsiteX7" fmla="*/ 0 w 1202823"/>
                              <a:gd name="connsiteY7" fmla="*/ 67255 h 403522"/>
                              <a:gd name="connsiteX0" fmla="*/ 0 w 1206402"/>
                              <a:gd name="connsiteY0" fmla="*/ 67255 h 403522"/>
                              <a:gd name="connsiteX1" fmla="*/ 67255 w 1206402"/>
                              <a:gd name="connsiteY1" fmla="*/ 0 h 403522"/>
                              <a:gd name="connsiteX2" fmla="*/ 1102588 w 1206402"/>
                              <a:gd name="connsiteY2" fmla="*/ 0 h 403522"/>
                              <a:gd name="connsiteX3" fmla="*/ 1169843 w 1206402"/>
                              <a:gd name="connsiteY3" fmla="*/ 67255 h 403522"/>
                              <a:gd name="connsiteX4" fmla="*/ 1102588 w 1206402"/>
                              <a:gd name="connsiteY4" fmla="*/ 403522 h 403522"/>
                              <a:gd name="connsiteX5" fmla="*/ 67255 w 1206402"/>
                              <a:gd name="connsiteY5" fmla="*/ 403522 h 403522"/>
                              <a:gd name="connsiteX6" fmla="*/ 0 w 1206402"/>
                              <a:gd name="connsiteY6" fmla="*/ 336267 h 403522"/>
                              <a:gd name="connsiteX7" fmla="*/ 0 w 1206402"/>
                              <a:gd name="connsiteY7" fmla="*/ 67255 h 403522"/>
                              <a:gd name="connsiteX0" fmla="*/ 0 w 1211287"/>
                              <a:gd name="connsiteY0" fmla="*/ 67255 h 403522"/>
                              <a:gd name="connsiteX1" fmla="*/ 67255 w 1211287"/>
                              <a:gd name="connsiteY1" fmla="*/ 0 h 403522"/>
                              <a:gd name="connsiteX2" fmla="*/ 1102588 w 1211287"/>
                              <a:gd name="connsiteY2" fmla="*/ 0 h 403522"/>
                              <a:gd name="connsiteX3" fmla="*/ 1169843 w 1211287"/>
                              <a:gd name="connsiteY3" fmla="*/ 67255 h 403522"/>
                              <a:gd name="connsiteX4" fmla="*/ 1102588 w 1211287"/>
                              <a:gd name="connsiteY4" fmla="*/ 403522 h 403522"/>
                              <a:gd name="connsiteX5" fmla="*/ 67255 w 1211287"/>
                              <a:gd name="connsiteY5" fmla="*/ 403522 h 403522"/>
                              <a:gd name="connsiteX6" fmla="*/ 0 w 1211287"/>
                              <a:gd name="connsiteY6" fmla="*/ 336267 h 403522"/>
                              <a:gd name="connsiteX7" fmla="*/ 0 w 1211287"/>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67255 h 433412"/>
                              <a:gd name="connsiteX1" fmla="*/ 67255 w 1102588"/>
                              <a:gd name="connsiteY1" fmla="*/ 0 h 433412"/>
                              <a:gd name="connsiteX2" fmla="*/ 1102588 w 1102588"/>
                              <a:gd name="connsiteY2" fmla="*/ 0 h 433412"/>
                              <a:gd name="connsiteX3" fmla="*/ 1102588 w 1102588"/>
                              <a:gd name="connsiteY3" fmla="*/ 403522 h 433412"/>
                              <a:gd name="connsiteX4" fmla="*/ 67255 w 1102588"/>
                              <a:gd name="connsiteY4" fmla="*/ 403522 h 433412"/>
                              <a:gd name="connsiteX5" fmla="*/ 0 w 1102588"/>
                              <a:gd name="connsiteY5" fmla="*/ 336267 h 433412"/>
                              <a:gd name="connsiteX6" fmla="*/ 0 w 1102588"/>
                              <a:gd name="connsiteY6" fmla="*/ 67255 h 433412"/>
                              <a:gd name="connsiteX0" fmla="*/ 0 w 1102588"/>
                              <a:gd name="connsiteY0" fmla="*/ 67255 h 403522"/>
                              <a:gd name="connsiteX1" fmla="*/ 67255 w 1102588"/>
                              <a:gd name="connsiteY1" fmla="*/ 0 h 403522"/>
                              <a:gd name="connsiteX2" fmla="*/ 1102588 w 1102588"/>
                              <a:gd name="connsiteY2" fmla="*/ 0 h 403522"/>
                              <a:gd name="connsiteX3" fmla="*/ 1102588 w 1102588"/>
                              <a:gd name="connsiteY3" fmla="*/ 403522 h 403522"/>
                              <a:gd name="connsiteX4" fmla="*/ 67255 w 1102588"/>
                              <a:gd name="connsiteY4" fmla="*/ 403522 h 403522"/>
                              <a:gd name="connsiteX5" fmla="*/ 0 w 1102588"/>
                              <a:gd name="connsiteY5" fmla="*/ 336267 h 403522"/>
                              <a:gd name="connsiteX6" fmla="*/ 0 w 1102588"/>
                              <a:gd name="connsiteY6" fmla="*/ 67255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02588" h="403522">
                                <a:moveTo>
                                  <a:pt x="0" y="67255"/>
                                </a:moveTo>
                                <a:cubicBezTo>
                                  <a:pt x="0" y="30111"/>
                                  <a:pt x="30111" y="0"/>
                                  <a:pt x="67255" y="0"/>
                                </a:cubicBezTo>
                                <a:lnTo>
                                  <a:pt x="1102588" y="0"/>
                                </a:lnTo>
                                <a:lnTo>
                                  <a:pt x="1102588" y="403522"/>
                                </a:lnTo>
                                <a:lnTo>
                                  <a:pt x="67255" y="403522"/>
                                </a:lnTo>
                                <a:cubicBezTo>
                                  <a:pt x="30111" y="403522"/>
                                  <a:pt x="0" y="373411"/>
                                  <a:pt x="0" y="336267"/>
                                </a:cubicBezTo>
                                <a:lnTo>
                                  <a:pt x="0" y="67255"/>
                                </a:lnTo>
                                <a:close/>
                              </a:path>
                            </a:pathLst>
                          </a:custGeom>
                          <a:solidFill>
                            <a:srgbClr val="56535A"/>
                          </a:solidFill>
                          <a:ln w="9525">
                            <a:solidFill>
                              <a:srgbClr val="000000"/>
                            </a:solidFill>
                            <a:miter lim="800000"/>
                            <a:headEnd/>
                            <a:tailEnd/>
                          </a:ln>
                        </wps:spPr>
                        <wps:txbx>
                          <w:txbxContent>
                            <w:p w:rsidR="00A4241D" w:rsidRPr="00540F3F" w:rsidRDefault="00A4241D" w:rsidP="006D4EA2">
                              <w:pPr>
                                <w:pStyle w:val="Tabletextcentred"/>
                                <w:rPr>
                                  <w:color w:val="FFFFFF" w:themeColor="background1"/>
                                </w:rPr>
                              </w:pPr>
                              <w:r w:rsidRPr="00540F3F">
                                <w:rPr>
                                  <w:color w:val="FFFFFF" w:themeColor="background1"/>
                                </w:rPr>
                                <w:t>Departments</w:t>
                              </w:r>
                            </w:p>
                          </w:txbxContent>
                        </wps:txbx>
                        <wps:bodyPr rot="0" vert="horz" wrap="square" lIns="0" tIns="45720" rIns="0" bIns="45720" anchor="ctr" anchorCtr="0" upright="1">
                          <a:noAutofit/>
                        </wps:bodyPr>
                      </wps:wsp>
                      <wps:wsp>
                        <wps:cNvPr id="209" name="Rectangle 649"/>
                        <wps:cNvSpPr>
                          <a:spLocks noChangeArrowheads="1"/>
                        </wps:cNvSpPr>
                        <wps:spPr bwMode="auto">
                          <a:xfrm>
                            <a:off x="4071" y="8222"/>
                            <a:ext cx="6006" cy="67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rgbClr val="FFFFFF"/>
                          </a:solidFill>
                          <a:ln w="9525">
                            <a:solidFill>
                              <a:srgbClr val="000000"/>
                            </a:solidFill>
                            <a:miter lim="800000"/>
                            <a:headEnd/>
                            <a:tailEnd/>
                          </a:ln>
                        </wps:spPr>
                        <wps:txbx>
                          <w:txbxContent>
                            <w:p w:rsidR="00A4241D" w:rsidRPr="00540F3F" w:rsidRDefault="00A4241D" w:rsidP="006D4EA2">
                              <w:pPr>
                                <w:pStyle w:val="Tabletextcentred"/>
                              </w:pPr>
                              <w:r w:rsidRPr="00540F3F">
                                <w:t>Statutory authorities and other agencies controlled by government</w:t>
                              </w:r>
                            </w:p>
                          </w:txbxContent>
                        </wps:txbx>
                        <wps:bodyPr rot="0" vert="horz" wrap="square" lIns="0" tIns="45720" rIns="0" bIns="45720" anchor="ctr" anchorCtr="0" upright="1">
                          <a:noAutofit/>
                        </wps:bodyPr>
                      </wps:wsp>
                      <wps:wsp>
                        <wps:cNvPr id="210" name="Line 650"/>
                        <wps:cNvCnPr/>
                        <wps:spPr bwMode="auto">
                          <a:xfrm flipV="1">
                            <a:off x="4748" y="557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651"/>
                        <wps:cNvCnPr/>
                        <wps:spPr bwMode="auto">
                          <a:xfrm flipV="1">
                            <a:off x="8702" y="5571"/>
                            <a:ext cx="0" cy="1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652"/>
                        <wps:cNvCnPr/>
                        <wps:spPr bwMode="auto">
                          <a:xfrm flipV="1">
                            <a:off x="3110"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653"/>
                        <wps:cNvCnPr/>
                        <wps:spPr bwMode="auto">
                          <a:xfrm flipV="1">
                            <a:off x="6029"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654"/>
                        <wps:cNvCnPr/>
                        <wps:spPr bwMode="auto">
                          <a:xfrm flipV="1">
                            <a:off x="3104"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655"/>
                        <wps:cNvCnPr/>
                        <wps:spPr bwMode="auto">
                          <a:xfrm flipV="1">
                            <a:off x="4398" y="7766"/>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656"/>
                        <wps:cNvCnPr/>
                        <wps:spPr bwMode="auto">
                          <a:xfrm flipV="1">
                            <a:off x="6029"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657"/>
                        <wps:cNvCnPr/>
                        <wps:spPr bwMode="auto">
                          <a:xfrm flipV="1">
                            <a:off x="8702"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42" o:spid="_x0000_s1031" style="width:367pt;height:185.25pt;mso-position-horizontal-relative:char;mso-position-vertical-relative:line" coordorigin="2025,4976" coordsize="8052,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">
                <v:roundrect id="Rectangle 643" o:spid="_x0000_s1032" style="position:absolute;left:2030;top:4976;width:8042;height:6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Yg8QA&#10;AADcAAAADwAAAGRycy9kb3ducmV2LnhtbESP3WrCQBSE74W+w3IKvdNNE9A2dZX+UMmVYOwDHLLH&#10;bDR7NuxuNb69Wyh4OczMN8xyPdpenMmHzrGC51kGgrhxuuNWwc/+e/oCIkRkjb1jUnClAOvVw2SJ&#10;pXYX3tG5jq1IEA4lKjAxDqWUoTFkMczcQJy8g/MWY5K+ldrjJcFtL/Msm0uLHacFgwN9GmpO9a9V&#10;8NFt91V13BSL18XRbOY5+6++UOrpcXx/AxFpjPfwf7vSCvKsgL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42IPEAAAA3AAAAA8AAAAAAAAAAAAAAAAAmAIAAGRycy9k&#10;b3ducmV2LnhtbFBLBQYAAAAABAAEAPUAAACJAwAAAAA=&#10;">
                  <v:stroke joinstyle="miter"/>
                  <v:textbox inset="0,,0">
                    <w:txbxContent>
                      <w:p w:rsidR="00A4241D" w:rsidRPr="00540F3F" w:rsidRDefault="00A4241D" w:rsidP="006D4EA2">
                        <w:pPr>
                          <w:pStyle w:val="Tabletextcentred"/>
                        </w:pPr>
                        <w:r w:rsidRPr="00540F3F">
                          <w:t>State of Victoria</w:t>
                        </w:r>
                      </w:p>
                    </w:txbxContent>
                  </v:textbox>
                </v:roundrect>
                <v:roundrect id="Rectangle 644" o:spid="_x0000_s1033" style="position:absolute;left:2030;top:6012;width:5233;height: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A98QA&#10;AADcAAAADwAAAGRycy9kb3ducmV2LnhtbESP0WoCMRRE3wX/IdxC3zTbVbTdGsW2KPskqP2Ay+Z2&#10;s3ZzsySpbv/eCIKPw8ycYRar3rbiTD40jhW8jDMQxJXTDdcKvo+b0SuIEJE1to5JwT8FWC2HgwUW&#10;2l14T+dDrEWCcChQgYmxK6QMlSGLYew64uT9OG8xJulrqT1eEty2Ms+ymbTYcFow2NGnoer38GcV&#10;fDS7Y1metpP52/xktrOc/Vc7Uer5qV+/g4jUx0f43i61gjyb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QPfEAAAA3AAAAA8AAAAAAAAAAAAAAAAAmAIAAGRycy9k&#10;b3ducmV2LnhtbFBLBQYAAAAABAAEAPUAAACJAwAAAAA=&#10;">
                  <v:stroke joinstyle="miter"/>
                  <v:textbox inset="0,,0">
                    <w:txbxContent>
                      <w:p w:rsidR="00A4241D" w:rsidRPr="00EE3A30" w:rsidRDefault="00A4241D" w:rsidP="006D4EA2">
                        <w:pPr>
                          <w:pStyle w:val="Tabletextcentred"/>
                        </w:pPr>
                        <w:r w:rsidRPr="00EE3A30">
                          <w:t>Non-financial public sector</w:t>
                        </w:r>
                      </w:p>
                    </w:txbxContent>
                  </v:textbox>
                </v:roundrect>
                <v:roundrect id="Rectangle 645" o:spid="_x0000_s1034" style="position:absolute;left:2030;top:7117;width:2699;height:6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3lbMQA&#10;AADcAAAADwAAAGRycy9kb3ducmV2LnhtbESP0WoCMRRE3wX/IdxC3zTbFbXdGsW2KPskqP2Ay+Z2&#10;s3ZzsySpbv/eCIKPw8ycYRar3rbiTD40jhW8jDMQxJXTDdcKvo+b0SuIEJE1to5JwT8FWC2HgwUW&#10;2l14T+dDrEWCcChQgYmxK6QMlSGLYew64uT9OG8xJulrqT1eEty2Ms+ymbTYcFow2NGnoer38GcV&#10;fDS7Y1metpP52/xktrOc/Vc7Uer5qV+/g4jUx0f43i61gjyb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5WzEAAAA3AAAAA8AAAAAAAAAAAAAAAAAmAIAAGRycy9k&#10;b3ducmV2LnhtbFBLBQYAAAAABAAEAPUAAACJAwAAAAA=&#10;">
                  <v:stroke joinstyle="miter"/>
                  <v:textbox inset="0,,0">
                    <w:txbxContent>
                      <w:p w:rsidR="00A4241D" w:rsidRPr="00EE3A30" w:rsidRDefault="00A4241D" w:rsidP="006D4EA2">
                        <w:pPr>
                          <w:pStyle w:val="Tabletextcentred"/>
                        </w:pPr>
                        <w:r w:rsidRPr="00EE3A30">
                          <w:t>General government</w:t>
                        </w:r>
                      </w:p>
                    </w:txbxContent>
                  </v:textbox>
                </v:roundrect>
                <v:roundrect id="Rectangle 646" o:spid="_x0000_s1035" style="position:absolute;left:4828;top:7117;width:2434;height:6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7G8QA&#10;AADcAAAADwAAAGRycy9kb3ducmV2LnhtbESPUWvCMBSF3wf+h3AHe5vpKtStM4qbTPokqPsBl+ba&#10;VJubkkSt/94MBj4ezjnf4cwWg+3EhXxoHSt4G2cgiGunW24U/O5/Xt9BhIissXNMCm4UYDEfPc2w&#10;1O7KW7rsYiMShEOJCkyMfSllqA1ZDGPXEyfv4LzFmKRvpPZ4TXDbyTzLCmmx5bRgsKdvQ/Vpd7YK&#10;vtrNvqqO68n0Y3o06yJnv+omSr08D8tPEJGG+Aj/tyutIM8K+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PexvEAAAA3AAAAA8AAAAAAAAAAAAAAAAAmAIAAGRycy9k&#10;b3ducmV2LnhtbFBLBQYAAAAABAAEAPUAAACJAwAAAAA=&#10;">
                  <v:stroke joinstyle="miter"/>
                  <v:textbox inset="0,,0">
                    <w:txbxContent>
                      <w:p w:rsidR="00A4241D" w:rsidRPr="00EE3A30" w:rsidRDefault="00A4241D" w:rsidP="006D4EA2">
                        <w:pPr>
                          <w:pStyle w:val="Tabletextcentred"/>
                        </w:pPr>
                        <w:r w:rsidRPr="00EE3A30">
                          <w:t>Public non-financial corporations</w:t>
                        </w:r>
                      </w:p>
                    </w:txbxContent>
                  </v:textbox>
                </v:roundrect>
                <v:roundrect id="Rectangle 647" o:spid="_x0000_s1036" style="position:absolute;left:7373;top:7117;width:2703;height:6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egMQA&#10;AADcAAAADwAAAGRycy9kb3ducmV2LnhtbESPUWvCMBSF3wf7D+EOfJvpKthZjTIdSp8EdT/g0lyb&#10;anNTkky7f78MBj4ezjnf4SxWg+3EjXxoHSt4G2cgiGunW24UfJ22r+8gQkTW2DkmBT8UYLV8flpg&#10;qd2dD3Q7xkYkCIcSFZgY+1LKUBuyGMauJ07e2XmLMUnfSO3xnuC2k3mWTaXFltOCwZ42hurr8dsq&#10;WLf7U1VddpNiVlzMbpqz/+wmSo1eho85iEhDfIT/25VWkGcF/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3oDEAAAA3AAAAA8AAAAAAAAAAAAAAAAAmAIAAGRycy9k&#10;b3ducmV2LnhtbFBLBQYAAAAABAAEAPUAAACJAwAAAAA=&#10;">
                  <v:stroke joinstyle="miter"/>
                  <v:textbox inset="0,,0">
                    <w:txbxContent>
                      <w:p w:rsidR="00A4241D" w:rsidRPr="00EE3A30" w:rsidRDefault="00A4241D" w:rsidP="006D4EA2">
                        <w:pPr>
                          <w:pStyle w:val="Tabletextcentred"/>
                        </w:pPr>
                        <w:r w:rsidRPr="00EE3A30">
                          <w:t>Public financial corporations</w:t>
                        </w:r>
                      </w:p>
                    </w:txbxContent>
                  </v:textbox>
                </v:roundrect>
                <v:shape id="Rectangle 648" o:spid="_x0000_s1037" style="position:absolute;left:2025;top:8222;width:2054;height:672;visibility:visible;mso-wrap-style:square;v-text-anchor:middle" coordsize="1102588,403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uRMEA&#10;AADcAAAADwAAAGRycy9kb3ducmV2LnhtbERPTWsCMRC9F/wPYQRvNasHsatRVJAKFqFre/A2bMbN&#10;6mayJKlu/705CB4f73u+7GwjbuRD7VjBaJiBIC6drrlS8HPcvk9BhIissXFMCv4pwHLRe5tjrt2d&#10;v+lWxEqkEA45KjAxtrmUoTRkMQxdS5y4s/MWY4K+ktrjPYXbRo6zbCIt1pwaDLa0MVReiz+rYP21&#10;+zjtDxcz5eMvTT6r2htXKDXod6sZiEhdfImf7p1WMM7S2nQ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jrkTBAAAA3AAAAA8AAAAAAAAAAAAAAAAAmAIAAGRycy9kb3du&#10;cmV2LnhtbFBLBQYAAAAABAAEAPUAAACGAwAAAAA=&#10;" adj="-11796480,,5400" path="m,67255c,30111,30111,,67255,l1102588,r,403522l67255,403522c30111,403522,,373411,,336267l,67255xe" fillcolor="#56535a">
                  <v:stroke joinstyle="miter"/>
                  <v:formulas/>
                  <v:path o:connecttype="custom" o:connectlocs="0,112;125,0;2054,0;2054,672;125,672;0,560;0,112" o:connectangles="0,0,0,0,0,0,0" textboxrect="0,0,1102588,403522"/>
                  <v:textbox inset="0,,0">
                    <w:txbxContent>
                      <w:p w:rsidR="00A4241D" w:rsidRPr="00540F3F" w:rsidRDefault="00A4241D" w:rsidP="006D4EA2">
                        <w:pPr>
                          <w:pStyle w:val="Tabletextcentred"/>
                          <w:rPr>
                            <w:color w:val="FFFFFF" w:themeColor="background1"/>
                          </w:rPr>
                        </w:pPr>
                        <w:r w:rsidRPr="00540F3F">
                          <w:rPr>
                            <w:color w:val="FFFFFF" w:themeColor="background1"/>
                          </w:rPr>
                          <w:t>Departments</w:t>
                        </w:r>
                      </w:p>
                    </w:txbxContent>
                  </v:textbox>
                </v:shape>
                <v:shape id="Rectangle 649" o:spid="_x0000_s1038" style="position:absolute;left:4071;top:8222;width:6006;height:671;visibility:visible;mso-wrap-style:square;v-text-anchor:middle" coordsize="3832993,403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C/8QA&#10;AADcAAAADwAAAGRycy9kb3ducmV2LnhtbESPQWsCMRSE74X+h/AKXopmFax1a5RWFLxU2K3eH5vX&#10;3aWbl5Ck6/rvjVDocZiZb5jVZjCd6MmH1rKC6SQDQVxZ3XKt4PS1H7+CCBFZY2eZFFwpwGb9+LDC&#10;XNsLF9SXsRYJwiFHBU2MLpcyVA0ZDBPriJP3bb3BmKSvpfZ4SXDTyVmWvUiDLaeFBh1tG6p+yl+j&#10;gD57f+4Xz1Mbgjvui7nbfZROqdHT8P4GItIQ/8N/7YNWMMuW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gv/EAAAA3AAAAA8AAAAAAAAAAAAAAAAAmAIAAGRycy9k&#10;b3ducmV2LnhtbFBLBQYAAAAABAAEAPUAAACJAwAAAAA=&#10;" adj="-11796480,,5400" path="m,403522l,,3765738,v37144,,67255,30111,67255,67255l3832993,336267v,37144,-30111,67255,-67255,67255l,403522xe">
                  <v:stroke joinstyle="miter"/>
                  <v:formulas/>
                  <v:path o:connecttype="custom" o:connectlocs="0,671;0,0;5901,0;6006,112;6006,559;5901,671;0,671" o:connectangles="0,0,0,0,0,0,0" textboxrect="0,0,3832993,403522"/>
                  <v:textbox inset="0,,0">
                    <w:txbxContent>
                      <w:p w:rsidR="00A4241D" w:rsidRPr="00540F3F" w:rsidRDefault="00A4241D" w:rsidP="006D4EA2">
                        <w:pPr>
                          <w:pStyle w:val="Tabletextcentred"/>
                        </w:pPr>
                        <w:r w:rsidRPr="00540F3F">
                          <w:t>Statutory authorities and other agencies controlled by government</w:t>
                        </w:r>
                      </w:p>
                    </w:txbxContent>
                  </v:textbox>
                </v:shape>
                <v:line id="Line 650" o:spid="_x0000_s1039" style="position:absolute;flip:y;visibility:visible;mso-wrap-style:square" from="4748,5571" to="4748,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line id="Line 651" o:spid="_x0000_s1040" style="position:absolute;flip:y;visibility:visible;mso-wrap-style:square" from="8702,5571" to="8702,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652" o:spid="_x0000_s1041" style="position:absolute;flip:y;visibility:visible;mso-wrap-style:square" from="3110,6452" to="311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line id="Line 653" o:spid="_x0000_s1042" style="position:absolute;flip:y;visibility:visible;mso-wrap-style:square" from="6029,6452" to="6029,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line id="Line 654" o:spid="_x0000_s1043" style="position:absolute;flip:y;visibility:visible;mso-wrap-style:square" from="3104,7782" to="3104,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Line 655" o:spid="_x0000_s1044" style="position:absolute;flip:y;visibility:visible;mso-wrap-style:square" from="4398,7766" to="4398,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656" o:spid="_x0000_s1045" style="position:absolute;flip:y;visibility:visible;mso-wrap-style:square" from="6029,7782" to="6029,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l8UAAADcAAAADwAAAGRycy9kb3ducmV2LnhtbESPQWvCQBCF74L/YZlCL6FuEkFs6iq2&#10;VhCkh2oPPQ7ZaRKanQ3ZUdN/3xUEj48373vzFqvBtepMfWg8G8gmKSji0tuGKwNfx+3THFQQZIut&#10;ZzLwRwFWy/FogYX1F/6k80EqFSEcCjRQi3SF1qGsyWGY+I44ej++dyhR9pW2PV4i3LU6T9OZdthw&#10;bKixo7eayt/DycU3th+8mU6TV6eT5Jnev2WfajHm8WFYv4ASGuR+fEvvrIE8m8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dl8UAAADcAAAADwAAAAAAAAAA&#10;AAAAAAChAgAAZHJzL2Rvd25yZXYueG1sUEsFBgAAAAAEAAQA+QAAAJMDAAAAAA==&#10;">
                  <v:stroke endarrow="block"/>
                </v:line>
                <v:line id="Line 657" o:spid="_x0000_s1046" style="position:absolute;flip:y;visibility:visible;mso-wrap-style:square" from="8702,7782" to="8702,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4DMUAAADcAAAADwAAAGRycy9kb3ducmV2LnhtbESPQWvCQBCF74L/YRnBS9CNCq1NXUVt&#10;hULpoeqhxyE7TYLZ2ZAdNf57t1Dw+HjzvjdvsepcrS7Uhsqzgck4BUWce1txYeB42I3moIIgW6w9&#10;k4EbBVgt+70FZtZf+ZsueylUhHDI0EAp0mRah7wkh2HsG+Lo/frWoUTZFtq2eI1wV+tpmj5phxXH&#10;hhIb2paUn/ZnF9/YffHbbJZsnE6SF3r/kc9UizHDQbd+BSXUyeP4P/1hDUwnz/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4DMUAAADcAAAADwAAAAAAAAAA&#10;AAAAAAChAgAAZHJzL2Rvd25yZXYueG1sUEsFBgAAAAAEAAQA+QAAAJMDAAAAAA==&#10;">
                  <v:stroke endarrow="block"/>
                </v:line>
                <w10:anchorlock/>
              </v:group>
            </w:pict>
          </mc:Fallback>
        </mc:AlternateContent>
      </w:r>
    </w:p>
    <w:p w:rsidR="006D4EA2" w:rsidRPr="00892DE3" w:rsidRDefault="006D4EA2" w:rsidP="00634F08">
      <w:pPr>
        <w:pStyle w:val="Source"/>
        <w:spacing w:before="60"/>
      </w:pPr>
      <w:r w:rsidRPr="00892DE3">
        <w:t xml:space="preserve">Source: Department of Treasury and Finance </w:t>
      </w:r>
    </w:p>
    <w:p w:rsidR="006D4EA2" w:rsidRPr="00892DE3" w:rsidRDefault="006D4EA2" w:rsidP="006D4EA2">
      <w:r w:rsidRPr="00892DE3">
        <w:t xml:space="preserve">The Victorian general government sector is the largest sector and forms the basis of the estimates published in the budget papers. As shown in Diagram 2, the general government sector comprises government departments and other bodies engaged in providing public services free of charge or at prices significantly below the cost of production for example, schools and hospitals. They generally receive more than 50 per cent of their funding from budget appropriations. </w:t>
      </w:r>
    </w:p>
    <w:p w:rsidR="006D4EA2" w:rsidRPr="00892DE3" w:rsidRDefault="006D4EA2" w:rsidP="006D4EA2">
      <w:r w:rsidRPr="00892DE3">
        <w:t xml:space="preserve">Organisations in other sectors of government – the PNFCs and PFCs – operate as stand-alone business enterprises, which aim to recover most of their costs involved in delivering their goods or services. Such entities include water and port authorities (PNFCs) and the Transport Accident Commission and Treasury Corporation Victoria (PFCs). Both the PNFC and PFC sectors are treated as equity investments of the general government sector. </w:t>
      </w:r>
    </w:p>
    <w:p w:rsidR="006D4EA2" w:rsidRPr="00892DE3" w:rsidRDefault="006D4EA2" w:rsidP="006D4EA2">
      <w:r w:rsidRPr="00892DE3">
        <w:t>The non-financial public sector (NFPS) represents a consolidation of the general government sector and PNFCs, after eliminating any transactions and debtor/creditor relationships between those sectors to avoid double counting. Similarly, the whole of state (WOS) is the consolidation (after relevant eliminations) of the NFPS with the PFCs. A more detailed explanation of the characteristics of each of these sectors can be found in the</w:t>
      </w:r>
      <w:r w:rsidRPr="00892DE3">
        <w:rPr>
          <w:i/>
        </w:rPr>
        <w:t xml:space="preserve"> 2015-16 Annual Financial Report</w:t>
      </w:r>
      <w:r w:rsidRPr="00892DE3">
        <w:t xml:space="preserve">. </w:t>
      </w:r>
    </w:p>
    <w:p w:rsidR="006D4EA2" w:rsidRPr="00892DE3" w:rsidRDefault="006D4EA2" w:rsidP="006D4EA2">
      <w:r w:rsidRPr="00892DE3">
        <w:t xml:space="preserve">Under the FMA, the budget papers mainly relate to the general government sector whereas the mid-year and annual financial reports include both the WOS and general government sector as required by the accounting standards. A comprehensive list of agencies, identified by sector, that submit financial data for consolidation into the State’s key financial publications can be found in Note 9.7 of the </w:t>
      </w:r>
      <w:r w:rsidRPr="00892DE3">
        <w:rPr>
          <w:i/>
        </w:rPr>
        <w:t>2015-16 Annual Financial Report</w:t>
      </w:r>
      <w:r w:rsidRPr="00892DE3">
        <w:t>.</w:t>
      </w:r>
    </w:p>
    <w:p w:rsidR="006D4EA2" w:rsidRPr="00892DE3" w:rsidRDefault="006D4EA2" w:rsidP="006D4EA2">
      <w:r w:rsidRPr="00892DE3">
        <w:t xml:space="preserve">Diagram 3 </w:t>
      </w:r>
      <w:r w:rsidRPr="00892DE3">
        <w:rPr>
          <w:i/>
        </w:rPr>
        <w:t>Publication coverage and project indicative timelines</w:t>
      </w:r>
      <w:r w:rsidRPr="00892DE3">
        <w:t xml:space="preserve"> provides further details regarding the reporting sector/entity basis of the key financial publications issued by DTF. </w:t>
      </w:r>
    </w:p>
    <w:p w:rsidR="006D4EA2" w:rsidRPr="00892DE3" w:rsidRDefault="006D4EA2" w:rsidP="006D4EA2">
      <w:pPr>
        <w:pStyle w:val="BodyText"/>
      </w:pPr>
      <w:r w:rsidRPr="00892DE3">
        <w:br w:type="page"/>
      </w:r>
    </w:p>
    <w:p w:rsidR="006D4EA2" w:rsidRPr="00892DE3" w:rsidRDefault="006D4EA2" w:rsidP="006D4EA2">
      <w:pPr>
        <w:pStyle w:val="TableHeading"/>
      </w:pPr>
      <w:r w:rsidRPr="00892DE3">
        <w:lastRenderedPageBreak/>
        <w:t>Diagram 3: Publication coverage and project indicative timelines</w:t>
      </w:r>
    </w:p>
    <w:p w:rsidR="006D4EA2" w:rsidRPr="00892DE3" w:rsidRDefault="006D4EA2" w:rsidP="006D4EA2"/>
    <w:tbl>
      <w:tblPr>
        <w:tblW w:w="9805" w:type="dxa"/>
        <w:tblLayout w:type="fixed"/>
        <w:tblCellMar>
          <w:left w:w="29" w:type="dxa"/>
          <w:right w:w="29" w:type="dxa"/>
        </w:tblCellMar>
        <w:tblLook w:val="0000" w:firstRow="0" w:lastRow="0" w:firstColumn="0" w:lastColumn="0" w:noHBand="0" w:noVBand="0"/>
      </w:tblPr>
      <w:tblGrid>
        <w:gridCol w:w="281"/>
        <w:gridCol w:w="3078"/>
        <w:gridCol w:w="318"/>
        <w:gridCol w:w="318"/>
        <w:gridCol w:w="318"/>
        <w:gridCol w:w="318"/>
        <w:gridCol w:w="318"/>
        <w:gridCol w:w="318"/>
        <w:gridCol w:w="318"/>
        <w:gridCol w:w="318"/>
        <w:gridCol w:w="318"/>
        <w:gridCol w:w="318"/>
        <w:gridCol w:w="318"/>
        <w:gridCol w:w="318"/>
        <w:gridCol w:w="318"/>
        <w:gridCol w:w="318"/>
        <w:gridCol w:w="318"/>
        <w:gridCol w:w="323"/>
        <w:gridCol w:w="442"/>
        <w:gridCol w:w="264"/>
        <w:gridCol w:w="324"/>
        <w:gridCol w:w="323"/>
      </w:tblGrid>
      <w:tr w:rsidR="006D4EA2" w:rsidRPr="00892DE3" w:rsidTr="006D4EA2">
        <w:trPr>
          <w:gridAfter w:val="5"/>
          <w:wAfter w:w="1676" w:type="dxa"/>
          <w:cantSplit/>
        </w:trPr>
        <w:tc>
          <w:tcPr>
            <w:tcW w:w="281" w:type="dxa"/>
            <w:tcBorders>
              <w:left w:val="nil"/>
            </w:tcBorders>
            <w:noWrap/>
            <w:vAlign w:val="bottom"/>
          </w:tcPr>
          <w:p w:rsidR="006D4EA2" w:rsidRPr="00892DE3" w:rsidRDefault="006D4EA2" w:rsidP="006D4EA2">
            <w:pPr>
              <w:pStyle w:val="Tabletext"/>
            </w:pPr>
          </w:p>
        </w:tc>
        <w:tc>
          <w:tcPr>
            <w:tcW w:w="3078" w:type="dxa"/>
            <w:tcBorders>
              <w:left w:val="nil"/>
              <w:right w:val="single" w:sz="4" w:space="0" w:color="53565A"/>
            </w:tcBorders>
            <w:noWrap/>
          </w:tcPr>
          <w:p w:rsidR="006D4EA2" w:rsidRPr="00892DE3" w:rsidRDefault="006D4EA2" w:rsidP="006D4EA2">
            <w:pPr>
              <w:pStyle w:val="Tabletext"/>
            </w:pPr>
          </w:p>
        </w:tc>
        <w:tc>
          <w:tcPr>
            <w:tcW w:w="4770" w:type="dxa"/>
            <w:gridSpan w:val="15"/>
            <w:tcBorders>
              <w:top w:val="single" w:sz="4" w:space="0" w:color="53565A"/>
              <w:left w:val="single" w:sz="4" w:space="0" w:color="53565A"/>
              <w:bottom w:val="single" w:sz="4" w:space="0" w:color="53565A"/>
              <w:right w:val="single" w:sz="4" w:space="0" w:color="53565A"/>
            </w:tcBorders>
            <w:noWrap/>
          </w:tcPr>
          <w:p w:rsidR="006D4EA2" w:rsidRPr="00892DE3" w:rsidRDefault="006D4EA2" w:rsidP="006D4EA2">
            <w:pPr>
              <w:pStyle w:val="Tabletextbold"/>
              <w:jc w:val="center"/>
              <w:rPr>
                <w:sz w:val="15"/>
                <w:szCs w:val="15"/>
              </w:rPr>
            </w:pPr>
            <w:r w:rsidRPr="00892DE3">
              <w:t>Publication timelines</w:t>
            </w:r>
          </w:p>
        </w:tc>
      </w:tr>
      <w:tr w:rsidR="006D4EA2" w:rsidRPr="00892DE3" w:rsidTr="006D4EA2">
        <w:trPr>
          <w:cantSplit/>
        </w:trPr>
        <w:tc>
          <w:tcPr>
            <w:tcW w:w="281" w:type="dxa"/>
            <w:tcBorders>
              <w:left w:val="nil"/>
            </w:tcBorders>
            <w:noWrap/>
            <w:vAlign w:val="bottom"/>
          </w:tcPr>
          <w:p w:rsidR="006D4EA2" w:rsidRPr="00892DE3" w:rsidRDefault="006D4EA2" w:rsidP="006D4EA2">
            <w:pPr>
              <w:pStyle w:val="Tabletext"/>
            </w:pPr>
          </w:p>
        </w:tc>
        <w:tc>
          <w:tcPr>
            <w:tcW w:w="3078" w:type="dxa"/>
            <w:tcBorders>
              <w:left w:val="nil"/>
              <w:right w:val="single" w:sz="4" w:space="0" w:color="53565A"/>
            </w:tcBorders>
            <w:noWrap/>
          </w:tcPr>
          <w:p w:rsidR="006D4EA2" w:rsidRPr="00892DE3" w:rsidRDefault="006D4EA2" w:rsidP="006D4EA2">
            <w:pPr>
              <w:pStyle w:val="Tabletext"/>
              <w:rPr>
                <w:sz w:val="15"/>
                <w:szCs w:val="15"/>
              </w:rPr>
            </w:pPr>
          </w:p>
        </w:tc>
        <w:tc>
          <w:tcPr>
            <w:tcW w:w="1908" w:type="dxa"/>
            <w:gridSpan w:val="6"/>
            <w:tcBorders>
              <w:top w:val="single" w:sz="4" w:space="0" w:color="53565A"/>
              <w:left w:val="single" w:sz="4" w:space="0" w:color="53565A"/>
              <w:bottom w:val="single" w:sz="4" w:space="0" w:color="53565A"/>
              <w:right w:val="single" w:sz="4" w:space="0" w:color="53565A"/>
            </w:tcBorders>
            <w:noWrap/>
          </w:tcPr>
          <w:p w:rsidR="006D4EA2" w:rsidRPr="00892DE3" w:rsidRDefault="006D4EA2" w:rsidP="006D4EA2">
            <w:pPr>
              <w:pStyle w:val="Tabletextbold"/>
              <w:jc w:val="center"/>
              <w:rPr>
                <w:sz w:val="15"/>
                <w:szCs w:val="15"/>
              </w:rPr>
            </w:pPr>
            <w:r w:rsidRPr="00892DE3">
              <w:t>2016</w:t>
            </w:r>
          </w:p>
        </w:tc>
        <w:tc>
          <w:tcPr>
            <w:tcW w:w="2862" w:type="dxa"/>
            <w:gridSpan w:val="9"/>
            <w:tcBorders>
              <w:top w:val="single" w:sz="4" w:space="0" w:color="53565A"/>
              <w:left w:val="single" w:sz="4" w:space="0" w:color="53565A"/>
              <w:bottom w:val="single" w:sz="4" w:space="0" w:color="53565A"/>
              <w:right w:val="single" w:sz="4" w:space="0" w:color="53565A"/>
            </w:tcBorders>
            <w:noWrap/>
          </w:tcPr>
          <w:p w:rsidR="006D4EA2" w:rsidRPr="00892DE3" w:rsidRDefault="006D4EA2" w:rsidP="006D4EA2">
            <w:pPr>
              <w:pStyle w:val="Tabletextbold"/>
              <w:jc w:val="center"/>
              <w:rPr>
                <w:sz w:val="15"/>
                <w:szCs w:val="15"/>
              </w:rPr>
            </w:pPr>
            <w:r w:rsidRPr="00892DE3">
              <w:t>2017</w:t>
            </w:r>
          </w:p>
        </w:tc>
        <w:tc>
          <w:tcPr>
            <w:tcW w:w="1676" w:type="dxa"/>
            <w:gridSpan w:val="5"/>
            <w:tcBorders>
              <w:top w:val="single" w:sz="4" w:space="0" w:color="53565A"/>
              <w:left w:val="single" w:sz="4" w:space="0" w:color="53565A"/>
              <w:bottom w:val="single" w:sz="4" w:space="0" w:color="53565A"/>
              <w:right w:val="single" w:sz="4" w:space="0" w:color="53565A"/>
            </w:tcBorders>
            <w:noWrap/>
          </w:tcPr>
          <w:p w:rsidR="006D4EA2" w:rsidRPr="00892DE3" w:rsidRDefault="006D4EA2" w:rsidP="006D4EA2">
            <w:pPr>
              <w:pStyle w:val="Tabletextbold"/>
              <w:jc w:val="center"/>
            </w:pPr>
            <w:r w:rsidRPr="00892DE3">
              <w:t>Sector/entities</w:t>
            </w:r>
          </w:p>
        </w:tc>
      </w:tr>
      <w:tr w:rsidR="006D4EA2" w:rsidRPr="00892DE3" w:rsidTr="006D4EA2">
        <w:trPr>
          <w:cantSplit/>
          <w:trHeight w:val="611"/>
        </w:trPr>
        <w:tc>
          <w:tcPr>
            <w:tcW w:w="281" w:type="dxa"/>
            <w:tcBorders>
              <w:left w:val="nil"/>
              <w:bottom w:val="single" w:sz="4" w:space="0" w:color="53565A"/>
            </w:tcBorders>
            <w:noWrap/>
            <w:vAlign w:val="bottom"/>
          </w:tcPr>
          <w:p w:rsidR="006D4EA2" w:rsidRPr="00892DE3" w:rsidRDefault="006D4EA2" w:rsidP="006D4EA2">
            <w:pPr>
              <w:pStyle w:val="Tabletext"/>
            </w:pPr>
          </w:p>
        </w:tc>
        <w:tc>
          <w:tcPr>
            <w:tcW w:w="3078" w:type="dxa"/>
            <w:tcBorders>
              <w:left w:val="nil"/>
              <w:bottom w:val="single" w:sz="4" w:space="0" w:color="53565A"/>
              <w:right w:val="single" w:sz="4" w:space="0" w:color="53565A"/>
            </w:tcBorders>
            <w:noWrap/>
          </w:tcPr>
          <w:p w:rsidR="006D4EA2" w:rsidRPr="00892DE3" w:rsidRDefault="006D4EA2" w:rsidP="006D4EA2">
            <w:pPr>
              <w:pStyle w:val="Tabletext"/>
              <w:rPr>
                <w:sz w:val="15"/>
                <w:szCs w:val="15"/>
              </w:rPr>
            </w:pPr>
            <w:r w:rsidRPr="00892DE3">
              <w:rPr>
                <w:sz w:val="15"/>
                <w:szCs w:val="15"/>
              </w:rPr>
              <w:t> </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Jul</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Aug</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Sep</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Oct</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Nov</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Dec</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Jan</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Feb</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Mar</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Apr</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May</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Jun</w:t>
            </w:r>
          </w:p>
        </w:tc>
        <w:tc>
          <w:tcPr>
            <w:tcW w:w="318" w:type="dxa"/>
            <w:tcBorders>
              <w:top w:val="single" w:sz="4" w:space="0" w:color="53565A"/>
              <w:left w:val="single" w:sz="4" w:space="0" w:color="53565A"/>
              <w:bottom w:val="single" w:sz="4" w:space="0" w:color="53565A"/>
              <w:right w:val="single" w:sz="4" w:space="0" w:color="53565A"/>
            </w:tcBorders>
            <w:textDirection w:val="btLr"/>
            <w:vAlign w:val="center"/>
          </w:tcPr>
          <w:p w:rsidR="006D4EA2" w:rsidRPr="00892DE3" w:rsidRDefault="006D4EA2" w:rsidP="006D4EA2">
            <w:pPr>
              <w:pStyle w:val="Tabletext"/>
              <w:ind w:left="227"/>
              <w:rPr>
                <w:sz w:val="15"/>
                <w:szCs w:val="15"/>
              </w:rPr>
            </w:pPr>
            <w:r w:rsidRPr="00892DE3">
              <w:rPr>
                <w:sz w:val="15"/>
                <w:szCs w:val="15"/>
              </w:rPr>
              <w:t>Jul</w:t>
            </w:r>
          </w:p>
        </w:tc>
        <w:tc>
          <w:tcPr>
            <w:tcW w:w="318" w:type="dxa"/>
            <w:tcBorders>
              <w:top w:val="single" w:sz="4" w:space="0" w:color="53565A"/>
              <w:left w:val="single" w:sz="4" w:space="0" w:color="53565A"/>
              <w:bottom w:val="single" w:sz="4" w:space="0" w:color="53565A"/>
              <w:right w:val="single" w:sz="4" w:space="0" w:color="53565A"/>
            </w:tcBorders>
            <w:textDirection w:val="btLr"/>
            <w:vAlign w:val="center"/>
          </w:tcPr>
          <w:p w:rsidR="006D4EA2" w:rsidRPr="00892DE3" w:rsidRDefault="006D4EA2" w:rsidP="006D4EA2">
            <w:pPr>
              <w:pStyle w:val="Tabletext"/>
              <w:ind w:left="227"/>
              <w:rPr>
                <w:sz w:val="15"/>
                <w:szCs w:val="15"/>
              </w:rPr>
            </w:pPr>
            <w:r w:rsidRPr="00892DE3">
              <w:rPr>
                <w:sz w:val="15"/>
                <w:szCs w:val="15"/>
              </w:rPr>
              <w:t>Aug</w:t>
            </w:r>
          </w:p>
        </w:tc>
        <w:tc>
          <w:tcPr>
            <w:tcW w:w="318" w:type="dxa"/>
            <w:tcBorders>
              <w:top w:val="single" w:sz="4" w:space="0" w:color="53565A"/>
              <w:left w:val="single" w:sz="4" w:space="0" w:color="53565A"/>
              <w:bottom w:val="single" w:sz="4" w:space="0" w:color="53565A"/>
              <w:right w:val="single" w:sz="4" w:space="0" w:color="53565A"/>
            </w:tcBorders>
            <w:textDirection w:val="btLr"/>
            <w:vAlign w:val="center"/>
          </w:tcPr>
          <w:p w:rsidR="006D4EA2" w:rsidRPr="00892DE3" w:rsidRDefault="006D4EA2" w:rsidP="006D4EA2">
            <w:pPr>
              <w:pStyle w:val="Tabletext"/>
              <w:ind w:left="227"/>
              <w:rPr>
                <w:sz w:val="15"/>
                <w:szCs w:val="15"/>
              </w:rPr>
            </w:pPr>
            <w:r w:rsidRPr="00892DE3">
              <w:rPr>
                <w:sz w:val="15"/>
                <w:szCs w:val="15"/>
              </w:rPr>
              <w:t>Sep</w:t>
            </w:r>
          </w:p>
        </w:tc>
        <w:tc>
          <w:tcPr>
            <w:tcW w:w="323"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WOS</w:t>
            </w:r>
          </w:p>
        </w:tc>
        <w:tc>
          <w:tcPr>
            <w:tcW w:w="442"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GGS</w:t>
            </w:r>
          </w:p>
        </w:tc>
        <w:tc>
          <w:tcPr>
            <w:tcW w:w="264"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4B2293" w:rsidP="006D4EA2">
            <w:pPr>
              <w:pStyle w:val="Tabletext"/>
              <w:ind w:left="227"/>
              <w:rPr>
                <w:sz w:val="15"/>
                <w:szCs w:val="15"/>
              </w:rPr>
            </w:pPr>
            <w:r w:rsidRPr="00892DE3">
              <w:rPr>
                <w:sz w:val="15"/>
                <w:szCs w:val="15"/>
              </w:rPr>
              <w:t>GGE</w:t>
            </w:r>
          </w:p>
        </w:tc>
        <w:tc>
          <w:tcPr>
            <w:tcW w:w="324"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PNFCs</w:t>
            </w:r>
          </w:p>
        </w:tc>
        <w:tc>
          <w:tcPr>
            <w:tcW w:w="323"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PFCs</w:t>
            </w:r>
          </w:p>
        </w:tc>
      </w:tr>
      <w:tr w:rsidR="006D4EA2" w:rsidRPr="00892DE3" w:rsidTr="006D4EA2">
        <w:tc>
          <w:tcPr>
            <w:tcW w:w="281" w:type="dxa"/>
            <w:vMerge w:val="restart"/>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D3365F" w:rsidP="006D4EA2">
            <w:pPr>
              <w:pStyle w:val="Tabletextbold"/>
              <w:spacing w:before="60"/>
              <w:jc w:val="center"/>
              <w:rPr>
                <w:sz w:val="15"/>
                <w:szCs w:val="15"/>
              </w:rPr>
            </w:pPr>
            <w:r>
              <w:rPr>
                <w:sz w:val="15"/>
                <w:szCs w:val="15"/>
              </w:rPr>
              <w:t>Esti</w:t>
            </w:r>
            <w:r w:rsidR="006D4EA2" w:rsidRPr="00892DE3">
              <w:rPr>
                <w:sz w:val="15"/>
                <w:szCs w:val="15"/>
              </w:rPr>
              <w:t>mates</w:t>
            </w:r>
          </w:p>
        </w:tc>
        <w:tc>
          <w:tcPr>
            <w:tcW w:w="3078" w:type="dxa"/>
            <w:tcBorders>
              <w:top w:val="single" w:sz="4" w:space="0" w:color="53565A"/>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ERSC (preliminary to budget)</w:t>
            </w:r>
          </w:p>
        </w:tc>
        <w:tc>
          <w:tcPr>
            <w:tcW w:w="318" w:type="dxa"/>
            <w:tcBorders>
              <w:top w:val="single" w:sz="4" w:space="0" w:color="53565A"/>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999999"/>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C0C0C0"/>
              <w:bottom w:val="single" w:sz="4" w:space="0" w:color="999999"/>
              <w:right w:val="single" w:sz="4" w:space="0" w:color="53565A"/>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53565A"/>
              <w:bottom w:val="single" w:sz="4" w:space="0" w:color="999999"/>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C0C0C0"/>
              <w:bottom w:val="single" w:sz="4" w:space="0" w:color="999999"/>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C0C0C0"/>
              <w:bottom w:val="single" w:sz="4" w:space="0" w:color="999999"/>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C0C0C0"/>
              <w:bottom w:val="single" w:sz="4" w:space="0" w:color="999999"/>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sz w:val="15"/>
                <w:szCs w:val="15"/>
              </w:rPr>
            </w:pPr>
          </w:p>
        </w:tc>
        <w:tc>
          <w:tcPr>
            <w:tcW w:w="323" w:type="dxa"/>
            <w:tcBorders>
              <w:top w:val="single" w:sz="4" w:space="0" w:color="53565A"/>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442" w:type="dxa"/>
            <w:tcBorders>
              <w:top w:val="single" w:sz="4" w:space="0" w:color="53565A"/>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rFonts w:cs="Wingdings"/>
                <w:sz w:val="15"/>
                <w:szCs w:val="15"/>
              </w:rPr>
            </w:pPr>
          </w:p>
        </w:tc>
        <w:tc>
          <w:tcPr>
            <w:tcW w:w="264" w:type="dxa"/>
            <w:tcBorders>
              <w:top w:val="single" w:sz="4" w:space="0" w:color="53565A"/>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rFonts w:cs="Wingdings"/>
                <w:sz w:val="15"/>
                <w:szCs w:val="15"/>
              </w:rPr>
            </w:pPr>
          </w:p>
        </w:tc>
        <w:tc>
          <w:tcPr>
            <w:tcW w:w="324" w:type="dxa"/>
            <w:tcBorders>
              <w:top w:val="single" w:sz="4" w:space="0" w:color="53565A"/>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rFonts w:cs="Wingdings"/>
                <w:sz w:val="15"/>
                <w:szCs w:val="15"/>
              </w:rPr>
            </w:pPr>
          </w:p>
        </w:tc>
        <w:tc>
          <w:tcPr>
            <w:tcW w:w="323" w:type="dxa"/>
            <w:tcBorders>
              <w:top w:val="single" w:sz="4" w:space="0" w:color="53565A"/>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noWrap/>
            <w:textDirection w:val="btLr"/>
            <w:vAlign w:val="center"/>
          </w:tcPr>
          <w:p w:rsidR="006D4EA2" w:rsidRPr="00892DE3" w:rsidRDefault="006D4EA2" w:rsidP="006D4EA2">
            <w:pPr>
              <w:jc w:val="center"/>
            </w:pPr>
          </w:p>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Budget Papers No. 1, 2, 3 and 5</w:t>
            </w:r>
          </w:p>
        </w:tc>
        <w:tc>
          <w:tcPr>
            <w:tcW w:w="318"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(a)</w:t>
            </w:r>
          </w:p>
        </w:tc>
        <w:tc>
          <w:tcPr>
            <w:tcW w:w="318" w:type="dxa"/>
            <w:tcBorders>
              <w:top w:val="single" w:sz="4" w:space="0" w:color="999999"/>
              <w:left w:val="single" w:sz="4" w:space="0" w:color="C0C0C0"/>
              <w:bottom w:val="single" w:sz="4" w:space="0" w:color="C0C0C0"/>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sz w:val="15"/>
                <w:szCs w:val="15"/>
              </w:rPr>
            </w:pPr>
          </w:p>
        </w:tc>
        <w:tc>
          <w:tcPr>
            <w:tcW w:w="323"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442"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rFonts w:ascii="Wingdings" w:hAnsi="Wingdings" w:cs="Wingdings"/>
                <w:sz w:val="15"/>
                <w:szCs w:val="15"/>
              </w:rPr>
            </w:pPr>
            <w:r w:rsidRPr="00892DE3">
              <w:rPr>
                <w:rFonts w:ascii="Wingdings" w:hAnsi="Wingdings" w:cs="Wingdings"/>
                <w:sz w:val="15"/>
                <w:szCs w:val="15"/>
              </w:rPr>
              <w:t></w:t>
            </w:r>
            <w:r w:rsidRPr="00892DE3">
              <w:rPr>
                <w:sz w:val="15"/>
                <w:szCs w:val="15"/>
              </w:rPr>
              <w:t>(c)</w:t>
            </w:r>
          </w:p>
        </w:tc>
        <w:tc>
          <w:tcPr>
            <w:tcW w:w="264"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324"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323" w:type="dxa"/>
            <w:tcBorders>
              <w:top w:val="single" w:sz="4" w:space="0" w:color="999999"/>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r>
      <w:tr w:rsidR="006D4EA2" w:rsidRPr="00892DE3" w:rsidTr="006D4EA2">
        <w:tc>
          <w:tcPr>
            <w:tcW w:w="281" w:type="dxa"/>
            <w:vMerge/>
            <w:tcBorders>
              <w:left w:val="single" w:sz="4" w:space="0" w:color="53565A"/>
              <w:bottom w:val="single" w:sz="4" w:space="0" w:color="53565A"/>
              <w:right w:val="single" w:sz="4" w:space="0" w:color="53565A"/>
            </w:tcBorders>
            <w:noWrap/>
            <w:textDirection w:val="btLr"/>
            <w:vAlign w:val="center"/>
          </w:tcPr>
          <w:p w:rsidR="006D4EA2" w:rsidRPr="00892DE3" w:rsidRDefault="006D4EA2" w:rsidP="006D4EA2">
            <w:pPr>
              <w:jc w:val="center"/>
            </w:pPr>
          </w:p>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Budget Paper No. 4 (BP4)</w:t>
            </w:r>
          </w:p>
        </w:tc>
        <w:tc>
          <w:tcPr>
            <w:tcW w:w="318"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(a)</w:t>
            </w:r>
          </w:p>
        </w:tc>
        <w:tc>
          <w:tcPr>
            <w:tcW w:w="318" w:type="dxa"/>
            <w:tcBorders>
              <w:top w:val="single" w:sz="4" w:space="0" w:color="999999"/>
              <w:left w:val="single" w:sz="4" w:space="0" w:color="C0C0C0"/>
              <w:bottom w:val="single" w:sz="4" w:space="0" w:color="C0C0C0"/>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sz w:val="15"/>
                <w:szCs w:val="15"/>
              </w:rPr>
            </w:pPr>
          </w:p>
        </w:tc>
        <w:tc>
          <w:tcPr>
            <w:tcW w:w="323"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rFonts w:ascii="Wingdings" w:hAnsi="Wingdings" w:cs="Wingdings"/>
                <w:sz w:val="15"/>
                <w:szCs w:val="15"/>
              </w:rPr>
            </w:pPr>
            <w:r w:rsidRPr="00892DE3">
              <w:rPr>
                <w:rFonts w:ascii="Wingdings" w:hAnsi="Wingdings" w:cs="Wingdings"/>
                <w:sz w:val="15"/>
                <w:szCs w:val="15"/>
              </w:rPr>
              <w:t></w:t>
            </w:r>
          </w:p>
        </w:tc>
        <w:tc>
          <w:tcPr>
            <w:tcW w:w="264"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rFonts w:ascii="Wingdings" w:hAnsi="Wingdings" w:cs="Wingdings"/>
                <w:sz w:val="15"/>
                <w:szCs w:val="15"/>
              </w:rPr>
            </w:pPr>
            <w:r w:rsidRPr="00892DE3">
              <w:rPr>
                <w:rFonts w:ascii="Wingdings" w:hAnsi="Wingdings" w:cs="Wingdings"/>
                <w:sz w:val="15"/>
                <w:szCs w:val="15"/>
              </w:rPr>
              <w:t></w:t>
            </w:r>
          </w:p>
        </w:tc>
        <w:tc>
          <w:tcPr>
            <w:tcW w:w="324"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323" w:type="dxa"/>
            <w:tcBorders>
              <w:top w:val="single" w:sz="4" w:space="0" w:color="999999"/>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vAlign w:val="center"/>
          </w:tcPr>
          <w:p w:rsidR="006D4EA2" w:rsidRPr="00892DE3" w:rsidRDefault="006D4EA2" w:rsidP="006D4EA2">
            <w:pPr>
              <w:jc w:val="center"/>
            </w:pPr>
          </w:p>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 xml:space="preserve">Budget Update </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53565A"/>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textDirection w:val="btLr"/>
            <w:vAlign w:val="center"/>
          </w:tcPr>
          <w:p w:rsidR="006D4EA2" w:rsidRPr="00892DE3" w:rsidRDefault="006D4EA2" w:rsidP="006D4EA2">
            <w:pPr>
              <w:jc w:val="center"/>
            </w:pPr>
          </w:p>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Pre</w:t>
            </w:r>
            <w:r w:rsidRPr="00892DE3">
              <w:rPr>
                <w:spacing w:val="0"/>
              </w:rPr>
              <w:noBreakHyphen/>
              <w:t>Election Budget Update (PEBU)(e)</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FFFFFF" w:themeFill="background1"/>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auto"/>
            <w:vAlign w:val="center"/>
          </w:tcPr>
          <w:p w:rsidR="006D4EA2" w:rsidRPr="00892DE3" w:rsidRDefault="006D4EA2" w:rsidP="006D4EA2">
            <w:pPr>
              <w:pStyle w:val="Tabletextcentred"/>
              <w:rPr>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val="restart"/>
            <w:tcBorders>
              <w:left w:val="single" w:sz="4" w:space="0" w:color="53565A"/>
              <w:bottom w:val="single" w:sz="4" w:space="0" w:color="53565A"/>
              <w:right w:val="single" w:sz="4" w:space="0" w:color="53565A"/>
            </w:tcBorders>
            <w:textDirection w:val="btLr"/>
            <w:vAlign w:val="center"/>
          </w:tcPr>
          <w:p w:rsidR="006D4EA2" w:rsidRPr="00892DE3" w:rsidRDefault="006D4EA2" w:rsidP="006D4EA2">
            <w:pPr>
              <w:pStyle w:val="Tabletextbold"/>
              <w:spacing w:before="60"/>
              <w:jc w:val="center"/>
              <w:rPr>
                <w:sz w:val="15"/>
                <w:szCs w:val="15"/>
              </w:rPr>
            </w:pPr>
            <w:r w:rsidRPr="00892DE3">
              <w:rPr>
                <w:sz w:val="15"/>
                <w:szCs w:val="15"/>
              </w:rPr>
              <w:t>Actuals</w:t>
            </w:r>
          </w:p>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Quarterly Financial Report (QFR1)</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009CDE" w:themeFill="accent5"/>
            <w:vAlign w:val="center"/>
          </w:tcPr>
          <w:p w:rsidR="006D4EA2" w:rsidRPr="00892DE3" w:rsidRDefault="006D4EA2" w:rsidP="006D4EA2">
            <w:pPr>
              <w:pStyle w:val="Tabletextcentred"/>
              <w:rPr>
                <w:color w:val="FFFFFF" w:themeColor="background1"/>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noWrap/>
            <w:textDirection w:val="btLr"/>
            <w:vAlign w:val="center"/>
          </w:tcPr>
          <w:p w:rsidR="006D4EA2" w:rsidRPr="00892DE3" w:rsidRDefault="006D4EA2" w:rsidP="006D4EA2"/>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Mid</w:t>
            </w:r>
            <w:r w:rsidRPr="00892DE3">
              <w:rPr>
                <w:spacing w:val="0"/>
              </w:rPr>
              <w:noBreakHyphen/>
              <w:t xml:space="preserve">Year Financial Report (MYFR) </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53565A"/>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rFonts w:ascii="Wingdings" w:hAnsi="Wingdings" w:cs="Wingdings"/>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rFonts w:ascii="Wingdings" w:hAnsi="Wingdings" w:cs="Wingdings"/>
                <w:sz w:val="15"/>
                <w:szCs w:val="15"/>
              </w:rPr>
            </w:pPr>
          </w:p>
        </w:tc>
        <w:tc>
          <w:tcPr>
            <w:tcW w:w="318" w:type="dxa"/>
            <w:tcBorders>
              <w:top w:val="single" w:sz="4" w:space="0" w:color="C0C0C0"/>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rFonts w:ascii="Wingdings" w:hAnsi="Wingdings" w:cs="Wingdings"/>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r>
      <w:tr w:rsidR="006D4EA2" w:rsidRPr="00892DE3" w:rsidTr="006D4EA2">
        <w:tc>
          <w:tcPr>
            <w:tcW w:w="281" w:type="dxa"/>
            <w:vMerge/>
            <w:tcBorders>
              <w:left w:val="single" w:sz="4" w:space="0" w:color="53565A"/>
              <w:bottom w:val="single" w:sz="4" w:space="0" w:color="53565A"/>
              <w:right w:val="single" w:sz="4" w:space="0" w:color="53565A"/>
            </w:tcBorders>
            <w:vAlign w:val="center"/>
          </w:tcPr>
          <w:p w:rsidR="006D4EA2" w:rsidRPr="00892DE3" w:rsidRDefault="006D4EA2" w:rsidP="006D4EA2"/>
        </w:tc>
        <w:tc>
          <w:tcPr>
            <w:tcW w:w="3078" w:type="dxa"/>
            <w:tcBorders>
              <w:top w:val="single" w:sz="4" w:space="0" w:color="C0C0C0"/>
              <w:left w:val="single" w:sz="4" w:space="0" w:color="53565A"/>
              <w:bottom w:val="single" w:sz="4" w:space="0" w:color="C0C0C0"/>
              <w:right w:val="single" w:sz="4" w:space="0" w:color="53565A"/>
            </w:tcBorders>
            <w:vAlign w:val="center"/>
          </w:tcPr>
          <w:p w:rsidR="006D4EA2" w:rsidRPr="00892DE3" w:rsidRDefault="006D4EA2" w:rsidP="006D4EA2">
            <w:pPr>
              <w:pStyle w:val="Tabletext"/>
              <w:rPr>
                <w:spacing w:val="0"/>
              </w:rPr>
            </w:pPr>
            <w:r w:rsidRPr="00892DE3">
              <w:rPr>
                <w:spacing w:val="0"/>
              </w:rPr>
              <w:t xml:space="preserve">Quarterly Financial Report No. 2 (QFR 2) </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53565A"/>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vAlign w:val="center"/>
          </w:tcPr>
          <w:p w:rsidR="006D4EA2" w:rsidRPr="00892DE3" w:rsidRDefault="006D4EA2" w:rsidP="006D4EA2"/>
        </w:tc>
        <w:tc>
          <w:tcPr>
            <w:tcW w:w="3078" w:type="dxa"/>
            <w:tcBorders>
              <w:top w:val="single" w:sz="4" w:space="0" w:color="C0C0C0"/>
              <w:left w:val="single" w:sz="4" w:space="0" w:color="53565A"/>
              <w:bottom w:val="single" w:sz="4" w:space="0" w:color="C0C0C0"/>
              <w:right w:val="single" w:sz="4" w:space="0" w:color="53565A"/>
            </w:tcBorders>
            <w:vAlign w:val="center"/>
          </w:tcPr>
          <w:p w:rsidR="006D4EA2" w:rsidRPr="00892DE3" w:rsidRDefault="006D4EA2" w:rsidP="006D4EA2">
            <w:pPr>
              <w:pStyle w:val="Tabletext"/>
              <w:rPr>
                <w:spacing w:val="0"/>
              </w:rPr>
            </w:pPr>
            <w:r w:rsidRPr="00892DE3">
              <w:rPr>
                <w:spacing w:val="0"/>
              </w:rPr>
              <w:t xml:space="preserve">Quarterly Financial Report No. 3 (QFR 3) </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(a)</w:t>
            </w:r>
          </w:p>
        </w:tc>
        <w:tc>
          <w:tcPr>
            <w:tcW w:w="318"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auto"/>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auto"/>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auto"/>
            <w:vAlign w:val="center"/>
          </w:tcPr>
          <w:p w:rsidR="006D4EA2" w:rsidRPr="00892DE3" w:rsidRDefault="006D4EA2" w:rsidP="006D4EA2">
            <w:pPr>
              <w:pStyle w:val="Tabletextcentred"/>
              <w:rPr>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vAlign w:val="center"/>
          </w:tcPr>
          <w:p w:rsidR="006D4EA2" w:rsidRPr="00892DE3" w:rsidRDefault="006D4EA2" w:rsidP="006D4EA2"/>
        </w:tc>
        <w:tc>
          <w:tcPr>
            <w:tcW w:w="3078" w:type="dxa"/>
            <w:tcBorders>
              <w:top w:val="single" w:sz="4" w:space="0" w:color="C0C0C0"/>
              <w:left w:val="single" w:sz="4" w:space="0" w:color="53565A"/>
              <w:bottom w:val="single" w:sz="4" w:space="0" w:color="C0C0C0"/>
              <w:right w:val="single" w:sz="4" w:space="0" w:color="53565A"/>
            </w:tcBorders>
            <w:vAlign w:val="center"/>
          </w:tcPr>
          <w:p w:rsidR="006D4EA2" w:rsidRPr="00892DE3" w:rsidRDefault="006D4EA2" w:rsidP="006D4EA2">
            <w:pPr>
              <w:pStyle w:val="Tabletext"/>
              <w:rPr>
                <w:spacing w:val="0"/>
              </w:rPr>
            </w:pPr>
            <w:r w:rsidRPr="00892DE3">
              <w:rPr>
                <w:spacing w:val="0"/>
              </w:rPr>
              <w:t xml:space="preserve">Annual Financial Report (AFR) </w:t>
            </w:r>
          </w:p>
        </w:tc>
        <w:tc>
          <w:tcPr>
            <w:tcW w:w="318" w:type="dxa"/>
            <w:tcBorders>
              <w:top w:val="single" w:sz="4" w:space="0" w:color="C0C0C0"/>
              <w:left w:val="single" w:sz="4" w:space="0" w:color="53565A"/>
              <w:bottom w:val="single" w:sz="4" w:space="0" w:color="C0C0C0"/>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C0C0C0"/>
              <w:bottom w:val="single" w:sz="4" w:space="0" w:color="C0C0C0"/>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vAlign w:val="center"/>
          </w:tcPr>
          <w:p w:rsidR="006D4EA2" w:rsidRPr="00892DE3" w:rsidRDefault="006D4EA2" w:rsidP="006D4EA2">
            <w:pPr>
              <w:pStyle w:val="Tabletextcentred"/>
              <w:rPr>
                <w:rFonts w:ascii="Wingdings" w:hAnsi="Wingdings" w:cs="Wingdings"/>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vAlign w:val="center"/>
          </w:tcPr>
          <w:p w:rsidR="006D4EA2" w:rsidRPr="00892DE3" w:rsidRDefault="006D4EA2" w:rsidP="006D4EA2">
            <w:pPr>
              <w:pStyle w:val="Tabletextcentred"/>
              <w:rPr>
                <w:rFonts w:ascii="Wingdings" w:hAnsi="Wingdings" w:cs="Wingdings"/>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53565A"/>
            <w:vAlign w:val="center"/>
          </w:tcPr>
          <w:p w:rsidR="006D4EA2" w:rsidRPr="00892DE3" w:rsidRDefault="006D4EA2" w:rsidP="006D4EA2">
            <w:pPr>
              <w:pStyle w:val="Tabletextcentred"/>
              <w:rPr>
                <w:rFonts w:ascii="Wingdings" w:hAnsi="Wingdings" w:cs="Wingdings"/>
                <w:color w:val="FFFFFF" w:themeColor="background1"/>
                <w:sz w:val="15"/>
                <w:szCs w:val="15"/>
              </w:rPr>
            </w:pPr>
            <w:r w:rsidRPr="00892DE3">
              <w:rPr>
                <w:color w:val="FFFFFF" w:themeColor="background1"/>
                <w:sz w:val="15"/>
                <w:szCs w:val="15"/>
              </w:rPr>
              <w:t>(d)</w:t>
            </w: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r>
      <w:tr w:rsidR="006D4EA2" w:rsidRPr="00892DE3" w:rsidTr="006D4EA2">
        <w:tc>
          <w:tcPr>
            <w:tcW w:w="281" w:type="dxa"/>
            <w:vMerge/>
            <w:tcBorders>
              <w:left w:val="single" w:sz="4" w:space="0" w:color="53565A"/>
              <w:bottom w:val="single" w:sz="4" w:space="0" w:color="53565A"/>
              <w:right w:val="single" w:sz="4" w:space="0" w:color="53565A"/>
            </w:tcBorders>
            <w:vAlign w:val="center"/>
          </w:tcPr>
          <w:p w:rsidR="006D4EA2" w:rsidRPr="00892DE3" w:rsidRDefault="006D4EA2" w:rsidP="006D4EA2"/>
        </w:tc>
        <w:tc>
          <w:tcPr>
            <w:tcW w:w="3078" w:type="dxa"/>
            <w:tcBorders>
              <w:top w:val="single" w:sz="4" w:space="0" w:color="C0C0C0"/>
              <w:left w:val="single" w:sz="4" w:space="0" w:color="53565A"/>
              <w:bottom w:val="single" w:sz="4" w:space="0" w:color="53565A"/>
              <w:right w:val="single" w:sz="4" w:space="0" w:color="53565A"/>
            </w:tcBorders>
            <w:vAlign w:val="center"/>
          </w:tcPr>
          <w:p w:rsidR="006D4EA2" w:rsidRPr="00892DE3" w:rsidRDefault="006D4EA2" w:rsidP="006D4EA2">
            <w:pPr>
              <w:pStyle w:val="Tabletext"/>
              <w:rPr>
                <w:spacing w:val="0"/>
              </w:rPr>
            </w:pPr>
            <w:r w:rsidRPr="00892DE3">
              <w:rPr>
                <w:spacing w:val="0"/>
              </w:rPr>
              <w:t xml:space="preserve">Quarterly Financial Report No. 4 (QFR 4) </w:t>
            </w:r>
          </w:p>
        </w:tc>
        <w:tc>
          <w:tcPr>
            <w:tcW w:w="318" w:type="dxa"/>
            <w:tcBorders>
              <w:top w:val="single" w:sz="4" w:space="0" w:color="C0C0C0"/>
              <w:left w:val="single" w:sz="4" w:space="0" w:color="53565A"/>
              <w:bottom w:val="single" w:sz="4" w:space="0" w:color="53565A"/>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C0C0C0"/>
              <w:bottom w:val="single" w:sz="4" w:space="0" w:color="53565A"/>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53565A"/>
              <w:bottom w:val="single" w:sz="4" w:space="0" w:color="53565A"/>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53565A"/>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53565A"/>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53565A"/>
            </w:tcBorders>
            <w:shd w:val="clear" w:color="auto" w:fill="53565A"/>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(d)</w:t>
            </w:r>
          </w:p>
        </w:tc>
        <w:tc>
          <w:tcPr>
            <w:tcW w:w="323" w:type="dxa"/>
            <w:tcBorders>
              <w:top w:val="single" w:sz="4" w:space="0" w:color="C0C0C0"/>
              <w:left w:val="single" w:sz="4" w:space="0" w:color="53565A"/>
              <w:bottom w:val="single" w:sz="4" w:space="0" w:color="53565A"/>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53565A"/>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53565A"/>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53565A"/>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53565A"/>
              <w:right w:val="single" w:sz="4" w:space="0" w:color="53565A"/>
            </w:tcBorders>
            <w:noWrap/>
            <w:vAlign w:val="center"/>
          </w:tcPr>
          <w:p w:rsidR="006D4EA2" w:rsidRPr="00892DE3" w:rsidRDefault="006D4EA2" w:rsidP="006D4EA2">
            <w:pPr>
              <w:pStyle w:val="Tabletext"/>
              <w:jc w:val="center"/>
              <w:rPr>
                <w:sz w:val="15"/>
                <w:szCs w:val="15"/>
              </w:rPr>
            </w:pPr>
          </w:p>
        </w:tc>
      </w:tr>
    </w:tbl>
    <w:p w:rsidR="006D4EA2" w:rsidRPr="00892DE3" w:rsidRDefault="006D4EA2" w:rsidP="006D4EA2">
      <w:pPr>
        <w:pStyle w:val="Smallline"/>
      </w:pPr>
    </w:p>
    <w:p w:rsidR="006D4EA2" w:rsidRPr="00892DE3" w:rsidRDefault="006D4EA2" w:rsidP="006D4EA2">
      <w:pPr>
        <w:pStyle w:val="Smallline"/>
      </w:pPr>
    </w:p>
    <w:tbl>
      <w:tblPr>
        <w:tblW w:w="9203" w:type="dxa"/>
        <w:tblInd w:w="281" w:type="dxa"/>
        <w:tblLayout w:type="fixed"/>
        <w:tblCellMar>
          <w:left w:w="29" w:type="dxa"/>
          <w:right w:w="29" w:type="dxa"/>
        </w:tblCellMar>
        <w:tblLook w:val="0000" w:firstRow="0" w:lastRow="0" w:firstColumn="0" w:lastColumn="0" w:noHBand="0" w:noVBand="0"/>
      </w:tblPr>
      <w:tblGrid>
        <w:gridCol w:w="479"/>
        <w:gridCol w:w="90"/>
        <w:gridCol w:w="281"/>
        <w:gridCol w:w="2750"/>
        <w:gridCol w:w="315"/>
        <w:gridCol w:w="2880"/>
        <w:gridCol w:w="315"/>
        <w:gridCol w:w="2093"/>
      </w:tblGrid>
      <w:tr w:rsidR="006D4EA2" w:rsidRPr="00892DE3" w:rsidTr="00D3365F">
        <w:trPr>
          <w:trHeight w:hRule="exact" w:val="280"/>
        </w:trPr>
        <w:tc>
          <w:tcPr>
            <w:tcW w:w="479" w:type="dxa"/>
            <w:shd w:val="clear" w:color="auto" w:fill="auto"/>
            <w:vAlign w:val="center"/>
          </w:tcPr>
          <w:p w:rsidR="006D4EA2" w:rsidRPr="00892DE3" w:rsidRDefault="006D4EA2" w:rsidP="006D4EA2">
            <w:pPr>
              <w:pStyle w:val="Tabletext"/>
              <w:rPr>
                <w:b/>
                <w:sz w:val="15"/>
                <w:szCs w:val="15"/>
              </w:rPr>
            </w:pPr>
            <w:r w:rsidRPr="00892DE3">
              <w:rPr>
                <w:b/>
                <w:sz w:val="15"/>
                <w:szCs w:val="15"/>
              </w:rPr>
              <w:t>Key:</w:t>
            </w:r>
          </w:p>
        </w:tc>
        <w:tc>
          <w:tcPr>
            <w:tcW w:w="90" w:type="dxa"/>
            <w:shd w:val="clear" w:color="auto" w:fill="auto"/>
            <w:vAlign w:val="center"/>
          </w:tcPr>
          <w:p w:rsidR="006D4EA2" w:rsidRPr="00892DE3" w:rsidRDefault="006D4EA2" w:rsidP="006D4EA2">
            <w:pPr>
              <w:pStyle w:val="Tabletext"/>
              <w:rPr>
                <w:b/>
                <w:sz w:val="15"/>
                <w:szCs w:val="15"/>
              </w:rPr>
            </w:pPr>
          </w:p>
        </w:tc>
        <w:tc>
          <w:tcPr>
            <w:tcW w:w="281" w:type="dxa"/>
            <w:tcBorders>
              <w:top w:val="single" w:sz="4" w:space="0" w:color="53565A"/>
              <w:left w:val="nil"/>
              <w:bottom w:val="single" w:sz="4" w:space="0" w:color="53565A"/>
              <w:right w:val="single" w:sz="4" w:space="0" w:color="53565A"/>
            </w:tcBorders>
            <w:shd w:val="clear" w:color="auto" w:fill="00497A" w:themeFill="accent2"/>
            <w:noWrap/>
            <w:vAlign w:val="center"/>
          </w:tcPr>
          <w:p w:rsidR="006D4EA2" w:rsidRPr="00892DE3" w:rsidRDefault="006D4EA2" w:rsidP="006D4EA2">
            <w:pPr>
              <w:pStyle w:val="Tabletext"/>
              <w:rPr>
                <w:b/>
                <w:sz w:val="15"/>
                <w:szCs w:val="15"/>
              </w:rPr>
            </w:pPr>
            <w:r w:rsidRPr="00892DE3">
              <w:rPr>
                <w:b/>
                <w:sz w:val="15"/>
                <w:szCs w:val="15"/>
              </w:rPr>
              <w:t> </w:t>
            </w:r>
          </w:p>
        </w:tc>
        <w:tc>
          <w:tcPr>
            <w:tcW w:w="2750" w:type="dxa"/>
            <w:tcBorders>
              <w:top w:val="nil"/>
              <w:left w:val="single" w:sz="4" w:space="0" w:color="53565A"/>
              <w:bottom w:val="nil"/>
              <w:right w:val="single" w:sz="4" w:space="0" w:color="44474A"/>
            </w:tcBorders>
            <w:noWrap/>
            <w:vAlign w:val="center"/>
          </w:tcPr>
          <w:p w:rsidR="006D4EA2" w:rsidRPr="00892DE3" w:rsidRDefault="006D4EA2" w:rsidP="006D4EA2">
            <w:pPr>
              <w:pStyle w:val="Tabletext"/>
              <w:rPr>
                <w:b/>
                <w:sz w:val="15"/>
                <w:szCs w:val="15"/>
              </w:rPr>
            </w:pPr>
            <w:r w:rsidRPr="00892DE3">
              <w:rPr>
                <w:b/>
                <w:sz w:val="15"/>
                <w:szCs w:val="15"/>
              </w:rPr>
              <w:t>2015</w:t>
            </w:r>
            <w:r w:rsidRPr="00892DE3">
              <w:rPr>
                <w:b/>
                <w:sz w:val="15"/>
                <w:szCs w:val="15"/>
              </w:rPr>
              <w:noBreakHyphen/>
              <w:t>16 publication</w:t>
            </w:r>
          </w:p>
        </w:tc>
        <w:tc>
          <w:tcPr>
            <w:tcW w:w="315" w:type="dxa"/>
            <w:tcBorders>
              <w:top w:val="single" w:sz="4" w:space="0" w:color="44474A"/>
              <w:left w:val="single" w:sz="4" w:space="0" w:color="44474A"/>
              <w:bottom w:val="single" w:sz="4" w:space="0" w:color="44474A"/>
              <w:right w:val="single" w:sz="4" w:space="0" w:color="44474A"/>
            </w:tcBorders>
            <w:shd w:val="clear" w:color="auto" w:fill="53565A"/>
            <w:vAlign w:val="center"/>
          </w:tcPr>
          <w:p w:rsidR="006D4EA2" w:rsidRPr="00892DE3" w:rsidRDefault="006D4EA2" w:rsidP="006D4EA2">
            <w:pPr>
              <w:pStyle w:val="Tabletext"/>
              <w:rPr>
                <w:b/>
                <w:sz w:val="15"/>
                <w:szCs w:val="15"/>
              </w:rPr>
            </w:pPr>
            <w:r w:rsidRPr="00892DE3">
              <w:rPr>
                <w:b/>
                <w:sz w:val="15"/>
                <w:szCs w:val="15"/>
              </w:rPr>
              <w:t> </w:t>
            </w:r>
          </w:p>
        </w:tc>
        <w:tc>
          <w:tcPr>
            <w:tcW w:w="2880" w:type="dxa"/>
            <w:tcBorders>
              <w:top w:val="nil"/>
              <w:left w:val="single" w:sz="4" w:space="0" w:color="44474A"/>
              <w:bottom w:val="nil"/>
              <w:right w:val="single" w:sz="4" w:space="0" w:color="53565A"/>
            </w:tcBorders>
            <w:vAlign w:val="center"/>
          </w:tcPr>
          <w:p w:rsidR="006D4EA2" w:rsidRPr="00892DE3" w:rsidRDefault="006D4EA2" w:rsidP="006D4EA2">
            <w:pPr>
              <w:pStyle w:val="Tabletext"/>
              <w:rPr>
                <w:b/>
                <w:sz w:val="15"/>
                <w:szCs w:val="15"/>
              </w:rPr>
            </w:pPr>
            <w:r w:rsidRPr="00892DE3">
              <w:rPr>
                <w:b/>
                <w:sz w:val="15"/>
                <w:szCs w:val="15"/>
              </w:rPr>
              <w:t>2016</w:t>
            </w:r>
            <w:r w:rsidRPr="00892DE3">
              <w:rPr>
                <w:b/>
                <w:sz w:val="15"/>
                <w:szCs w:val="15"/>
              </w:rPr>
              <w:noBreakHyphen/>
              <w:t>17  publication</w:t>
            </w:r>
          </w:p>
        </w:tc>
        <w:tc>
          <w:tcPr>
            <w:tcW w:w="315" w:type="dxa"/>
            <w:tcBorders>
              <w:top w:val="single" w:sz="4" w:space="0" w:color="53565A"/>
              <w:left w:val="single" w:sz="4" w:space="0" w:color="53565A"/>
              <w:bottom w:val="single" w:sz="4" w:space="0" w:color="53565A"/>
              <w:right w:val="single" w:sz="4" w:space="0" w:color="53565A"/>
            </w:tcBorders>
            <w:shd w:val="clear" w:color="auto" w:fill="009CDE" w:themeFill="accent5"/>
            <w:vAlign w:val="center"/>
          </w:tcPr>
          <w:p w:rsidR="006D4EA2" w:rsidRPr="00892DE3" w:rsidRDefault="006D4EA2" w:rsidP="006D4EA2">
            <w:pPr>
              <w:pStyle w:val="Tabletext"/>
              <w:rPr>
                <w:b/>
                <w:sz w:val="15"/>
                <w:szCs w:val="15"/>
              </w:rPr>
            </w:pPr>
          </w:p>
        </w:tc>
        <w:tc>
          <w:tcPr>
            <w:tcW w:w="2093" w:type="dxa"/>
            <w:tcBorders>
              <w:top w:val="nil"/>
              <w:left w:val="single" w:sz="4" w:space="0" w:color="53565A"/>
              <w:bottom w:val="nil"/>
              <w:right w:val="nil"/>
            </w:tcBorders>
            <w:vAlign w:val="center"/>
          </w:tcPr>
          <w:p w:rsidR="006D4EA2" w:rsidRPr="00892DE3" w:rsidRDefault="006D4EA2" w:rsidP="006D4EA2">
            <w:pPr>
              <w:pStyle w:val="Tabletext"/>
              <w:rPr>
                <w:b/>
                <w:sz w:val="15"/>
                <w:szCs w:val="15"/>
              </w:rPr>
            </w:pPr>
            <w:r w:rsidRPr="00892DE3">
              <w:rPr>
                <w:b/>
                <w:sz w:val="15"/>
                <w:szCs w:val="15"/>
              </w:rPr>
              <w:t>2017</w:t>
            </w:r>
            <w:r w:rsidRPr="00892DE3">
              <w:rPr>
                <w:b/>
                <w:sz w:val="15"/>
                <w:szCs w:val="15"/>
              </w:rPr>
              <w:noBreakHyphen/>
              <w:t>18 publication</w:t>
            </w:r>
          </w:p>
        </w:tc>
      </w:tr>
    </w:tbl>
    <w:p w:rsidR="006D4EA2" w:rsidRPr="00892DE3" w:rsidRDefault="006D4EA2" w:rsidP="006D4EA2">
      <w:pPr>
        <w:pStyle w:val="Note"/>
      </w:pPr>
    </w:p>
    <w:p w:rsidR="006D4EA2" w:rsidRPr="00892DE3" w:rsidRDefault="006D4EA2" w:rsidP="006D4EA2">
      <w:pPr>
        <w:pStyle w:val="Note"/>
      </w:pPr>
      <w:r w:rsidRPr="00892DE3">
        <w:t>Notes:</w:t>
      </w:r>
    </w:p>
    <w:p w:rsidR="006D4EA2" w:rsidRPr="00892DE3" w:rsidRDefault="006D4EA2" w:rsidP="006D4EA2">
      <w:pPr>
        <w:pStyle w:val="Note"/>
      </w:pPr>
      <w:r w:rsidRPr="00892DE3">
        <w:t>(a)</w:t>
      </w:r>
      <w:r w:rsidRPr="00892DE3">
        <w:tab/>
        <w:t>The 2017-18 Budget will be tabled on 2 May 2017.</w:t>
      </w:r>
    </w:p>
    <w:p w:rsidR="006D4EA2" w:rsidRPr="00892DE3" w:rsidRDefault="006D4EA2" w:rsidP="006D4EA2">
      <w:pPr>
        <w:pStyle w:val="Note"/>
      </w:pPr>
      <w:r w:rsidRPr="00892DE3">
        <w:t>(b)</w:t>
      </w:r>
      <w:r w:rsidRPr="00892DE3">
        <w:tab/>
        <w:t xml:space="preserve">Tabled on or before 15th of the month. </w:t>
      </w:r>
    </w:p>
    <w:p w:rsidR="006D4EA2" w:rsidRPr="00892DE3" w:rsidRDefault="006D4EA2" w:rsidP="006D4EA2">
      <w:pPr>
        <w:pStyle w:val="Note"/>
      </w:pPr>
      <w:r w:rsidRPr="00892DE3">
        <w:t>(c)</w:t>
      </w:r>
      <w:r w:rsidRPr="00892DE3">
        <w:tab/>
        <w:t>Includes limited analysis of the whole of state.</w:t>
      </w:r>
    </w:p>
    <w:p w:rsidR="006D4EA2" w:rsidRPr="00892DE3" w:rsidRDefault="006D4EA2" w:rsidP="006D4EA2">
      <w:pPr>
        <w:pStyle w:val="Note"/>
      </w:pPr>
      <w:r w:rsidRPr="00892DE3">
        <w:t>(d)</w:t>
      </w:r>
      <w:r w:rsidRPr="00892DE3">
        <w:tab/>
        <w:t>At the time of issuing of this Model Report, it is anticipated that the indicative project timeline for the 2016-17 AFR is from July 2017 to October 2017.</w:t>
      </w:r>
    </w:p>
    <w:p w:rsidR="006D4EA2" w:rsidRPr="00892DE3" w:rsidRDefault="006D4EA2" w:rsidP="006D4EA2">
      <w:pPr>
        <w:pStyle w:val="Note"/>
      </w:pPr>
      <w:r w:rsidRPr="00892DE3">
        <w:t>(e)</w:t>
      </w:r>
      <w:r w:rsidRPr="00892DE3">
        <w:tab/>
        <w:t>The PEBU for the general government sector is due October/November 2018, and will be issued within 10 days after the writ to prorogue Parliament has been issued.</w:t>
      </w:r>
    </w:p>
    <w:p w:rsidR="006D4EA2" w:rsidRPr="00892DE3" w:rsidRDefault="006D4EA2" w:rsidP="006D4EA2">
      <w:pPr>
        <w:pStyle w:val="Note"/>
      </w:pPr>
    </w:p>
    <w:tbl>
      <w:tblPr>
        <w:tblW w:w="981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810"/>
        <w:gridCol w:w="3690"/>
        <w:gridCol w:w="720"/>
        <w:gridCol w:w="810"/>
        <w:gridCol w:w="3780"/>
      </w:tblGrid>
      <w:tr w:rsidR="006D4EA2" w:rsidRPr="00892DE3" w:rsidTr="006D4EA2">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GGS:</w:t>
            </w:r>
          </w:p>
        </w:tc>
        <w:tc>
          <w:tcPr>
            <w:tcW w:w="369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General government sector</w:t>
            </w:r>
          </w:p>
        </w:tc>
        <w:tc>
          <w:tcPr>
            <w:tcW w:w="720" w:type="dxa"/>
            <w:tcBorders>
              <w:top w:val="nil"/>
              <w:left w:val="single" w:sz="4" w:space="0" w:color="53565A"/>
              <w:bottom w:val="nil"/>
              <w:right w:val="single" w:sz="4" w:space="0" w:color="53565A"/>
            </w:tcBorders>
            <w:shd w:val="clear" w:color="auto" w:fill="auto"/>
          </w:tcPr>
          <w:p w:rsidR="006D4EA2" w:rsidRPr="00892DE3" w:rsidRDefault="006D4EA2" w:rsidP="006D4EA2">
            <w:pPr>
              <w:pStyle w:val="Tabletext"/>
              <w:rPr>
                <w:sz w:val="15"/>
                <w:szCs w:val="15"/>
              </w:rPr>
            </w:pPr>
          </w:p>
        </w:tc>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WOS:</w:t>
            </w:r>
          </w:p>
        </w:tc>
        <w:tc>
          <w:tcPr>
            <w:tcW w:w="378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 xml:space="preserve">Whole of state </w:t>
            </w:r>
          </w:p>
        </w:tc>
      </w:tr>
      <w:tr w:rsidR="006D4EA2" w:rsidRPr="00892DE3" w:rsidTr="006D4EA2">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PNFCs:</w:t>
            </w:r>
          </w:p>
        </w:tc>
        <w:tc>
          <w:tcPr>
            <w:tcW w:w="369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Public non</w:t>
            </w:r>
            <w:r w:rsidRPr="00892DE3">
              <w:rPr>
                <w:sz w:val="15"/>
                <w:szCs w:val="15"/>
              </w:rPr>
              <w:noBreakHyphen/>
              <w:t>financial corporations entities</w:t>
            </w:r>
          </w:p>
        </w:tc>
        <w:tc>
          <w:tcPr>
            <w:tcW w:w="720" w:type="dxa"/>
            <w:tcBorders>
              <w:top w:val="nil"/>
              <w:left w:val="single" w:sz="4" w:space="0" w:color="53565A"/>
              <w:bottom w:val="nil"/>
              <w:right w:val="single" w:sz="4" w:space="0" w:color="53565A"/>
            </w:tcBorders>
            <w:shd w:val="clear" w:color="auto" w:fill="auto"/>
          </w:tcPr>
          <w:p w:rsidR="006D4EA2" w:rsidRPr="00892DE3" w:rsidRDefault="006D4EA2" w:rsidP="006D4EA2">
            <w:pPr>
              <w:pStyle w:val="Tabletext"/>
              <w:rPr>
                <w:sz w:val="15"/>
                <w:szCs w:val="15"/>
              </w:rPr>
            </w:pPr>
          </w:p>
        </w:tc>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PFCs:</w:t>
            </w:r>
          </w:p>
        </w:tc>
        <w:tc>
          <w:tcPr>
            <w:tcW w:w="378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Public financial corporations entities</w:t>
            </w:r>
          </w:p>
        </w:tc>
      </w:tr>
      <w:tr w:rsidR="006D4EA2" w:rsidRPr="00892DE3" w:rsidTr="006D4EA2">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ER</w:t>
            </w:r>
            <w:r w:rsidR="004B2293" w:rsidRPr="00892DE3">
              <w:rPr>
                <w:sz w:val="15"/>
                <w:szCs w:val="15"/>
              </w:rPr>
              <w:t>S</w:t>
            </w:r>
            <w:r w:rsidRPr="00892DE3">
              <w:rPr>
                <w:sz w:val="15"/>
                <w:szCs w:val="15"/>
              </w:rPr>
              <w:t>C:</w:t>
            </w:r>
          </w:p>
        </w:tc>
        <w:tc>
          <w:tcPr>
            <w:tcW w:w="369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 xml:space="preserve">Expenditure Review </w:t>
            </w:r>
            <w:r w:rsidR="004B2293" w:rsidRPr="00892DE3">
              <w:rPr>
                <w:sz w:val="15"/>
                <w:szCs w:val="15"/>
              </w:rPr>
              <w:t>Sub-</w:t>
            </w:r>
            <w:r w:rsidRPr="00892DE3">
              <w:rPr>
                <w:sz w:val="15"/>
                <w:szCs w:val="15"/>
              </w:rPr>
              <w:t>Committee</w:t>
            </w:r>
          </w:p>
        </w:tc>
        <w:tc>
          <w:tcPr>
            <w:tcW w:w="720" w:type="dxa"/>
            <w:tcBorders>
              <w:top w:val="nil"/>
              <w:left w:val="single" w:sz="4" w:space="0" w:color="53565A"/>
              <w:bottom w:val="nil"/>
              <w:right w:val="single" w:sz="4" w:space="0" w:color="53565A"/>
            </w:tcBorders>
            <w:shd w:val="clear" w:color="auto" w:fill="auto"/>
          </w:tcPr>
          <w:p w:rsidR="006D4EA2" w:rsidRPr="00892DE3" w:rsidRDefault="006D4EA2" w:rsidP="006D4EA2">
            <w:pPr>
              <w:pStyle w:val="Tabletext"/>
              <w:rPr>
                <w:sz w:val="15"/>
                <w:szCs w:val="15"/>
              </w:rPr>
            </w:pPr>
          </w:p>
        </w:tc>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GGE:</w:t>
            </w:r>
          </w:p>
        </w:tc>
        <w:tc>
          <w:tcPr>
            <w:tcW w:w="378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 xml:space="preserve">General government entities </w:t>
            </w:r>
          </w:p>
        </w:tc>
      </w:tr>
    </w:tbl>
    <w:p w:rsidR="006D4EA2" w:rsidRPr="00892DE3" w:rsidRDefault="006D4EA2" w:rsidP="006D4EA2"/>
    <w:p w:rsidR="006D4EA2" w:rsidRPr="00892DE3" w:rsidRDefault="006D4EA2" w:rsidP="006D4EA2"/>
    <w:p w:rsidR="006D4EA2" w:rsidRPr="00892DE3" w:rsidRDefault="006D4EA2" w:rsidP="00E125A5">
      <w:pPr>
        <w:pStyle w:val="Heading20"/>
      </w:pPr>
      <w:bookmarkStart w:id="5" w:name="_Toc481592311"/>
      <w:r w:rsidRPr="00892DE3">
        <w:t>Basis of each financial publication</w:t>
      </w:r>
      <w:bookmarkEnd w:id="5"/>
    </w:p>
    <w:p w:rsidR="006D4EA2" w:rsidRPr="00892DE3" w:rsidRDefault="006D4EA2" w:rsidP="006D4EA2">
      <w:r w:rsidRPr="00892DE3">
        <w:t xml:space="preserve">Financial statements (including accompanying notes) are prepared in accordance with Australian Accounting Standards (AASs) and relevant FRDs. In addition, the budget papers and AFR need to comply with the Uniform Presentation Framework (UPF), approved by the Australian Loan Council. The UPF is based on the Government finance statistics (GFS) framework, designed to provide statistics related to all Australian public sector entities. </w:t>
      </w:r>
    </w:p>
    <w:p w:rsidR="006D4EA2" w:rsidRPr="00892DE3" w:rsidRDefault="006D4EA2" w:rsidP="006D4EA2">
      <w:r w:rsidRPr="00892DE3">
        <w:t xml:space="preserve">Since 1 July 2008, AASB 1049 </w:t>
      </w:r>
      <w:r w:rsidRPr="00892DE3">
        <w:rPr>
          <w:i/>
        </w:rPr>
        <w:t>Whole of government and general government sector financial reporting</w:t>
      </w:r>
      <w:r w:rsidRPr="00892DE3">
        <w:t xml:space="preserve"> has been applied to whole of government general purpose financial statements and general government sector financial statements. This standard incorporates the major elements of the GFS framework into an accounting standard. It resulted in a comprehensive operating statement presentation largely consistent with that used by Victoria at the consolidated level for some years. The UPF was also updated based on AASB 1049 to provide consistency in the presentation formats of the financial statements with the AAS formats.</w:t>
      </w:r>
    </w:p>
    <w:p w:rsidR="006D4EA2" w:rsidRPr="00892DE3" w:rsidRDefault="006D4EA2" w:rsidP="006D4EA2">
      <w:r w:rsidRPr="00892DE3">
        <w:t xml:space="preserve">For further information, extracts from the complete set of most recently published financial statements from the budget estimates, QFRs, MYFR, and AFR can be found in Appendix 1 </w:t>
      </w:r>
      <w:r w:rsidRPr="00892DE3">
        <w:rPr>
          <w:i/>
        </w:rPr>
        <w:t>Extracts of whole of government financial statements and analysis of disclosures</w:t>
      </w:r>
      <w:r w:rsidRPr="00892DE3">
        <w:t xml:space="preserve">. </w:t>
      </w:r>
    </w:p>
    <w:p w:rsidR="006D4EA2" w:rsidRPr="00892DE3" w:rsidRDefault="006D4EA2" w:rsidP="006D4EA2">
      <w:r w:rsidRPr="00892DE3">
        <w:t>In addition to financial statements and notes, most annual reports also include a narrative (management discussion and analysis), usually provided in the report of operations. The best practice is to include non-technical analysis and explanation of significant aspects of the financial statements in this narrative report, to assist users in the interpretation of the financial statements.</w:t>
      </w:r>
    </w:p>
    <w:p w:rsidR="006D4EA2" w:rsidRPr="00892DE3" w:rsidRDefault="006D4EA2" w:rsidP="006D4EA2">
      <w:r w:rsidRPr="00892DE3">
        <w:br w:type="page"/>
      </w:r>
    </w:p>
    <w:p w:rsidR="006D4EA2" w:rsidRPr="00892DE3" w:rsidRDefault="006D4EA2" w:rsidP="00E125A5">
      <w:pPr>
        <w:pStyle w:val="Heading20"/>
      </w:pPr>
      <w:bookmarkStart w:id="6" w:name="_Toc481592312"/>
      <w:r w:rsidRPr="00892DE3">
        <w:lastRenderedPageBreak/>
        <w:t>The Model report – purpose and scope</w:t>
      </w:r>
      <w:bookmarkEnd w:id="6"/>
    </w:p>
    <w:p w:rsidR="006D4EA2" w:rsidRPr="00892DE3" w:rsidRDefault="006D4EA2" w:rsidP="006D4EA2">
      <w:r w:rsidRPr="00892DE3">
        <w:t>In addition to the State’s financial publications produced by DTF, the FMA also requires audited annual reports of government departments and public bodies to be tabled in Parliament within four months after the end of financial year or on the first sitting day of the House after the end of that month.</w:t>
      </w:r>
    </w:p>
    <w:p w:rsidR="006D4EA2" w:rsidRPr="00892DE3" w:rsidRDefault="006D4EA2" w:rsidP="006D4EA2">
      <w:r w:rsidRPr="00892DE3">
        <w:t xml:space="preserve">Under </w:t>
      </w:r>
      <w:r w:rsidRPr="00892DE3">
        <w:rPr>
          <w:i/>
        </w:rPr>
        <w:t>Standing Direction 5.2 Annual reporting</w:t>
      </w:r>
      <w:r w:rsidRPr="00892DE3">
        <w:t xml:space="preserve"> (SD), </w:t>
      </w:r>
      <w:r w:rsidRPr="00892DE3">
        <w:rPr>
          <w:b/>
        </w:rPr>
        <w:t>all Victorian government departments</w:t>
      </w:r>
      <w:r w:rsidRPr="00892DE3">
        <w:t xml:space="preserve"> are required to comply with the Model when preparing and tabling their annual reports in Parliament. </w:t>
      </w:r>
    </w:p>
    <w:p w:rsidR="006D4EA2" w:rsidRPr="00892DE3" w:rsidRDefault="006D4EA2" w:rsidP="006D4EA2">
      <w:r w:rsidRPr="00892DE3">
        <w:t>These departments include the Departments of:</w:t>
      </w:r>
    </w:p>
    <w:p w:rsidR="006D4EA2" w:rsidRPr="00892DE3" w:rsidRDefault="006D4EA2" w:rsidP="006D4EA2">
      <w:pPr>
        <w:pStyle w:val="ListBullet"/>
      </w:pPr>
      <w:r w:rsidRPr="00892DE3">
        <w:t>Education and Training;</w:t>
      </w:r>
    </w:p>
    <w:p w:rsidR="006D4EA2" w:rsidRPr="00892DE3" w:rsidRDefault="006D4EA2" w:rsidP="006D4EA2">
      <w:pPr>
        <w:pStyle w:val="ListBullet"/>
      </w:pPr>
      <w:r w:rsidRPr="00892DE3">
        <w:t>Economic Development, Jobs, Transport and Resources;</w:t>
      </w:r>
    </w:p>
    <w:p w:rsidR="006D4EA2" w:rsidRPr="00892DE3" w:rsidRDefault="006D4EA2" w:rsidP="006D4EA2">
      <w:pPr>
        <w:pStyle w:val="ListBullet"/>
      </w:pPr>
      <w:r w:rsidRPr="00892DE3">
        <w:t>Environment, Land, Water and Planning;</w:t>
      </w:r>
    </w:p>
    <w:p w:rsidR="006D4EA2" w:rsidRPr="00892DE3" w:rsidRDefault="006D4EA2" w:rsidP="006D4EA2">
      <w:pPr>
        <w:pStyle w:val="ListBullet"/>
      </w:pPr>
      <w:r w:rsidRPr="00892DE3">
        <w:t>Health and Human Services;</w:t>
      </w:r>
    </w:p>
    <w:p w:rsidR="006D4EA2" w:rsidRPr="00892DE3" w:rsidRDefault="006D4EA2" w:rsidP="006D4EA2">
      <w:pPr>
        <w:pStyle w:val="ListBullet"/>
      </w:pPr>
      <w:r w:rsidRPr="00892DE3">
        <w:t>Justice and Regulation;</w:t>
      </w:r>
    </w:p>
    <w:p w:rsidR="006D4EA2" w:rsidRPr="00892DE3" w:rsidRDefault="006D4EA2" w:rsidP="006D4EA2">
      <w:pPr>
        <w:pStyle w:val="ListBullet"/>
      </w:pPr>
      <w:r w:rsidRPr="00892DE3">
        <w:t>Premier and Cabinet; and</w:t>
      </w:r>
    </w:p>
    <w:p w:rsidR="006D4EA2" w:rsidRPr="00892DE3" w:rsidRDefault="006D4EA2" w:rsidP="006D4EA2">
      <w:pPr>
        <w:pStyle w:val="ListBullet"/>
      </w:pPr>
      <w:r w:rsidRPr="00892DE3">
        <w:t>Treasury and Finance.</w:t>
      </w:r>
    </w:p>
    <w:p w:rsidR="006D4EA2" w:rsidRPr="00892DE3" w:rsidRDefault="006D4EA2" w:rsidP="006D4EA2">
      <w:pPr>
        <w:rPr>
          <w:b/>
          <w:color w:val="0072CE" w:themeColor="accent4"/>
        </w:rPr>
      </w:pPr>
      <w:r w:rsidRPr="00892DE3">
        <w:t xml:space="preserve">The Model has adopted the financial statement formats that align with the general government sector and whole of government formats. For consistency and comparability purposes, the Parliament of Victoria and all other Victorian public sector entities are encouraged to produce their annual reports with reference to this Model. </w:t>
      </w:r>
      <w:r w:rsidRPr="00892DE3">
        <w:rPr>
          <w:b/>
          <w:color w:val="0072CE" w:themeColor="accent4"/>
        </w:rPr>
        <w:t>Judgement is required to determine where to apply or modify the Model to meet the entity specific reporting requirements.</w:t>
      </w:r>
    </w:p>
    <w:p w:rsidR="006D4EA2" w:rsidRPr="00892DE3" w:rsidRDefault="006D4EA2" w:rsidP="00E125A5">
      <w:pPr>
        <w:pStyle w:val="Heading20"/>
      </w:pPr>
      <w:bookmarkStart w:id="7" w:name="_Toc481592313"/>
      <w:r w:rsidRPr="00892DE3">
        <w:t>How to use the Model report</w:t>
      </w:r>
      <w:bookmarkEnd w:id="7"/>
    </w:p>
    <w:p w:rsidR="006D4EA2" w:rsidRPr="00892DE3" w:rsidRDefault="0026070F" w:rsidP="006D4EA2">
      <w:r w:rsidRPr="00892DE3">
        <w:t>T</w:t>
      </w:r>
      <w:r w:rsidR="006D4EA2" w:rsidRPr="00892DE3">
        <w:t>he Model prescribe</w:t>
      </w:r>
      <w:r w:rsidRPr="00892DE3">
        <w:t>s</w:t>
      </w:r>
      <w:r w:rsidR="006D4EA2" w:rsidRPr="00892DE3">
        <w:t xml:space="preserve"> a consistent approach to the preparation of both the financial and non-financial reporting requirements of </w:t>
      </w:r>
      <w:r w:rsidR="006D4EA2" w:rsidRPr="00892DE3">
        <w:rPr>
          <w:b/>
        </w:rPr>
        <w:t>departmental</w:t>
      </w:r>
      <w:r w:rsidR="006D4EA2" w:rsidRPr="00892DE3">
        <w:t xml:space="preserve"> annual reports. It includes:</w:t>
      </w:r>
    </w:p>
    <w:p w:rsidR="006D4EA2" w:rsidRPr="00892DE3" w:rsidRDefault="006D4EA2" w:rsidP="006D4EA2">
      <w:pPr>
        <w:pStyle w:val="ListBullet"/>
      </w:pPr>
      <w:r w:rsidRPr="00892DE3">
        <w:t xml:space="preserve">guidance and commentaries highlighting the minimum disclosure requirements; </w:t>
      </w:r>
    </w:p>
    <w:p w:rsidR="006D4EA2" w:rsidRPr="00892DE3" w:rsidRDefault="006D4EA2" w:rsidP="006D4EA2">
      <w:pPr>
        <w:pStyle w:val="ListBullet"/>
      </w:pPr>
      <w:r w:rsidRPr="00892DE3">
        <w:t xml:space="preserve">convenient references and interpretations of relevant authoritative pronouncements; and </w:t>
      </w:r>
    </w:p>
    <w:p w:rsidR="006D4EA2" w:rsidRPr="00892DE3" w:rsidRDefault="006D4EA2" w:rsidP="006D4EA2">
      <w:pPr>
        <w:pStyle w:val="ListBullet"/>
      </w:pPr>
      <w:r w:rsidRPr="00892DE3">
        <w:t>illustrative AAS and FRD disclosures related to common departmental activities.</w:t>
      </w:r>
    </w:p>
    <w:p w:rsidR="006D4EA2" w:rsidRPr="00892DE3" w:rsidRDefault="006D4EA2" w:rsidP="006D4EA2">
      <w:r w:rsidRPr="00892DE3">
        <w:t xml:space="preserve">The Model addresses the departmental requirements for a complete set of financial statements (refer to the </w:t>
      </w:r>
      <w:r w:rsidRPr="00892DE3">
        <w:rPr>
          <w:i/>
        </w:rPr>
        <w:t>Model financial statements</w:t>
      </w:r>
      <w:r w:rsidRPr="00892DE3">
        <w:t xml:space="preserve"> section) and in a separate section, the requirements of the FMA and FRDs for non</w:t>
      </w:r>
      <w:r w:rsidRPr="00892DE3">
        <w:noBreakHyphen/>
        <w:t xml:space="preserve">financial performance disclosures in a report of operations (refer to the </w:t>
      </w:r>
      <w:r w:rsidRPr="00892DE3">
        <w:rPr>
          <w:i/>
        </w:rPr>
        <w:t>Model report of operations</w:t>
      </w:r>
      <w:r w:rsidRPr="00892DE3">
        <w:t xml:space="preserve"> section). </w:t>
      </w:r>
    </w:p>
    <w:p w:rsidR="006D4EA2" w:rsidRPr="00892DE3" w:rsidRDefault="006D4EA2" w:rsidP="006D4EA2">
      <w:r w:rsidRPr="00892DE3">
        <w:t xml:space="preserve">It should be noted that the Model is based on a fictitious department, and therefore the narrative illustrations should be used as a guide only. </w:t>
      </w:r>
    </w:p>
    <w:p w:rsidR="006D4EA2" w:rsidRPr="00892DE3" w:rsidRDefault="006D4EA2" w:rsidP="006D4EA2">
      <w:r w:rsidRPr="00892DE3">
        <w:t xml:space="preserve">This Model will enable preparers to readily identify applicable legislative and accounting reporting requirements, and to view related illustrative examples. In this way, the Model can be used as a basic guide for developing Victorian public sector financial statements. </w:t>
      </w:r>
      <w:r w:rsidRPr="00892DE3">
        <w:rPr>
          <w:b/>
          <w:color w:val="0072CE" w:themeColor="accent4"/>
        </w:rPr>
        <w:t>However, the Model should not be used as a substitute for referring to actual legislation, AASs and FRDs that are relevant to the entity.</w:t>
      </w:r>
    </w:p>
    <w:p w:rsidR="006D4EA2" w:rsidRPr="00892DE3" w:rsidRDefault="006D4EA2" w:rsidP="006D4EA2">
      <w:r w:rsidRPr="00892DE3">
        <w:t xml:space="preserve">Further, Appendix 1(d) </w:t>
      </w:r>
      <w:r w:rsidRPr="00892DE3">
        <w:rPr>
          <w:i/>
        </w:rPr>
        <w:t>Analysis of disclosures made in Victorian financial publications</w:t>
      </w:r>
      <w:r w:rsidRPr="00892DE3">
        <w:t xml:space="preserve"> provides a helpful cross reference guide between the types of disclosure found in the Model’s financial statements and notes with those produced in the most recent financial publications for the State. </w:t>
      </w:r>
    </w:p>
    <w:p w:rsidR="006D4EA2" w:rsidRPr="00892DE3" w:rsidRDefault="006D4EA2" w:rsidP="006D4EA2">
      <w:pPr>
        <w:pStyle w:val="BodyText"/>
      </w:pPr>
      <w:r w:rsidRPr="00892DE3">
        <w:br w:type="page"/>
      </w:r>
    </w:p>
    <w:p w:rsidR="004E2F32" w:rsidRPr="00323951" w:rsidRDefault="00323951" w:rsidP="0095112E">
      <w:pPr>
        <w:pStyle w:val="Heading20"/>
        <w:rPr>
          <w:caps/>
          <w:sz w:val="28"/>
        </w:rPr>
      </w:pPr>
      <w:bookmarkStart w:id="8" w:name="_Toc481592314"/>
      <w:r w:rsidRPr="00323951">
        <w:rPr>
          <w:caps/>
          <w:sz w:val="28"/>
        </w:rPr>
        <w:lastRenderedPageBreak/>
        <w:t>Setting the scene</w:t>
      </w:r>
      <w:bookmarkEnd w:id="8"/>
    </w:p>
    <w:p w:rsidR="004E2F32" w:rsidRPr="00892DE3" w:rsidRDefault="004E2F32" w:rsidP="0095112E">
      <w:pPr>
        <w:pStyle w:val="Heading20"/>
      </w:pPr>
      <w:bookmarkStart w:id="9" w:name="_Toc481592315"/>
      <w:r w:rsidRPr="00892DE3">
        <w:t>A model to assist with public sector financial reporting requirements</w:t>
      </w:r>
      <w:bookmarkEnd w:id="9"/>
    </w:p>
    <w:p w:rsidR="004E2F32" w:rsidRPr="00892DE3" w:rsidRDefault="002C4844" w:rsidP="004E2F32">
      <w:r w:rsidRPr="00892DE3">
        <w:t>T</w:t>
      </w:r>
      <w:r w:rsidR="004E2F32" w:rsidRPr="00892DE3">
        <w:t>he Mod</w:t>
      </w:r>
      <w:r w:rsidRPr="00892DE3">
        <w:t>el is published</w:t>
      </w:r>
      <w:r w:rsidR="004E2F32" w:rsidRPr="00892DE3">
        <w:t xml:space="preserve"> as the primary guide to assist public sector entities with their financial reporting requirements.</w:t>
      </w:r>
    </w:p>
    <w:p w:rsidR="004E2F32" w:rsidRPr="00892DE3" w:rsidRDefault="002C4844" w:rsidP="004E2F32">
      <w:r w:rsidRPr="00892DE3">
        <w:t>All agencies</w:t>
      </w:r>
      <w:r w:rsidR="004E2F32" w:rsidRPr="00892DE3">
        <w:t xml:space="preserve"> are required to table audited annual reports in Parliament in compliance with </w:t>
      </w:r>
      <w:r w:rsidR="004E2F32" w:rsidRPr="00892DE3">
        <w:rPr>
          <w:i/>
        </w:rPr>
        <w:t>Financial Management Act 1994</w:t>
      </w:r>
      <w:r w:rsidR="004E2F32" w:rsidRPr="00892DE3">
        <w:t xml:space="preserve"> (FMA), including the Standing Directions (SD) of the Minister for Finance. </w:t>
      </w:r>
    </w:p>
    <w:p w:rsidR="004E2F32" w:rsidRPr="00892DE3" w:rsidRDefault="00811F01" w:rsidP="004E2F32">
      <w:r>
        <w:t xml:space="preserve">Those annual reports which consist of </w:t>
      </w:r>
      <w:r w:rsidR="003768FD">
        <w:t xml:space="preserve">the </w:t>
      </w:r>
      <w:r>
        <w:t xml:space="preserve">Report of Operations and Financial Statements </w:t>
      </w:r>
      <w:r w:rsidR="004E2F32" w:rsidRPr="00892DE3">
        <w:t>have to be prepared in accordance with:</w:t>
      </w:r>
    </w:p>
    <w:p w:rsidR="004E2F32" w:rsidRPr="00892DE3" w:rsidRDefault="004E2F32" w:rsidP="004E2F32">
      <w:pPr>
        <w:pStyle w:val="ListBullet"/>
      </w:pPr>
      <w:r w:rsidRPr="00892DE3">
        <w:t>Australian Accounting Standards (AAS) which includes Interpretations;</w:t>
      </w:r>
    </w:p>
    <w:p w:rsidR="004E2F32" w:rsidRPr="00892DE3" w:rsidRDefault="004E2F32" w:rsidP="004E2F32">
      <w:pPr>
        <w:pStyle w:val="ListBullet"/>
      </w:pPr>
      <w:r w:rsidRPr="00892DE3">
        <w:t>Financial Reporting Directions (FRD);</w:t>
      </w:r>
    </w:p>
    <w:p w:rsidR="004E2F32" w:rsidRPr="00892DE3" w:rsidRDefault="004E2F32" w:rsidP="004E2F32">
      <w:pPr>
        <w:pStyle w:val="ListBullet"/>
      </w:pPr>
      <w:r w:rsidRPr="00892DE3">
        <w:t>Budget Operations Framework (BOF);</w:t>
      </w:r>
    </w:p>
    <w:p w:rsidR="004E2F32" w:rsidRPr="00892DE3" w:rsidRDefault="004E2F32" w:rsidP="004E2F32">
      <w:pPr>
        <w:pStyle w:val="ListBullet"/>
      </w:pPr>
      <w:r w:rsidRPr="00892DE3">
        <w:t xml:space="preserve">Financial Reporting Operations Framework (FROF); and </w:t>
      </w:r>
    </w:p>
    <w:p w:rsidR="004E2F32" w:rsidRPr="00892DE3" w:rsidRDefault="004E2F32" w:rsidP="004E2F32">
      <w:pPr>
        <w:pStyle w:val="ListBullet"/>
      </w:pPr>
      <w:r w:rsidRPr="00892DE3">
        <w:t>Performance Management Framework (PMF).</w:t>
      </w:r>
    </w:p>
    <w:p w:rsidR="004E2F32" w:rsidRPr="00892DE3" w:rsidRDefault="004E2F32" w:rsidP="004E2F32">
      <w:r w:rsidRPr="00892DE3">
        <w:t>To assist public sector entities in discharging their responsibilities, this Model adopts the financial statement formats that align with the general government sector and whole of government formats.</w:t>
      </w:r>
    </w:p>
    <w:p w:rsidR="004E2F32" w:rsidRPr="00892DE3" w:rsidRDefault="004E2F32" w:rsidP="004E2F32">
      <w:r w:rsidRPr="00892DE3">
        <w:t>The Model illustrates the minimum disclosure requirements in accordance with applicable AASs and FRDs.</w:t>
      </w:r>
    </w:p>
    <w:p w:rsidR="004E2F32" w:rsidRPr="00892DE3" w:rsidRDefault="004E2F32" w:rsidP="004E2F32">
      <w:pPr>
        <w:pStyle w:val="HighlightBoxHeading"/>
      </w:pPr>
      <w:r w:rsidRPr="00892DE3">
        <w:t>Key reminders</w:t>
      </w:r>
    </w:p>
    <w:p w:rsidR="004E2F32" w:rsidRPr="00892DE3" w:rsidRDefault="004E2F32" w:rsidP="004E2F32">
      <w:pPr>
        <w:pStyle w:val="HighlightBoxText"/>
      </w:pPr>
      <w:r w:rsidRPr="00892DE3">
        <w:t>Do:</w:t>
      </w:r>
    </w:p>
    <w:p w:rsidR="004E2F32" w:rsidRPr="00892DE3" w:rsidRDefault="004E2F32" w:rsidP="004E2F32">
      <w:pPr>
        <w:pStyle w:val="HighlightBoxBullet"/>
      </w:pPr>
      <w:r w:rsidRPr="00892DE3">
        <w:t>apply the disclosure requirements included within the Model for all government departments (mandatory);</w:t>
      </w:r>
    </w:p>
    <w:p w:rsidR="004E2F32" w:rsidRPr="00892DE3" w:rsidRDefault="004E2F32" w:rsidP="004E2F32">
      <w:pPr>
        <w:pStyle w:val="HighlightBoxBullet"/>
      </w:pPr>
      <w:r w:rsidRPr="00892DE3">
        <w:t>refer to the Model for all other public sector entities (encouraged);</w:t>
      </w:r>
    </w:p>
    <w:p w:rsidR="004E2F32" w:rsidRPr="00892DE3" w:rsidRDefault="004E2F32" w:rsidP="004E2F32">
      <w:pPr>
        <w:pStyle w:val="HighlightBoxBullet"/>
      </w:pPr>
      <w:r w:rsidRPr="00892DE3">
        <w:t>apply judgement in determining whether the Model needs to be modified to meet entity specific reporting requirements;</w:t>
      </w:r>
    </w:p>
    <w:p w:rsidR="004E2F32" w:rsidRPr="00892DE3" w:rsidRDefault="004E2F32" w:rsidP="004E2F32">
      <w:pPr>
        <w:pStyle w:val="HighlightBoxBullet"/>
      </w:pPr>
      <w:r w:rsidRPr="00892DE3">
        <w:t>apply all AASs and FRDs – even those issued after the publication of the Model;</w:t>
      </w:r>
    </w:p>
    <w:p w:rsidR="004E2F32" w:rsidRPr="00892DE3" w:rsidRDefault="004E2F32" w:rsidP="004E2F32">
      <w:pPr>
        <w:pStyle w:val="HighlightBoxBullet"/>
      </w:pPr>
      <w:r w:rsidRPr="00892DE3">
        <w:t>apply FRD 30C specifications when preparing annual reports; and</w:t>
      </w:r>
    </w:p>
    <w:p w:rsidR="004E2F32" w:rsidRPr="00892DE3" w:rsidRDefault="004E2F32" w:rsidP="004E2F32">
      <w:pPr>
        <w:pStyle w:val="HighlightBoxBullet"/>
      </w:pPr>
      <w:r w:rsidRPr="00892DE3">
        <w:t>determine which disclosures could be omitted because they are not quantitatively or qualitatively material</w:t>
      </w:r>
    </w:p>
    <w:p w:rsidR="004E2F32" w:rsidRPr="00892DE3" w:rsidRDefault="004E2F32" w:rsidP="004E2F32">
      <w:pPr>
        <w:pStyle w:val="HighlightBoxBullet"/>
        <w:numPr>
          <w:ilvl w:val="0"/>
          <w:numId w:val="0"/>
        </w:numPr>
      </w:pPr>
    </w:p>
    <w:p w:rsidR="004E2F32" w:rsidRPr="00892DE3" w:rsidRDefault="004E2F32" w:rsidP="004E2F32">
      <w:pPr>
        <w:pStyle w:val="HighlightBoxText"/>
      </w:pPr>
      <w:r w:rsidRPr="00892DE3">
        <w:t>Don’t:</w:t>
      </w:r>
    </w:p>
    <w:p w:rsidR="004E2F32" w:rsidRPr="00892DE3" w:rsidRDefault="004E2F32" w:rsidP="004E2F32">
      <w:pPr>
        <w:pStyle w:val="HighlightBoxBullet"/>
      </w:pPr>
      <w:r w:rsidRPr="00892DE3">
        <w:t>use the Model as a template – it provides presentation formats and illustrative disclosures that need to be modified for the public sector specific circumstances and requirements; and</w:t>
      </w:r>
    </w:p>
    <w:p w:rsidR="004E2F32" w:rsidRPr="00892DE3" w:rsidRDefault="004E2F32" w:rsidP="004E2F32">
      <w:pPr>
        <w:pStyle w:val="HighlightBoxBullet"/>
      </w:pPr>
      <w:r w:rsidRPr="00892DE3">
        <w:t>use the Model as a substitute for referring to AAS and FRDs.</w:t>
      </w:r>
    </w:p>
    <w:p w:rsidR="004E2F32" w:rsidRPr="00892DE3" w:rsidRDefault="004E2F32" w:rsidP="004E2F32">
      <w:pPr>
        <w:keepLines w:val="0"/>
      </w:pPr>
    </w:p>
    <w:p w:rsidR="004E2F32" w:rsidRPr="00892DE3" w:rsidRDefault="004E2F32" w:rsidP="004E2F32">
      <w:pPr>
        <w:pStyle w:val="Heading20"/>
      </w:pPr>
      <w:bookmarkStart w:id="10" w:name="_Toc481592316"/>
      <w:r w:rsidRPr="00892DE3">
        <w:t>The model financial statements have changed… significantly!</w:t>
      </w:r>
      <w:bookmarkEnd w:id="10"/>
    </w:p>
    <w:p w:rsidR="004E2F32" w:rsidRPr="00892DE3" w:rsidRDefault="002C4844" w:rsidP="004E2F32">
      <w:r w:rsidRPr="00892DE3">
        <w:t xml:space="preserve">The Model financial statements have been presented in a </w:t>
      </w:r>
      <w:r w:rsidR="00CB3924" w:rsidRPr="00892DE3">
        <w:t>different</w:t>
      </w:r>
      <w:r w:rsidRPr="00892DE3">
        <w:t xml:space="preserve"> format</w:t>
      </w:r>
      <w:r w:rsidR="00CB3924" w:rsidRPr="00892DE3">
        <w:t xml:space="preserve"> which is aligned with</w:t>
      </w:r>
      <w:r w:rsidR="004E2F32" w:rsidRPr="00892DE3">
        <w:t xml:space="preserve"> the changing financial reporting landscape. </w:t>
      </w:r>
    </w:p>
    <w:p w:rsidR="004E2F32" w:rsidRPr="00892DE3" w:rsidRDefault="004E2F32" w:rsidP="004E2F32">
      <w:r w:rsidRPr="00892DE3">
        <w:t>This manner of financial reporting is commonly referred to as streamlined financial reporting and it aims to present information in a more user-friendly way, achieved by:</w:t>
      </w:r>
    </w:p>
    <w:p w:rsidR="004E2F32" w:rsidRPr="00892DE3" w:rsidRDefault="004E2F32" w:rsidP="004E2F32">
      <w:pPr>
        <w:pStyle w:val="ListBullet"/>
      </w:pPr>
      <w:r w:rsidRPr="00892DE3">
        <w:t>structuring the financial statements into sections that provide an insight into how management views the entity and its operations;</w:t>
      </w:r>
    </w:p>
    <w:p w:rsidR="004E2F32" w:rsidRPr="00892DE3" w:rsidRDefault="004E2F32" w:rsidP="004E2F32">
      <w:pPr>
        <w:pStyle w:val="ListBullet"/>
      </w:pPr>
      <w:r w:rsidRPr="00892DE3">
        <w:t>provide all relevant information in connection with a particular financial statement line item in one place (amounts, accounting policies and judgements just to name a few);</w:t>
      </w:r>
    </w:p>
    <w:p w:rsidR="004E2F32" w:rsidRPr="00892DE3" w:rsidRDefault="004E2F32" w:rsidP="004E2F32">
      <w:pPr>
        <w:pStyle w:val="ListBullet"/>
      </w:pPr>
      <w:r w:rsidRPr="00892DE3">
        <w:t>cutting down on duplication and disclosures that do not provide relevant information; and</w:t>
      </w:r>
    </w:p>
    <w:p w:rsidR="004E2F32" w:rsidRPr="00892DE3" w:rsidRDefault="004E2F32" w:rsidP="004E2F32">
      <w:pPr>
        <w:pStyle w:val="ListBullet"/>
      </w:pPr>
      <w:r w:rsidRPr="00892DE3">
        <w:t>removing disclosures that are not material.</w:t>
      </w:r>
    </w:p>
    <w:p w:rsidR="004E2F32" w:rsidRPr="00892DE3" w:rsidRDefault="004E2F32" w:rsidP="004E2F32">
      <w:r w:rsidRPr="00892DE3">
        <w:t xml:space="preserve">Using the 2015-16 Model financial statements as a starting point, </w:t>
      </w:r>
      <w:r w:rsidR="00725C7B" w:rsidRPr="00892DE3">
        <w:t>thoughts and considerations have been put into</w:t>
      </w:r>
      <w:r w:rsidRPr="00892DE3">
        <w:t xml:space="preserve"> how the structure could be changed to represent the same information contained in the prior year Model financial statements, in a more user-friendly manner. Considering that all departments need to apply the principles contained within the Model financial statements, deviation from the note structure contained in this report </w:t>
      </w:r>
      <w:r w:rsidR="00811F01">
        <w:t>is required to</w:t>
      </w:r>
      <w:r w:rsidRPr="00892DE3">
        <w:t xml:space="preserve"> be approved by the Accounting Policy DTF team.</w:t>
      </w:r>
    </w:p>
    <w:p w:rsidR="004E2F32" w:rsidRPr="00892DE3" w:rsidRDefault="004E2F32" w:rsidP="004E2F32">
      <w:r w:rsidRPr="00892DE3">
        <w:t>Although streamlining is a continuous process, the 2016-17 Model financial statements includes a very significant shift in the presentation of financial statements compared to the prior year.</w:t>
      </w:r>
    </w:p>
    <w:p w:rsidR="004E2F32" w:rsidRPr="00892DE3" w:rsidRDefault="004E2F32" w:rsidP="004E2F32">
      <w:pPr>
        <w:keepLines w:val="0"/>
        <w:rPr>
          <w:rFonts w:asciiTheme="majorHAnsi" w:eastAsiaTheme="majorEastAsia" w:hAnsiTheme="majorHAnsi" w:cstheme="majorBidi"/>
          <w:b/>
          <w:spacing w:val="-2"/>
          <w:sz w:val="26"/>
          <w:szCs w:val="26"/>
        </w:rPr>
      </w:pPr>
      <w:r w:rsidRPr="00892DE3">
        <w:br w:type="page"/>
      </w:r>
    </w:p>
    <w:p w:rsidR="004E2F32" w:rsidRPr="00892DE3" w:rsidRDefault="004E2F32" w:rsidP="004E2F32">
      <w:pPr>
        <w:pStyle w:val="Heading20"/>
      </w:pPr>
      <w:bookmarkStart w:id="11" w:name="_Toc481592317"/>
      <w:r w:rsidRPr="00892DE3">
        <w:lastRenderedPageBreak/>
        <w:t>Setting out the disclosures and guidance</w:t>
      </w:r>
      <w:bookmarkEnd w:id="11"/>
    </w:p>
    <w:p w:rsidR="004E2F32" w:rsidRPr="00892DE3" w:rsidRDefault="004E2F32" w:rsidP="004E2F32">
      <w:r w:rsidRPr="00892DE3">
        <w:t>The reporting requirements as set out in this Model are presented as follows:</w:t>
      </w:r>
    </w:p>
    <w:p w:rsidR="004E2F32" w:rsidRPr="00892DE3" w:rsidRDefault="004E2F32" w:rsidP="004E2F32">
      <w:pPr>
        <w:pStyle w:val="ListNumber"/>
      </w:pPr>
      <w:r w:rsidRPr="00892DE3">
        <w:t xml:space="preserve">Illustrative disclosures are presented first – predominantly in black text and for a fictitious department: </w:t>
      </w:r>
      <w:r w:rsidRPr="00892DE3">
        <w:rPr>
          <w:i/>
        </w:rPr>
        <w:t>The Department of Technology</w:t>
      </w:r>
      <w:r w:rsidRPr="00892DE3">
        <w:t xml:space="preserve"> – these disclosures provide the minimum requirements for compliance with AASs and FRDs.</w:t>
      </w:r>
    </w:p>
    <w:p w:rsidR="004E2F32" w:rsidRPr="00892DE3" w:rsidRDefault="004E2F32" w:rsidP="004E2F32">
      <w:pPr>
        <w:pStyle w:val="ListNumber"/>
      </w:pPr>
      <w:r w:rsidRPr="00892DE3">
        <w:t xml:space="preserve">Guidance (or commentary) is provided on the illustrative disclosures </w:t>
      </w:r>
      <w:r w:rsidRPr="00892DE3">
        <w:rPr>
          <w:color w:val="0072CE" w:themeColor="accent4"/>
          <w:bdr w:val="single" w:sz="6" w:space="0" w:color="0072CE" w:themeColor="accent4"/>
        </w:rPr>
        <w:t xml:space="preserve"> in blue and with a border around the guidance </w:t>
      </w:r>
      <w:r w:rsidRPr="00892DE3">
        <w:t xml:space="preserve"> and also includes references to more detailed guidance, where applicable, to provide additional examples and illustrations. </w:t>
      </w:r>
    </w:p>
    <w:p w:rsidR="004E2F32" w:rsidRPr="00892DE3" w:rsidRDefault="004E2F32" w:rsidP="004E2F32">
      <w:pPr>
        <w:pStyle w:val="ListNumber"/>
      </w:pPr>
      <w:r w:rsidRPr="00892DE3">
        <w:t>Source references are highlighted throughout the illustrative disclosures and the guidance, and are prefixed by AASB, FRD, SD and/or FMA.</w:t>
      </w:r>
    </w:p>
    <w:p w:rsidR="004E2F32" w:rsidRPr="00892DE3" w:rsidRDefault="004E2F32" w:rsidP="004E2F32">
      <w:pPr>
        <w:pStyle w:val="Heading20"/>
      </w:pPr>
      <w:bookmarkStart w:id="12" w:name="_Toc481592318"/>
      <w:r w:rsidRPr="00892DE3">
        <w:t>Where to go for additional information</w:t>
      </w:r>
      <w:r w:rsidR="003768FD">
        <w:t xml:space="preserve"> on streamlined financial statements</w:t>
      </w:r>
      <w:bookmarkEnd w:id="12"/>
    </w:p>
    <w:p w:rsidR="004E2F32" w:rsidRPr="00892DE3" w:rsidRDefault="00725C7B" w:rsidP="004E2F32">
      <w:r w:rsidRPr="00892DE3">
        <w:t>T</w:t>
      </w:r>
      <w:r w:rsidR="004E2F32" w:rsidRPr="00892DE3">
        <w:t>he following Guidance Sections</w:t>
      </w:r>
      <w:r w:rsidRPr="00892DE3">
        <w:t xml:space="preserve"> have been included in the Model to provide users with relevant and sufficient guidance to be able to apply the requirements in the Model</w:t>
      </w:r>
      <w:r w:rsidR="004E2F32" w:rsidRPr="00892DE3">
        <w:t>:</w:t>
      </w:r>
    </w:p>
    <w:p w:rsidR="004E2F32" w:rsidRPr="00892DE3" w:rsidRDefault="004E2F32" w:rsidP="004E2F32">
      <w:pPr>
        <w:tabs>
          <w:tab w:val="left" w:pos="1985"/>
        </w:tabs>
        <w:ind w:left="1985" w:hanging="1985"/>
      </w:pPr>
      <w:r w:rsidRPr="00892DE3">
        <w:rPr>
          <w:b/>
        </w:rPr>
        <w:t>Guidance Section 1:</w:t>
      </w:r>
      <w:r w:rsidRPr="00892DE3">
        <w:t xml:space="preserve"> </w:t>
      </w:r>
      <w:r w:rsidRPr="00892DE3">
        <w:tab/>
        <w:t xml:space="preserve">‘How to’ guide to streamline a set of financial statements </w:t>
      </w:r>
      <w:r w:rsidRPr="00892DE3">
        <w:br/>
        <w:t>(agencies may benefit from this guide)</w:t>
      </w:r>
    </w:p>
    <w:p w:rsidR="004E2F32" w:rsidRPr="00892DE3" w:rsidRDefault="004E2F32" w:rsidP="004E2F32">
      <w:pPr>
        <w:tabs>
          <w:tab w:val="left" w:pos="1985"/>
        </w:tabs>
        <w:ind w:left="1985" w:hanging="1985"/>
      </w:pPr>
      <w:r w:rsidRPr="00892DE3">
        <w:rPr>
          <w:b/>
        </w:rPr>
        <w:t>Guidance Section 2:</w:t>
      </w:r>
      <w:r w:rsidRPr="00892DE3">
        <w:t xml:space="preserve"> </w:t>
      </w:r>
      <w:r w:rsidRPr="00892DE3">
        <w:tab/>
        <w:t>General and specific disclosure requirements, including presentation requirements</w:t>
      </w:r>
      <w:r w:rsidR="00440126" w:rsidRPr="00892DE3">
        <w:t xml:space="preserve"> (</w:t>
      </w:r>
      <w:r w:rsidRPr="00892DE3">
        <w:t>that are required in preparation of financial statements</w:t>
      </w:r>
      <w:r w:rsidR="00440126" w:rsidRPr="00892DE3">
        <w:t>)</w:t>
      </w:r>
    </w:p>
    <w:p w:rsidR="004E2F32" w:rsidRPr="00892DE3" w:rsidRDefault="004E2F32" w:rsidP="004E2F32">
      <w:pPr>
        <w:tabs>
          <w:tab w:val="left" w:pos="1985"/>
        </w:tabs>
        <w:ind w:left="1985" w:hanging="1985"/>
      </w:pPr>
      <w:r w:rsidRPr="00892DE3">
        <w:rPr>
          <w:b/>
        </w:rPr>
        <w:t>Guidance Section 3:</w:t>
      </w:r>
      <w:r w:rsidRPr="00892DE3">
        <w:t xml:space="preserve"> </w:t>
      </w:r>
      <w:r w:rsidRPr="00892DE3">
        <w:tab/>
        <w:t>What is not disclosed in the Model financial statements</w:t>
      </w:r>
    </w:p>
    <w:p w:rsidR="004E2F32" w:rsidRPr="00892DE3" w:rsidRDefault="004E2F32" w:rsidP="004E2F32">
      <w:pPr>
        <w:keepLines w:val="0"/>
        <w:sectPr w:rsidR="004E2F32" w:rsidRPr="00892DE3" w:rsidSect="00BD6A27">
          <w:headerReference w:type="even" r:id="rId29"/>
          <w:headerReference w:type="default" r:id="rId30"/>
          <w:footerReference w:type="even" r:id="rId31"/>
          <w:footerReference w:type="default" r:id="rId32"/>
          <w:headerReference w:type="first" r:id="rId33"/>
          <w:footerReference w:type="first" r:id="rId34"/>
          <w:pgSz w:w="11906" w:h="16838" w:code="9"/>
          <w:pgMar w:top="1134" w:right="1134" w:bottom="1134" w:left="1134" w:header="624" w:footer="567" w:gutter="0"/>
          <w:pgNumType w:start="1"/>
          <w:cols w:sep="1" w:space="567"/>
          <w:titlePg/>
          <w:docGrid w:linePitch="360"/>
        </w:sectPr>
      </w:pPr>
    </w:p>
    <w:p w:rsidR="006D4EA2" w:rsidRPr="00892DE3" w:rsidRDefault="006D4EA2" w:rsidP="00E125A5">
      <w:pPr>
        <w:pStyle w:val="Heading20"/>
      </w:pPr>
      <w:bookmarkStart w:id="13" w:name="_Toc481592319"/>
      <w:r w:rsidRPr="00892DE3">
        <w:lastRenderedPageBreak/>
        <w:t>Structure of the Model report and disclosure requirements</w:t>
      </w:r>
      <w:bookmarkEnd w:id="13"/>
    </w:p>
    <w:p w:rsidR="006D4EA2" w:rsidRPr="00892DE3" w:rsidRDefault="006D4EA2" w:rsidP="006D4EA2">
      <w:r w:rsidRPr="00892DE3">
        <w:t>The Model is based on a fictitious Department of Technology to highlight and illustrate disclosure requirements. It is divided into the following sections</w:t>
      </w:r>
      <w:r w:rsidR="00440126" w:rsidRPr="00892DE3">
        <w:t>.</w:t>
      </w:r>
    </w:p>
    <w:p w:rsidR="006D4EA2" w:rsidRPr="00892DE3" w:rsidRDefault="006D4EA2" w:rsidP="0095112E">
      <w:pPr>
        <w:pStyle w:val="ListBullet"/>
        <w:rPr>
          <w:b/>
        </w:rPr>
      </w:pPr>
      <w:r w:rsidRPr="00892DE3">
        <w:rPr>
          <w:b/>
        </w:rPr>
        <w:t>Introduction</w:t>
      </w:r>
    </w:p>
    <w:p w:rsidR="006D4EA2" w:rsidRPr="00892DE3" w:rsidRDefault="006D4EA2" w:rsidP="0095112E">
      <w:pPr>
        <w:pStyle w:val="ListBullet"/>
        <w:rPr>
          <w:b/>
        </w:rPr>
      </w:pPr>
      <w:r w:rsidRPr="00892DE3">
        <w:rPr>
          <w:b/>
        </w:rPr>
        <w:t>Model report of operations</w:t>
      </w:r>
    </w:p>
    <w:p w:rsidR="006D4EA2" w:rsidRPr="00892DE3" w:rsidRDefault="006D4EA2" w:rsidP="0095112E">
      <w:pPr>
        <w:pStyle w:val="ListBullet"/>
        <w:rPr>
          <w:b/>
        </w:rPr>
      </w:pPr>
      <w:r w:rsidRPr="00892DE3">
        <w:rPr>
          <w:b/>
        </w:rPr>
        <w:t>Model financial statements</w:t>
      </w:r>
      <w:r w:rsidR="00440126" w:rsidRPr="00892DE3">
        <w:rPr>
          <w:b/>
        </w:rPr>
        <w:t xml:space="preserve"> (</w:t>
      </w:r>
      <w:r w:rsidRPr="00892DE3">
        <w:rPr>
          <w:b/>
        </w:rPr>
        <w:t>including supplementary information for the third balance sheet disclosure</w:t>
      </w:r>
      <w:r w:rsidR="00440126" w:rsidRPr="00892DE3">
        <w:rPr>
          <w:b/>
        </w:rPr>
        <w:t>)</w:t>
      </w:r>
    </w:p>
    <w:p w:rsidR="00440126" w:rsidRPr="00892DE3" w:rsidRDefault="00440126" w:rsidP="0095112E">
      <w:pPr>
        <w:pStyle w:val="ListBullet"/>
        <w:rPr>
          <w:b/>
        </w:rPr>
      </w:pPr>
      <w:r w:rsidRPr="00892DE3">
        <w:rPr>
          <w:b/>
        </w:rPr>
        <w:t>Guidance Sections:</w:t>
      </w:r>
    </w:p>
    <w:p w:rsidR="00440126" w:rsidRPr="00892DE3" w:rsidRDefault="00440126" w:rsidP="0095112E">
      <w:pPr>
        <w:pStyle w:val="ListBullet2"/>
        <w:rPr>
          <w:b/>
        </w:rPr>
      </w:pPr>
      <w:r w:rsidRPr="00892DE3">
        <w:t>Guidance Section 1 – ‘How to’ guide to streamline a set of financial statements;</w:t>
      </w:r>
    </w:p>
    <w:p w:rsidR="00440126" w:rsidRPr="00892DE3" w:rsidRDefault="00440126" w:rsidP="0095112E">
      <w:pPr>
        <w:pStyle w:val="ListBullet2"/>
        <w:rPr>
          <w:b/>
        </w:rPr>
      </w:pPr>
      <w:r w:rsidRPr="00892DE3">
        <w:t xml:space="preserve">Guidance Section 2 – General and specific disclosure requirements, including presentation; and </w:t>
      </w:r>
    </w:p>
    <w:p w:rsidR="00440126" w:rsidRPr="00892DE3" w:rsidRDefault="00440126" w:rsidP="0095112E">
      <w:pPr>
        <w:pStyle w:val="ListBullet2"/>
        <w:rPr>
          <w:b/>
        </w:rPr>
      </w:pPr>
      <w:r w:rsidRPr="00892DE3">
        <w:t>Guidance Section 3 – What is not disclosed in the Model financial statements.</w:t>
      </w:r>
    </w:p>
    <w:p w:rsidR="00440126" w:rsidRPr="00892DE3" w:rsidRDefault="00440126" w:rsidP="00367D37">
      <w:pPr>
        <w:pStyle w:val="ListBullet"/>
        <w:tabs>
          <w:tab w:val="left" w:pos="1843"/>
        </w:tabs>
        <w:rPr>
          <w:b/>
        </w:rPr>
      </w:pPr>
      <w:r w:rsidRPr="00892DE3">
        <w:rPr>
          <w:b/>
        </w:rPr>
        <w:t>Appendices:</w:t>
      </w:r>
    </w:p>
    <w:p w:rsidR="006D4EA2" w:rsidRPr="00892DE3" w:rsidRDefault="006D4EA2" w:rsidP="0095112E">
      <w:pPr>
        <w:pStyle w:val="ListBullet2"/>
      </w:pPr>
      <w:r w:rsidRPr="00892DE3">
        <w:t xml:space="preserve">Appendix 1 – Extracts of whole of government financial statements and analysis of disclosures; </w:t>
      </w:r>
    </w:p>
    <w:p w:rsidR="007325F2" w:rsidRPr="00892DE3" w:rsidRDefault="006D4EA2" w:rsidP="0095112E">
      <w:pPr>
        <w:pStyle w:val="ListBullet2"/>
      </w:pPr>
      <w:r w:rsidRPr="00892DE3">
        <w:t xml:space="preserve">Appendix </w:t>
      </w:r>
      <w:r w:rsidR="009619C8" w:rsidRPr="00892DE3">
        <w:t xml:space="preserve">2 </w:t>
      </w:r>
      <w:r w:rsidRPr="00892DE3">
        <w:t xml:space="preserve">– </w:t>
      </w:r>
      <w:r w:rsidR="009619C8" w:rsidRPr="00892DE3">
        <w:t>Budgetary reporting: Explanation of material variances between budget and actual outcomes</w:t>
      </w:r>
      <w:r w:rsidRPr="00892DE3">
        <w:t>;</w:t>
      </w:r>
    </w:p>
    <w:p w:rsidR="006D4EA2" w:rsidRPr="00892DE3" w:rsidRDefault="007325F2" w:rsidP="0095112E">
      <w:pPr>
        <w:pStyle w:val="ListBullet2"/>
      </w:pPr>
      <w:r w:rsidRPr="00892DE3">
        <w:t xml:space="preserve">Appendix 3 – </w:t>
      </w:r>
      <w:r w:rsidR="006D4EA2" w:rsidRPr="00892DE3">
        <w:t xml:space="preserve"> </w:t>
      </w:r>
      <w:r w:rsidRPr="00892DE3">
        <w:t xml:space="preserve">Understanding </w:t>
      </w:r>
      <w:r w:rsidR="00663D57">
        <w:t xml:space="preserve">the </w:t>
      </w:r>
      <w:r w:rsidRPr="00892DE3">
        <w:t>independent auditor’s report;</w:t>
      </w:r>
    </w:p>
    <w:p w:rsidR="007325F2" w:rsidRPr="00892DE3" w:rsidRDefault="007325F2" w:rsidP="007325F2">
      <w:pPr>
        <w:pStyle w:val="ListBullet2"/>
        <w:tabs>
          <w:tab w:val="left" w:pos="1708"/>
        </w:tabs>
      </w:pPr>
      <w:r w:rsidRPr="00892DE3">
        <w:t>Appendix 4 – AASB 10 Consolidated Financial Statements checklist – Control analysis for Victorian public sector entities;</w:t>
      </w:r>
    </w:p>
    <w:p w:rsidR="007325F2" w:rsidRPr="00892DE3" w:rsidRDefault="007325F2" w:rsidP="0095112E">
      <w:pPr>
        <w:pStyle w:val="ListBullet2"/>
      </w:pPr>
      <w:r w:rsidRPr="00892DE3">
        <w:t>Appendix 5 – Interests in subsidiary and unconsolidated structured entities;</w:t>
      </w:r>
    </w:p>
    <w:p w:rsidR="007325F2" w:rsidRPr="00892DE3" w:rsidRDefault="007325F2" w:rsidP="0095112E">
      <w:pPr>
        <w:pStyle w:val="ListBullet2"/>
      </w:pPr>
      <w:r w:rsidRPr="00892DE3">
        <w:t>Appendix 6 – Annual leave provisions;</w:t>
      </w:r>
    </w:p>
    <w:p w:rsidR="006D4EA2" w:rsidRPr="00892DE3" w:rsidRDefault="006D4EA2" w:rsidP="007325F2">
      <w:pPr>
        <w:pStyle w:val="ListBullet2"/>
      </w:pPr>
      <w:r w:rsidRPr="00892DE3">
        <w:t xml:space="preserve">Appendix </w:t>
      </w:r>
      <w:r w:rsidR="007325F2" w:rsidRPr="00892DE3">
        <w:t xml:space="preserve">7 </w:t>
      </w:r>
      <w:r w:rsidRPr="00892DE3">
        <w:t xml:space="preserve">– Fair value measurement indicative expectations; </w:t>
      </w:r>
    </w:p>
    <w:p w:rsidR="006D4EA2" w:rsidRPr="00892DE3" w:rsidRDefault="006D4EA2" w:rsidP="0095112E">
      <w:pPr>
        <w:pStyle w:val="ListBullet2"/>
      </w:pPr>
      <w:r w:rsidRPr="00892DE3">
        <w:t xml:space="preserve">Appendix </w:t>
      </w:r>
      <w:r w:rsidR="009619C8" w:rsidRPr="00892DE3">
        <w:t xml:space="preserve">8 </w:t>
      </w:r>
      <w:r w:rsidRPr="00892DE3">
        <w:t xml:space="preserve">– </w:t>
      </w:r>
      <w:r w:rsidR="009619C8" w:rsidRPr="00892DE3">
        <w:t>Practical classification guide between transactions and other economic flows;</w:t>
      </w:r>
    </w:p>
    <w:p w:rsidR="009619C8" w:rsidRPr="00892DE3" w:rsidRDefault="009619C8" w:rsidP="0095112E">
      <w:pPr>
        <w:pStyle w:val="ListBullet2"/>
      </w:pPr>
      <w:r w:rsidRPr="00892DE3">
        <w:t xml:space="preserve">Appendix 9 – Declaration </w:t>
      </w:r>
      <w:r w:rsidR="004B44AD">
        <w:t xml:space="preserve">Certificate </w:t>
      </w:r>
      <w:r w:rsidRPr="00892DE3">
        <w:t xml:space="preserve">for executives – </w:t>
      </w:r>
      <w:r w:rsidR="004B44AD">
        <w:t>the certificate for declaration of related party transactions in compliance with AASB 124</w:t>
      </w:r>
      <w:r w:rsidRPr="00892DE3">
        <w:t>;</w:t>
      </w:r>
    </w:p>
    <w:p w:rsidR="009619C8" w:rsidRPr="00892DE3" w:rsidRDefault="009619C8" w:rsidP="0095112E">
      <w:pPr>
        <w:pStyle w:val="ListBullet2"/>
      </w:pPr>
      <w:r w:rsidRPr="00892DE3">
        <w:t>Appendix 10 – AASB 124 Related Party Disclosures – entity management checklist;</w:t>
      </w:r>
    </w:p>
    <w:p w:rsidR="009619C8" w:rsidRPr="00892DE3" w:rsidRDefault="009619C8" w:rsidP="0095112E">
      <w:pPr>
        <w:pStyle w:val="ListBullet2"/>
      </w:pPr>
      <w:r w:rsidRPr="00892DE3">
        <w:t xml:space="preserve">Appendix 11 – When to account for surplus assets as ‘held for sale’; </w:t>
      </w:r>
    </w:p>
    <w:p w:rsidR="007325F2" w:rsidRPr="00892DE3" w:rsidRDefault="006D4EA2" w:rsidP="007325F2">
      <w:pPr>
        <w:pStyle w:val="ListBullet2"/>
        <w:tabs>
          <w:tab w:val="left" w:pos="1708"/>
        </w:tabs>
      </w:pPr>
      <w:r w:rsidRPr="00892DE3">
        <w:t xml:space="preserve">Appendix </w:t>
      </w:r>
      <w:r w:rsidR="009619C8" w:rsidRPr="00892DE3">
        <w:t xml:space="preserve">12 </w:t>
      </w:r>
      <w:r w:rsidRPr="00892DE3">
        <w:t>– Summary of new/revised accounting standards effective for curren</w:t>
      </w:r>
      <w:r w:rsidR="007325F2" w:rsidRPr="00892DE3">
        <w:t>t and future reporting periods;</w:t>
      </w:r>
      <w:r w:rsidR="009619C8" w:rsidRPr="00892DE3">
        <w:t xml:space="preserve"> and</w:t>
      </w:r>
    </w:p>
    <w:p w:rsidR="007325F2" w:rsidRPr="00892DE3" w:rsidRDefault="009619C8" w:rsidP="006D4EA2">
      <w:pPr>
        <w:pStyle w:val="ListBullet2"/>
        <w:tabs>
          <w:tab w:val="left" w:pos="1708"/>
        </w:tabs>
      </w:pPr>
      <w:r w:rsidRPr="00892DE3">
        <w:t>Appendix 13 – AASB reporting requirements for For-Profit and Not-for-Profit entities in the Victorian Public Sector.</w:t>
      </w:r>
    </w:p>
    <w:p w:rsidR="006D4EA2" w:rsidRPr="00892DE3" w:rsidRDefault="006D4EA2" w:rsidP="006D4EA2">
      <w:r w:rsidRPr="00892DE3">
        <w:t xml:space="preserve">Departments are expected to use the </w:t>
      </w:r>
      <w:r w:rsidRPr="00892DE3">
        <w:rPr>
          <w:i/>
        </w:rPr>
        <w:t>Model report of operations</w:t>
      </w:r>
      <w:r w:rsidRPr="00892DE3">
        <w:t xml:space="preserve"> as a guide to minimum disclosure requirement in preparing their year in review. </w:t>
      </w:r>
    </w:p>
    <w:p w:rsidR="006D4EA2" w:rsidRPr="00892DE3" w:rsidRDefault="006D4EA2" w:rsidP="006D4EA2">
      <w:r w:rsidRPr="00892DE3">
        <w:t xml:space="preserve">With regard to the </w:t>
      </w:r>
      <w:r w:rsidRPr="00892DE3">
        <w:rPr>
          <w:i/>
        </w:rPr>
        <w:t>Model financial statements</w:t>
      </w:r>
      <w:r w:rsidRPr="00892DE3">
        <w:t xml:space="preserve">, </w:t>
      </w:r>
      <w:r w:rsidRPr="00892DE3">
        <w:rPr>
          <w:b/>
        </w:rPr>
        <w:t>departments are required</w:t>
      </w:r>
      <w:r w:rsidRPr="00892DE3">
        <w:t xml:space="preserve"> to present their financial statements and notes in the same manner and format as shown in the </w:t>
      </w:r>
      <w:r w:rsidRPr="00892DE3">
        <w:rPr>
          <w:i/>
        </w:rPr>
        <w:t>Model financial statements</w:t>
      </w:r>
      <w:r w:rsidRPr="00892DE3">
        <w:t>.</w:t>
      </w:r>
    </w:p>
    <w:p w:rsidR="006D4EA2" w:rsidRPr="00892DE3" w:rsidRDefault="006D4EA2" w:rsidP="006D4EA2">
      <w:r w:rsidRPr="00892DE3">
        <w:t>The Model has been prepared in accordance with the FMA, and has been updated incorporating the latest applicable requirements of AASs and FRDs that were available as at 1 March 2017 for the reporting period ending 30 June 2017. Any additional pronouncements applicable to the 2016-17 reporting period that become available post</w:t>
      </w:r>
      <w:r w:rsidRPr="00892DE3">
        <w:noBreakHyphen/>
        <w:t xml:space="preserve">publication of this Model will be issued by DTF in the form of FRD 120K </w:t>
      </w:r>
      <w:r w:rsidRPr="00892DE3">
        <w:rPr>
          <w:i/>
        </w:rPr>
        <w:t>Accounting and reporting pronouncements</w:t>
      </w:r>
      <w:r w:rsidRPr="00892DE3">
        <w:t xml:space="preserve"> applicable to the 2016-17 reporting period closer to year end.</w:t>
      </w:r>
    </w:p>
    <w:p w:rsidR="006D4EA2" w:rsidRPr="00892DE3" w:rsidRDefault="006D4EA2" w:rsidP="006D4EA2">
      <w:r w:rsidRPr="00892DE3">
        <w:t xml:space="preserve">It is assumed in the Model that Accounting Standards issued by the AASB, which are not yet effective, have not been early adopted as FRD 7B </w:t>
      </w:r>
      <w:r w:rsidRPr="00892DE3">
        <w:rPr>
          <w:i/>
        </w:rPr>
        <w:t>Early Adoption of Authoritative Accounting Pronouncements</w:t>
      </w:r>
      <w:r w:rsidRPr="00892DE3">
        <w:t xml:space="preserve"> does not permit early adoption. This policy is outlined in the </w:t>
      </w:r>
      <w:r w:rsidRPr="00892DE3">
        <w:rPr>
          <w:i/>
        </w:rPr>
        <w:t>Model financial statements</w:t>
      </w:r>
      <w:r w:rsidRPr="00892DE3">
        <w:t xml:space="preserve"> under Note 9.13 </w:t>
      </w:r>
      <w:r w:rsidRPr="00892DE3">
        <w:rPr>
          <w:i/>
        </w:rPr>
        <w:t>Australian Accounting Standards issued that are not yet effective</w:t>
      </w:r>
      <w:r w:rsidRPr="00892DE3">
        <w:t>.</w:t>
      </w:r>
    </w:p>
    <w:p w:rsidR="006D4EA2" w:rsidRPr="00892DE3" w:rsidRDefault="006D4EA2" w:rsidP="006D4EA2">
      <w:r w:rsidRPr="00892DE3">
        <w:t>The Model focuses on illustrating disclosure requirements for departments. Therefore the Model may not cover all disclosure requirements that might be applicable to non-departmental entities. In particular, it does not illustrate income tax equivalent entries applicable to entities in the National Tax Equivalent Regime.</w:t>
      </w:r>
    </w:p>
    <w:p w:rsidR="006D4EA2" w:rsidRPr="00892DE3" w:rsidRDefault="006D4EA2" w:rsidP="00E125A5">
      <w:pPr>
        <w:pStyle w:val="Heading20"/>
      </w:pPr>
      <w:bookmarkStart w:id="14" w:name="_Toc481592320"/>
      <w:r w:rsidRPr="00892DE3">
        <w:t>‘Keys’ used in the illustrations and guidance</w:t>
      </w:r>
      <w:bookmarkEnd w:id="14"/>
    </w:p>
    <w:p w:rsidR="006D4EA2" w:rsidRPr="00892DE3" w:rsidRDefault="006D4EA2" w:rsidP="006D4EA2">
      <w:r w:rsidRPr="00892DE3">
        <w:t xml:space="preserve">Disclosure illustrations in both the </w:t>
      </w:r>
      <w:r w:rsidRPr="00892DE3">
        <w:rPr>
          <w:i/>
        </w:rPr>
        <w:t>Model report of operations</w:t>
      </w:r>
      <w:r w:rsidRPr="00892DE3">
        <w:t xml:space="preserve"> and the </w:t>
      </w:r>
      <w:r w:rsidRPr="00892DE3">
        <w:rPr>
          <w:i/>
        </w:rPr>
        <w:t>Model financial statements</w:t>
      </w:r>
      <w:r w:rsidRPr="00892DE3">
        <w:t xml:space="preserve"> are presented in </w:t>
      </w:r>
      <w:r w:rsidRPr="00892DE3">
        <w:rPr>
          <w:b/>
        </w:rPr>
        <w:t>black</w:t>
      </w:r>
      <w:r w:rsidRPr="00892DE3">
        <w:t xml:space="preserve"> text. These illustrations represent </w:t>
      </w:r>
      <w:r w:rsidRPr="00892DE3">
        <w:rPr>
          <w:b/>
        </w:rPr>
        <w:t>the minimum</w:t>
      </w:r>
      <w:r w:rsidRPr="00892DE3">
        <w:t xml:space="preserve"> disclosures that Model users shall include in their annual reports.</w:t>
      </w:r>
    </w:p>
    <w:p w:rsidR="006D4EA2" w:rsidRPr="00892DE3" w:rsidRDefault="006D4EA2" w:rsidP="006D4EA2">
      <w:r w:rsidRPr="00892DE3">
        <w:t xml:space="preserve">Guidance in relation to these illustrations are provided and presented in </w:t>
      </w:r>
      <w:r w:rsidRPr="00892DE3">
        <w:rPr>
          <w:b/>
          <w:color w:val="0072CE" w:themeColor="accent4"/>
        </w:rPr>
        <w:t>blue</w:t>
      </w:r>
      <w:r w:rsidRPr="00892DE3">
        <w:rPr>
          <w:color w:val="0072CE" w:themeColor="accent4"/>
        </w:rPr>
        <w:t xml:space="preserve"> </w:t>
      </w:r>
      <w:r w:rsidRPr="00892DE3">
        <w:t>text. The guidance mainly provides additional clarifications on the preparation, presentation and disclosure requirements of the relevant pronouncements related to these illustrations.</w:t>
      </w:r>
    </w:p>
    <w:p w:rsidR="006D4EA2" w:rsidRPr="00892DE3" w:rsidRDefault="006D4EA2" w:rsidP="006D4EA2">
      <w:pPr>
        <w:pStyle w:val="BodyText"/>
      </w:pPr>
      <w:r w:rsidRPr="00892DE3">
        <w:br w:type="page"/>
      </w:r>
    </w:p>
    <w:p w:rsidR="006D4EA2" w:rsidRPr="00892DE3" w:rsidRDefault="006D4EA2" w:rsidP="00E125A5">
      <w:pPr>
        <w:pStyle w:val="Heading20"/>
      </w:pPr>
      <w:bookmarkStart w:id="15" w:name="_Toc481592321"/>
      <w:r w:rsidRPr="00892DE3">
        <w:lastRenderedPageBreak/>
        <w:t>Source references</w:t>
      </w:r>
      <w:bookmarkEnd w:id="15"/>
    </w:p>
    <w:p w:rsidR="006D4EA2" w:rsidRPr="00892DE3" w:rsidRDefault="006D4EA2" w:rsidP="006D4EA2">
      <w:r w:rsidRPr="00892DE3">
        <w:t xml:space="preserve">References to the relevant requirements are provided in the left hand column of each page of this Model. If further clarity is required as to the appropriate treatment, examination of the source of the disclosure requirement is recommended. </w:t>
      </w:r>
    </w:p>
    <w:p w:rsidR="006D4EA2" w:rsidRPr="00892DE3" w:rsidRDefault="006D4EA2" w:rsidP="006D4EA2">
      <w:pPr>
        <w:spacing w:after="120"/>
      </w:pPr>
      <w:r w:rsidRPr="00892DE3">
        <w:t>The current Model also uses ‘</w:t>
      </w:r>
      <w:r w:rsidRPr="00892DE3">
        <w:rPr>
          <w:b/>
          <w:color w:val="8A2A2B" w:themeColor="accent6"/>
        </w:rPr>
        <w:t>New</w:t>
      </w:r>
      <w:r w:rsidRPr="00892DE3">
        <w:t>’ or ‘</w:t>
      </w:r>
      <w:r w:rsidRPr="00892DE3">
        <w:rPr>
          <w:b/>
          <w:color w:val="0063A6" w:themeColor="accent1"/>
        </w:rPr>
        <w:t>Revised</w:t>
      </w:r>
      <w:r w:rsidRPr="00892DE3">
        <w:t>’ in the source reference column next to relevant sections to indicate where changes have occurred since the previous edition of the Model. Abbreviations used in the Model are as follows:</w:t>
      </w:r>
    </w:p>
    <w:tbl>
      <w:tblPr>
        <w:tblStyle w:val="Modeltable"/>
        <w:tblW w:w="10206" w:type="dxa"/>
        <w:tblLayout w:type="fixed"/>
        <w:tblLook w:val="06A0" w:firstRow="1" w:lastRow="0" w:firstColumn="1" w:lastColumn="0" w:noHBand="1" w:noVBand="1"/>
      </w:tblPr>
      <w:tblGrid>
        <w:gridCol w:w="1260"/>
        <w:gridCol w:w="8946"/>
      </w:tblGrid>
      <w:tr w:rsidR="006D4EA2" w:rsidRPr="00892DE3" w:rsidTr="006D4EA2">
        <w:trPr>
          <w:cnfStyle w:val="100000000000" w:firstRow="1" w:lastRow="0" w:firstColumn="0" w:lastColumn="0" w:oddVBand="0" w:evenVBand="0" w:oddHBand="0" w:evenHBand="0" w:firstRowFirstColumn="0" w:firstRowLastColumn="0" w:lastRowFirstColumn="0" w:lastRowLastColumn="0"/>
        </w:trPr>
        <w:tc>
          <w:tcPr>
            <w:tcW w:w="1260" w:type="dxa"/>
          </w:tcPr>
          <w:p w:rsidR="006D4EA2" w:rsidRPr="00892DE3" w:rsidRDefault="006D4EA2" w:rsidP="006D4EA2">
            <w:pPr>
              <w:pStyle w:val="Tabletextheadingleft"/>
            </w:pPr>
            <w:r w:rsidRPr="00892DE3">
              <w:t xml:space="preserve">Reference </w:t>
            </w:r>
          </w:p>
        </w:tc>
        <w:tc>
          <w:tcPr>
            <w:tcW w:w="8946" w:type="dxa"/>
          </w:tcPr>
          <w:p w:rsidR="006D4EA2" w:rsidRPr="00892DE3" w:rsidRDefault="006D4EA2" w:rsidP="006D4EA2">
            <w:pPr>
              <w:pStyle w:val="Tabletextheadingleft"/>
            </w:pPr>
            <w:r w:rsidRPr="00892DE3">
              <w:t>Title</w:t>
            </w:r>
          </w:p>
        </w:tc>
      </w:tr>
      <w:tr w:rsidR="006D4EA2" w:rsidRPr="00892DE3" w:rsidTr="006D4EA2">
        <w:tc>
          <w:tcPr>
            <w:tcW w:w="1260" w:type="dxa"/>
          </w:tcPr>
          <w:p w:rsidR="006D4EA2" w:rsidRPr="00892DE3" w:rsidRDefault="006D4EA2" w:rsidP="006D4EA2">
            <w:pPr>
              <w:pStyle w:val="Tabletext"/>
            </w:pPr>
            <w:r w:rsidRPr="00892DE3">
              <w:t>AASB </w:t>
            </w:r>
          </w:p>
        </w:tc>
        <w:tc>
          <w:tcPr>
            <w:tcW w:w="8946" w:type="dxa"/>
          </w:tcPr>
          <w:p w:rsidR="006D4EA2" w:rsidRPr="00892DE3" w:rsidRDefault="006D4EA2" w:rsidP="006D4EA2">
            <w:pPr>
              <w:pStyle w:val="Tabletext"/>
            </w:pPr>
            <w:r w:rsidRPr="00892DE3">
              <w:t>Australian Accounting Standards Board</w:t>
            </w:r>
          </w:p>
        </w:tc>
      </w:tr>
      <w:tr w:rsidR="006D4EA2" w:rsidRPr="00892DE3" w:rsidTr="006D4EA2">
        <w:tc>
          <w:tcPr>
            <w:tcW w:w="1260" w:type="dxa"/>
          </w:tcPr>
          <w:p w:rsidR="006D4EA2" w:rsidRPr="00892DE3" w:rsidRDefault="006D4EA2" w:rsidP="006D4EA2">
            <w:pPr>
              <w:pStyle w:val="Tabletext"/>
            </w:pPr>
            <w:r w:rsidRPr="00892DE3">
              <w:t>AASs</w:t>
            </w:r>
          </w:p>
        </w:tc>
        <w:tc>
          <w:tcPr>
            <w:tcW w:w="8946" w:type="dxa"/>
          </w:tcPr>
          <w:p w:rsidR="006D4EA2" w:rsidRPr="00892DE3" w:rsidRDefault="006D4EA2" w:rsidP="006D4EA2">
            <w:pPr>
              <w:pStyle w:val="Tabletext"/>
            </w:pPr>
            <w:r w:rsidRPr="00892DE3">
              <w:t>Australian Accounting Standards, which include Interpretations</w:t>
            </w:r>
          </w:p>
        </w:tc>
      </w:tr>
      <w:tr w:rsidR="006D4EA2" w:rsidRPr="00892DE3" w:rsidTr="006D4EA2">
        <w:tc>
          <w:tcPr>
            <w:tcW w:w="1260" w:type="dxa"/>
          </w:tcPr>
          <w:p w:rsidR="006D4EA2" w:rsidRPr="00892DE3" w:rsidRDefault="006D4EA2" w:rsidP="006D4EA2">
            <w:pPr>
              <w:pStyle w:val="Tabletext"/>
            </w:pPr>
            <w:r w:rsidRPr="00892DE3">
              <w:t>DoT</w:t>
            </w:r>
          </w:p>
        </w:tc>
        <w:tc>
          <w:tcPr>
            <w:tcW w:w="8946" w:type="dxa"/>
          </w:tcPr>
          <w:p w:rsidR="006D4EA2" w:rsidRPr="00892DE3" w:rsidRDefault="006D4EA2" w:rsidP="006D4EA2">
            <w:pPr>
              <w:pStyle w:val="Tabletext"/>
            </w:pPr>
            <w:r w:rsidRPr="00892DE3">
              <w:t>Department of Technology (fictitious department)</w:t>
            </w:r>
          </w:p>
        </w:tc>
      </w:tr>
      <w:tr w:rsidR="006D4EA2" w:rsidRPr="00892DE3" w:rsidTr="006D4EA2">
        <w:tc>
          <w:tcPr>
            <w:tcW w:w="1260" w:type="dxa"/>
          </w:tcPr>
          <w:p w:rsidR="006D4EA2" w:rsidRPr="00892DE3" w:rsidRDefault="006D4EA2" w:rsidP="006D4EA2">
            <w:pPr>
              <w:pStyle w:val="Tabletext"/>
            </w:pPr>
            <w:r w:rsidRPr="00892DE3">
              <w:t>FRD</w:t>
            </w:r>
          </w:p>
        </w:tc>
        <w:tc>
          <w:tcPr>
            <w:tcW w:w="8946" w:type="dxa"/>
          </w:tcPr>
          <w:p w:rsidR="006D4EA2" w:rsidRPr="00892DE3" w:rsidRDefault="006D4EA2" w:rsidP="006D4EA2">
            <w:pPr>
              <w:pStyle w:val="Tabletext"/>
            </w:pPr>
            <w:r w:rsidRPr="00892DE3">
              <w:t>Financial Reporting Direction</w:t>
            </w:r>
          </w:p>
        </w:tc>
      </w:tr>
      <w:tr w:rsidR="006D4EA2" w:rsidRPr="00892DE3" w:rsidTr="006D4EA2">
        <w:tc>
          <w:tcPr>
            <w:tcW w:w="1260" w:type="dxa"/>
          </w:tcPr>
          <w:p w:rsidR="006D4EA2" w:rsidRPr="00892DE3" w:rsidRDefault="006D4EA2" w:rsidP="006D4EA2">
            <w:pPr>
              <w:pStyle w:val="Tabletext"/>
            </w:pPr>
            <w:r w:rsidRPr="00892DE3">
              <w:t>SD</w:t>
            </w:r>
          </w:p>
        </w:tc>
        <w:tc>
          <w:tcPr>
            <w:tcW w:w="8946" w:type="dxa"/>
          </w:tcPr>
          <w:p w:rsidR="006D4EA2" w:rsidRPr="00892DE3" w:rsidRDefault="006D4EA2" w:rsidP="006D4EA2">
            <w:pPr>
              <w:pStyle w:val="Tabletext"/>
            </w:pPr>
            <w:r w:rsidRPr="00892DE3">
              <w:t>Standing Direction</w:t>
            </w:r>
          </w:p>
        </w:tc>
      </w:tr>
      <w:tr w:rsidR="006D4EA2" w:rsidRPr="00892DE3" w:rsidTr="006D4EA2">
        <w:tc>
          <w:tcPr>
            <w:tcW w:w="1260" w:type="dxa"/>
          </w:tcPr>
          <w:p w:rsidR="006D4EA2" w:rsidRPr="00892DE3" w:rsidRDefault="006D4EA2" w:rsidP="006D4EA2">
            <w:pPr>
              <w:pStyle w:val="Tabletext"/>
            </w:pPr>
            <w:r w:rsidRPr="00892DE3">
              <w:t>IFRIC</w:t>
            </w:r>
          </w:p>
        </w:tc>
        <w:tc>
          <w:tcPr>
            <w:tcW w:w="8946" w:type="dxa"/>
          </w:tcPr>
          <w:p w:rsidR="006D4EA2" w:rsidRPr="00892DE3" w:rsidRDefault="006D4EA2" w:rsidP="006D4EA2">
            <w:pPr>
              <w:pStyle w:val="Tabletext"/>
            </w:pPr>
            <w:r w:rsidRPr="00892DE3">
              <w:t>International Financial Reporting Interpretations Committee</w:t>
            </w:r>
          </w:p>
        </w:tc>
      </w:tr>
      <w:tr w:rsidR="006D4EA2" w:rsidRPr="00892DE3" w:rsidTr="006D4EA2">
        <w:tc>
          <w:tcPr>
            <w:tcW w:w="1260" w:type="dxa"/>
          </w:tcPr>
          <w:p w:rsidR="006D4EA2" w:rsidRPr="00892DE3" w:rsidRDefault="006D4EA2" w:rsidP="006D4EA2">
            <w:pPr>
              <w:pStyle w:val="Tabletext"/>
            </w:pPr>
            <w:r w:rsidRPr="00892DE3">
              <w:t>IFRS</w:t>
            </w:r>
          </w:p>
        </w:tc>
        <w:tc>
          <w:tcPr>
            <w:tcW w:w="8946" w:type="dxa"/>
          </w:tcPr>
          <w:p w:rsidR="006D4EA2" w:rsidRPr="00892DE3" w:rsidRDefault="006D4EA2" w:rsidP="006D4EA2">
            <w:pPr>
              <w:pStyle w:val="Tabletext"/>
            </w:pPr>
            <w:r w:rsidRPr="00892DE3">
              <w:t>International Financial Reporting Standards</w:t>
            </w:r>
          </w:p>
        </w:tc>
      </w:tr>
    </w:tbl>
    <w:p w:rsidR="006D4EA2" w:rsidRPr="00892DE3" w:rsidRDefault="006D4EA2" w:rsidP="006D4EA2">
      <w:pPr>
        <w:pStyle w:val="Smallline"/>
      </w:pPr>
    </w:p>
    <w:p w:rsidR="006D4EA2" w:rsidRPr="00892DE3" w:rsidRDefault="006D4EA2" w:rsidP="006D4EA2"/>
    <w:p w:rsidR="006D4EA2" w:rsidRPr="00892DE3" w:rsidRDefault="006D4EA2" w:rsidP="00E125A5">
      <w:pPr>
        <w:pStyle w:val="Heading20"/>
      </w:pPr>
      <w:bookmarkStart w:id="16" w:name="_Toc481592322"/>
      <w:r w:rsidRPr="00892DE3">
        <w:t>The design and printing of annual reports</w:t>
      </w:r>
      <w:bookmarkEnd w:id="16"/>
    </w:p>
    <w:p w:rsidR="006D4EA2" w:rsidRPr="00892DE3" w:rsidRDefault="006D4EA2" w:rsidP="006D4EA2">
      <w:r w:rsidRPr="00892DE3">
        <w:t xml:space="preserve">A financial reporting direction, FRD 30D </w:t>
      </w:r>
      <w:r w:rsidRPr="00892DE3">
        <w:rPr>
          <w:i/>
        </w:rPr>
        <w:t>Standard requirements for the publication of annual reports</w:t>
      </w:r>
      <w:r w:rsidRPr="00892DE3">
        <w:t xml:space="preserve"> on the design, layout and printing of annual reports prescribes specification requirements for the design of annual reports, use of colour and images, standard sizing, paper stocks and other publishing requirements.</w:t>
      </w:r>
    </w:p>
    <w:p w:rsidR="006D4EA2" w:rsidRPr="00892DE3" w:rsidRDefault="006D4EA2" w:rsidP="006D4EA2">
      <w:r w:rsidRPr="00892DE3">
        <w:t xml:space="preserve">The purpose of this FRD is to reduce the costs of annual reports for public sector entities, reduce the environmental impact of producing annual reports – both in terms of the type of stock used and elements of the process to make them recyclable – and to ensure a more consistent approach in the way public sector annual reports are presented. </w:t>
      </w:r>
    </w:p>
    <w:p w:rsidR="006D4EA2" w:rsidRPr="00892DE3" w:rsidRDefault="006D4EA2" w:rsidP="006D4EA2">
      <w:r w:rsidRPr="00892DE3">
        <w:t xml:space="preserve">All departments and government agencies defined as public bodies must comply with the requirements of this FRD. FRD 30D can be found on the DTF website </w:t>
      </w:r>
      <w:hyperlink r:id="rId35" w:history="1">
        <w:r w:rsidRPr="00892DE3">
          <w:rPr>
            <w:rStyle w:val="Hyperlink"/>
          </w:rPr>
          <w:t>www.dtf.vic.gov.au</w:t>
        </w:r>
      </w:hyperlink>
      <w:r w:rsidRPr="00892DE3">
        <w:t xml:space="preserve"> under Financial Reporting Directions.</w:t>
      </w:r>
    </w:p>
    <w:p w:rsidR="006D4EA2" w:rsidRPr="00892DE3" w:rsidRDefault="006D4EA2" w:rsidP="00132C37">
      <w:pPr>
        <w:sectPr w:rsidR="006D4EA2" w:rsidRPr="00892DE3" w:rsidSect="00BD6A27">
          <w:footerReference w:type="even" r:id="rId36"/>
          <w:footerReference w:type="default" r:id="rId37"/>
          <w:headerReference w:type="first" r:id="rId38"/>
          <w:footerReference w:type="first" r:id="rId39"/>
          <w:pgSz w:w="11906" w:h="16838" w:code="9"/>
          <w:pgMar w:top="1134" w:right="1134" w:bottom="1134" w:left="1134" w:header="624" w:footer="567" w:gutter="0"/>
          <w:cols w:sep="1" w:space="567"/>
          <w:titlePg/>
          <w:docGrid w:linePitch="360"/>
        </w:sectPr>
      </w:pPr>
    </w:p>
    <w:p w:rsidR="00080446" w:rsidRPr="00892DE3" w:rsidRDefault="00080446" w:rsidP="00132C37">
      <w:pPr>
        <w:sectPr w:rsidR="00080446" w:rsidRPr="00892DE3" w:rsidSect="00F10450">
          <w:headerReference w:type="default" r:id="rId40"/>
          <w:type w:val="continuous"/>
          <w:pgSz w:w="11906" w:h="16838"/>
          <w:pgMar w:top="1140" w:right="1140" w:bottom="1140" w:left="1009" w:header="618" w:footer="561" w:gutter="0"/>
          <w:cols w:num="2" w:space="357" w:equalWidth="0">
            <w:col w:w="1366" w:space="357"/>
            <w:col w:w="8034"/>
          </w:cols>
          <w:docGrid w:linePitch="360"/>
        </w:sectPr>
      </w:pPr>
    </w:p>
    <w:p w:rsidR="00080446" w:rsidRPr="00892DE3" w:rsidRDefault="00080446" w:rsidP="00080446">
      <w:pPr>
        <w:pStyle w:val="Reference"/>
      </w:pPr>
    </w:p>
    <w:p w:rsidR="00080446" w:rsidRPr="00892DE3" w:rsidRDefault="00080446" w:rsidP="00FF5C84">
      <w:pPr>
        <w:pStyle w:val="Heading10"/>
      </w:pPr>
      <w:r w:rsidRPr="00892DE3">
        <w:br w:type="column"/>
      </w:r>
      <w:bookmarkStart w:id="17" w:name="_Toc481592323"/>
      <w:r w:rsidRPr="00892DE3">
        <w:lastRenderedPageBreak/>
        <w:t>Department of Technology – Model report of operations</w:t>
      </w:r>
      <w:bookmarkEnd w:id="17"/>
      <w:r w:rsidRPr="00892DE3">
        <w:t xml:space="preserve"> </w:t>
      </w:r>
    </w:p>
    <w:p w:rsidR="00080446" w:rsidRPr="00892DE3" w:rsidRDefault="00080446" w:rsidP="00080446">
      <w:pPr>
        <w:pStyle w:val="Chapterheading"/>
        <w:sectPr w:rsidR="00080446" w:rsidRPr="00892DE3" w:rsidSect="009C1D64">
          <w:headerReference w:type="even" r:id="rId41"/>
          <w:headerReference w:type="default" r:id="rId42"/>
          <w:pgSz w:w="11906" w:h="16838" w:code="9"/>
          <w:pgMar w:top="1134" w:right="1134" w:bottom="1134" w:left="1134" w:header="624" w:footer="567" w:gutter="0"/>
          <w:cols w:num="2" w:space="360" w:equalWidth="0">
            <w:col w:w="1242" w:space="360"/>
            <w:col w:w="8036"/>
          </w:cols>
          <w:docGrid w:linePitch="360"/>
        </w:sectPr>
      </w:pPr>
    </w:p>
    <w:p w:rsidR="00B07BA0" w:rsidRPr="00892DE3" w:rsidRDefault="00080446" w:rsidP="00B07BA0">
      <w:pPr>
        <w:pStyle w:val="Heading20"/>
      </w:pPr>
      <w:r w:rsidRPr="00892DE3">
        <w:lastRenderedPageBreak/>
        <w:br w:type="column"/>
      </w:r>
    </w:p>
    <w:p w:rsidR="00080446" w:rsidRPr="00892DE3" w:rsidRDefault="00080446" w:rsidP="00FF5C84">
      <w:pPr>
        <w:pStyle w:val="Heading2nonTOC"/>
      </w:pPr>
      <w:bookmarkStart w:id="18" w:name="_Toc477967483"/>
      <w:r w:rsidRPr="00892DE3">
        <w:t>Contents</w:t>
      </w:r>
      <w:bookmarkEnd w:id="18"/>
    </w:p>
    <w:p w:rsidR="00080446" w:rsidRPr="00892DE3" w:rsidRDefault="00080446" w:rsidP="00B07BA0">
      <w:pPr>
        <w:tabs>
          <w:tab w:val="right" w:leader="dot" w:pos="8080"/>
        </w:tabs>
      </w:pPr>
      <w:r w:rsidRPr="00892DE3">
        <w:t>About the Model report of operations</w:t>
      </w:r>
      <w:r w:rsidRPr="00892DE3">
        <w:tab/>
      </w:r>
      <w:fldSimple w:instr=" PAGEREF  Report_About  \* MERGEFORMAT ">
        <w:r w:rsidR="00F63B17">
          <w:rPr>
            <w:noProof/>
          </w:rPr>
          <w:t>10</w:t>
        </w:r>
      </w:fldSimple>
    </w:p>
    <w:p w:rsidR="00080446" w:rsidRPr="00892DE3" w:rsidRDefault="00080446" w:rsidP="00B07BA0">
      <w:pPr>
        <w:tabs>
          <w:tab w:val="right" w:leader="dot" w:pos="8080"/>
        </w:tabs>
      </w:pPr>
      <w:r w:rsidRPr="00892DE3">
        <w:t>Presentation of report of operations</w:t>
      </w:r>
      <w:r w:rsidRPr="00892DE3">
        <w:tab/>
      </w:r>
      <w:fldSimple w:instr=" PAGEREF  Report_Presentation  \* MERGEFORMAT ">
        <w:r w:rsidR="00F63B17">
          <w:rPr>
            <w:noProof/>
          </w:rPr>
          <w:t>11</w:t>
        </w:r>
      </w:fldSimple>
    </w:p>
    <w:p w:rsidR="00080446" w:rsidRPr="00892DE3" w:rsidRDefault="00080446" w:rsidP="00B07BA0">
      <w:pPr>
        <w:tabs>
          <w:tab w:val="right" w:leader="dot" w:pos="8080"/>
        </w:tabs>
      </w:pPr>
      <w:r w:rsidRPr="00892DE3">
        <w:t>Con</w:t>
      </w:r>
      <w:r w:rsidR="00DA3433" w:rsidRPr="00892DE3">
        <w:t>tents of report of operations</w:t>
      </w:r>
      <w:r w:rsidR="00DA3433" w:rsidRPr="00892DE3">
        <w:tab/>
      </w:r>
      <w:fldSimple w:instr=" PAGEREF  Report_Presentation  \* MERGEFORMAT ">
        <w:r w:rsidR="00F63B17">
          <w:rPr>
            <w:noProof/>
          </w:rPr>
          <w:t>11</w:t>
        </w:r>
      </w:fldSimple>
    </w:p>
    <w:p w:rsidR="00080446" w:rsidRPr="00892DE3" w:rsidRDefault="00080446" w:rsidP="00B07BA0">
      <w:pPr>
        <w:tabs>
          <w:tab w:val="right" w:leader="dot" w:pos="8080"/>
        </w:tabs>
      </w:pPr>
      <w:r w:rsidRPr="00892DE3">
        <w:t>Specific requirements under Standing Direction 5</w:t>
      </w:r>
      <w:r w:rsidR="00DA3433" w:rsidRPr="00892DE3">
        <w:t>.2</w:t>
      </w:r>
      <w:r w:rsidR="00DA3433" w:rsidRPr="00892DE3">
        <w:tab/>
      </w:r>
      <w:fldSimple w:instr=" PAGEREF  Report_Presentation  \* MERGEFORMAT ">
        <w:r w:rsidR="00F63B17">
          <w:rPr>
            <w:noProof/>
          </w:rPr>
          <w:t>11</w:t>
        </w:r>
      </w:fldSimple>
    </w:p>
    <w:p w:rsidR="00080446" w:rsidRPr="00892DE3" w:rsidRDefault="00080446" w:rsidP="00B07BA0">
      <w:pPr>
        <w:tabs>
          <w:tab w:val="right" w:leader="dot" w:pos="8080"/>
        </w:tabs>
      </w:pPr>
      <w:r w:rsidRPr="00892DE3">
        <w:t>Disclosure requirement – estimate</w:t>
      </w:r>
      <w:r w:rsidR="00DA3433" w:rsidRPr="00892DE3">
        <w:t>s presented as actual results</w:t>
      </w:r>
      <w:r w:rsidR="00DA3433" w:rsidRPr="00892DE3">
        <w:tab/>
      </w:r>
      <w:fldSimple w:instr=" PAGEREF  Report_Presentation  \* MERGEFORMAT ">
        <w:r w:rsidR="00F63B17">
          <w:rPr>
            <w:noProof/>
          </w:rPr>
          <w:t>11</w:t>
        </w:r>
      </w:fldSimple>
    </w:p>
    <w:p w:rsidR="00080446" w:rsidRPr="00892DE3" w:rsidRDefault="00080446" w:rsidP="00B07BA0">
      <w:pPr>
        <w:tabs>
          <w:tab w:val="right" w:leader="dot" w:pos="8080"/>
        </w:tabs>
      </w:pPr>
      <w:r w:rsidRPr="00892DE3">
        <w:t>Department of Technology report of operations – FRD guidan</w:t>
      </w:r>
      <w:r w:rsidR="00901595" w:rsidRPr="00892DE3">
        <w:t>ce</w:t>
      </w:r>
      <w:r w:rsidR="00901595" w:rsidRPr="00892DE3">
        <w:tab/>
      </w:r>
      <w:fldSimple w:instr=" PAGEREF  Report_FRDGuidance  \* MERGEFORMAT ">
        <w:r w:rsidR="00F63B17">
          <w:rPr>
            <w:noProof/>
          </w:rPr>
          <w:t>12</w:t>
        </w:r>
      </w:fldSimple>
    </w:p>
    <w:p w:rsidR="00080446" w:rsidRPr="00892DE3" w:rsidRDefault="00080446" w:rsidP="00B07BA0">
      <w:pPr>
        <w:tabs>
          <w:tab w:val="right" w:leader="dot" w:pos="8080"/>
        </w:tabs>
      </w:pPr>
      <w:r w:rsidRPr="00892DE3">
        <w:t>Section 1: Year in review</w:t>
      </w:r>
      <w:r w:rsidRPr="00892DE3">
        <w:tab/>
      </w:r>
      <w:fldSimple w:instr=" PAGEREF  Report_Section1  \* MERGEFORMAT ">
        <w:r w:rsidR="00F63B17">
          <w:rPr>
            <w:noProof/>
          </w:rPr>
          <w:t>13</w:t>
        </w:r>
      </w:fldSimple>
    </w:p>
    <w:p w:rsidR="00080446" w:rsidRPr="00892DE3" w:rsidRDefault="00080446" w:rsidP="00B07BA0">
      <w:pPr>
        <w:tabs>
          <w:tab w:val="right" w:leader="dot" w:pos="8080"/>
        </w:tabs>
      </w:pPr>
      <w:r w:rsidRPr="00892DE3">
        <w:t>Section 2: Governance and organisational structure</w:t>
      </w:r>
      <w:r w:rsidRPr="00892DE3">
        <w:tab/>
      </w:r>
      <w:fldSimple w:instr=" PAGEREF  Report_Section2  \* MERGEFORMAT ">
        <w:r w:rsidR="00F63B17">
          <w:rPr>
            <w:noProof/>
          </w:rPr>
          <w:t>32</w:t>
        </w:r>
      </w:fldSimple>
    </w:p>
    <w:p w:rsidR="00080446" w:rsidRPr="00892DE3" w:rsidRDefault="00DA3433" w:rsidP="00B07BA0">
      <w:pPr>
        <w:tabs>
          <w:tab w:val="right" w:leader="dot" w:pos="8080"/>
        </w:tabs>
      </w:pPr>
      <w:r w:rsidRPr="00892DE3">
        <w:t>Section 3: Workforce data</w:t>
      </w:r>
      <w:r w:rsidRPr="00892DE3">
        <w:tab/>
      </w:r>
      <w:fldSimple w:instr=" PAGEREF  Report_Section3  \* MERGEFORMAT ">
        <w:r w:rsidR="00F63B17">
          <w:rPr>
            <w:noProof/>
          </w:rPr>
          <w:t>40</w:t>
        </w:r>
      </w:fldSimple>
    </w:p>
    <w:p w:rsidR="00080446" w:rsidRPr="00892DE3" w:rsidRDefault="00DA3433" w:rsidP="00B07BA0">
      <w:pPr>
        <w:tabs>
          <w:tab w:val="right" w:leader="dot" w:pos="8080"/>
        </w:tabs>
      </w:pPr>
      <w:r w:rsidRPr="00892DE3">
        <w:t>Section 4: Other disclosures</w:t>
      </w:r>
      <w:r w:rsidRPr="00892DE3">
        <w:tab/>
      </w:r>
      <w:fldSimple w:instr=" PAGEREF  Report_Section4  \* MERGEFORMAT ">
        <w:r w:rsidR="00F63B17">
          <w:rPr>
            <w:noProof/>
          </w:rPr>
          <w:t>46</w:t>
        </w:r>
      </w:fldSimple>
    </w:p>
    <w:p w:rsidR="00080446" w:rsidRPr="00892DE3" w:rsidRDefault="00080446" w:rsidP="00B07BA0">
      <w:pPr>
        <w:tabs>
          <w:tab w:val="right" w:leader="dot" w:pos="8080"/>
        </w:tabs>
      </w:pPr>
      <w:r w:rsidRPr="00892DE3">
        <w:t>Disclosure index</w:t>
      </w:r>
      <w:r w:rsidRPr="00892DE3">
        <w:tab/>
      </w:r>
      <w:fldSimple w:instr=" PAGEREF  Report_DisclosureIndex  \* MERGEFORMAT ">
        <w:r w:rsidR="00F63B17">
          <w:rPr>
            <w:noProof/>
          </w:rPr>
          <w:t>67</w:t>
        </w:r>
      </w:fldSimple>
    </w:p>
    <w:p w:rsidR="00080446" w:rsidRPr="00892DE3" w:rsidRDefault="00080446" w:rsidP="00B07BA0">
      <w:pPr>
        <w:tabs>
          <w:tab w:val="right" w:leader="dot" w:pos="8080"/>
        </w:tabs>
        <w:sectPr w:rsidR="00080446" w:rsidRPr="00892DE3" w:rsidSect="00080446">
          <w:type w:val="continuous"/>
          <w:pgSz w:w="11906" w:h="16838"/>
          <w:pgMar w:top="1138" w:right="1138" w:bottom="1138" w:left="1008" w:header="619" w:footer="562" w:gutter="0"/>
          <w:cols w:num="2" w:space="360" w:equalWidth="0">
            <w:col w:w="1368" w:space="360"/>
            <w:col w:w="8032"/>
          </w:cols>
          <w:docGrid w:linePitch="360"/>
        </w:sectPr>
      </w:pPr>
    </w:p>
    <w:p w:rsidR="00080446" w:rsidRPr="00892DE3" w:rsidRDefault="00080446" w:rsidP="00080446">
      <w:pPr>
        <w:pStyle w:val="Heading2blue"/>
      </w:pPr>
      <w:r w:rsidRPr="00892DE3">
        <w:lastRenderedPageBreak/>
        <w:br w:type="column"/>
      </w:r>
      <w:bookmarkStart w:id="19" w:name="_Toc462067151"/>
      <w:bookmarkStart w:id="20" w:name="Report_About"/>
      <w:r w:rsidRPr="00892DE3">
        <w:lastRenderedPageBreak/>
        <w:t>About the model report of operations</w:t>
      </w:r>
      <w:bookmarkEnd w:id="19"/>
      <w:r w:rsidRPr="00892DE3">
        <w:t xml:space="preserve"> </w:t>
      </w:r>
      <w:bookmarkEnd w:id="20"/>
    </w:p>
    <w:p w:rsidR="00080446" w:rsidRPr="00892DE3" w:rsidRDefault="00080446" w:rsidP="00080446">
      <w:pPr>
        <w:rPr>
          <w:sz w:val="25"/>
          <w:szCs w:val="25"/>
        </w:rPr>
        <w:sectPr w:rsidR="00080446" w:rsidRPr="00892DE3" w:rsidSect="00080446">
          <w:type w:val="continuous"/>
          <w:pgSz w:w="11906" w:h="16838"/>
          <w:pgMar w:top="1138" w:right="1138" w:bottom="1138" w:left="1008" w:header="619" w:footer="562" w:gutter="0"/>
          <w:cols w:num="2" w:space="360" w:equalWidth="0">
            <w:col w:w="1368" w:space="360"/>
            <w:col w:w="8032"/>
          </w:cols>
          <w:docGrid w:linePitch="360"/>
        </w:sectPr>
      </w:pPr>
    </w:p>
    <w:p w:rsidR="00080446" w:rsidRPr="00892DE3" w:rsidRDefault="00080446" w:rsidP="00080446">
      <w:pPr>
        <w:pStyle w:val="Reference"/>
      </w:pPr>
      <w:r w:rsidRPr="00892DE3">
        <w:lastRenderedPageBreak/>
        <w:br/>
        <w:t>SD5.2</w:t>
      </w:r>
      <w:r w:rsidRPr="00892DE3">
        <w:br/>
        <w:t>FRD 22H</w:t>
      </w:r>
    </w:p>
    <w:p w:rsidR="00080446" w:rsidRPr="00892DE3" w:rsidRDefault="00080446" w:rsidP="00080446">
      <w:pPr>
        <w:pStyle w:val="Guidancenoborder"/>
      </w:pPr>
      <w:r w:rsidRPr="00892DE3">
        <w:br w:type="column"/>
      </w:r>
      <w:r w:rsidRPr="00892DE3">
        <w:lastRenderedPageBreak/>
        <w:t xml:space="preserve">The report of operations is an integral part of a </w:t>
      </w:r>
      <w:r w:rsidRPr="00892DE3">
        <w:rPr>
          <w:b/>
        </w:rPr>
        <w:t>department</w:t>
      </w:r>
      <w:r w:rsidRPr="00892DE3">
        <w:t xml:space="preserve">’s annual report. It provides users with general information about the entity and its activities, operational highlights for the reporting period, future directions and other relevant information not included in the financial statements. It is a document akin to the directors’ report which forms a significant part of the annual reports of companies. </w:t>
      </w:r>
    </w:p>
    <w:p w:rsidR="00080446" w:rsidRPr="00892DE3" w:rsidRDefault="00080446" w:rsidP="00080446">
      <w:pPr>
        <w:pStyle w:val="Guidancenoborder"/>
      </w:pPr>
      <w:r w:rsidRPr="00892DE3">
        <w:t xml:space="preserve">The report of operations complements the information presented in the financial statements by providing explanation and analysis of the department’s performance, financial position and cash flow through an objective and balanced discussion and analysis. To that end, it should be comprehensive and, where appropriate, adopt a narrative form written in a clear style, and supported by figures and graphics that assist understanding of the matters discussed. The report of operations should be balanced and objective, and free from bias. In keeping with this requirement, clear design of the annual report may help communicate this message. </w:t>
      </w:r>
    </w:p>
    <w:p w:rsidR="00080446" w:rsidRPr="00892DE3" w:rsidRDefault="00080446" w:rsidP="00080446">
      <w:pPr>
        <w:pStyle w:val="Guidancenoborde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br/>
        <w:t>FRD 30D</w:t>
      </w:r>
    </w:p>
    <w:p w:rsidR="00080446" w:rsidRPr="00892DE3" w:rsidRDefault="00080446" w:rsidP="00080446">
      <w:pPr>
        <w:pStyle w:val="Guidancenoborder"/>
      </w:pPr>
      <w:r w:rsidRPr="00892DE3">
        <w:br w:type="column"/>
      </w:r>
      <w:r w:rsidRPr="00892DE3">
        <w:lastRenderedPageBreak/>
        <w:t xml:space="preserve">Additionally, Financial Reporting Direction (FRD) 30D </w:t>
      </w:r>
      <w:r w:rsidRPr="00892DE3">
        <w:rPr>
          <w:i/>
        </w:rPr>
        <w:t>Standard requirements for the publication of annual reports</w:t>
      </w:r>
      <w:r w:rsidRPr="00892DE3">
        <w:t xml:space="preserve"> provides specifications on the design of annual reports, use of colour and images, standard sizing, paper stocks, and other publishing requirements, which focus on reducing publication cost and environmental impact, and ensuring greater consistency in government annual reports. The FRDs can be found on the DTF website </w:t>
      </w:r>
      <w:hyperlink r:id="rId43" w:history="1">
        <w:r w:rsidRPr="00892DE3">
          <w:rPr>
            <w:rStyle w:val="Hyperlink"/>
          </w:rPr>
          <w:t>www.dtf.vic.gov.au</w:t>
        </w:r>
      </w:hyperlink>
      <w:r w:rsidRPr="00892DE3">
        <w:rPr>
          <w:rStyle w:val="Hyperlink"/>
        </w:rPr>
        <w:t xml:space="preserve"> </w:t>
      </w:r>
      <w:r w:rsidRPr="00892DE3">
        <w:t>under FRDs.</w:t>
      </w:r>
    </w:p>
    <w:p w:rsidR="00080446" w:rsidRPr="00892DE3" w:rsidRDefault="00080446" w:rsidP="00080446">
      <w:pPr>
        <w:pStyle w:val="Guidancenoborder"/>
      </w:pPr>
      <w:r w:rsidRPr="00892DE3">
        <w:t xml:space="preserve">The </w:t>
      </w:r>
      <w:r w:rsidRPr="00892DE3">
        <w:rPr>
          <w:i/>
        </w:rPr>
        <w:t>Model report of operations</w:t>
      </w:r>
      <w:r w:rsidRPr="00892DE3">
        <w:t xml:space="preserve"> incorporates reporting requirements that are current at the time of publication. In addition to complying with the </w:t>
      </w:r>
      <w:r w:rsidRPr="00892DE3">
        <w:rPr>
          <w:i/>
        </w:rPr>
        <w:t>Model report of operations</w:t>
      </w:r>
      <w:r w:rsidRPr="00892DE3">
        <w:t xml:space="preserve">, departments should ensure their report of operations complies with all new and revised legislative pronouncements that may be issued and applicable subsequent to the publication of the Model. </w:t>
      </w:r>
    </w:p>
    <w:p w:rsidR="00080446" w:rsidRPr="00892DE3" w:rsidRDefault="00080446" w:rsidP="00080446">
      <w:pPr>
        <w:pStyle w:val="Guidancenoborder"/>
      </w:pPr>
      <w:r w:rsidRPr="00892DE3">
        <w:t xml:space="preserve">While the </w:t>
      </w:r>
      <w:r w:rsidRPr="00892DE3">
        <w:rPr>
          <w:i/>
        </w:rPr>
        <w:t>Model report of operations</w:t>
      </w:r>
      <w:r w:rsidRPr="00892DE3">
        <w:t xml:space="preserve"> illustrates examples of disclosures required under FRDs, </w:t>
      </w:r>
      <w:r w:rsidRPr="00892DE3">
        <w:rPr>
          <w:b/>
        </w:rPr>
        <w:t>it does not necessarily illustrate all disclosures</w:t>
      </w:r>
      <w:r w:rsidRPr="00892DE3">
        <w:t xml:space="preserve"> that might be appropriate to report an agency’s objectives, activities and performance. Officers of a department or entity must use their judgement to identify any other matters that should be reported to ensure the report of operations is complete and objective.</w:t>
      </w:r>
    </w:p>
    <w:p w:rsidR="00080446" w:rsidRPr="00892DE3" w:rsidRDefault="00080446" w:rsidP="00080446">
      <w:pPr>
        <w:pStyle w:val="Guidancenoborder"/>
      </w:pPr>
      <w:r w:rsidRPr="00892DE3">
        <w:t>Entities other than departments need to be aware of the FRDs and legislation that affect them specifically, as not all pronouncements in the Model are applicable to all public sector entities. Professional judgement and awareness of an entity’s reporting obligations are to be applied when using the Model as a reference point.</w:t>
      </w:r>
    </w:p>
    <w:p w:rsidR="00080446" w:rsidRPr="00892DE3" w:rsidRDefault="00080446">
      <w:pPr>
        <w:keepLines w:val="0"/>
      </w:pPr>
      <w:r w:rsidRPr="00892DE3">
        <w:br w:type="page"/>
      </w:r>
    </w:p>
    <w:p w:rsidR="00080446" w:rsidRPr="00892DE3" w:rsidRDefault="00080446" w:rsidP="00080446">
      <w:pPr>
        <w:pStyle w:val="BodyText"/>
      </w:pPr>
    </w:p>
    <w:p w:rsidR="00080446" w:rsidRPr="00892DE3" w:rsidRDefault="00080446" w:rsidP="00080446">
      <w:pPr>
        <w:pStyle w:val="Heading2blue"/>
      </w:pPr>
      <w:r w:rsidRPr="00892DE3">
        <w:br w:type="column"/>
      </w:r>
      <w:bookmarkStart w:id="21" w:name="Report_Presentation"/>
      <w:r w:rsidRPr="00892DE3">
        <w:lastRenderedPageBreak/>
        <w:t xml:space="preserve">Presentation of report of operations </w:t>
      </w:r>
      <w:bookmarkEnd w:id="21"/>
    </w:p>
    <w:p w:rsidR="00080446" w:rsidRPr="00892DE3" w:rsidRDefault="00080446" w:rsidP="00080446">
      <w:pPr>
        <w:pStyle w:val="Heading2blue"/>
        <w:sectPr w:rsidR="00080446" w:rsidRPr="00892DE3" w:rsidSect="009C1D64">
          <w:headerReference w:type="even" r:id="rId44"/>
          <w:headerReference w:type="default" r:id="rId45"/>
          <w:footerReference w:type="default" r:id="rId46"/>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br/>
        <w:t>SD5.2</w:t>
      </w:r>
    </w:p>
    <w:p w:rsidR="00080446" w:rsidRPr="00892DE3" w:rsidRDefault="00080446" w:rsidP="00080446">
      <w:pPr>
        <w:pStyle w:val="Guidancenoborder"/>
      </w:pPr>
      <w:r w:rsidRPr="00892DE3">
        <w:br w:type="column"/>
      </w:r>
      <w:r w:rsidRPr="00892DE3">
        <w:lastRenderedPageBreak/>
        <w:t xml:space="preserve">Presentation of the report of operations as a discrete section of a department’s annual report ensures the information required is presented in one place. However, a department has the option to select the format that best complements the presentation of its annual report as a whole. </w:t>
      </w:r>
    </w:p>
    <w:p w:rsidR="00080446" w:rsidRPr="00892DE3" w:rsidRDefault="00080446" w:rsidP="00080446">
      <w:pPr>
        <w:pStyle w:val="Heading2blue"/>
      </w:pPr>
      <w:r w:rsidRPr="00892DE3">
        <w:t>Contents of report of operations</w:t>
      </w:r>
    </w:p>
    <w:p w:rsidR="00080446" w:rsidRPr="00892DE3" w:rsidRDefault="00080446" w:rsidP="00080446">
      <w:pPr>
        <w:pStyle w:val="Guidancenoborder"/>
      </w:pPr>
      <w:r w:rsidRPr="00892DE3">
        <w:t xml:space="preserve">The report of operations, for the purposes of the Model, illustrates the minimum disclosures required by the </w:t>
      </w:r>
      <w:r w:rsidRPr="00892DE3">
        <w:rPr>
          <w:i/>
        </w:rPr>
        <w:t>Standing Directions</w:t>
      </w:r>
      <w:r w:rsidRPr="00892DE3">
        <w:t xml:space="preserve"> (SD) of the Minister for Finance and FRDs, as listed in </w:t>
      </w:r>
      <w:r w:rsidRPr="00892DE3">
        <w:rPr>
          <w:i/>
        </w:rPr>
        <w:t>Disclosure Index</w:t>
      </w:r>
      <w:r w:rsidRPr="00892DE3">
        <w:t xml:space="preserve"> on page 6</w:t>
      </w:r>
      <w:r w:rsidR="00B50EAC" w:rsidRPr="00892DE3">
        <w:t>7</w:t>
      </w:r>
      <w:r w:rsidRPr="00892DE3">
        <w:t xml:space="preserve">, as well as sections of the </w:t>
      </w:r>
      <w:r w:rsidRPr="00892DE3">
        <w:rPr>
          <w:i/>
        </w:rPr>
        <w:t>Financial Management Act 1994</w:t>
      </w:r>
      <w:r w:rsidRPr="00892DE3">
        <w:t xml:space="preserve"> (FMA)</w:t>
      </w:r>
      <w:r w:rsidR="00BF5485" w:rsidRPr="00892DE3">
        <w:t xml:space="preserve"> </w:t>
      </w:r>
      <w:r w:rsidRPr="00892DE3">
        <w:t>and Premier’s Circulars. Given the different nature of activities carried out by departments, varying levels of detail will be needed to fulfil particular requirements of the SD, FMA, FRDs and Premier’s Circulars. As with the financial statements, professional judgement is required to identify relevant significant matters and present them in a way that properly informs the reader.</w:t>
      </w:r>
    </w:p>
    <w:p w:rsidR="00080446" w:rsidRPr="00892DE3" w:rsidRDefault="00080446" w:rsidP="00080446">
      <w:pPr>
        <w:pStyle w:val="Heading2blue"/>
      </w:pPr>
      <w:r w:rsidRPr="00892DE3">
        <w:t xml:space="preserve">Specific requirements under Standing Direction 5.2 </w:t>
      </w:r>
    </w:p>
    <w:p w:rsidR="00080446" w:rsidRPr="00892DE3" w:rsidRDefault="00080446" w:rsidP="00080446">
      <w:pPr>
        <w:pStyle w:val="Heading2blu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rPr>
          <w:b/>
        </w:rPr>
      </w:pPr>
      <w:r w:rsidRPr="00892DE3">
        <w:rPr>
          <w:b/>
        </w:rPr>
        <w:lastRenderedPageBreak/>
        <w:t>Revised</w:t>
      </w:r>
    </w:p>
    <w:p w:rsidR="00080446" w:rsidRPr="00892DE3" w:rsidRDefault="00080446" w:rsidP="00080446">
      <w:pPr>
        <w:pStyle w:val="Reference"/>
      </w:pPr>
      <w:r w:rsidRPr="00892DE3">
        <w:t>SD5.2.1(a)</w:t>
      </w:r>
    </w:p>
    <w:p w:rsidR="00080446" w:rsidRPr="00892DE3" w:rsidRDefault="00080446" w:rsidP="00080446">
      <w:pPr>
        <w:pStyle w:val="Guidancenoborder"/>
        <w:ind w:left="426" w:hanging="426"/>
      </w:pPr>
      <w:r w:rsidRPr="00892DE3">
        <w:lastRenderedPageBreak/>
        <w:t>(a)</w:t>
      </w:r>
      <w:r w:rsidRPr="00892DE3">
        <w:tab/>
        <w:t xml:space="preserve">The report of operations must be prepared in accordance with the requirements of the FMA, SD and associated instructions, applicable Australian Accounting Standards and FRDs. </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t>SD5.2.1(b)</w:t>
      </w:r>
    </w:p>
    <w:p w:rsidR="00080446" w:rsidRPr="00892DE3" w:rsidRDefault="00080446" w:rsidP="00080446">
      <w:pPr>
        <w:pStyle w:val="Guidanceindentnoborder"/>
      </w:pPr>
      <w:r w:rsidRPr="00892DE3">
        <w:br w:type="column"/>
      </w:r>
      <w:r w:rsidRPr="00892DE3">
        <w:lastRenderedPageBreak/>
        <w:t>(b)</w:t>
      </w:r>
      <w:r w:rsidRPr="00892DE3">
        <w:tab/>
        <w:t xml:space="preserve">The report of operations for government departments must be presented in accordance with the guidelines contained in the Model. </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t>SD5.2.3</w:t>
      </w:r>
    </w:p>
    <w:p w:rsidR="00080446" w:rsidRPr="00892DE3" w:rsidRDefault="00080446" w:rsidP="00080446">
      <w:pPr>
        <w:pStyle w:val="Guidanceindentnoborder"/>
      </w:pPr>
      <w:r w:rsidRPr="00892DE3">
        <w:br w:type="column"/>
      </w:r>
      <w:r w:rsidRPr="00892DE3">
        <w:lastRenderedPageBreak/>
        <w:t>(c)</w:t>
      </w:r>
      <w:r w:rsidRPr="00892DE3">
        <w:tab/>
        <w:t>The report of operations must be signed and dated by the Responsible Body or a member of the Responsible Body.</w:t>
      </w:r>
    </w:p>
    <w:p w:rsidR="00080446" w:rsidRPr="00892DE3" w:rsidRDefault="00080446" w:rsidP="00080446">
      <w:pPr>
        <w:pStyle w:val="Guidancenoborder"/>
      </w:pPr>
      <w:r w:rsidRPr="00892DE3">
        <w:t xml:space="preserve">The information and analysis contained in the report should be balanced and objective, free from bias and complete, dealing even-handedly with positive and negative aspects of operations, financial condition, risks and opportunities. While good design and presentation assists communication efficiency, effectiveness and value for money must also be considered. </w:t>
      </w:r>
    </w:p>
    <w:p w:rsidR="00080446" w:rsidRPr="00892DE3" w:rsidRDefault="00080446" w:rsidP="00080446">
      <w:pPr>
        <w:pStyle w:val="Guidancenoborder"/>
      </w:pPr>
      <w:r w:rsidRPr="00892DE3">
        <w:t xml:space="preserve">The format given in the Model may not be suitable for all departments, because departments differ in both structure and outputs. Each department may choose where they report disclosures as long as it complies with all relevant reporting directions and legislation. </w:t>
      </w:r>
    </w:p>
    <w:p w:rsidR="00080446" w:rsidRPr="00892DE3" w:rsidRDefault="00080446" w:rsidP="00080446">
      <w:pPr>
        <w:pStyle w:val="Guidancenoborder"/>
      </w:pPr>
      <w:r w:rsidRPr="00892DE3">
        <w:t xml:space="preserve">For ease of understanding and clarity, it is sometimes more appropriate to include detailed information in an appendix. Where this is done, the report of operations should include a summary of the information together with a cross reference to the applicable appendices. </w:t>
      </w:r>
    </w:p>
    <w:p w:rsidR="00080446" w:rsidRPr="00892DE3" w:rsidRDefault="00080446" w:rsidP="00080446">
      <w:pPr>
        <w:pStyle w:val="Guidancenoborder"/>
        <w:sectPr w:rsidR="00080446" w:rsidRPr="00892DE3" w:rsidSect="009C1D64">
          <w:headerReference w:type="default" r:id="rId47"/>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spacing w:before="240"/>
      </w:pPr>
      <w:r w:rsidRPr="00892DE3">
        <w:lastRenderedPageBreak/>
        <w:br/>
        <w:t xml:space="preserve">Recommendation 42, PAEC Report 109 </w:t>
      </w:r>
    </w:p>
    <w:p w:rsidR="00080446" w:rsidRPr="00892DE3" w:rsidRDefault="00080446" w:rsidP="00080446">
      <w:pPr>
        <w:pStyle w:val="Heading2blue"/>
      </w:pPr>
      <w:r w:rsidRPr="00892DE3">
        <w:br w:type="column"/>
      </w:r>
      <w:r w:rsidRPr="00892DE3">
        <w:lastRenderedPageBreak/>
        <w:t>Disclosure requirement – estimates presented as actual results</w:t>
      </w:r>
    </w:p>
    <w:p w:rsidR="00080446" w:rsidRPr="00892DE3" w:rsidRDefault="00080446" w:rsidP="00080446">
      <w:pPr>
        <w:pStyle w:val="Guidancenoborder"/>
      </w:pPr>
      <w:r w:rsidRPr="00892DE3">
        <w:t xml:space="preserve">Presenting an estimate in the departmental annual report can be appropriate under some circumstances, such as when actual results are not available at the time of compiling the annual report. It is crucial users of the report of operations appreciate where estimates are presented as actual results, especially if significant variances are expected between the estimates presented in the annual report and the actual result communicated subsequently. </w:t>
      </w:r>
    </w:p>
    <w:p w:rsidR="00080446" w:rsidRPr="00892DE3" w:rsidRDefault="00080446" w:rsidP="00080446">
      <w:pPr>
        <w:pStyle w:val="Guidancenoborder"/>
      </w:pPr>
      <w:r w:rsidRPr="00892DE3">
        <w:t xml:space="preserve">Therefore, departments are required to disclose in the report of operations where estimates are presented as actual results for clarification purposes. </w:t>
      </w:r>
    </w:p>
    <w:p w:rsidR="00080446" w:rsidRPr="00892DE3" w:rsidRDefault="00080446" w:rsidP="00080446">
      <w:pPr>
        <w:pStyle w:val="BodyText"/>
      </w:pPr>
      <w:r w:rsidRPr="00892DE3">
        <w:br w:type="page"/>
      </w:r>
    </w:p>
    <w:p w:rsidR="00080446" w:rsidRPr="00892DE3" w:rsidRDefault="00080446" w:rsidP="00080446">
      <w:pPr>
        <w:pStyle w:val="Guidancenoborder"/>
      </w:pPr>
    </w:p>
    <w:p w:rsidR="00080446" w:rsidRPr="00892DE3" w:rsidRDefault="00080446" w:rsidP="00080446">
      <w:pPr>
        <w:pStyle w:val="Heading2blue"/>
      </w:pPr>
      <w:bookmarkStart w:id="22" w:name="Report_FRDGuidance"/>
      <w:r w:rsidRPr="00892DE3">
        <w:lastRenderedPageBreak/>
        <w:t>Declaration in report of operations</w:t>
      </w:r>
      <w:bookmarkEnd w:id="22"/>
    </w:p>
    <w:p w:rsidR="00080446" w:rsidRPr="00892DE3" w:rsidRDefault="00080446" w:rsidP="00080446">
      <w:pPr>
        <w:pStyle w:val="Heading2blu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rPr>
          <w:b/>
        </w:rPr>
      </w:pPr>
      <w:r w:rsidRPr="00892DE3">
        <w:lastRenderedPageBreak/>
        <w:br/>
      </w:r>
      <w:r w:rsidRPr="00892DE3">
        <w:rPr>
          <w:b/>
        </w:rPr>
        <w:t>Revised</w:t>
      </w:r>
    </w:p>
    <w:p w:rsidR="00080446" w:rsidRPr="00892DE3" w:rsidRDefault="00080446" w:rsidP="00080446">
      <w:pPr>
        <w:pStyle w:val="Reference"/>
      </w:pPr>
      <w:r w:rsidRPr="00892DE3">
        <w:t>SD5.2.3</w:t>
      </w:r>
    </w:p>
    <w:p w:rsidR="00080446" w:rsidRPr="00892DE3" w:rsidRDefault="00080446" w:rsidP="00E92E53">
      <w:pPr>
        <w:rPr>
          <w:b/>
        </w:rPr>
      </w:pPr>
      <w:r w:rsidRPr="00892DE3">
        <w:br w:type="column"/>
      </w:r>
      <w:r w:rsidRPr="00892DE3">
        <w:rPr>
          <w:b/>
          <w:sz w:val="22"/>
        </w:rPr>
        <w:lastRenderedPageBreak/>
        <w:t>Responsible Body’s declaration</w:t>
      </w:r>
    </w:p>
    <w:p w:rsidR="00080446" w:rsidRPr="00892DE3" w:rsidRDefault="00080446" w:rsidP="00080446">
      <w:pPr>
        <w:pStyle w:val="BodyText"/>
      </w:pPr>
      <w:r w:rsidRPr="00892DE3">
        <w:t xml:space="preserve">In accordance with the </w:t>
      </w:r>
      <w:r w:rsidRPr="00892DE3">
        <w:rPr>
          <w:i/>
        </w:rPr>
        <w:t>Financial Management Act 1994</w:t>
      </w:r>
      <w:r w:rsidRPr="00892DE3">
        <w:t>, I am pleased to present the Department of Technology’s Annual Report for the year ending 30 June 2017.</w:t>
      </w:r>
    </w:p>
    <w:p w:rsidR="00080446" w:rsidRPr="00892DE3" w:rsidRDefault="00080446" w:rsidP="00080446">
      <w:pPr>
        <w:pStyle w:val="Guidancenoborder"/>
      </w:pPr>
      <w:r w:rsidRPr="00892DE3">
        <w:t>[Signature]</w:t>
      </w: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r w:rsidRPr="00892DE3">
        <w:t>J Smith</w:t>
      </w:r>
      <w:r w:rsidRPr="00892DE3">
        <w:br/>
        <w:t>Secretary</w:t>
      </w:r>
      <w:r w:rsidRPr="00892DE3">
        <w:br/>
        <w:t>Department of Technology</w:t>
      </w:r>
    </w:p>
    <w:p w:rsidR="00080446" w:rsidRPr="00892DE3" w:rsidRDefault="00080446" w:rsidP="00080446">
      <w:pPr>
        <w:pStyle w:val="BodyText"/>
      </w:pPr>
      <w:r w:rsidRPr="00892DE3">
        <w:t>14 August 2017</w:t>
      </w:r>
    </w:p>
    <w:p w:rsidR="00080446" w:rsidRPr="00892DE3" w:rsidRDefault="00080446" w:rsidP="00080446">
      <w:pPr>
        <w:pStyle w:val="BodyText"/>
      </w:pPr>
    </w:p>
    <w:p w:rsidR="00080446" w:rsidRPr="00892DE3" w:rsidRDefault="00080446" w:rsidP="00080446">
      <w:pPr>
        <w:pStyle w:val="Guidanceheading"/>
      </w:pPr>
      <w:r w:rsidRPr="00892DE3">
        <w:t>Guidance – Responsible Body’s declaration</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rPr>
          <w:b/>
        </w:rPr>
      </w:pPr>
      <w:r w:rsidRPr="00892DE3">
        <w:rPr>
          <w:b/>
        </w:rPr>
        <w:lastRenderedPageBreak/>
        <w:t>Revised</w:t>
      </w:r>
    </w:p>
    <w:p w:rsidR="00080446" w:rsidRPr="00892DE3" w:rsidRDefault="00080446" w:rsidP="00080446">
      <w:pPr>
        <w:pStyle w:val="Reference"/>
      </w:pPr>
      <w:r w:rsidRPr="00892DE3">
        <w:t>SD5.2.3</w:t>
      </w:r>
    </w:p>
    <w:p w:rsidR="00080446" w:rsidRPr="00892DE3" w:rsidRDefault="00080446" w:rsidP="00080446">
      <w:pPr>
        <w:pStyle w:val="Guidance"/>
        <w:pBdr>
          <w:bottom w:val="none" w:sz="0" w:space="0" w:color="auto"/>
        </w:pBdr>
      </w:pPr>
      <w:r w:rsidRPr="00892DE3">
        <w:rPr>
          <w:sz w:val="17"/>
          <w:szCs w:val="17"/>
        </w:rPr>
        <w:br w:type="column"/>
      </w:r>
      <w:r w:rsidRPr="00892DE3">
        <w:rPr>
          <w:b/>
        </w:rPr>
        <w:lastRenderedPageBreak/>
        <w:t>SD 5.2.3</w:t>
      </w:r>
      <w:r w:rsidRPr="00892DE3">
        <w:t xml:space="preserve"> requires the report of operations to be signed and dated by the Responsible Body or a member of the Responsible Body. For an agency with a statutory board or equivalent governing body established by or under statute, the Board or governing body is the Responsible Body. For an agency without a statutory board or equivalent governing body established by or under statute, the Accountable Officer is the Responsible Body.</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 xml:space="preserve">The Responsible Body sign off is usually the first item in the report of operations, and formally presents the report in accordance with requirements in the </w:t>
      </w:r>
      <w:r w:rsidRPr="00892DE3">
        <w:rPr>
          <w:i/>
        </w:rPr>
        <w:t>Financial Management Act 1994</w:t>
      </w:r>
      <w:r w:rsidRPr="00892DE3">
        <w:t>.</w:t>
      </w:r>
    </w:p>
    <w:p w:rsidR="00DA3433" w:rsidRPr="00892DE3" w:rsidRDefault="00DA3433" w:rsidP="00DA3433">
      <w:r w:rsidRPr="00892DE3">
        <w:br w:type="page"/>
      </w:r>
    </w:p>
    <w:p w:rsidR="00080446" w:rsidRPr="00892DE3" w:rsidRDefault="00080446" w:rsidP="00080446">
      <w:pPr>
        <w:pStyle w:val="Smallline"/>
      </w:pPr>
    </w:p>
    <w:p w:rsidR="00080446" w:rsidRPr="00892DE3" w:rsidRDefault="00080446" w:rsidP="00DA3433">
      <w:pPr>
        <w:pStyle w:val="Heading1nonTOC"/>
      </w:pPr>
      <w:bookmarkStart w:id="23" w:name="Report_Section1"/>
      <w:r w:rsidRPr="00892DE3">
        <w:lastRenderedPageBreak/>
        <w:t>Section 1: Year in review</w:t>
      </w:r>
      <w:bookmarkEnd w:id="23"/>
    </w:p>
    <w:p w:rsidR="00DA3433" w:rsidRPr="00892DE3" w:rsidRDefault="00DA3433" w:rsidP="00DA3433"/>
    <w:p w:rsidR="00080446" w:rsidRPr="00892DE3" w:rsidRDefault="00080446" w:rsidP="00080446">
      <w:pPr>
        <w:pStyle w:val="Guidanceheading"/>
      </w:pPr>
      <w:r w:rsidRPr="00892DE3">
        <w:t>Guidance – Year in review (overview)</w:t>
      </w:r>
    </w:p>
    <w:p w:rsidR="00080446" w:rsidRPr="00892DE3" w:rsidRDefault="00080446" w:rsidP="00080446">
      <w:pPr>
        <w:pStyle w:val="Guidanceheading"/>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heading1"/>
      </w:pPr>
      <w:r w:rsidRPr="00892DE3">
        <w:br w:type="column"/>
      </w:r>
      <w:r w:rsidRPr="00892DE3">
        <w:lastRenderedPageBreak/>
        <w:t>Legislative and documented references</w:t>
      </w:r>
    </w:p>
    <w:p w:rsidR="00080446" w:rsidRPr="00892DE3" w:rsidRDefault="00080446" w:rsidP="00080446">
      <w:pPr>
        <w:pStyle w:val="Guidance"/>
        <w:pBdr>
          <w:bottom w:val="none" w:sz="0" w:space="0" w:color="auto"/>
        </w:pBdr>
      </w:pPr>
      <w:r w:rsidRPr="00892DE3">
        <w:rPr>
          <w:b/>
        </w:rPr>
        <w:t>FRD 22H</w:t>
      </w:r>
      <w:r w:rsidRPr="00892DE3">
        <w:t xml:space="preserve"> </w:t>
      </w:r>
      <w:r w:rsidR="006A58CA">
        <w:t xml:space="preserve">(to be issued in June 2017) </w:t>
      </w:r>
      <w:r w:rsidRPr="00892DE3">
        <w:t xml:space="preserve">requires agencies to disclose general and financial information to outline and explain their operations and activities for the reporting period.  </w:t>
      </w:r>
    </w:p>
    <w:p w:rsidR="00080446" w:rsidRPr="00892DE3" w:rsidRDefault="00080446" w:rsidP="00080446">
      <w:pPr>
        <w:pStyle w:val="Guidance"/>
        <w:pBdr>
          <w:bottom w:val="none" w:sz="0" w:space="0" w:color="auto"/>
        </w:pBdr>
      </w:pPr>
      <w:r w:rsidRPr="00892DE3">
        <w:t xml:space="preserve">General information includes the agency’s activities, operational highlights for the reporting period, future initiatives and other relevant information not included in the financial statements. General information should also include agencies’ purpose, functions, powers and duties, which are linked to a summary of their activities, programs and achievements for the reporting period. </w:t>
      </w:r>
    </w:p>
    <w:p w:rsidR="00080446" w:rsidRPr="00892DE3" w:rsidRDefault="00080446" w:rsidP="00080446">
      <w:pPr>
        <w:pStyle w:val="Guidance"/>
        <w:pBdr>
          <w:bottom w:val="none" w:sz="0" w:space="0" w:color="auto"/>
        </w:pBdr>
      </w:pPr>
      <w:r w:rsidRPr="00892DE3">
        <w:t>Under the Government’s performance management system, the department’s medium-term departmental objectives should clearly align with its key ‘purpose, functions, powers and duties’. Goods and services (outputs) funded by the Government and delivered in a financial year should support the achievement of departmental objectives over time. The effectiveness of a department in delivering on its objectives will be assessed through the reporting of objective indicators.</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
        <w:pBdr>
          <w:bottom w:val="none" w:sz="0" w:space="0" w:color="auto"/>
        </w:pBdr>
        <w:spacing w:before="0"/>
      </w:pPr>
      <w:r w:rsidRPr="00892DE3">
        <w:br w:type="column"/>
      </w:r>
      <w:r w:rsidRPr="00892DE3">
        <w:lastRenderedPageBreak/>
        <w:t>In addition, FRD 22H requires that the manner of establishment of the entity and relevant ministers be included, as well as the nature and range of services provided, including the communities served.</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The year in review section is the opening section of a department’s annual report. The introduction should clearly articulate the department’s vision, mission, values, high level purpose, strategic priorities and key achievements.</w:t>
      </w:r>
    </w:p>
    <w:p w:rsidR="00080446" w:rsidRPr="00892DE3" w:rsidRDefault="00080446" w:rsidP="00080446">
      <w:pPr>
        <w:pStyle w:val="Guidance"/>
      </w:pPr>
      <w:r w:rsidRPr="00892DE3">
        <w:t xml:space="preserve">Reference should be made to the </w:t>
      </w:r>
      <w:r w:rsidRPr="00892DE3">
        <w:rPr>
          <w:i/>
        </w:rPr>
        <w:t>progress towards achieving departmental objectives, performance against output performance measures</w:t>
      </w:r>
      <w:r w:rsidRPr="00892DE3">
        <w:t xml:space="preserve"> and </w:t>
      </w:r>
      <w:r w:rsidRPr="00892DE3">
        <w:rPr>
          <w:i/>
        </w:rPr>
        <w:t>financial review</w:t>
      </w:r>
      <w:r w:rsidRPr="00892DE3">
        <w:t xml:space="preserve"> sections when commenting on how the department has achieved its targets. This section should also include the Secretary’s report, which outlines the achievements by the department for the year and a reference to the aims of the department for the year ahead.</w:t>
      </w:r>
    </w:p>
    <w:p w:rsidR="00080446" w:rsidRPr="00892DE3" w:rsidRDefault="00080446" w:rsidP="00080446">
      <w:pPr>
        <w:pStyle w:val="BodyText"/>
      </w:pPr>
    </w:p>
    <w:p w:rsidR="00080446" w:rsidRPr="00892DE3" w:rsidRDefault="00080446" w:rsidP="00AA770B">
      <w:pPr>
        <w:pStyle w:val="Heading4"/>
      </w:pPr>
      <w:r w:rsidRPr="00892DE3">
        <w:t>Our vision</w:t>
      </w:r>
    </w:p>
    <w:p w:rsidR="00080446" w:rsidRPr="00892DE3" w:rsidRDefault="00080446" w:rsidP="00080446">
      <w:pPr>
        <w:pStyle w:val="BodyText"/>
      </w:pPr>
      <w:r w:rsidRPr="00892DE3">
        <w:t xml:space="preserve">The department’s vision is for Victoria to be recognised as the highest performing, most innovative and trusted technological state in Australia. </w:t>
      </w:r>
    </w:p>
    <w:p w:rsidR="00080446" w:rsidRPr="00892DE3" w:rsidRDefault="00080446" w:rsidP="00AA770B">
      <w:pPr>
        <w:pStyle w:val="Heading4"/>
      </w:pPr>
      <w:r w:rsidRPr="00892DE3">
        <w:t>Our mission</w:t>
      </w:r>
    </w:p>
    <w:p w:rsidR="00080446" w:rsidRPr="00892DE3" w:rsidRDefault="00080446" w:rsidP="00080446">
      <w:pPr>
        <w:pStyle w:val="BodyText"/>
      </w:pPr>
      <w:r w:rsidRPr="00892DE3">
        <w:t>As a first point of call for public sector technological improvement, to proactively lead and engage the Victorian public sector in continually improving services, standards, governance and workforce development.</w:t>
      </w:r>
    </w:p>
    <w:p w:rsidR="00080446" w:rsidRPr="00892DE3" w:rsidRDefault="00080446" w:rsidP="00AA770B">
      <w:pPr>
        <w:pStyle w:val="Heading4"/>
      </w:pPr>
      <w:r w:rsidRPr="00892DE3">
        <w:t>Our values</w:t>
      </w:r>
    </w:p>
    <w:p w:rsidR="00080446" w:rsidRPr="00892DE3" w:rsidRDefault="00080446" w:rsidP="00080446">
      <w:pPr>
        <w:pStyle w:val="BodyText"/>
      </w:pPr>
      <w:r w:rsidRPr="00892DE3">
        <w:rPr>
          <w:b/>
        </w:rPr>
        <w:t>Be open:</w:t>
      </w:r>
      <w:r w:rsidRPr="00892DE3">
        <w:t xml:space="preserve"> Listen to and consider the views and opinions of our people. Provide accurate and objective information. </w:t>
      </w:r>
    </w:p>
    <w:p w:rsidR="00080446" w:rsidRPr="00892DE3" w:rsidRDefault="00080446" w:rsidP="00080446">
      <w:pPr>
        <w:pStyle w:val="BodyText"/>
      </w:pPr>
      <w:r w:rsidRPr="00892DE3">
        <w:rPr>
          <w:b/>
        </w:rPr>
        <w:t>Work together:</w:t>
      </w:r>
      <w:r w:rsidRPr="00892DE3">
        <w:t xml:space="preserve"> Demonstrate effective team behaviours. Collaborate across and outside Department of Technology to achieve desired outcomes. Value the contributions of teams as a whole.</w:t>
      </w:r>
    </w:p>
    <w:p w:rsidR="00080446" w:rsidRPr="00892DE3" w:rsidRDefault="00080446" w:rsidP="00080446">
      <w:pPr>
        <w:pStyle w:val="BodyText"/>
      </w:pPr>
      <w:r w:rsidRPr="00892DE3">
        <w:rPr>
          <w:b/>
        </w:rPr>
        <w:t>Respect others:</w:t>
      </w:r>
      <w:r w:rsidRPr="00892DE3">
        <w:t xml:space="preserve"> Treat others as we would like to be treated. Make intelligent use of the range of knowledge and skills held by our people. Apply work practices effectively to our people.</w:t>
      </w:r>
    </w:p>
    <w:p w:rsidR="00080446" w:rsidRPr="00892DE3" w:rsidRDefault="00080446" w:rsidP="00080446">
      <w:pPr>
        <w:pStyle w:val="BodyText"/>
      </w:pPr>
      <w:r w:rsidRPr="00892DE3">
        <w:rPr>
          <w:b/>
        </w:rPr>
        <w:t>Make a difference:</w:t>
      </w:r>
      <w:r w:rsidRPr="00892DE3">
        <w:t xml:space="preserve"> Strive to achieve outcomes that make a difference. Plan how best to achieve our desired outcomes. Measure our impact and apply learning from evaluations to future actions.</w:t>
      </w:r>
    </w:p>
    <w:p w:rsidR="00080446" w:rsidRPr="00892DE3" w:rsidRDefault="00080446" w:rsidP="00080446">
      <w:pPr>
        <w:pStyle w:val="BodyText"/>
      </w:pPr>
      <w:r w:rsidRPr="00892DE3">
        <w:rPr>
          <w:b/>
        </w:rPr>
        <w:t>Lead with purpose:</w:t>
      </w:r>
      <w:r w:rsidRPr="00892DE3">
        <w:t xml:space="preserve"> Provide a clear direction for the people we lead. Help people get their jobs done. Set an example by our actions.</w:t>
      </w:r>
    </w:p>
    <w:p w:rsidR="00C42E5E" w:rsidRPr="00892DE3" w:rsidRDefault="00080446" w:rsidP="006D5D42">
      <w:pPr>
        <w:pStyle w:val="BodyText"/>
      </w:pPr>
      <w:r w:rsidRPr="00892DE3">
        <w:rPr>
          <w:b/>
        </w:rPr>
        <w:t>Focus on safety:</w:t>
      </w:r>
      <w:r w:rsidRPr="00892DE3">
        <w:t xml:space="preserve"> Be aware of safety requirements, potential hazards and procedures in the work area. Take action to minimise or eliminate hazards. Be mindful of potential health and safety risks in all decision making.</w:t>
      </w:r>
      <w:r w:rsidR="00DA3433" w:rsidRPr="00892DE3">
        <w:br w:type="column"/>
      </w:r>
    </w:p>
    <w:p w:rsidR="006D5D42" w:rsidRPr="00892DE3" w:rsidRDefault="006D5D42" w:rsidP="006D5D42"/>
    <w:p w:rsidR="006D5D42" w:rsidRPr="00892DE3" w:rsidRDefault="006D5D42" w:rsidP="006D5D42"/>
    <w:p w:rsidR="00080446" w:rsidRPr="00892DE3" w:rsidRDefault="00080446" w:rsidP="00AA770B">
      <w:pPr>
        <w:pStyle w:val="Heading30"/>
      </w:pPr>
      <w:r w:rsidRPr="00892DE3">
        <w:lastRenderedPageBreak/>
        <w:t>Secretary’s report</w:t>
      </w:r>
    </w:p>
    <w:p w:rsidR="00080446" w:rsidRPr="00892DE3" w:rsidRDefault="00080446" w:rsidP="00C42E5E">
      <w:pPr>
        <w:pStyle w:val="Guidancenoborder"/>
      </w:pPr>
      <w:r w:rsidRPr="00892DE3">
        <w:t>[Useful guidance regarding appropriate content can be found in the ‘Year in review’ commentary]</w:t>
      </w:r>
    </w:p>
    <w:p w:rsidR="00080446" w:rsidRPr="00892DE3" w:rsidRDefault="00080446" w:rsidP="00080446">
      <w:pPr>
        <w:pStyle w:val="Guidancenoborder"/>
      </w:pPr>
      <w:r w:rsidRPr="00892DE3">
        <w:t>[Signature is optional]</w:t>
      </w:r>
    </w:p>
    <w:p w:rsidR="00DA3433" w:rsidRPr="00892DE3" w:rsidRDefault="00080446" w:rsidP="00080446">
      <w:pPr>
        <w:pStyle w:val="BodyText"/>
        <w:sectPr w:rsidR="00DA3433"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t>Jane Smith</w:t>
      </w:r>
      <w:r w:rsidRPr="00892DE3">
        <w:br/>
        <w:t>Secretary</w:t>
      </w:r>
    </w:p>
    <w:p w:rsidR="00080446" w:rsidRPr="00892DE3" w:rsidRDefault="00080446" w:rsidP="00080446">
      <w:pPr>
        <w:pStyle w:val="BodyText"/>
      </w:pPr>
    </w:p>
    <w:p w:rsidR="00080446" w:rsidRPr="00892DE3" w:rsidRDefault="00080446" w:rsidP="00080446">
      <w:pPr>
        <w:pStyle w:val="Reference"/>
      </w:pPr>
    </w:p>
    <w:p w:rsidR="00080446" w:rsidRPr="00892DE3" w:rsidRDefault="00080446" w:rsidP="00080446">
      <w:pPr>
        <w:pStyle w:val="Reference"/>
        <w:spacing w:before="140"/>
      </w:pPr>
      <w:r w:rsidRPr="00892DE3">
        <w:t>FRD 22H</w:t>
      </w:r>
    </w:p>
    <w:p w:rsidR="00080446" w:rsidRPr="00892DE3" w:rsidRDefault="00080446" w:rsidP="00AA770B">
      <w:pPr>
        <w:pStyle w:val="Heading30"/>
      </w:pPr>
      <w:r w:rsidRPr="00892DE3">
        <w:br w:type="column"/>
      </w:r>
      <w:r w:rsidRPr="00892DE3">
        <w:lastRenderedPageBreak/>
        <w:t xml:space="preserve">Purpose and functions </w:t>
      </w:r>
    </w:p>
    <w:p w:rsidR="00080446" w:rsidRPr="00892DE3" w:rsidRDefault="00080446" w:rsidP="00080446">
      <w:pPr>
        <w:pStyle w:val="BodyText"/>
      </w:pPr>
      <w:r w:rsidRPr="00892DE3">
        <w:t>The Department of Technology (‘the Department’) was established in 1998 to centralise and focus strategic policy advice to the Government and the Victorian community in regards to the adoption of new technology. With the establishment of the Department, the Government was able to centralise its research and development efforts, particularly research and development activities in respect of biological technology, and the provision of information technology and telecommunication (IT&amp;T) activities to other government departments. The Department is now recognised as a leading edge provider of technical and strategic advice and support on technology and IT&amp;T issues.</w:t>
      </w:r>
    </w:p>
    <w:p w:rsidR="00080446" w:rsidRPr="00892DE3" w:rsidRDefault="00080446" w:rsidP="00080446">
      <w:pPr>
        <w:pStyle w:val="BodyText"/>
      </w:pPr>
      <w:r w:rsidRPr="00892DE3">
        <w:t>The Department’s function is to ensure the Government and the general Victorian community obtain the benefits of technology, including biological technology, so as to enhance the economic and social prosperity of the community. As a central government agency, the Department plays an important role in advising the Government on technology issues and the provision of technological services for the community.</w:t>
      </w:r>
    </w:p>
    <w:p w:rsidR="00080446" w:rsidRPr="00892DE3" w:rsidRDefault="00080446" w:rsidP="00AA770B">
      <w:pPr>
        <w:pStyle w:val="TableHeading"/>
      </w:pPr>
      <w:r w:rsidRPr="00892DE3">
        <w:t>Changes to the Department during 2016-17</w:t>
      </w:r>
    </w:p>
    <w:tbl>
      <w:tblPr>
        <w:tblStyle w:val="DTFTextTable"/>
        <w:tblW w:w="8235" w:type="dxa"/>
        <w:tblLayout w:type="fixed"/>
        <w:tblLook w:val="0620" w:firstRow="1" w:lastRow="0" w:firstColumn="0" w:lastColumn="0" w:noHBand="1" w:noVBand="1"/>
      </w:tblPr>
      <w:tblGrid>
        <w:gridCol w:w="2842"/>
        <w:gridCol w:w="1881"/>
        <w:gridCol w:w="3512"/>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tcW w:w="2842" w:type="dxa"/>
          </w:tcPr>
          <w:p w:rsidR="00080446" w:rsidRPr="00892DE3" w:rsidRDefault="00080446" w:rsidP="00D3365F">
            <w:pPr>
              <w:spacing w:before="40" w:after="40"/>
            </w:pPr>
            <w:r w:rsidRPr="00892DE3">
              <w:t>2016</w:t>
            </w:r>
            <w:r w:rsidRPr="00892DE3">
              <w:noBreakHyphen/>
              <w:t>17 departmental objective</w:t>
            </w:r>
          </w:p>
        </w:tc>
        <w:tc>
          <w:tcPr>
            <w:tcW w:w="1881" w:type="dxa"/>
          </w:tcPr>
          <w:p w:rsidR="00080446" w:rsidRPr="00892DE3" w:rsidRDefault="00080446" w:rsidP="00D3365F">
            <w:pPr>
              <w:spacing w:before="40" w:after="40"/>
            </w:pPr>
            <w:r w:rsidRPr="00892DE3">
              <w:t>2016</w:t>
            </w:r>
            <w:r w:rsidRPr="00892DE3">
              <w:noBreakHyphen/>
              <w:t>17 output</w:t>
            </w:r>
          </w:p>
        </w:tc>
        <w:tc>
          <w:tcPr>
            <w:tcW w:w="3512" w:type="dxa"/>
          </w:tcPr>
          <w:p w:rsidR="00080446" w:rsidRPr="00892DE3" w:rsidRDefault="00080446" w:rsidP="00D3365F">
            <w:pPr>
              <w:spacing w:before="40" w:after="40"/>
            </w:pPr>
            <w:r w:rsidRPr="00892DE3">
              <w:t>Reason for change</w:t>
            </w:r>
          </w:p>
        </w:tc>
      </w:tr>
      <w:tr w:rsidR="00080446" w:rsidRPr="00892DE3" w:rsidTr="00080446">
        <w:tc>
          <w:tcPr>
            <w:tcW w:w="2842" w:type="dxa"/>
          </w:tcPr>
          <w:p w:rsidR="00080446" w:rsidRPr="00892DE3" w:rsidRDefault="00080446" w:rsidP="00080446">
            <w:r w:rsidRPr="00892DE3">
              <w:t>Improve the quality of life of Victorians through eradicating certain diseases and enhancing nutrition</w:t>
            </w:r>
          </w:p>
        </w:tc>
        <w:tc>
          <w:tcPr>
            <w:tcW w:w="1881" w:type="dxa"/>
          </w:tcPr>
          <w:p w:rsidR="00080446" w:rsidRPr="00892DE3" w:rsidRDefault="00080446" w:rsidP="00080446">
            <w:r w:rsidRPr="00892DE3">
              <w:t>Research and development of biological technology</w:t>
            </w:r>
          </w:p>
        </w:tc>
        <w:tc>
          <w:tcPr>
            <w:tcW w:w="3512" w:type="dxa"/>
          </w:tcPr>
          <w:p w:rsidR="00080446" w:rsidRPr="00892DE3" w:rsidRDefault="00080446" w:rsidP="00080446">
            <w:r w:rsidRPr="00892DE3">
              <w:t>New departmental objective and associated output resulting from machinery of government administrative restructure – 2 August 2016.</w:t>
            </w:r>
          </w:p>
        </w:tc>
      </w:tr>
    </w:tbl>
    <w:p w:rsidR="00080446" w:rsidRPr="00892DE3" w:rsidRDefault="00080446" w:rsidP="00080446">
      <w:pPr>
        <w:pStyle w:val="Tabletext"/>
        <w:rPr>
          <w:sz w:val="15"/>
          <w:szCs w:val="15"/>
        </w:rPr>
      </w:pPr>
    </w:p>
    <w:tbl>
      <w:tblPr>
        <w:tblStyle w:val="DTFTextTable"/>
        <w:tblW w:w="8235" w:type="dxa"/>
        <w:tblLayout w:type="fixed"/>
        <w:tblLook w:val="0620" w:firstRow="1" w:lastRow="0" w:firstColumn="0" w:lastColumn="0" w:noHBand="1" w:noVBand="1"/>
      </w:tblPr>
      <w:tblGrid>
        <w:gridCol w:w="2842"/>
        <w:gridCol w:w="1881"/>
        <w:gridCol w:w="3512"/>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tcW w:w="2842" w:type="dxa"/>
          </w:tcPr>
          <w:p w:rsidR="00080446" w:rsidRPr="00892DE3" w:rsidRDefault="00080446" w:rsidP="00D3365F">
            <w:pPr>
              <w:spacing w:before="40" w:after="40"/>
            </w:pPr>
            <w:r w:rsidRPr="00892DE3">
              <w:t>2015</w:t>
            </w:r>
            <w:r w:rsidRPr="00892DE3">
              <w:noBreakHyphen/>
              <w:t>16 departmental objective</w:t>
            </w:r>
          </w:p>
        </w:tc>
        <w:tc>
          <w:tcPr>
            <w:tcW w:w="1881" w:type="dxa"/>
          </w:tcPr>
          <w:p w:rsidR="00080446" w:rsidRPr="00892DE3" w:rsidRDefault="00080446" w:rsidP="00D3365F">
            <w:pPr>
              <w:spacing w:before="40" w:after="40"/>
            </w:pPr>
            <w:r w:rsidRPr="00892DE3">
              <w:t>2015</w:t>
            </w:r>
            <w:r w:rsidRPr="00892DE3">
              <w:noBreakHyphen/>
              <w:t>16 output</w:t>
            </w:r>
          </w:p>
        </w:tc>
        <w:tc>
          <w:tcPr>
            <w:tcW w:w="3512" w:type="dxa"/>
          </w:tcPr>
          <w:p w:rsidR="00080446" w:rsidRPr="00892DE3" w:rsidRDefault="00080446" w:rsidP="00D3365F">
            <w:pPr>
              <w:spacing w:before="40" w:after="40"/>
            </w:pPr>
            <w:r w:rsidRPr="00892DE3">
              <w:t>Reason for change</w:t>
            </w:r>
          </w:p>
        </w:tc>
      </w:tr>
      <w:tr w:rsidR="00080446" w:rsidRPr="00892DE3" w:rsidTr="00080446">
        <w:tc>
          <w:tcPr>
            <w:tcW w:w="2842" w:type="dxa"/>
          </w:tcPr>
          <w:p w:rsidR="00080446" w:rsidRPr="00892DE3" w:rsidRDefault="00080446" w:rsidP="00080446">
            <w:pPr>
              <w:rPr>
                <w:color w:val="0072CE" w:themeColor="accent4"/>
              </w:rPr>
            </w:pPr>
            <w:r w:rsidRPr="00892DE3">
              <w:rPr>
                <w:color w:val="0072CE" w:themeColor="accent4"/>
              </w:rPr>
              <w:t>[Insert 2015</w:t>
            </w:r>
            <w:r w:rsidRPr="00892DE3">
              <w:rPr>
                <w:color w:val="0072CE" w:themeColor="accent4"/>
              </w:rPr>
              <w:noBreakHyphen/>
              <w:t>16 departmental objective if different from current year]</w:t>
            </w:r>
          </w:p>
        </w:tc>
        <w:tc>
          <w:tcPr>
            <w:tcW w:w="1881" w:type="dxa"/>
          </w:tcPr>
          <w:p w:rsidR="00080446" w:rsidRPr="00892DE3" w:rsidRDefault="00080446" w:rsidP="00080446">
            <w:r w:rsidRPr="00892DE3">
              <w:t>New technology administration</w:t>
            </w:r>
          </w:p>
        </w:tc>
        <w:tc>
          <w:tcPr>
            <w:tcW w:w="3512" w:type="dxa"/>
          </w:tcPr>
          <w:p w:rsidR="00080446" w:rsidRPr="00892DE3" w:rsidRDefault="00080446" w:rsidP="00080446">
            <w:r w:rsidRPr="00892DE3">
              <w:t>Transferred departmental objective and associated output resulting from machinery of government administrative restructure – 2 August 2016.</w:t>
            </w:r>
          </w:p>
        </w:tc>
      </w:tr>
    </w:tbl>
    <w:p w:rsidR="00080446" w:rsidRPr="00892DE3" w:rsidRDefault="00080446" w:rsidP="00080446">
      <w:pPr>
        <w:pStyle w:val="Tabletext"/>
        <w:rPr>
          <w:sz w:val="15"/>
          <w:szCs w:val="15"/>
        </w:rPr>
      </w:pPr>
    </w:p>
    <w:p w:rsidR="00080446" w:rsidRPr="00892DE3" w:rsidRDefault="00080446" w:rsidP="00080446">
      <w:pPr>
        <w:pStyle w:val="BodyText"/>
      </w:pPr>
      <w:r w:rsidRPr="00892DE3">
        <w:t xml:space="preserve">As a consequence of policy decisions announced by the Government on 2 August 2016, changes were made to the departmental objectives and output structure of the Department during the financial year. </w:t>
      </w:r>
    </w:p>
    <w:p w:rsidR="00080446" w:rsidRPr="00892DE3" w:rsidRDefault="00080446" w:rsidP="00080446">
      <w:pPr>
        <w:pStyle w:val="BodyText"/>
      </w:pPr>
      <w:r w:rsidRPr="00892DE3">
        <w:t xml:space="preserve">This report of operations presents the progress made by the Department towards achieving its departmental objectives and full year performance of the outputs, received through the administrative restructure, for which the Department was responsible at the end of the financial year. Correspondingly, the departmental objective and full year performance of the output transferred to another department is reported in the transferee department’s report of operations. However, it is the responsibility of the transferor to ensure all financial accounts and reports of the transferred outputs were kept and provided for the purposes of the </w:t>
      </w:r>
      <w:r w:rsidRPr="00892DE3">
        <w:rPr>
          <w:i/>
        </w:rPr>
        <w:t>Financial Management Act 1994</w:t>
      </w:r>
      <w:r w:rsidRPr="00892DE3">
        <w:t xml:space="preserve"> until 31 August 2016. </w:t>
      </w:r>
    </w:p>
    <w:p w:rsidR="00080446" w:rsidRPr="00892DE3" w:rsidRDefault="00080446" w:rsidP="00080446">
      <w:pPr>
        <w:pStyle w:val="Guidancenoborder"/>
      </w:pPr>
      <w:r w:rsidRPr="00892DE3">
        <w:t>[Departments should also outline changes to departmental objectives and output structure as a result of an internal review of its medium-term objectives and output structure as part of this disclosure.]</w:t>
      </w:r>
    </w:p>
    <w:p w:rsidR="00DA3433" w:rsidRPr="00892DE3" w:rsidRDefault="00080446" w:rsidP="00080446">
      <w:pPr>
        <w:pStyle w:val="BodyText"/>
      </w:pPr>
      <w:r w:rsidRPr="00892DE3">
        <w:t xml:space="preserve">As part of the administrative restructure, the Department is now responsible for achieving the departmental objective of improving the quality of life of Victorians through eradicating certain diseases and enhancing nutrition by delivering services associated with the output Research and Development of Biological Technology. Responsibility for this objective and output was previously held by the Department of Natural Resources. All output performance measures are now reported by the Department for the full financial year. </w:t>
      </w:r>
    </w:p>
    <w:p w:rsidR="00DA3433" w:rsidRPr="00892DE3" w:rsidRDefault="00DA3433">
      <w:pPr>
        <w:keepLines w:val="0"/>
      </w:pPr>
      <w:r w:rsidRPr="00892DE3">
        <w:br w:type="page"/>
      </w:r>
    </w:p>
    <w:p w:rsidR="00080446" w:rsidRPr="00892DE3" w:rsidRDefault="00DA3433" w:rsidP="00080446">
      <w:pPr>
        <w:pStyle w:val="BodyText"/>
      </w:pPr>
      <w:r w:rsidRPr="00892DE3">
        <w:lastRenderedPageBreak/>
        <w:br w:type="column"/>
      </w:r>
      <w:r w:rsidR="00080446" w:rsidRPr="00892DE3">
        <w:lastRenderedPageBreak/>
        <w:t xml:space="preserve">The Department was previously also responsible for achieving </w:t>
      </w:r>
      <w:r w:rsidR="00080446" w:rsidRPr="00892DE3">
        <w:rPr>
          <w:color w:val="0072CE" w:themeColor="accent4"/>
        </w:rPr>
        <w:t>[insert affected departmental objective]</w:t>
      </w:r>
      <w:r w:rsidR="00080446" w:rsidRPr="00892DE3">
        <w:t xml:space="preserve"> with the delivery of services associated with the output New Technology Administration. As a result of the administrative restructure, the affected departmental objective and indicator and all output performance measures are now reported by the Department of Cabinet Administration.</w:t>
      </w:r>
    </w:p>
    <w:p w:rsidR="00080446" w:rsidRPr="00892DE3" w:rsidRDefault="00080446" w:rsidP="00080446">
      <w:pPr>
        <w:pStyle w:val="Smallline"/>
      </w:pPr>
    </w:p>
    <w:p w:rsidR="00080446" w:rsidRPr="00892DE3" w:rsidRDefault="00080446" w:rsidP="00080446">
      <w:pPr>
        <w:pStyle w:val="Guidanceheading"/>
      </w:pPr>
      <w:r w:rsidRPr="00892DE3">
        <w:t>Guidance – Changes to a department during 2016-17</w:t>
      </w:r>
    </w:p>
    <w:p w:rsidR="00080446" w:rsidRPr="00892DE3" w:rsidRDefault="00080446" w:rsidP="00080446">
      <w:pPr>
        <w:pStyle w:val="Guidanceheading1"/>
      </w:pPr>
      <w:r w:rsidRPr="00892DE3">
        <w:t>Guidance</w:t>
      </w:r>
    </w:p>
    <w:p w:rsidR="00080446" w:rsidRPr="00892DE3" w:rsidRDefault="00080446" w:rsidP="00080446">
      <w:pPr>
        <w:pStyle w:val="Guidanceheading2"/>
        <w:pBdr>
          <w:bottom w:val="none" w:sz="0" w:space="0" w:color="auto"/>
        </w:pBdr>
      </w:pPr>
      <w:r w:rsidRPr="00892DE3">
        <w:t>Expanded guidance on machinery of government changes is provided as follows:</w:t>
      </w:r>
    </w:p>
    <w:p w:rsidR="00080446" w:rsidRPr="00892DE3" w:rsidRDefault="00080446" w:rsidP="00587DAE">
      <w:pPr>
        <w:pStyle w:val="Guidancebullet"/>
        <w:numPr>
          <w:ilvl w:val="1"/>
          <w:numId w:val="24"/>
        </w:numPr>
        <w:pBdr>
          <w:bottom w:val="none" w:sz="0" w:space="0" w:color="auto"/>
        </w:pBdr>
        <w:ind w:left="446" w:hanging="446"/>
      </w:pPr>
      <w:r w:rsidRPr="00892DE3">
        <w:t xml:space="preserve">for illustration on disclosure of comparatives for assets and liabilities transferred, refer to illustrative disclosure in Notes </w:t>
      </w:r>
      <w:r w:rsidR="00BF5485" w:rsidRPr="00892DE3">
        <w:t>4.1 and 4.2</w:t>
      </w:r>
      <w:r w:rsidRPr="00892DE3">
        <w:t xml:space="preserve"> of the Model Financial Report, in the table disclosure of disaggregated controlled and administered items; and</w:t>
      </w:r>
    </w:p>
    <w:p w:rsidR="00080446" w:rsidRPr="00892DE3" w:rsidRDefault="00080446" w:rsidP="00587DAE">
      <w:pPr>
        <w:pStyle w:val="Guidancebullet"/>
        <w:numPr>
          <w:ilvl w:val="1"/>
          <w:numId w:val="24"/>
        </w:numPr>
        <w:pBdr>
          <w:bottom w:val="none" w:sz="0" w:space="0" w:color="auto"/>
        </w:pBdr>
        <w:ind w:left="446" w:hanging="446"/>
      </w:pPr>
      <w:r w:rsidRPr="00892DE3">
        <w:t xml:space="preserve">for general guidance on machinery of government changes and disclosure in the financial report, refer to illustrative disclosure and guidance provided in Note </w:t>
      </w:r>
      <w:r w:rsidR="00A65C70" w:rsidRPr="00892DE3">
        <w:t xml:space="preserve">4.3 </w:t>
      </w:r>
      <w:r w:rsidRPr="00892DE3">
        <w:t>of the Model Financial Report.</w:t>
      </w:r>
    </w:p>
    <w:p w:rsidR="00080446" w:rsidRPr="00892DE3" w:rsidRDefault="00080446" w:rsidP="00080446">
      <w:pPr>
        <w:pStyle w:val="Guidance"/>
        <w:pBdr>
          <w:bottom w:val="none" w:sz="0" w:space="0" w:color="auto"/>
        </w:pBdr>
      </w:pPr>
      <w:r w:rsidRPr="00892DE3">
        <w:t xml:space="preserve">Any machinery of government changes impacting on departmental objective and output performance reporting needs to be described in the report of operations. The departmental objective and output performance reporting should be disclosed </w:t>
      </w:r>
      <w:r w:rsidRPr="00892DE3">
        <w:rPr>
          <w:b/>
        </w:rPr>
        <w:t>for the full year</w:t>
      </w:r>
      <w:r w:rsidRPr="00892DE3">
        <w:t xml:space="preserve"> by the department administratively responsible for the functions and output delivery </w:t>
      </w:r>
      <w:r w:rsidRPr="00892DE3">
        <w:rPr>
          <w:b/>
        </w:rPr>
        <w:t>at the end of the financial year</w:t>
      </w:r>
      <w:r w:rsidRPr="00892DE3">
        <w:t>.</w:t>
      </w:r>
    </w:p>
    <w:p w:rsidR="00080446" w:rsidRPr="00892DE3" w:rsidRDefault="00080446" w:rsidP="00080446">
      <w:pPr>
        <w:pStyle w:val="Guidance"/>
        <w:pBdr>
          <w:bottom w:val="none" w:sz="0" w:space="0" w:color="auto"/>
        </w:pBdr>
      </w:pPr>
      <w:r w:rsidRPr="00892DE3">
        <w:t>For a department that is abolished because of machinery of government changes, the abolished department is also required to report on the departmental objectives and output performance up to the date it ceases to exist in its final Report of Operations.</w:t>
      </w:r>
    </w:p>
    <w:p w:rsidR="00080446" w:rsidRPr="00892DE3" w:rsidRDefault="00080446" w:rsidP="00C42E5E">
      <w:pPr>
        <w:pStyle w:val="Guidance"/>
        <w:pBdr>
          <w:bottom w:val="none" w:sz="0" w:space="0" w:color="auto"/>
        </w:pBd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rPr>
          <w:b/>
        </w:rPr>
        <w:t>Note:</w:t>
      </w:r>
      <w:r w:rsidRPr="00892DE3">
        <w:t xml:space="preserve"> if only part of an output is transferred, reporting should be on the relevant performance measures that relate to the function being transferred. </w:t>
      </w:r>
    </w:p>
    <w:p w:rsidR="00367D37" w:rsidRPr="00892DE3" w:rsidRDefault="00367D37" w:rsidP="00080446">
      <w:pPr>
        <w:pStyle w:val="Reference"/>
        <w:rPr>
          <w:b/>
          <w:color w:val="8A2A2B" w:themeColor="accent6"/>
        </w:rPr>
      </w:pPr>
    </w:p>
    <w:p w:rsidR="00367D37" w:rsidRPr="00892DE3" w:rsidRDefault="00367D37" w:rsidP="00080446">
      <w:pPr>
        <w:pStyle w:val="Reference"/>
        <w:rPr>
          <w:b/>
          <w:color w:val="8A2A2B" w:themeColor="accent6"/>
        </w:rPr>
      </w:pPr>
    </w:p>
    <w:p w:rsidR="00080446" w:rsidRPr="00892DE3" w:rsidRDefault="00080446" w:rsidP="00080446">
      <w:pPr>
        <w:pStyle w:val="Reference"/>
      </w:pPr>
      <w:r w:rsidRPr="00892DE3">
        <w:rPr>
          <w:b/>
          <w:color w:val="8A2A2B" w:themeColor="accent6"/>
        </w:rPr>
        <w:t>New</w:t>
      </w:r>
    </w:p>
    <w:p w:rsidR="00080446" w:rsidRPr="00892DE3" w:rsidRDefault="00080446" w:rsidP="00080446">
      <w:pPr>
        <w:pStyle w:val="Reference"/>
      </w:pPr>
      <w:r w:rsidRPr="00892DE3">
        <w:t>FRD 8D</w:t>
      </w:r>
    </w:p>
    <w:p w:rsidR="00080446" w:rsidRPr="00892DE3" w:rsidRDefault="00080446" w:rsidP="00080446">
      <w:pPr>
        <w:pStyle w:val="Guidanceheading2"/>
        <w:pBdr>
          <w:bottom w:val="none" w:sz="0" w:space="0" w:color="auto"/>
        </w:pBdr>
        <w:ind w:left="0" w:firstLine="0"/>
      </w:pPr>
      <w:r w:rsidRPr="00892DE3">
        <w:br w:type="column"/>
      </w:r>
      <w:r w:rsidRPr="00892DE3">
        <w:rPr>
          <w:b w:val="0"/>
          <w:i w:val="0"/>
        </w:rPr>
        <w:lastRenderedPageBreak/>
        <w:t xml:space="preserve">Detailed guidance in planning and implementing machinery of government changes are contained in the </w:t>
      </w:r>
      <w:r w:rsidRPr="00892DE3">
        <w:rPr>
          <w:b w:val="0"/>
        </w:rPr>
        <w:t>VPS operating manual on machinery of government changes</w:t>
      </w:r>
      <w:r w:rsidRPr="00892DE3">
        <w:rPr>
          <w:b w:val="0"/>
          <w:i w:val="0"/>
        </w:rPr>
        <w:t xml:space="preserve"> which can be found at </w:t>
      </w:r>
      <w:r w:rsidRPr="00892DE3">
        <w:rPr>
          <w:b w:val="0"/>
          <w:i w:val="0"/>
          <w:u w:val="single"/>
        </w:rPr>
        <w:t>www.dtf.vic.gov.au/Publications/Government-Financial-Management-publications/VPS-operating-manual-on-machinery-of-government-changes</w:t>
      </w:r>
      <w:r w:rsidRPr="00892DE3">
        <w:rPr>
          <w:b w:val="0"/>
          <w:i w:val="0"/>
        </w:rPr>
        <w:t>.</w:t>
      </w:r>
    </w:p>
    <w:p w:rsidR="00080446" w:rsidRPr="00892DE3" w:rsidRDefault="00080446" w:rsidP="00080446">
      <w:pPr>
        <w:pStyle w:val="Guidanceheading2"/>
        <w:pBdr>
          <w:bottom w:val="none" w:sz="0" w:space="0" w:color="auto"/>
        </w:pBdr>
      </w:pPr>
      <w:r w:rsidRPr="00892DE3">
        <w:t>Departmental objective and output performance reporting of the transferee department</w:t>
      </w:r>
    </w:p>
    <w:p w:rsidR="00080446" w:rsidRPr="00892DE3" w:rsidRDefault="00080446" w:rsidP="00080446">
      <w:pPr>
        <w:pStyle w:val="Guidance"/>
        <w:pBdr>
          <w:bottom w:val="none" w:sz="0" w:space="0" w:color="auto"/>
        </w:pBdr>
      </w:pPr>
      <w:r w:rsidRPr="00892DE3">
        <w:t>As the transferee department is administratively responsible for the outputs at the end of the financial year, it will now report the relevant departmental objective and associated indicator(s), output and associated output performance measures received due to the machinery of government changes for the full year, consistent with FRD 8D. The transferee department will provide commentary on all impacted outputs and associated departmental objectives explaining:</w:t>
      </w:r>
    </w:p>
    <w:p w:rsidR="00080446" w:rsidRPr="00892DE3" w:rsidRDefault="00080446" w:rsidP="00080446">
      <w:pPr>
        <w:pStyle w:val="Guidanceindent"/>
        <w:pBdr>
          <w:bottom w:val="none" w:sz="0" w:space="0" w:color="auto"/>
        </w:pBdr>
      </w:pPr>
      <w:r w:rsidRPr="00892DE3">
        <w:t>(a)</w:t>
      </w:r>
      <w:r w:rsidRPr="00892DE3">
        <w:tab/>
        <w:t>the departmental objective and associated indicator(s) and output and associated performance measures that were transferred to the department;</w:t>
      </w:r>
    </w:p>
    <w:p w:rsidR="00080446" w:rsidRPr="00892DE3" w:rsidRDefault="00080446" w:rsidP="00080446">
      <w:pPr>
        <w:pStyle w:val="Guidanceindent"/>
        <w:pBdr>
          <w:bottom w:val="none" w:sz="0" w:space="0" w:color="auto"/>
        </w:pBdr>
      </w:pPr>
      <w:r w:rsidRPr="00892DE3">
        <w:t>(b)</w:t>
      </w:r>
      <w:r w:rsidRPr="00892DE3">
        <w:tab/>
        <w:t>details of the transferor department; and</w:t>
      </w:r>
    </w:p>
    <w:p w:rsidR="00080446" w:rsidRPr="00892DE3" w:rsidRDefault="00080446" w:rsidP="00080446">
      <w:pPr>
        <w:pStyle w:val="Guidanceindent"/>
        <w:pBdr>
          <w:bottom w:val="none" w:sz="0" w:space="0" w:color="auto"/>
        </w:pBdr>
      </w:pPr>
      <w:r w:rsidRPr="00892DE3">
        <w:t>(c)</w:t>
      </w:r>
      <w:r w:rsidRPr="00892DE3">
        <w:tab/>
        <w:t>the date on which the administrative arrangement occurred.</w:t>
      </w:r>
    </w:p>
    <w:p w:rsidR="00080446" w:rsidRPr="00892DE3" w:rsidRDefault="00080446" w:rsidP="00080446">
      <w:pPr>
        <w:pStyle w:val="Guidanceheading2"/>
        <w:pBdr>
          <w:bottom w:val="none" w:sz="0" w:space="0" w:color="auto"/>
        </w:pBdr>
      </w:pPr>
      <w:r w:rsidRPr="00892DE3">
        <w:t>Departmental objective and output performance reporting of the transferor department</w:t>
      </w:r>
    </w:p>
    <w:p w:rsidR="00080446" w:rsidRPr="00892DE3" w:rsidRDefault="00080446" w:rsidP="00080446">
      <w:pPr>
        <w:pStyle w:val="Guidance"/>
        <w:pBdr>
          <w:bottom w:val="none" w:sz="0" w:space="0" w:color="auto"/>
        </w:pBdr>
      </w:pPr>
      <w:r w:rsidRPr="00892DE3">
        <w:t>As the transferor department will no longer be administratively responsible for the outputs at the end of the financial year, it does not need to report on the transferred output and associated output performance, related departmental objective (whole or in part) and associated indicator(s) transferred to another department. The transferor department will need to provide commentary on all impacted departmental objectives and outputs explaining:</w:t>
      </w:r>
    </w:p>
    <w:p w:rsidR="00080446" w:rsidRPr="00892DE3" w:rsidRDefault="00080446" w:rsidP="00080446">
      <w:pPr>
        <w:pStyle w:val="Guidanceindent"/>
      </w:pPr>
      <w:r w:rsidRPr="00892DE3">
        <w:t>(a)</w:t>
      </w:r>
      <w:r w:rsidRPr="00892DE3">
        <w:tab/>
        <w:t>the outputs that were transferred to another department and related departmental objective (whole or in part) and indicator(s);</w:t>
      </w:r>
    </w:p>
    <w:p w:rsidR="00080446" w:rsidRPr="00892DE3" w:rsidRDefault="00080446" w:rsidP="00080446">
      <w:pPr>
        <w:pStyle w:val="Guidanceindent"/>
      </w:pPr>
      <w:r w:rsidRPr="00892DE3">
        <w:t>(b)</w:t>
      </w:r>
      <w:r w:rsidRPr="00892DE3">
        <w:tab/>
        <w:t>details of the transferee department; and</w:t>
      </w:r>
    </w:p>
    <w:p w:rsidR="00080446" w:rsidRPr="00892DE3" w:rsidRDefault="00080446" w:rsidP="00080446">
      <w:pPr>
        <w:pStyle w:val="Guidanceindent"/>
      </w:pPr>
      <w:r w:rsidRPr="00892DE3">
        <w:t>(c)</w:t>
      </w:r>
      <w:r w:rsidRPr="00892DE3">
        <w:tab/>
        <w:t>the date on which the administrative arrangement occurred.</w:t>
      </w:r>
    </w:p>
    <w:p w:rsidR="00080446" w:rsidRPr="00892DE3" w:rsidRDefault="00080446" w:rsidP="00080446">
      <w:pPr>
        <w:pStyle w:val="Guidance"/>
      </w:pPr>
      <w:r w:rsidRPr="00892DE3">
        <w:rPr>
          <w:b/>
        </w:rPr>
        <w:t>Note:</w:t>
      </w:r>
      <w:r w:rsidRPr="00892DE3">
        <w:t xml:space="preserve"> The departmental objective and output performance reporting as described above is different from the financial reporting of an administrative restructure. Entities must continue to recognise assets, liabilities, income and expenses arising from the transferred/received outputs during the period, in the financial year in which entities were responsible for those outputs.</w:t>
      </w:r>
    </w:p>
    <w:p w:rsidR="00080446" w:rsidRPr="00892DE3" w:rsidRDefault="00080446" w:rsidP="00080446">
      <w:pPr>
        <w:pStyle w:val="BodyText"/>
      </w:pPr>
    </w:p>
    <w:p w:rsidR="00367D37" w:rsidRPr="00892DE3" w:rsidRDefault="00367D37">
      <w:pPr>
        <w:keepLines w:val="0"/>
        <w:rPr>
          <w:rFonts w:eastAsia="Tahoma" w:cs="Arial"/>
          <w:b/>
          <w:iCs/>
          <w:noProof/>
          <w:color w:val="8A2A2B" w:themeColor="accent6"/>
          <w:sz w:val="14"/>
          <w:szCs w:val="14"/>
          <w:lang w:eastAsia="en-AU"/>
        </w:rPr>
      </w:pPr>
      <w:r w:rsidRPr="00892DE3">
        <w:rPr>
          <w:b/>
          <w:color w:val="8A2A2B" w:themeColor="accent6"/>
        </w:rPr>
        <w:br w:type="page"/>
      </w:r>
    </w:p>
    <w:p w:rsidR="00367D37" w:rsidRPr="00892DE3" w:rsidRDefault="00367D37" w:rsidP="00367D37"/>
    <w:p w:rsidR="00080446" w:rsidRPr="00892DE3" w:rsidRDefault="00080446" w:rsidP="00080446">
      <w:pPr>
        <w:pStyle w:val="Reference"/>
      </w:pPr>
      <w:r w:rsidRPr="00892DE3">
        <w:rPr>
          <w:b/>
          <w:color w:val="8A2A2B" w:themeColor="accent6"/>
        </w:rPr>
        <w:t>New</w:t>
      </w:r>
    </w:p>
    <w:p w:rsidR="00080446" w:rsidRPr="00892DE3" w:rsidRDefault="00080446" w:rsidP="00080446">
      <w:pPr>
        <w:pStyle w:val="Reference"/>
      </w:pPr>
      <w:r w:rsidRPr="00892DE3">
        <w:t>Recommendation 39, PAEC Report on the 2015-16 Budget Estimates</w:t>
      </w:r>
    </w:p>
    <w:p w:rsidR="00080446" w:rsidRPr="00892DE3" w:rsidRDefault="00DA3433" w:rsidP="00DA3433">
      <w:pPr>
        <w:pStyle w:val="Heading2nonTOC"/>
      </w:pPr>
      <w:r w:rsidRPr="00892DE3">
        <w:br w:type="column"/>
      </w:r>
      <w:r w:rsidR="00080446" w:rsidRPr="00892DE3">
        <w:lastRenderedPageBreak/>
        <w:t xml:space="preserve">Direct costs attributable to machinery of government changes </w:t>
      </w:r>
    </w:p>
    <w:p w:rsidR="00080446" w:rsidRPr="00892DE3" w:rsidRDefault="00080446" w:rsidP="00080446">
      <w:pPr>
        <w:spacing w:after="120"/>
      </w:pPr>
      <w:r w:rsidRPr="00892DE3">
        <w:t xml:space="preserve">In August 2016, the Government issued an administrative order restructuring some of its activities via machinery of government (MoG) changes, taking effect from 1 September 2016. As result of the MoG changes, the departments have incurred the following additional direct costs: </w:t>
      </w:r>
    </w:p>
    <w:tbl>
      <w:tblPr>
        <w:tblStyle w:val="DTFTable"/>
        <w:tblW w:w="7764" w:type="dxa"/>
        <w:tblInd w:w="45" w:type="dxa"/>
        <w:tblLayout w:type="fixed"/>
        <w:tblCellMar>
          <w:left w:w="45" w:type="dxa"/>
          <w:right w:w="45" w:type="dxa"/>
        </w:tblCellMar>
        <w:tblLook w:val="06E0" w:firstRow="1" w:lastRow="1" w:firstColumn="1" w:lastColumn="0" w:noHBand="1" w:noVBand="1"/>
      </w:tblPr>
      <w:tblGrid>
        <w:gridCol w:w="3801"/>
        <w:gridCol w:w="1322"/>
        <w:gridCol w:w="2641"/>
      </w:tblGrid>
      <w:tr w:rsidR="00080446" w:rsidRPr="00892DE3" w:rsidTr="00080446">
        <w:trPr>
          <w:cnfStyle w:val="100000000000" w:firstRow="1" w:lastRow="0" w:firstColumn="0" w:lastColumn="0" w:oddVBand="0" w:evenVBand="0" w:oddHBand="0" w:evenHBand="0" w:firstRowFirstColumn="0" w:firstRowLastColumn="0" w:lastRowFirstColumn="0" w:lastRowLastColumn="0"/>
          <w:trHeight w:val="442"/>
          <w:tblHeader/>
        </w:trPr>
        <w:tc>
          <w:tcPr>
            <w:cnfStyle w:val="001000000000" w:firstRow="0" w:lastRow="0" w:firstColumn="1" w:lastColumn="0" w:oddVBand="0" w:evenVBand="0" w:oddHBand="0" w:evenHBand="0" w:firstRowFirstColumn="0" w:firstRowLastColumn="0" w:lastRowFirstColumn="0" w:lastRowLastColumn="0"/>
            <w:tcW w:w="3801" w:type="dxa"/>
          </w:tcPr>
          <w:p w:rsidR="00080446" w:rsidRPr="00892DE3" w:rsidRDefault="00080446" w:rsidP="00080446">
            <w:pPr>
              <w:rPr>
                <w:rFonts w:eastAsia="Arial"/>
              </w:rPr>
            </w:pPr>
            <w:r w:rsidRPr="00892DE3">
              <w:rPr>
                <w:rFonts w:eastAsia="Arial"/>
              </w:rPr>
              <w:t>Department of Technology</w:t>
            </w:r>
          </w:p>
        </w:tc>
        <w:tc>
          <w:tcPr>
            <w:tcW w:w="1322" w:type="dxa"/>
          </w:tcPr>
          <w:p w:rsidR="00080446" w:rsidRPr="00892DE3" w:rsidRDefault="00080446" w:rsidP="00080446">
            <w:pPr>
              <w:cnfStyle w:val="100000000000" w:firstRow="1" w:lastRow="0" w:firstColumn="0" w:lastColumn="0" w:oddVBand="0" w:evenVBand="0" w:oddHBand="0" w:evenHBand="0" w:firstRowFirstColumn="0" w:firstRowLastColumn="0" w:lastRowFirstColumn="0" w:lastRowLastColumn="0"/>
              <w:rPr>
                <w:rFonts w:eastAsia="Arial"/>
              </w:rPr>
            </w:pPr>
            <w:r w:rsidRPr="00892DE3">
              <w:rPr>
                <w:rFonts w:eastAsia="Arial"/>
              </w:rPr>
              <w:t xml:space="preserve">Costs incurred </w:t>
            </w:r>
          </w:p>
        </w:tc>
        <w:tc>
          <w:tcPr>
            <w:tcW w:w="2641" w:type="dxa"/>
          </w:tcPr>
          <w:p w:rsidR="00080446" w:rsidRPr="00892DE3" w:rsidRDefault="00080446" w:rsidP="00080446">
            <w:pPr>
              <w:cnfStyle w:val="100000000000" w:firstRow="1" w:lastRow="0" w:firstColumn="0" w:lastColumn="0" w:oddVBand="0" w:evenVBand="0" w:oddHBand="0" w:evenHBand="0" w:firstRowFirstColumn="0" w:firstRowLastColumn="0" w:lastRowFirstColumn="0" w:lastRowLastColumn="0"/>
              <w:rPr>
                <w:rFonts w:eastAsia="Arial"/>
              </w:rPr>
            </w:pPr>
            <w:r w:rsidRPr="00892DE3">
              <w:rPr>
                <w:rFonts w:eastAsia="Arial"/>
              </w:rPr>
              <w:t xml:space="preserve">Anticipated future costs </w:t>
            </w:r>
          </w:p>
          <w:p w:rsidR="00080446" w:rsidRPr="00892DE3" w:rsidRDefault="00080446" w:rsidP="00080446">
            <w:pPr>
              <w:cnfStyle w:val="100000000000" w:firstRow="1" w:lastRow="0" w:firstColumn="0" w:lastColumn="0" w:oddVBand="0" w:evenVBand="0" w:oddHBand="0" w:evenHBand="0" w:firstRowFirstColumn="0" w:firstRowLastColumn="0" w:lastRowFirstColumn="0" w:lastRowLastColumn="0"/>
              <w:rPr>
                <w:rFonts w:eastAsia="Arial"/>
              </w:rPr>
            </w:pPr>
            <w:r w:rsidRPr="00892DE3">
              <w:rPr>
                <w:rFonts w:eastAsia="Arial"/>
              </w:rPr>
              <w:t>(1 July 2017 onwards)</w:t>
            </w:r>
          </w:p>
        </w:tc>
      </w:tr>
      <w:tr w:rsidR="00080446" w:rsidRPr="00892DE3" w:rsidTr="00080446">
        <w:trPr>
          <w:trHeight w:val="257"/>
        </w:trPr>
        <w:tc>
          <w:tcPr>
            <w:cnfStyle w:val="001000000000" w:firstRow="0" w:lastRow="0" w:firstColumn="1" w:lastColumn="0" w:oddVBand="0" w:evenVBand="0" w:oddHBand="0" w:evenHBand="0" w:firstRowFirstColumn="0" w:firstRowLastColumn="0" w:lastRowFirstColumn="0" w:lastRowLastColumn="0"/>
            <w:tcW w:w="3801" w:type="dxa"/>
          </w:tcPr>
          <w:p w:rsidR="00080446" w:rsidRPr="00892DE3" w:rsidRDefault="00080446" w:rsidP="00080446">
            <w:pPr>
              <w:rPr>
                <w:rFonts w:eastAsia="Arial"/>
                <w:b/>
              </w:rPr>
            </w:pPr>
            <w:r w:rsidRPr="00892DE3">
              <w:rPr>
                <w:rFonts w:eastAsia="Arial"/>
                <w:b/>
              </w:rPr>
              <w:t>Direct costs</w:t>
            </w:r>
          </w:p>
        </w:tc>
        <w:tc>
          <w:tcPr>
            <w:tcW w:w="1322"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b/>
              </w:rPr>
            </w:pPr>
          </w:p>
        </w:tc>
        <w:tc>
          <w:tcPr>
            <w:tcW w:w="2641"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b/>
              </w:rPr>
            </w:pP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Pr>
          <w:p w:rsidR="00080446" w:rsidRPr="00892DE3" w:rsidRDefault="00080446" w:rsidP="00080446">
            <w:pPr>
              <w:rPr>
                <w:rFonts w:eastAsia="Arial"/>
              </w:rPr>
            </w:pPr>
            <w:r w:rsidRPr="00892DE3">
              <w:rPr>
                <w:rFonts w:eastAsia="Arial"/>
              </w:rPr>
              <w:t>Consultants and contractors</w:t>
            </w:r>
          </w:p>
        </w:tc>
        <w:tc>
          <w:tcPr>
            <w:tcW w:w="1322"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c>
          <w:tcPr>
            <w:tcW w:w="2641"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Pr>
          <w:p w:rsidR="00080446" w:rsidRPr="00892DE3" w:rsidRDefault="00080446" w:rsidP="00080446">
            <w:pPr>
              <w:rPr>
                <w:rFonts w:eastAsia="Arial"/>
              </w:rPr>
            </w:pPr>
            <w:r w:rsidRPr="00892DE3">
              <w:rPr>
                <w:rFonts w:eastAsia="Arial"/>
              </w:rPr>
              <w:t>Relocation</w:t>
            </w:r>
          </w:p>
        </w:tc>
        <w:tc>
          <w:tcPr>
            <w:tcW w:w="1322"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7 750</w:t>
            </w:r>
          </w:p>
        </w:tc>
        <w:tc>
          <w:tcPr>
            <w:tcW w:w="2641"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2 501</w:t>
            </w:r>
          </w:p>
        </w:tc>
      </w:tr>
      <w:tr w:rsidR="00080446" w:rsidRPr="00892DE3" w:rsidTr="00080446">
        <w:trPr>
          <w:trHeight w:val="257"/>
        </w:trPr>
        <w:tc>
          <w:tcPr>
            <w:cnfStyle w:val="001000000000" w:firstRow="0" w:lastRow="0" w:firstColumn="1" w:lastColumn="0" w:oddVBand="0" w:evenVBand="0" w:oddHBand="0" w:evenHBand="0" w:firstRowFirstColumn="0" w:firstRowLastColumn="0" w:lastRowFirstColumn="0" w:lastRowLastColumn="0"/>
            <w:tcW w:w="3801" w:type="dxa"/>
          </w:tcPr>
          <w:p w:rsidR="00080446" w:rsidRPr="00892DE3" w:rsidRDefault="00080446" w:rsidP="00080446">
            <w:pPr>
              <w:rPr>
                <w:rFonts w:eastAsia="Arial"/>
              </w:rPr>
            </w:pPr>
            <w:r w:rsidRPr="00892DE3">
              <w:rPr>
                <w:rFonts w:eastAsia="Arial"/>
              </w:rPr>
              <w:t>Telephony</w:t>
            </w:r>
          </w:p>
        </w:tc>
        <w:tc>
          <w:tcPr>
            <w:tcW w:w="1322"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c>
          <w:tcPr>
            <w:tcW w:w="2641"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Pr>
          <w:p w:rsidR="00080446" w:rsidRPr="00892DE3" w:rsidRDefault="00080446" w:rsidP="00080446">
            <w:pPr>
              <w:rPr>
                <w:rFonts w:eastAsia="Arial"/>
              </w:rPr>
            </w:pPr>
            <w:r w:rsidRPr="00892DE3">
              <w:rPr>
                <w:rFonts w:eastAsia="Arial"/>
              </w:rPr>
              <w:t>IT and Records Management</w:t>
            </w:r>
          </w:p>
        </w:tc>
        <w:tc>
          <w:tcPr>
            <w:tcW w:w="1322"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4 111</w:t>
            </w:r>
          </w:p>
        </w:tc>
        <w:tc>
          <w:tcPr>
            <w:tcW w:w="2641"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Pr>
          <w:p w:rsidR="00080446" w:rsidRPr="00892DE3" w:rsidRDefault="00080446" w:rsidP="00080446">
            <w:pPr>
              <w:rPr>
                <w:rFonts w:eastAsia="Arial"/>
              </w:rPr>
            </w:pPr>
            <w:r w:rsidRPr="00892DE3">
              <w:rPr>
                <w:rFonts w:eastAsia="Arial"/>
              </w:rPr>
              <w:t>Rebranding</w:t>
            </w:r>
          </w:p>
        </w:tc>
        <w:tc>
          <w:tcPr>
            <w:tcW w:w="1322"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6 505</w:t>
            </w:r>
          </w:p>
        </w:tc>
        <w:tc>
          <w:tcPr>
            <w:tcW w:w="2641"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2 430</w:t>
            </w:r>
          </w:p>
        </w:tc>
      </w:tr>
      <w:tr w:rsidR="00080446" w:rsidRPr="00892DE3" w:rsidTr="00080446">
        <w:trPr>
          <w:trHeight w:val="257"/>
        </w:trPr>
        <w:tc>
          <w:tcPr>
            <w:cnfStyle w:val="001000000000" w:firstRow="0" w:lastRow="0" w:firstColumn="1" w:lastColumn="0" w:oddVBand="0" w:evenVBand="0" w:oddHBand="0" w:evenHBand="0" w:firstRowFirstColumn="0" w:firstRowLastColumn="0" w:lastRowFirstColumn="0" w:lastRowLastColumn="0"/>
            <w:tcW w:w="3801" w:type="dxa"/>
          </w:tcPr>
          <w:p w:rsidR="00080446" w:rsidRPr="00892DE3" w:rsidRDefault="00080446" w:rsidP="00080446">
            <w:pPr>
              <w:rPr>
                <w:rFonts w:eastAsia="Arial"/>
              </w:rPr>
            </w:pPr>
            <w:r w:rsidRPr="00892DE3">
              <w:rPr>
                <w:rFonts w:eastAsia="Arial"/>
              </w:rPr>
              <w:t>Redundancies</w:t>
            </w:r>
          </w:p>
        </w:tc>
        <w:tc>
          <w:tcPr>
            <w:tcW w:w="1322"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c>
          <w:tcPr>
            <w:tcW w:w="2641"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Pr>
          <w:p w:rsidR="00080446" w:rsidRPr="00892DE3" w:rsidRDefault="00080446" w:rsidP="00080446">
            <w:pPr>
              <w:rPr>
                <w:rFonts w:eastAsia="Arial"/>
              </w:rPr>
            </w:pPr>
            <w:r w:rsidRPr="00892DE3">
              <w:rPr>
                <w:rFonts w:eastAsia="Arial"/>
              </w:rPr>
              <w:t>New staff</w:t>
            </w:r>
          </w:p>
        </w:tc>
        <w:tc>
          <w:tcPr>
            <w:tcW w:w="1322"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c>
          <w:tcPr>
            <w:tcW w:w="2641" w:type="dxa"/>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Borders>
              <w:bottom w:val="single" w:sz="4" w:space="0" w:color="auto"/>
            </w:tcBorders>
          </w:tcPr>
          <w:p w:rsidR="00080446" w:rsidRPr="00892DE3" w:rsidRDefault="00080446" w:rsidP="00080446">
            <w:pPr>
              <w:rPr>
                <w:rFonts w:eastAsia="Arial"/>
              </w:rPr>
            </w:pPr>
            <w:r w:rsidRPr="00892DE3">
              <w:rPr>
                <w:rFonts w:eastAsia="Arial"/>
              </w:rPr>
              <w:t>Other</w:t>
            </w:r>
          </w:p>
        </w:tc>
        <w:tc>
          <w:tcPr>
            <w:tcW w:w="1322" w:type="dxa"/>
            <w:tcBorders>
              <w:bottom w:val="single" w:sz="4" w:space="0" w:color="auto"/>
            </w:tcBorders>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c>
          <w:tcPr>
            <w:tcW w:w="2641" w:type="dxa"/>
            <w:tcBorders>
              <w:bottom w:val="single" w:sz="4" w:space="0" w:color="auto"/>
            </w:tcBorders>
          </w:tcPr>
          <w:p w:rsidR="00080446" w:rsidRPr="00892DE3" w:rsidRDefault="00080446" w:rsidP="00080446">
            <w:pPr>
              <w:cnfStyle w:val="000000000000" w:firstRow="0" w:lastRow="0" w:firstColumn="0" w:lastColumn="0" w:oddVBand="0" w:evenVBand="0" w:oddHBand="0" w:evenHBand="0" w:firstRowFirstColumn="0" w:firstRowLastColumn="0" w:lastRowFirstColumn="0" w:lastRowLastColumn="0"/>
              <w:rPr>
                <w:rFonts w:eastAsia="Arial"/>
              </w:rPr>
            </w:pPr>
            <w:r w:rsidRPr="00892DE3">
              <w:rPr>
                <w:rFonts w:eastAsia="Arial"/>
              </w:rPr>
              <w:t>..</w:t>
            </w:r>
          </w:p>
        </w:tc>
      </w:tr>
      <w:tr w:rsidR="00080446" w:rsidRPr="00892DE3" w:rsidTr="00080446">
        <w:trPr>
          <w:cnfStyle w:val="010000000000" w:firstRow="0" w:lastRow="1"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801" w:type="dxa"/>
            <w:tcBorders>
              <w:top w:val="single" w:sz="4" w:space="0" w:color="auto"/>
              <w:bottom w:val="single" w:sz="12" w:space="0" w:color="auto"/>
            </w:tcBorders>
          </w:tcPr>
          <w:p w:rsidR="00080446" w:rsidRPr="00892DE3" w:rsidRDefault="00080446" w:rsidP="00080446">
            <w:pPr>
              <w:ind w:left="0" w:firstLine="0"/>
              <w:rPr>
                <w:rFonts w:eastAsia="Arial" w:cs="Times New Roman"/>
              </w:rPr>
            </w:pPr>
            <w:r w:rsidRPr="00892DE3">
              <w:rPr>
                <w:rFonts w:eastAsia="Arial" w:cs="Times New Roman"/>
              </w:rPr>
              <w:t>Total</w:t>
            </w:r>
          </w:p>
        </w:tc>
        <w:tc>
          <w:tcPr>
            <w:tcW w:w="1322" w:type="dxa"/>
            <w:tcBorders>
              <w:top w:val="single" w:sz="4" w:space="0" w:color="auto"/>
              <w:bottom w:val="single" w:sz="12" w:space="0" w:color="auto"/>
            </w:tcBorders>
          </w:tcPr>
          <w:p w:rsidR="00080446" w:rsidRPr="00892DE3" w:rsidRDefault="00080446" w:rsidP="00080446">
            <w:pPr>
              <w:cnfStyle w:val="010000000000" w:firstRow="0" w:lastRow="1" w:firstColumn="0" w:lastColumn="0" w:oddVBand="0" w:evenVBand="0" w:oddHBand="0" w:evenHBand="0" w:firstRowFirstColumn="0" w:firstRowLastColumn="0" w:lastRowFirstColumn="0" w:lastRowLastColumn="0"/>
              <w:rPr>
                <w:rFonts w:eastAsia="Arial" w:cs="Times New Roman"/>
              </w:rPr>
            </w:pPr>
            <w:r w:rsidRPr="00892DE3">
              <w:rPr>
                <w:rFonts w:eastAsia="Arial" w:cs="Times New Roman"/>
              </w:rPr>
              <w:t>18 321</w:t>
            </w:r>
          </w:p>
        </w:tc>
        <w:tc>
          <w:tcPr>
            <w:tcW w:w="2641" w:type="dxa"/>
            <w:tcBorders>
              <w:top w:val="single" w:sz="4" w:space="0" w:color="auto"/>
              <w:bottom w:val="single" w:sz="12" w:space="0" w:color="auto"/>
            </w:tcBorders>
          </w:tcPr>
          <w:p w:rsidR="00080446" w:rsidRPr="00892DE3" w:rsidRDefault="00080446" w:rsidP="00080446">
            <w:pPr>
              <w:cnfStyle w:val="010000000000" w:firstRow="0" w:lastRow="1" w:firstColumn="0" w:lastColumn="0" w:oddVBand="0" w:evenVBand="0" w:oddHBand="0" w:evenHBand="0" w:firstRowFirstColumn="0" w:firstRowLastColumn="0" w:lastRowFirstColumn="0" w:lastRowLastColumn="0"/>
              <w:rPr>
                <w:rFonts w:eastAsia="Arial" w:cs="Times New Roman"/>
              </w:rPr>
            </w:pPr>
            <w:r w:rsidRPr="00892DE3">
              <w:rPr>
                <w:rFonts w:eastAsia="Arial" w:cs="Times New Roman"/>
              </w:rPr>
              <w:t>4 931</w:t>
            </w:r>
          </w:p>
        </w:tc>
      </w:tr>
    </w:tbl>
    <w:p w:rsidR="00080446" w:rsidRPr="00892DE3" w:rsidRDefault="00080446" w:rsidP="00080446">
      <w:r w:rsidRPr="00892DE3">
        <w:t xml:space="preserve">Direct costs incurred from 1 July 2016 to 30 June 2017 that are attributable to the 2 August 2016 MoG change mainly relate to </w:t>
      </w:r>
      <w:r w:rsidRPr="00892DE3">
        <w:rPr>
          <w:i/>
          <w:color w:val="0063A6" w:themeColor="accent1"/>
        </w:rPr>
        <w:t>[insert detail]</w:t>
      </w:r>
      <w:r w:rsidRPr="00892DE3">
        <w:t>.</w:t>
      </w:r>
    </w:p>
    <w:p w:rsidR="00080446" w:rsidRPr="00892DE3" w:rsidRDefault="00080446" w:rsidP="00080446">
      <w:r w:rsidRPr="00892DE3">
        <w:t xml:space="preserve">Anticipated future costs attributable to the MoG change mainly relate to </w:t>
      </w:r>
      <w:r w:rsidRPr="00892DE3">
        <w:rPr>
          <w:i/>
          <w:color w:val="0063A6" w:themeColor="accent1"/>
        </w:rPr>
        <w:t>[insert detail]</w:t>
      </w:r>
      <w:r w:rsidRPr="00892DE3">
        <w:t>.</w:t>
      </w:r>
    </w:p>
    <w:p w:rsidR="00080446" w:rsidRPr="00892DE3" w:rsidRDefault="00080446" w:rsidP="00080446">
      <w:r w:rsidRPr="00892DE3">
        <w:t xml:space="preserve">There were no direct costs attributable to the MoG change that have been incurred by the entities that are consolidated into the department’s annual report pursuant to section 53(1)(b) of the </w:t>
      </w:r>
      <w:r w:rsidRPr="00892DE3">
        <w:rPr>
          <w:i/>
        </w:rPr>
        <w:t>Financial Management Act 1994</w:t>
      </w:r>
      <w:r w:rsidRPr="00892DE3">
        <w:t>.</w:t>
      </w:r>
    </w:p>
    <w:p w:rsidR="00080446" w:rsidRPr="00892DE3" w:rsidRDefault="00080446" w:rsidP="00080446">
      <w:pPr>
        <w:keepNext/>
        <w:pBdr>
          <w:top w:val="single" w:sz="4" w:space="4" w:color="0072CE"/>
          <w:left w:val="single" w:sz="4" w:space="4" w:color="0072CE"/>
          <w:bottom w:val="single" w:sz="4" w:space="3" w:color="0072CE"/>
          <w:right w:val="single" w:sz="4" w:space="4" w:color="0072CE"/>
        </w:pBdr>
        <w:shd w:val="clear" w:color="auto" w:fill="0072CE"/>
        <w:spacing w:line="264" w:lineRule="auto"/>
        <w:rPr>
          <w:rFonts w:ascii="Arial Bold" w:eastAsia="Arial" w:hAnsi="Arial Bold" w:cs="Times New Roman"/>
          <w:b/>
          <w:color w:val="FFFFFF"/>
          <w:spacing w:val="6"/>
          <w:position w:val="4"/>
        </w:rPr>
      </w:pPr>
      <w:r w:rsidRPr="00892DE3">
        <w:rPr>
          <w:rFonts w:ascii="Arial Bold" w:eastAsia="Arial" w:hAnsi="Arial Bold" w:cs="Times New Roman"/>
          <w:b/>
          <w:color w:val="FFFFFF"/>
          <w:spacing w:val="6"/>
          <w:position w:val="4"/>
        </w:rPr>
        <w:t>Guidance – Direct costs attributable to machinery of government changes</w:t>
      </w:r>
    </w:p>
    <w:p w:rsidR="00080446" w:rsidRPr="00892DE3" w:rsidRDefault="00080446" w:rsidP="00080446">
      <w:pPr>
        <w:pBdr>
          <w:left w:val="single" w:sz="4" w:space="4" w:color="0072CE"/>
          <w:bottom w:val="single" w:sz="4" w:space="1" w:color="0072CE"/>
          <w:right w:val="single" w:sz="4" w:space="4" w:color="0072CE"/>
        </w:pBdr>
        <w:rPr>
          <w:rFonts w:ascii="Arial" w:eastAsia="Arial" w:hAnsi="Arial" w:cs="Times New Roman"/>
          <w:color w:val="0072CE"/>
        </w:rPr>
      </w:pPr>
      <w:r w:rsidRPr="00892DE3">
        <w:rPr>
          <w:rFonts w:ascii="Arial" w:eastAsia="Arial" w:hAnsi="Arial" w:cs="Times New Roman"/>
          <w:color w:val="0072CE"/>
        </w:rPr>
        <w:t xml:space="preserve">Direct costs are the costs that can be attributed solely to implementing the MoG change and are incurred over and above business-as-usual (BAU). </w:t>
      </w:r>
    </w:p>
    <w:p w:rsidR="00080446" w:rsidRPr="00892DE3" w:rsidRDefault="00080446" w:rsidP="00080446">
      <w:pPr>
        <w:pBdr>
          <w:left w:val="single" w:sz="4" w:space="4" w:color="0072CE"/>
          <w:bottom w:val="single" w:sz="4" w:space="1" w:color="0072CE"/>
          <w:right w:val="single" w:sz="4" w:space="4" w:color="0072CE"/>
        </w:pBdr>
        <w:rPr>
          <w:rFonts w:ascii="Arial" w:eastAsia="Arial" w:hAnsi="Arial" w:cs="Times New Roman"/>
          <w:color w:val="0072CE"/>
        </w:rPr>
      </w:pPr>
      <w:r w:rsidRPr="00892DE3">
        <w:rPr>
          <w:rFonts w:ascii="Arial" w:eastAsia="Arial" w:hAnsi="Arial" w:cs="Times New Roman"/>
          <w:color w:val="0072CE"/>
        </w:rPr>
        <w:t xml:space="preserve">For example, telephony charges that have been incurred for ongoing activities or operations of the department should not be included in the direct costs attributable to MoG changes as those are not additional costs incurred over and above BAU which are solely attributable to MoG change.  </w:t>
      </w:r>
    </w:p>
    <w:p w:rsidR="00080446" w:rsidRPr="00892DE3" w:rsidRDefault="00080446" w:rsidP="00080446">
      <w:pPr>
        <w:pBdr>
          <w:left w:val="single" w:sz="4" w:space="4" w:color="0072CE"/>
          <w:bottom w:val="single" w:sz="4" w:space="1" w:color="0072CE"/>
          <w:right w:val="single" w:sz="4" w:space="4" w:color="0072CE"/>
        </w:pBdr>
        <w:rPr>
          <w:rFonts w:ascii="Arial" w:eastAsia="Arial" w:hAnsi="Arial" w:cs="Times New Roman"/>
          <w:color w:val="0072CE"/>
        </w:rPr>
      </w:pPr>
      <w:r w:rsidRPr="00892DE3">
        <w:rPr>
          <w:rFonts w:ascii="Arial" w:eastAsia="Arial" w:hAnsi="Arial" w:cs="Times New Roman"/>
          <w:color w:val="0072CE"/>
        </w:rPr>
        <w:t>Anticipated future costs that meet the definition of direct costs above but yet to be incurred shall be reported separately.</w:t>
      </w:r>
    </w:p>
    <w:p w:rsidR="00080446" w:rsidRPr="00892DE3" w:rsidRDefault="00080446" w:rsidP="00080446">
      <w:pPr>
        <w:pBdr>
          <w:left w:val="single" w:sz="4" w:space="4" w:color="0072CE"/>
          <w:bottom w:val="single" w:sz="4" w:space="1" w:color="0072CE"/>
          <w:right w:val="single" w:sz="4" w:space="4" w:color="0072CE"/>
        </w:pBdr>
        <w:rPr>
          <w:rFonts w:ascii="Arial" w:eastAsia="Arial" w:hAnsi="Arial" w:cs="Times New Roman"/>
          <w:color w:val="0072CE"/>
        </w:rPr>
      </w:pPr>
      <w:r w:rsidRPr="00892DE3">
        <w:rPr>
          <w:rFonts w:ascii="Arial" w:eastAsia="Arial" w:hAnsi="Arial" w:cs="Times New Roman"/>
          <w:color w:val="0072CE"/>
        </w:rPr>
        <w:t xml:space="preserve">Indirect costs are those associated with redirected staff time or lost productivity as a result of splitting, merging and realigning back-office functions (i.e. HR, Procurement, Legal and Finance). </w:t>
      </w:r>
    </w:p>
    <w:p w:rsidR="00080446" w:rsidRPr="00892DE3" w:rsidRDefault="00080446" w:rsidP="00080446">
      <w:pPr>
        <w:pBdr>
          <w:left w:val="single" w:sz="4" w:space="4" w:color="0072CE"/>
          <w:bottom w:val="single" w:sz="4" w:space="1" w:color="0072CE"/>
          <w:right w:val="single" w:sz="4" w:space="4" w:color="0072CE"/>
        </w:pBdr>
        <w:rPr>
          <w:rFonts w:ascii="Arial" w:eastAsia="Arial" w:hAnsi="Arial" w:cs="Times New Roman"/>
          <w:color w:val="0072CE"/>
        </w:rPr>
      </w:pPr>
      <w:r w:rsidRPr="00892DE3">
        <w:rPr>
          <w:rFonts w:ascii="Arial" w:eastAsia="Arial" w:hAnsi="Arial" w:cs="Times New Roman"/>
          <w:color w:val="0072CE"/>
        </w:rPr>
        <w:t>As the MoG changes are largely an administrative process, productivity losses in service delivery or advisory functions are</w:t>
      </w:r>
      <w:r w:rsidR="00A65C70" w:rsidRPr="00892DE3">
        <w:rPr>
          <w:rFonts w:ascii="Arial" w:eastAsia="Arial" w:hAnsi="Arial" w:cs="Times New Roman"/>
          <w:color w:val="0072CE"/>
        </w:rPr>
        <w:t xml:space="preserve"> generally</w:t>
      </w:r>
      <w:r w:rsidRPr="00892DE3">
        <w:rPr>
          <w:rFonts w:ascii="Arial" w:eastAsia="Arial" w:hAnsi="Arial" w:cs="Times New Roman"/>
          <w:color w:val="0072CE"/>
        </w:rPr>
        <w:t xml:space="preserve"> negligible. </w:t>
      </w:r>
    </w:p>
    <w:p w:rsidR="00080446" w:rsidRPr="00892DE3" w:rsidRDefault="00080446" w:rsidP="00080446"/>
    <w:p w:rsidR="00080446" w:rsidRPr="00892DE3" w:rsidRDefault="00080446" w:rsidP="00080446">
      <w:pPr>
        <w:pStyle w:val="BodyText"/>
        <w:rPr>
          <w:b/>
        </w:rPr>
      </w:pPr>
      <w:r w:rsidRPr="00892DE3">
        <w:rPr>
          <w:b/>
        </w:rPr>
        <w:br w:type="page"/>
      </w:r>
    </w:p>
    <w:p w:rsidR="00080446" w:rsidRPr="00892DE3" w:rsidRDefault="00080446" w:rsidP="00080446">
      <w:pPr>
        <w:pStyle w:val="BodyText"/>
        <w:rPr>
          <w:b/>
        </w:rPr>
      </w:pPr>
    </w:p>
    <w:p w:rsidR="00080446" w:rsidRPr="00892DE3" w:rsidRDefault="00080446" w:rsidP="00FF5C84">
      <w:pPr>
        <w:pStyle w:val="Heading1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br w:type="column"/>
      </w:r>
      <w:r w:rsidRPr="00892DE3">
        <w:lastRenderedPageBreak/>
        <w:t>Portfolio performance reporting – non</w:t>
      </w:r>
      <w:r w:rsidRPr="00892DE3">
        <w:noBreakHyphen/>
        <w:t>financial section</w:t>
      </w:r>
    </w:p>
    <w:p w:rsidR="00080446" w:rsidRPr="00892DE3" w:rsidRDefault="00080446" w:rsidP="00080446">
      <w:pPr>
        <w:pStyle w:val="Reference"/>
      </w:pPr>
      <w:r w:rsidRPr="00892DE3">
        <w:lastRenderedPageBreak/>
        <w:br/>
      </w:r>
    </w:p>
    <w:p w:rsidR="00080446" w:rsidRPr="00892DE3" w:rsidRDefault="00080446" w:rsidP="00080446">
      <w:pPr>
        <w:pStyle w:val="Reference"/>
      </w:pPr>
      <w:r w:rsidRPr="00892DE3">
        <w:t>FRD 8D</w:t>
      </w:r>
    </w:p>
    <w:p w:rsidR="00080446" w:rsidRPr="00892DE3" w:rsidRDefault="00080446" w:rsidP="00080446">
      <w:pPr>
        <w:pStyle w:val="Reference"/>
      </w:pPr>
    </w:p>
    <w:p w:rsidR="00080446" w:rsidRPr="00892DE3" w:rsidRDefault="00080446" w:rsidP="00080446">
      <w:pPr>
        <w:pStyle w:val="Reference"/>
      </w:pPr>
      <w:r w:rsidRPr="00892DE3">
        <w:t>Recommendation 15, PAEC Report 118</w:t>
      </w:r>
    </w:p>
    <w:p w:rsidR="00080446" w:rsidRPr="00892DE3" w:rsidRDefault="00080446" w:rsidP="00080446">
      <w:pPr>
        <w:pStyle w:val="Reference"/>
      </w:pPr>
    </w:p>
    <w:p w:rsidR="00080446" w:rsidRPr="00892DE3" w:rsidRDefault="00080446" w:rsidP="00080446">
      <w:pPr>
        <w:pStyle w:val="Reference"/>
        <w:rPr>
          <w:i/>
        </w:rPr>
      </w:pPr>
      <w:r w:rsidRPr="00892DE3">
        <w:t xml:space="preserve">2016-17 Budget Paper No. 3 </w:t>
      </w:r>
      <w:r w:rsidRPr="00892DE3">
        <w:rPr>
          <w:i/>
        </w:rPr>
        <w:t xml:space="preserve">Service Delivery </w:t>
      </w:r>
    </w:p>
    <w:p w:rsidR="00080446" w:rsidRPr="00892DE3" w:rsidRDefault="00080446" w:rsidP="00AA770B">
      <w:pPr>
        <w:pStyle w:val="Heading2nonTOC"/>
      </w:pPr>
      <w:r w:rsidRPr="00892DE3">
        <w:br w:type="column"/>
      </w:r>
      <w:r w:rsidRPr="00892DE3">
        <w:lastRenderedPageBreak/>
        <w:t>Departmental objectives, indicators and outputs</w:t>
      </w:r>
    </w:p>
    <w:p w:rsidR="00080446" w:rsidRPr="00892DE3" w:rsidRDefault="00080446" w:rsidP="00080446">
      <w:pPr>
        <w:pStyle w:val="BodyText"/>
      </w:pPr>
      <w:r w:rsidRPr="00892DE3">
        <w:t xml:space="preserve">The medium-term departmental objectives, associated indicators and linked outputs as set out in the 2016-17 State Budget Paper No. 3 </w:t>
      </w:r>
      <w:r w:rsidRPr="00892DE3">
        <w:rPr>
          <w:i/>
        </w:rPr>
        <w:t>Service Delivery</w:t>
      </w:r>
      <w:r w:rsidRPr="00892DE3">
        <w:t xml:space="preserve"> are shown in Table 1. </w:t>
      </w:r>
    </w:p>
    <w:p w:rsidR="00080446" w:rsidRPr="00892DE3" w:rsidRDefault="00080446" w:rsidP="00AA770B">
      <w:pPr>
        <w:pStyle w:val="TableHeading"/>
      </w:pPr>
      <w:r w:rsidRPr="00892DE3">
        <w:t>Table 1 – Departmental objectives, indicators and linked outputs</w:t>
      </w:r>
    </w:p>
    <w:tbl>
      <w:tblPr>
        <w:tblStyle w:val="DTFTextTable"/>
        <w:tblW w:w="8190" w:type="dxa"/>
        <w:tblLook w:val="0620" w:firstRow="1" w:lastRow="0" w:firstColumn="0" w:lastColumn="0" w:noHBand="1" w:noVBand="1"/>
      </w:tblPr>
      <w:tblGrid>
        <w:gridCol w:w="2694"/>
        <w:gridCol w:w="2891"/>
        <w:gridCol w:w="2605"/>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tcW w:w="2694" w:type="dxa"/>
          </w:tcPr>
          <w:p w:rsidR="00080446" w:rsidRPr="00892DE3" w:rsidRDefault="00080446" w:rsidP="00080446">
            <w:r w:rsidRPr="00892DE3">
              <w:t xml:space="preserve">Departmental objectives </w:t>
            </w:r>
          </w:p>
        </w:tc>
        <w:tc>
          <w:tcPr>
            <w:tcW w:w="2891" w:type="dxa"/>
          </w:tcPr>
          <w:p w:rsidR="00080446" w:rsidRPr="00892DE3" w:rsidRDefault="00080446" w:rsidP="00080446">
            <w:r w:rsidRPr="00892DE3">
              <w:t>Indicators</w:t>
            </w:r>
          </w:p>
        </w:tc>
        <w:tc>
          <w:tcPr>
            <w:tcW w:w="2605" w:type="dxa"/>
          </w:tcPr>
          <w:p w:rsidR="00080446" w:rsidRPr="00892DE3" w:rsidRDefault="00080446" w:rsidP="00080446">
            <w:r w:rsidRPr="00892DE3">
              <w:t>Outputs</w:t>
            </w:r>
          </w:p>
        </w:tc>
      </w:tr>
      <w:tr w:rsidR="00080446" w:rsidRPr="00892DE3" w:rsidTr="00080446">
        <w:tc>
          <w:tcPr>
            <w:tcW w:w="2694" w:type="dxa"/>
          </w:tcPr>
          <w:p w:rsidR="00080446" w:rsidRPr="00892DE3" w:rsidRDefault="00080446" w:rsidP="00080446">
            <w:pPr>
              <w:rPr>
                <w:color w:val="0072CE" w:themeColor="accent4"/>
              </w:rPr>
            </w:pPr>
            <w:r w:rsidRPr="00892DE3">
              <w:rPr>
                <w:color w:val="0072CE" w:themeColor="accent4"/>
              </w:rPr>
              <w:t>[Departments to insert specific departmental objectives as published in the 2016</w:t>
            </w:r>
            <w:r w:rsidRPr="00892DE3">
              <w:rPr>
                <w:color w:val="0072CE" w:themeColor="accent4"/>
              </w:rPr>
              <w:noBreakHyphen/>
              <w:t>17 Budget]</w:t>
            </w:r>
          </w:p>
        </w:tc>
        <w:tc>
          <w:tcPr>
            <w:tcW w:w="2891" w:type="dxa"/>
          </w:tcPr>
          <w:p w:rsidR="00080446" w:rsidRPr="00892DE3" w:rsidRDefault="00080446" w:rsidP="00080446">
            <w:pPr>
              <w:rPr>
                <w:color w:val="0072CE" w:themeColor="accent4"/>
              </w:rPr>
            </w:pPr>
            <w:r w:rsidRPr="00892DE3">
              <w:rPr>
                <w:color w:val="0072CE" w:themeColor="accent4"/>
              </w:rPr>
              <w:t>[Departments to insert specific indicators as published in the 2016</w:t>
            </w:r>
            <w:r w:rsidRPr="00892DE3">
              <w:rPr>
                <w:color w:val="0072CE" w:themeColor="accent4"/>
              </w:rPr>
              <w:noBreakHyphen/>
              <w:t>17 Budget]</w:t>
            </w:r>
          </w:p>
        </w:tc>
        <w:tc>
          <w:tcPr>
            <w:tcW w:w="2605" w:type="dxa"/>
          </w:tcPr>
          <w:p w:rsidR="00080446" w:rsidRPr="00892DE3" w:rsidRDefault="00080446" w:rsidP="00080446">
            <w:pPr>
              <w:rPr>
                <w:color w:val="0072CE" w:themeColor="accent4"/>
              </w:rPr>
            </w:pPr>
            <w:r w:rsidRPr="00892DE3">
              <w:rPr>
                <w:color w:val="0072CE" w:themeColor="accent4"/>
              </w:rPr>
              <w:t>[Departments to insert specific outputs as published in the 2016</w:t>
            </w:r>
            <w:r w:rsidRPr="00892DE3">
              <w:rPr>
                <w:color w:val="0072CE" w:themeColor="accent4"/>
              </w:rPr>
              <w:noBreakHyphen/>
              <w:t>17 Budget]</w:t>
            </w:r>
          </w:p>
        </w:tc>
      </w:tr>
    </w:tbl>
    <w:p w:rsidR="00080446" w:rsidRPr="00892DE3" w:rsidRDefault="00080446" w:rsidP="00080446">
      <w:pPr>
        <w:pStyle w:val="Tabletext"/>
        <w:rPr>
          <w:sz w:val="15"/>
          <w:szCs w:val="15"/>
        </w:rPr>
      </w:pPr>
    </w:p>
    <w:p w:rsidR="00080446" w:rsidRPr="00892DE3" w:rsidRDefault="00080446" w:rsidP="00AA770B">
      <w:pPr>
        <w:pStyle w:val="Heading2nonTOC"/>
      </w:pPr>
      <w:bookmarkStart w:id="24" w:name="_Toc477967484"/>
      <w:r w:rsidRPr="00892DE3">
        <w:t>Reporting progress towards achieving departmental objectives in the report of operations</w:t>
      </w:r>
      <w:bookmarkEnd w:id="24"/>
      <w:r w:rsidRPr="00892DE3">
        <w:t xml:space="preserve"> </w:t>
      </w:r>
    </w:p>
    <w:p w:rsidR="00080446" w:rsidRPr="00892DE3" w:rsidRDefault="00080446" w:rsidP="00080446">
      <w:pPr>
        <w:pStyle w:val="BodyText"/>
      </w:pPr>
      <w:r w:rsidRPr="00892DE3">
        <w:t>The Department seeks to measure the progress of the Victorian public sector in adopting new technology in delivering services to the community.</w:t>
      </w:r>
    </w:p>
    <w:p w:rsidR="00080446" w:rsidRPr="00892DE3" w:rsidRDefault="00080446" w:rsidP="00080446">
      <w:pPr>
        <w:pStyle w:val="BodyText"/>
      </w:pPr>
      <w:r w:rsidRPr="00892DE3">
        <w:t>This section reports the Department’s progress on its departmental objectives through a range of indicators. Trends in these indicators demonstrate the Department’s performance.</w:t>
      </w:r>
    </w:p>
    <w:p w:rsidR="00080446" w:rsidRPr="00892DE3" w:rsidRDefault="00080446" w:rsidP="00381114">
      <w:pPr>
        <w:pStyle w:val="Heading30"/>
      </w:pPr>
      <w:r w:rsidRPr="00892DE3">
        <w:t>Departmental objective 1</w:t>
      </w:r>
    </w:p>
    <w:p w:rsidR="00080446" w:rsidRPr="00892DE3" w:rsidRDefault="00080446" w:rsidP="00080446">
      <w:pPr>
        <w:pStyle w:val="Guidancenoborder"/>
      </w:pPr>
      <w:r w:rsidRPr="00892DE3">
        <w:t xml:space="preserve">[Departments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 </w:t>
      </w:r>
    </w:p>
    <w:p w:rsidR="00080446" w:rsidRPr="00892DE3" w:rsidRDefault="00080446" w:rsidP="00080446">
      <w:pPr>
        <w:pStyle w:val="Guidancenoborde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t>[Departments should include a performance progress story for departmental objective 1 based on the evaluation and interaction of trend information for the associated indicators provided in this section. Include a description of the environment (past, current and an indication of the future), any relevant issues/shortcomings affecting the performance story as demonstrated by the indicators that should be taken into account, including any areas for future improvements].</w:t>
      </w:r>
    </w:p>
    <w:p w:rsidR="00080446" w:rsidRPr="00892DE3" w:rsidRDefault="00080446" w:rsidP="00080446">
      <w:pPr>
        <w:pStyle w:val="Reference"/>
      </w:pPr>
      <w:r w:rsidRPr="00892DE3">
        <w:lastRenderedPageBreak/>
        <w:br/>
        <w:t>Recommendation 17, PAEC Report on 2013-14 and 2014-15 Financial and Performance Outcomes</w:t>
      </w: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C15B77" w:rsidRPr="00892DE3" w:rsidRDefault="00C15B77" w:rsidP="00C15B77">
      <w:pPr>
        <w:pStyle w:val="Reference"/>
      </w:pPr>
      <w:r w:rsidRPr="00892DE3">
        <w:rPr>
          <w:b/>
          <w:color w:val="8A2A2B" w:themeColor="accent6"/>
        </w:rPr>
        <w:t>New</w:t>
      </w:r>
    </w:p>
    <w:p w:rsidR="00080446" w:rsidRPr="00892DE3" w:rsidRDefault="00080446" w:rsidP="00080446">
      <w:pPr>
        <w:pStyle w:val="Guidancenoborder"/>
      </w:pPr>
    </w:p>
    <w:p w:rsidR="00080446" w:rsidRPr="00892DE3" w:rsidRDefault="00080446" w:rsidP="00080446">
      <w:pPr>
        <w:pStyle w:val="Guidancenoborder"/>
      </w:pPr>
      <w:r w:rsidRPr="00892DE3">
        <w:br w:type="column"/>
      </w:r>
      <w:r w:rsidRPr="00892DE3">
        <w:lastRenderedPageBreak/>
        <w:t xml:space="preserve">[Departments should also disclose any key initiatives and/or projects that have contributed to changes in the associated indicators. Where appropriate, departments may also introduce the revised indicators as published in the </w:t>
      </w:r>
      <w:r w:rsidRPr="00892DE3">
        <w:rPr>
          <w:i/>
        </w:rPr>
        <w:t>2016-17 Budget</w:t>
      </w:r>
      <w:r w:rsidRPr="00892DE3">
        <w:t xml:space="preserve"> to help explain performance.]</w:t>
      </w:r>
    </w:p>
    <w:p w:rsidR="00080446" w:rsidRPr="00892DE3" w:rsidRDefault="00080446" w:rsidP="00080446">
      <w:pPr>
        <w:pStyle w:val="Guidancenoborder"/>
      </w:pPr>
      <w:r w:rsidRPr="00892DE3">
        <w:t>[Departments should include the relevant trend information for each indicator associated with departmental objective 1.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w:t>
      </w:r>
    </w:p>
    <w:p w:rsidR="00080446" w:rsidRPr="00892DE3" w:rsidRDefault="00080446" w:rsidP="00AA770B">
      <w:pPr>
        <w:pStyle w:val="TableHeading"/>
      </w:pPr>
      <w:r w:rsidRPr="00892DE3">
        <w:t>Table 2 – Progress towards objective 1</w:t>
      </w:r>
    </w:p>
    <w:tbl>
      <w:tblPr>
        <w:tblStyle w:val="DTFTable"/>
        <w:tblW w:w="7981" w:type="dxa"/>
        <w:tblLook w:val="0620" w:firstRow="1" w:lastRow="0" w:firstColumn="0" w:lastColumn="0" w:noHBand="1" w:noVBand="1"/>
      </w:tblPr>
      <w:tblGrid>
        <w:gridCol w:w="1744"/>
        <w:gridCol w:w="2605"/>
        <w:gridCol w:w="908"/>
        <w:gridCol w:w="908"/>
        <w:gridCol w:w="908"/>
        <w:gridCol w:w="908"/>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tcW w:w="1744" w:type="dxa"/>
          </w:tcPr>
          <w:p w:rsidR="00080446" w:rsidRPr="00892DE3" w:rsidRDefault="00080446" w:rsidP="00080446">
            <w:pPr>
              <w:jc w:val="left"/>
            </w:pPr>
            <w:r w:rsidRPr="00892DE3">
              <w:t>Indicator</w:t>
            </w:r>
          </w:p>
        </w:tc>
        <w:tc>
          <w:tcPr>
            <w:tcW w:w="2605" w:type="dxa"/>
          </w:tcPr>
          <w:p w:rsidR="00080446" w:rsidRPr="00892DE3" w:rsidRDefault="00080446" w:rsidP="00080446">
            <w:pPr>
              <w:jc w:val="center"/>
            </w:pPr>
            <w:r w:rsidRPr="00892DE3">
              <w:t>Unit of measure</w:t>
            </w:r>
          </w:p>
        </w:tc>
        <w:tc>
          <w:tcPr>
            <w:tcW w:w="908" w:type="dxa"/>
          </w:tcPr>
          <w:p w:rsidR="00080446" w:rsidRPr="00892DE3" w:rsidRDefault="00080446" w:rsidP="00080446">
            <w:r w:rsidRPr="00892DE3">
              <w:t>2013</w:t>
            </w:r>
            <w:r w:rsidRPr="00892DE3">
              <w:noBreakHyphen/>
              <w:t>14</w:t>
            </w:r>
          </w:p>
        </w:tc>
        <w:tc>
          <w:tcPr>
            <w:tcW w:w="908" w:type="dxa"/>
          </w:tcPr>
          <w:p w:rsidR="00080446" w:rsidRPr="00892DE3" w:rsidRDefault="00080446" w:rsidP="00080446">
            <w:r w:rsidRPr="00892DE3">
              <w:t>2014</w:t>
            </w:r>
            <w:r w:rsidRPr="00892DE3">
              <w:noBreakHyphen/>
              <w:t>15</w:t>
            </w:r>
          </w:p>
        </w:tc>
        <w:tc>
          <w:tcPr>
            <w:tcW w:w="908" w:type="dxa"/>
          </w:tcPr>
          <w:p w:rsidR="00080446" w:rsidRPr="00892DE3" w:rsidRDefault="00080446" w:rsidP="00080446">
            <w:r w:rsidRPr="00892DE3">
              <w:t>2015</w:t>
            </w:r>
            <w:r w:rsidRPr="00892DE3">
              <w:noBreakHyphen/>
              <w:t>16</w:t>
            </w:r>
          </w:p>
        </w:tc>
        <w:tc>
          <w:tcPr>
            <w:tcW w:w="908" w:type="dxa"/>
          </w:tcPr>
          <w:p w:rsidR="00080446" w:rsidRPr="00892DE3" w:rsidRDefault="00080446" w:rsidP="00080446">
            <w:r w:rsidRPr="00892DE3">
              <w:t>2016-17</w:t>
            </w:r>
          </w:p>
        </w:tc>
      </w:tr>
      <w:tr w:rsidR="00080446" w:rsidRPr="00892DE3" w:rsidTr="00080446">
        <w:tc>
          <w:tcPr>
            <w:tcW w:w="1744" w:type="dxa"/>
          </w:tcPr>
          <w:p w:rsidR="00080446" w:rsidRPr="00892DE3" w:rsidRDefault="00080446" w:rsidP="00080446">
            <w:pPr>
              <w:jc w:val="left"/>
            </w:pPr>
          </w:p>
        </w:tc>
        <w:tc>
          <w:tcPr>
            <w:tcW w:w="2605" w:type="dxa"/>
          </w:tcPr>
          <w:p w:rsidR="00080446" w:rsidRPr="00892DE3" w:rsidRDefault="00080446" w:rsidP="00080446">
            <w:pPr>
              <w:jc w:val="center"/>
            </w:pPr>
          </w:p>
        </w:tc>
        <w:tc>
          <w:tcPr>
            <w:tcW w:w="908" w:type="dxa"/>
          </w:tcPr>
          <w:p w:rsidR="00080446" w:rsidRPr="00892DE3" w:rsidRDefault="00080446" w:rsidP="00080446"/>
        </w:tc>
        <w:tc>
          <w:tcPr>
            <w:tcW w:w="908" w:type="dxa"/>
          </w:tcPr>
          <w:p w:rsidR="00080446" w:rsidRPr="00892DE3" w:rsidRDefault="00080446" w:rsidP="00080446"/>
        </w:tc>
        <w:tc>
          <w:tcPr>
            <w:tcW w:w="908" w:type="dxa"/>
          </w:tcPr>
          <w:p w:rsidR="00080446" w:rsidRPr="00892DE3" w:rsidRDefault="00080446" w:rsidP="00080446"/>
        </w:tc>
        <w:tc>
          <w:tcPr>
            <w:tcW w:w="908" w:type="dxa"/>
          </w:tcPr>
          <w:p w:rsidR="00080446" w:rsidRPr="00892DE3" w:rsidRDefault="00080446" w:rsidP="00080446"/>
        </w:tc>
      </w:tr>
      <w:tr w:rsidR="00080446" w:rsidRPr="00892DE3" w:rsidTr="00080446">
        <w:tc>
          <w:tcPr>
            <w:tcW w:w="1744" w:type="dxa"/>
          </w:tcPr>
          <w:p w:rsidR="00080446" w:rsidRPr="00892DE3" w:rsidRDefault="00080446" w:rsidP="00080446">
            <w:pPr>
              <w:jc w:val="left"/>
            </w:pPr>
          </w:p>
        </w:tc>
        <w:tc>
          <w:tcPr>
            <w:tcW w:w="2605" w:type="dxa"/>
          </w:tcPr>
          <w:p w:rsidR="00080446" w:rsidRPr="00892DE3" w:rsidRDefault="00080446" w:rsidP="00080446">
            <w:pPr>
              <w:jc w:val="center"/>
            </w:pPr>
          </w:p>
        </w:tc>
        <w:tc>
          <w:tcPr>
            <w:tcW w:w="908" w:type="dxa"/>
          </w:tcPr>
          <w:p w:rsidR="00080446" w:rsidRPr="00892DE3" w:rsidRDefault="00080446" w:rsidP="00080446"/>
        </w:tc>
        <w:tc>
          <w:tcPr>
            <w:tcW w:w="908" w:type="dxa"/>
          </w:tcPr>
          <w:p w:rsidR="00080446" w:rsidRPr="00892DE3" w:rsidRDefault="00080446" w:rsidP="00080446"/>
        </w:tc>
        <w:tc>
          <w:tcPr>
            <w:tcW w:w="908" w:type="dxa"/>
          </w:tcPr>
          <w:p w:rsidR="00080446" w:rsidRPr="00892DE3" w:rsidRDefault="00080446" w:rsidP="00080446"/>
        </w:tc>
        <w:tc>
          <w:tcPr>
            <w:tcW w:w="908" w:type="dxa"/>
          </w:tcPr>
          <w:p w:rsidR="00080446" w:rsidRPr="00892DE3" w:rsidRDefault="00080446" w:rsidP="00080446"/>
        </w:tc>
      </w:tr>
    </w:tbl>
    <w:p w:rsidR="00080446" w:rsidRPr="00892DE3" w:rsidRDefault="00080446" w:rsidP="00080446">
      <w:pPr>
        <w:pStyle w:val="Guidancenoborder"/>
      </w:pPr>
      <w:r w:rsidRPr="00892DE3">
        <w:t>[Departments should include the relevant outputs and their performance covered under the ‘Performance against output performance measures’ section to strengthen the link between the departmental objectives and outputs performance reporting].</w:t>
      </w:r>
    </w:p>
    <w:p w:rsidR="00080446" w:rsidRPr="00892DE3" w:rsidRDefault="00080446" w:rsidP="00080446">
      <w:pPr>
        <w:spacing w:before="0" w:after="200" w:line="276" w:lineRule="auto"/>
        <w:rPr>
          <w:rFonts w:ascii="Arial" w:eastAsiaTheme="majorEastAsia" w:hAnsi="Arial" w:cstheme="majorBidi"/>
          <w:iCs/>
          <w:spacing w:val="-2"/>
          <w:sz w:val="22"/>
          <w:szCs w:val="26"/>
        </w:rPr>
      </w:pPr>
      <w:r w:rsidRPr="00892DE3">
        <w:br w:type="page"/>
      </w:r>
    </w:p>
    <w:p w:rsidR="00080446" w:rsidRPr="00892DE3" w:rsidRDefault="00080446" w:rsidP="00381114">
      <w:pPr>
        <w:pStyle w:val="Heading30"/>
      </w:pPr>
      <w:r w:rsidRPr="00892DE3">
        <w:lastRenderedPageBreak/>
        <w:br w:type="column"/>
      </w:r>
      <w:r w:rsidRPr="00892DE3">
        <w:lastRenderedPageBreak/>
        <w:t>Departmental objective 2</w:t>
      </w:r>
    </w:p>
    <w:p w:rsidR="00080446" w:rsidRPr="00892DE3" w:rsidRDefault="00080446" w:rsidP="00080446">
      <w:pPr>
        <w:pStyle w:val="Guidancenoborder"/>
      </w:pPr>
      <w:r w:rsidRPr="00892DE3">
        <w:t>[Departments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p>
    <w:p w:rsidR="00080446" w:rsidRPr="00892DE3" w:rsidRDefault="00080446" w:rsidP="00080446">
      <w:pPr>
        <w:pStyle w:val="Guidancenoborder"/>
      </w:pPr>
      <w:r w:rsidRPr="00892DE3">
        <w:t>Departments should include a performance progress story for departmental objective 2 based on the evaluation and interaction of trend information for the associated indicators provided in this section. Include a description of the environment (past, current and an indication of the future) and any relevant issues/shortcomings affecting the performance story as demonstrated by the indicators that should be taken into account, including any areas for future improvements.]</w:t>
      </w:r>
    </w:p>
    <w:p w:rsidR="00080446" w:rsidRPr="00892DE3" w:rsidRDefault="00080446" w:rsidP="00080446">
      <w:pPr>
        <w:pStyle w:val="Guidancenoborde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Reference"/>
      </w:pPr>
      <w:r w:rsidRPr="00892DE3">
        <w:t>Recommendation 17, PAEC Report on 2013-14 and 2014-15 Financial and Performance Outcomes</w:t>
      </w: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C15B77" w:rsidRPr="00892DE3" w:rsidRDefault="00C15B77" w:rsidP="00C15B77">
      <w:pPr>
        <w:pStyle w:val="Reference"/>
      </w:pPr>
      <w:r w:rsidRPr="00892DE3">
        <w:rPr>
          <w:b/>
          <w:color w:val="8A2A2B" w:themeColor="accent6"/>
        </w:rPr>
        <w:t>New</w:t>
      </w:r>
    </w:p>
    <w:p w:rsidR="00080446" w:rsidRPr="00892DE3" w:rsidRDefault="00080446" w:rsidP="00080446">
      <w:pPr>
        <w:pStyle w:val="Guidancenoborder"/>
      </w:pPr>
      <w:r w:rsidRPr="00892DE3">
        <w:br w:type="column"/>
      </w:r>
      <w:r w:rsidRPr="00892DE3">
        <w:lastRenderedPageBreak/>
        <w:t xml:space="preserve">[Departments should also disclose any key initiatives and/or projects that have contributed to changes in the associated indicators. Where appropriate, departments may also introduce the revised indicators as published in the </w:t>
      </w:r>
      <w:r w:rsidRPr="00892DE3">
        <w:rPr>
          <w:i/>
        </w:rPr>
        <w:t>2017-18 Budget</w:t>
      </w:r>
      <w:r w:rsidRPr="00892DE3">
        <w:t xml:space="preserve"> to help explain performance.]</w:t>
      </w:r>
    </w:p>
    <w:p w:rsidR="00080446" w:rsidRPr="00892DE3" w:rsidRDefault="00080446" w:rsidP="00080446">
      <w:pPr>
        <w:pStyle w:val="Guidancenoborder"/>
      </w:pPr>
      <w:r w:rsidRPr="00892DE3">
        <w:t>[Departments should include the relevant trend information for each indicator associated with departmental objective 2.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 towards achieving the objective].</w:t>
      </w:r>
    </w:p>
    <w:p w:rsidR="00080446" w:rsidRPr="00892DE3" w:rsidRDefault="00080446" w:rsidP="00080446">
      <w:pPr>
        <w:pStyle w:val="TableHeading"/>
      </w:pPr>
      <w:r w:rsidRPr="00892DE3">
        <w:t>Table 3 – Progress towards objective 2</w:t>
      </w:r>
    </w:p>
    <w:tbl>
      <w:tblPr>
        <w:tblStyle w:val="DTFTable"/>
        <w:tblW w:w="7982" w:type="dxa"/>
        <w:tblLook w:val="0620" w:firstRow="1" w:lastRow="0" w:firstColumn="0" w:lastColumn="0" w:noHBand="1" w:noVBand="1"/>
      </w:tblPr>
      <w:tblGrid>
        <w:gridCol w:w="1744"/>
        <w:gridCol w:w="2515"/>
        <w:gridCol w:w="1171"/>
        <w:gridCol w:w="850"/>
        <w:gridCol w:w="851"/>
        <w:gridCol w:w="851"/>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tcW w:w="1744" w:type="dxa"/>
          </w:tcPr>
          <w:p w:rsidR="00080446" w:rsidRPr="00892DE3" w:rsidRDefault="00080446" w:rsidP="00080446">
            <w:pPr>
              <w:jc w:val="left"/>
            </w:pPr>
            <w:r w:rsidRPr="00892DE3">
              <w:t>Indicator</w:t>
            </w:r>
          </w:p>
        </w:tc>
        <w:tc>
          <w:tcPr>
            <w:tcW w:w="2515" w:type="dxa"/>
          </w:tcPr>
          <w:p w:rsidR="00080446" w:rsidRPr="00892DE3" w:rsidRDefault="00080446" w:rsidP="00080446">
            <w:pPr>
              <w:jc w:val="center"/>
            </w:pPr>
            <w:r w:rsidRPr="00892DE3">
              <w:t>Unit of measure</w:t>
            </w:r>
          </w:p>
        </w:tc>
        <w:tc>
          <w:tcPr>
            <w:tcW w:w="1171" w:type="dxa"/>
          </w:tcPr>
          <w:p w:rsidR="00080446" w:rsidRPr="00892DE3" w:rsidRDefault="00080446" w:rsidP="00080446">
            <w:r w:rsidRPr="00892DE3">
              <w:t>2013</w:t>
            </w:r>
            <w:r w:rsidRPr="00892DE3">
              <w:noBreakHyphen/>
              <w:t>14</w:t>
            </w:r>
          </w:p>
        </w:tc>
        <w:tc>
          <w:tcPr>
            <w:tcW w:w="850" w:type="dxa"/>
          </w:tcPr>
          <w:p w:rsidR="00080446" w:rsidRPr="00892DE3" w:rsidRDefault="00080446" w:rsidP="00080446">
            <w:r w:rsidRPr="00892DE3">
              <w:t>2014</w:t>
            </w:r>
            <w:r w:rsidRPr="00892DE3">
              <w:noBreakHyphen/>
              <w:t>15</w:t>
            </w:r>
          </w:p>
        </w:tc>
        <w:tc>
          <w:tcPr>
            <w:tcW w:w="851" w:type="dxa"/>
          </w:tcPr>
          <w:p w:rsidR="00080446" w:rsidRPr="00892DE3" w:rsidRDefault="00080446" w:rsidP="00080446">
            <w:r w:rsidRPr="00892DE3">
              <w:t>2015</w:t>
            </w:r>
            <w:r w:rsidRPr="00892DE3">
              <w:noBreakHyphen/>
              <w:t>16</w:t>
            </w:r>
          </w:p>
        </w:tc>
        <w:tc>
          <w:tcPr>
            <w:tcW w:w="851" w:type="dxa"/>
          </w:tcPr>
          <w:p w:rsidR="00080446" w:rsidRPr="00892DE3" w:rsidRDefault="00080446" w:rsidP="00080446">
            <w:r w:rsidRPr="00892DE3">
              <w:t>2016-17</w:t>
            </w:r>
          </w:p>
        </w:tc>
      </w:tr>
      <w:tr w:rsidR="00080446" w:rsidRPr="00892DE3" w:rsidTr="00080446">
        <w:tc>
          <w:tcPr>
            <w:tcW w:w="1744" w:type="dxa"/>
          </w:tcPr>
          <w:p w:rsidR="00080446" w:rsidRPr="00892DE3" w:rsidRDefault="00080446" w:rsidP="00080446">
            <w:pPr>
              <w:jc w:val="left"/>
            </w:pPr>
          </w:p>
        </w:tc>
        <w:tc>
          <w:tcPr>
            <w:tcW w:w="2515" w:type="dxa"/>
          </w:tcPr>
          <w:p w:rsidR="00080446" w:rsidRPr="00892DE3" w:rsidRDefault="00080446" w:rsidP="00080446">
            <w:pPr>
              <w:jc w:val="center"/>
            </w:pPr>
          </w:p>
        </w:tc>
        <w:tc>
          <w:tcPr>
            <w:tcW w:w="1171" w:type="dxa"/>
          </w:tcPr>
          <w:p w:rsidR="00080446" w:rsidRPr="00892DE3" w:rsidRDefault="00080446" w:rsidP="00080446"/>
        </w:tc>
        <w:tc>
          <w:tcPr>
            <w:tcW w:w="850" w:type="dxa"/>
          </w:tcPr>
          <w:p w:rsidR="00080446" w:rsidRPr="00892DE3" w:rsidRDefault="00080446" w:rsidP="00080446"/>
        </w:tc>
        <w:tc>
          <w:tcPr>
            <w:tcW w:w="851" w:type="dxa"/>
          </w:tcPr>
          <w:p w:rsidR="00080446" w:rsidRPr="00892DE3" w:rsidRDefault="00080446" w:rsidP="00080446"/>
        </w:tc>
        <w:tc>
          <w:tcPr>
            <w:tcW w:w="851" w:type="dxa"/>
          </w:tcPr>
          <w:p w:rsidR="00080446" w:rsidRPr="00892DE3" w:rsidRDefault="00080446" w:rsidP="00080446"/>
        </w:tc>
      </w:tr>
      <w:tr w:rsidR="00080446" w:rsidRPr="00892DE3" w:rsidTr="00080446">
        <w:tc>
          <w:tcPr>
            <w:tcW w:w="1744" w:type="dxa"/>
          </w:tcPr>
          <w:p w:rsidR="00080446" w:rsidRPr="00892DE3" w:rsidRDefault="00080446" w:rsidP="00080446">
            <w:pPr>
              <w:jc w:val="left"/>
            </w:pPr>
          </w:p>
        </w:tc>
        <w:tc>
          <w:tcPr>
            <w:tcW w:w="2515" w:type="dxa"/>
          </w:tcPr>
          <w:p w:rsidR="00080446" w:rsidRPr="00892DE3" w:rsidRDefault="00080446" w:rsidP="00080446">
            <w:pPr>
              <w:jc w:val="center"/>
            </w:pPr>
          </w:p>
        </w:tc>
        <w:tc>
          <w:tcPr>
            <w:tcW w:w="1171" w:type="dxa"/>
          </w:tcPr>
          <w:p w:rsidR="00080446" w:rsidRPr="00892DE3" w:rsidRDefault="00080446" w:rsidP="00080446"/>
        </w:tc>
        <w:tc>
          <w:tcPr>
            <w:tcW w:w="850" w:type="dxa"/>
          </w:tcPr>
          <w:p w:rsidR="00080446" w:rsidRPr="00892DE3" w:rsidRDefault="00080446" w:rsidP="00080446"/>
        </w:tc>
        <w:tc>
          <w:tcPr>
            <w:tcW w:w="851" w:type="dxa"/>
          </w:tcPr>
          <w:p w:rsidR="00080446" w:rsidRPr="00892DE3" w:rsidRDefault="00080446" w:rsidP="00080446"/>
        </w:tc>
        <w:tc>
          <w:tcPr>
            <w:tcW w:w="851" w:type="dxa"/>
          </w:tcPr>
          <w:p w:rsidR="00080446" w:rsidRPr="00892DE3" w:rsidRDefault="00080446" w:rsidP="00080446"/>
        </w:tc>
      </w:tr>
    </w:tbl>
    <w:p w:rsidR="00080446" w:rsidRPr="00892DE3" w:rsidRDefault="00080446" w:rsidP="00080446">
      <w:pPr>
        <w:pStyle w:val="Note"/>
      </w:pPr>
    </w:p>
    <w:p w:rsidR="00080446" w:rsidRPr="00892DE3" w:rsidRDefault="00080446" w:rsidP="00080446">
      <w:pPr>
        <w:pStyle w:val="Guidancenoborder"/>
      </w:pPr>
      <w:r w:rsidRPr="00892DE3">
        <w:t>[Departments should include the relevant outputs and their performance covered under the ‘Performance against output performance measures’ section to strengthen the link between department objectives and outputs performance reporting.]</w:t>
      </w:r>
    </w:p>
    <w:p w:rsidR="00080446" w:rsidRPr="00892DE3" w:rsidRDefault="00080446" w:rsidP="00080446">
      <w:pPr>
        <w:pStyle w:val="Guidanceheading"/>
      </w:pPr>
      <w:r w:rsidRPr="00892DE3">
        <w:t>Guidance – Reporting progress towards achieving departmental objectives in the report of operations</w:t>
      </w:r>
    </w:p>
    <w:p w:rsidR="00080446" w:rsidRPr="00892DE3" w:rsidRDefault="00080446" w:rsidP="00080446">
      <w:pPr>
        <w:pStyle w:val="Guidanceheading1"/>
      </w:pPr>
      <w:r w:rsidRPr="00892DE3">
        <w:rPr>
          <w:b w:val="0"/>
        </w:rPr>
        <w:t xml:space="preserve">In May 2013, the Government introduced the use of objective indicators in the 2013-14 Budget Paper No. 3 Service Delivery (BP3) to provide information on progress in the achievement of objectives. The government also made a commitment in BP3 to report progress figures in each department’s annual report. </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 xml:space="preserve">In this section, Departments should communicate the performance story for each departmental objective based on the indicator information over time (minimum four years). Although not mandatory, developing a baseline and medium-term target/standard for the indicators would facilitate communicating performance progress. In some instances, appropriate graphical representation of this information would potentially enhance performance reporting, for example: </w:t>
      </w:r>
    </w:p>
    <w:p w:rsidR="00080446" w:rsidRPr="00892DE3" w:rsidRDefault="00080446" w:rsidP="00080446">
      <w:pPr>
        <w:pStyle w:val="Guidance"/>
        <w:pBdr>
          <w:bottom w:val="none" w:sz="0" w:space="0" w:color="auto"/>
        </w:pBdr>
      </w:pPr>
      <w:r w:rsidRPr="00892DE3">
        <w:t>In 2016-17, there were a total of 60 000 Victorians being serviced by the department. The number of Victorians using these services has decreased by 14 per cent from 70 000 over the past four years (see Figure 1).</w:t>
      </w:r>
    </w:p>
    <w:p w:rsidR="00080446" w:rsidRPr="00892DE3" w:rsidRDefault="00080446" w:rsidP="00080446">
      <w:pPr>
        <w:pStyle w:val="Guidance"/>
        <w:pBdr>
          <w:bottom w:val="none" w:sz="0" w:space="0" w:color="auto"/>
        </w:pBdr>
      </w:pPr>
      <w:r w:rsidRPr="00892DE3">
        <w:t>In 2016-17, 61 per cent of clients were satisfied with the level of services provided. This result was above the national average of 60 per cent, and represented a 2.2 per cent increase from 2015-16. There has been minimal variation in satisfaction levels over the four years (see Figure 2).</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red"/>
        <w:rPr>
          <w:b/>
        </w:rPr>
      </w:pPr>
      <w:r w:rsidRPr="00892DE3">
        <w:rPr>
          <w:b/>
        </w:rPr>
        <w:lastRenderedPageBreak/>
        <w:t xml:space="preserve">New </w:t>
      </w:r>
    </w:p>
    <w:p w:rsidR="00080446" w:rsidRPr="00892DE3" w:rsidRDefault="00080446" w:rsidP="00080446">
      <w:pPr>
        <w:pStyle w:val="Reference"/>
      </w:pPr>
      <w:r w:rsidRPr="00892DE3">
        <w:t>Recommendation 17, PAEC Report on 2013-14 and 2014-15 Financial and Performance Outcomes</w:t>
      </w:r>
    </w:p>
    <w:p w:rsidR="00080446" w:rsidRPr="00892DE3" w:rsidRDefault="00080446" w:rsidP="00080446">
      <w:pPr>
        <w:pStyle w:val="Guidance"/>
        <w:spacing w:before="0"/>
      </w:pPr>
      <w:r w:rsidRPr="00892DE3">
        <w:br w:type="column"/>
      </w:r>
      <w:r w:rsidRPr="00892DE3">
        <w:lastRenderedPageBreak/>
        <w:t xml:space="preserve">The 2017-21 corporate plans will require the disclosure of key initiatives important to the achievement of departmental objectives. All 2017-21 departmental corporate plans will be published by 31 July 2017. Departments are required to report against the key initiatives listed in the 2017-21 corporate plan in their annual reports from 2017-18. Where possible, departments can report on key initiatives contained within their 2016-20 corporate plan in their 2016-17 annual reports. </w:t>
      </w:r>
    </w:p>
    <w:p w:rsidR="00080446" w:rsidRPr="00892DE3" w:rsidRDefault="00080446" w:rsidP="00080446">
      <w:pPr>
        <w:pStyle w:val="BodyText"/>
      </w:pPr>
    </w:p>
    <w:p w:rsidR="00306EE3" w:rsidRPr="00892DE3" w:rsidRDefault="00306EE3">
      <w:pPr>
        <w:keepLines w:val="0"/>
      </w:pPr>
      <w:r w:rsidRPr="00892DE3">
        <w:br w:type="page"/>
      </w:r>
    </w:p>
    <w:p w:rsidR="00080446" w:rsidRPr="00892DE3" w:rsidRDefault="00080446" w:rsidP="00080446">
      <w:pPr>
        <w:pStyle w:val="BodyText"/>
      </w:pPr>
    </w:p>
    <w:p w:rsidR="00080446" w:rsidRPr="00892DE3" w:rsidRDefault="00080446" w:rsidP="00080446">
      <w:pPr>
        <w:pStyle w:val="BodyText"/>
      </w:pPr>
      <w:r w:rsidRPr="00892DE3">
        <w:br w:type="column"/>
      </w:r>
    </w:p>
    <w:p w:rsidR="00080446" w:rsidRPr="00892DE3" w:rsidRDefault="00080446" w:rsidP="00080446">
      <w:pPr>
        <w:pStyle w:val="Guidance"/>
        <w:pBdr>
          <w:top w:val="single" w:sz="4" w:space="1" w:color="0072CE" w:themeColor="accent4"/>
        </w:pBdr>
      </w:pPr>
      <w:r w:rsidRPr="00892DE3">
        <w:rPr>
          <w:noProof/>
          <w:lang w:eastAsia="en-AU"/>
        </w:rPr>
        <w:drawing>
          <wp:inline distT="0" distB="0" distL="0" distR="0" wp14:anchorId="67BDC190" wp14:editId="75B7AE97">
            <wp:extent cx="5018567" cy="2190307"/>
            <wp:effectExtent l="0" t="0" r="0" b="635"/>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892DE3">
        <w:rPr>
          <w:noProof/>
          <w:lang w:eastAsia="en-AU"/>
        </w:rPr>
        <w:drawing>
          <wp:inline distT="0" distB="0" distL="0" distR="0" wp14:anchorId="22B1CBAC" wp14:editId="19DF3FDB">
            <wp:extent cx="5018567" cy="2190307"/>
            <wp:effectExtent l="0" t="0" r="0" b="635"/>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80446" w:rsidRPr="00892DE3" w:rsidRDefault="00080446" w:rsidP="00080446">
      <w:pPr>
        <w:pStyle w:val="BodyText"/>
      </w:pPr>
    </w:p>
    <w:p w:rsidR="00080446" w:rsidRPr="00892DE3" w:rsidRDefault="00080446" w:rsidP="00381114">
      <w:pPr>
        <w:pStyle w:val="Heading2nonTOC"/>
      </w:pPr>
      <w:bookmarkStart w:id="25" w:name="_Toc477967485"/>
      <w:r w:rsidRPr="00892DE3">
        <w:t>Performance against output performance measures</w:t>
      </w:r>
      <w:bookmarkEnd w:id="25"/>
    </w:p>
    <w:p w:rsidR="00080446" w:rsidRPr="00892DE3" w:rsidRDefault="00080446" w:rsidP="00080446">
      <w:pPr>
        <w:pStyle w:val="Guidancenoborder"/>
      </w:pPr>
      <w:r w:rsidRPr="00892DE3">
        <w:t>[Departments should include the output performance information under the relevant departmental objective to strengthen the link between department objectives and outputs performance reporting.]</w:t>
      </w:r>
    </w:p>
    <w:p w:rsidR="00080446" w:rsidRPr="00892DE3" w:rsidRDefault="00080446" w:rsidP="00080446">
      <w:pPr>
        <w:pStyle w:val="Guidancenoborde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8D</w:t>
      </w:r>
    </w:p>
    <w:p w:rsidR="00080446" w:rsidRPr="00892DE3" w:rsidRDefault="00080446" w:rsidP="00080446">
      <w:pPr>
        <w:pStyle w:val="BodyText"/>
      </w:pPr>
      <w:r w:rsidRPr="00892DE3">
        <w:br w:type="column"/>
      </w:r>
      <w:r w:rsidRPr="00892DE3">
        <w:lastRenderedPageBreak/>
        <w:t>The following sections outline details of the outputs provided by the Department to the Government, including performance measures and costs for each output, and the actual performance results against budgeted targets by output for the Department over the full year ending 30 June 2017</w:t>
      </w:r>
      <w:r w:rsidR="00306EE3" w:rsidRPr="00892DE3">
        <w:t>.</w:t>
      </w:r>
    </w:p>
    <w:p w:rsidR="00080446" w:rsidRPr="00892DE3" w:rsidRDefault="00080446" w:rsidP="00080446">
      <w:pPr>
        <w:pStyle w:val="BodyText"/>
      </w:pP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br/>
        <w:t>FRD 22H</w:t>
      </w: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Guidance – Key initiatives and projects</w:t>
      </w:r>
    </w:p>
    <w:p w:rsidR="00080446" w:rsidRPr="00892DE3" w:rsidRDefault="00080446" w:rsidP="00080446">
      <w:pPr>
        <w:pStyle w:val="Guidance"/>
      </w:pPr>
      <w:r w:rsidRPr="00892DE3">
        <w:t>Entities are required to provide information about their key initiatives and projects, including any significant changes in key initiatives and projects from previous years and expectations for the future periods. Key initiatives and projects refer to an entity’s initiatives and projects that are identified in their corporate plan or the equivalent. Each year the discussion should include outcomes achieved on those key initiatives and projects, and any significant changes to the key initiatives and projects that have been previously disclosed or reported upon. The changes that have a material impact on the outcomes or results should also be discussed, and this may include timeline, scope and costs relevant to the key initiative or project.</w:t>
      </w:r>
    </w:p>
    <w:p w:rsidR="00080446" w:rsidRPr="00892DE3" w:rsidRDefault="00080446" w:rsidP="00080446">
      <w:pPr>
        <w:pStyle w:val="Guidance"/>
      </w:pPr>
      <w:r w:rsidRPr="00892DE3">
        <w:t>An entity may describe its key initiatives and projects in relation to its outputs where appropriate, preferably in the section where it provides details on the individual outputs, as shown above. Where an initiative/achievement links to multiple outputs, details should be provided under the output it contributes most to. If necessary, other corresponding outputs may provide reference to it.</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60"/>
      </w:pPr>
      <w:r w:rsidRPr="00892DE3">
        <w:t>FRD 8D</w:t>
      </w:r>
    </w:p>
    <w:p w:rsidR="00080446" w:rsidRPr="00892DE3" w:rsidRDefault="00080446" w:rsidP="00306EE3">
      <w:pPr>
        <w:pStyle w:val="Heading30"/>
      </w:pPr>
      <w:r w:rsidRPr="00892DE3">
        <w:br w:type="column"/>
      </w:r>
      <w:r w:rsidRPr="00892DE3">
        <w:lastRenderedPageBreak/>
        <w:t>Strategic policy advice</w:t>
      </w:r>
    </w:p>
    <w:p w:rsidR="00080446" w:rsidRPr="00892DE3" w:rsidRDefault="00080446" w:rsidP="00080446">
      <w:pPr>
        <w:pStyle w:val="BodyText"/>
      </w:pPr>
      <w:r w:rsidRPr="00892DE3">
        <w:t>The objective of this output is to improve the economic performance of the State through the application of leading edge technology and to promote leadership in research and innovation in sciences.</w:t>
      </w:r>
    </w:p>
    <w:p w:rsidR="00080446" w:rsidRPr="00892DE3" w:rsidRDefault="00080446" w:rsidP="00080446">
      <w:pPr>
        <w:pStyle w:val="BodyText"/>
      </w:pPr>
      <w:r w:rsidRPr="00892DE3">
        <w:t xml:space="preserve">This output makes a significant contribution to the achievement of the departmental objective of </w:t>
      </w:r>
      <w:r w:rsidRPr="00892DE3">
        <w:rPr>
          <w:color w:val="0072CE" w:themeColor="accent4"/>
        </w:rPr>
        <w:t>[Departments to insert the relevant departmental objective]</w:t>
      </w:r>
      <w:r w:rsidRPr="00892DE3">
        <w:t xml:space="preserve">. </w:t>
      </w:r>
    </w:p>
    <w:p w:rsidR="00080446" w:rsidRPr="00892DE3" w:rsidRDefault="00080446" w:rsidP="00306EE3">
      <w:pPr>
        <w:pStyle w:val="Heading4"/>
      </w:pPr>
      <w:r w:rsidRPr="00892DE3">
        <w:t>Key initiatives and projects</w:t>
      </w:r>
    </w:p>
    <w:p w:rsidR="00080446" w:rsidRPr="00892DE3" w:rsidRDefault="00080446" w:rsidP="00080446">
      <w:pPr>
        <w:pStyle w:val="BodyText"/>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br/>
        <w:t>FRD 22H</w:t>
      </w:r>
    </w:p>
    <w:p w:rsidR="00080446" w:rsidRPr="00892DE3" w:rsidRDefault="00080446" w:rsidP="00080446">
      <w:pPr>
        <w:pStyle w:val="Reference"/>
      </w:pPr>
      <w:r w:rsidRPr="00892DE3">
        <w:t>Recommendation 17, PAEC Report 107</w:t>
      </w:r>
    </w:p>
    <w:p w:rsidR="00080446" w:rsidRPr="00892DE3" w:rsidRDefault="00080446" w:rsidP="00080446">
      <w:pPr>
        <w:pStyle w:val="BodyText"/>
      </w:pPr>
      <w:r w:rsidRPr="00892DE3">
        <w:br w:type="column"/>
      </w:r>
      <w:r w:rsidRPr="00892DE3">
        <w:lastRenderedPageBreak/>
        <w:t>Since 1 July 2016, the Department has initiated the Technology Trade and Innovation Program, which assists businesses to develop and integrate new technologies.</w:t>
      </w:r>
    </w:p>
    <w:p w:rsidR="00080446" w:rsidRPr="00892DE3" w:rsidRDefault="00080446" w:rsidP="00080446">
      <w:pPr>
        <w:pStyle w:val="BodyText"/>
      </w:pPr>
      <w:r w:rsidRPr="00892DE3">
        <w:t>Up to 30 June 2017, the Department has provided strategic, timely and comprehensive analysis and advice to 40 Victorian businesses. In the next two years, the Department will continue to monitor and support this program, which is expected to represent additional $29 million investment to the State, and create 219 new jobs in 2018-19.</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Reference"/>
        <w:spacing w:before="60"/>
      </w:pPr>
      <w:r w:rsidRPr="00892DE3">
        <w:t xml:space="preserve">Recommendations 12 and 32, PAEC Report 107 </w:t>
      </w:r>
    </w:p>
    <w:p w:rsidR="00080446" w:rsidRPr="00892DE3" w:rsidRDefault="00080446" w:rsidP="00080446">
      <w:pPr>
        <w:pStyle w:val="Reference"/>
      </w:pPr>
    </w:p>
    <w:p w:rsidR="00080446" w:rsidRPr="00892DE3" w:rsidRDefault="00080446" w:rsidP="00080446">
      <w:pPr>
        <w:pStyle w:val="Reference"/>
        <w:rPr>
          <w:i/>
        </w:rPr>
      </w:pPr>
      <w:r w:rsidRPr="00892DE3">
        <w:t xml:space="preserve">To align with the table format in Budget Paper No. 3 </w:t>
      </w:r>
      <w:r w:rsidRPr="00892DE3">
        <w:rPr>
          <w:i/>
        </w:rPr>
        <w:t>Service Delivery</w:t>
      </w:r>
    </w:p>
    <w:p w:rsidR="00080446" w:rsidRPr="00892DE3" w:rsidRDefault="00080446" w:rsidP="00080446">
      <w:pPr>
        <w:pStyle w:val="Reference"/>
      </w:pPr>
    </w:p>
    <w:p w:rsidR="00080446" w:rsidRPr="00892DE3" w:rsidRDefault="00080446" w:rsidP="00080446">
      <w:pPr>
        <w:pStyle w:val="Reference"/>
      </w:pPr>
      <w:r w:rsidRPr="00892DE3">
        <w:t>Recommendations 19 and 36, PAEC Report 118</w:t>
      </w:r>
    </w:p>
    <w:p w:rsidR="00080446" w:rsidRPr="00892DE3" w:rsidRDefault="00080446" w:rsidP="00080446">
      <w:pPr>
        <w:pStyle w:val="Smallline"/>
      </w:pPr>
      <w:r w:rsidRPr="00892DE3">
        <w:br w:type="column"/>
      </w:r>
    </w:p>
    <w:tbl>
      <w:tblPr>
        <w:tblW w:w="8010" w:type="dxa"/>
        <w:tblInd w:w="43" w:type="dxa"/>
        <w:tblLayout w:type="fixed"/>
        <w:tblCellMar>
          <w:left w:w="43" w:type="dxa"/>
          <w:right w:w="43" w:type="dxa"/>
        </w:tblCellMar>
        <w:tblLook w:val="01E0" w:firstRow="1" w:lastRow="1" w:firstColumn="1" w:lastColumn="1" w:noHBand="0" w:noVBand="0"/>
      </w:tblPr>
      <w:tblGrid>
        <w:gridCol w:w="3420"/>
        <w:gridCol w:w="892"/>
        <w:gridCol w:w="892"/>
        <w:gridCol w:w="892"/>
        <w:gridCol w:w="1104"/>
        <w:gridCol w:w="810"/>
      </w:tblGrid>
      <w:tr w:rsidR="00080446" w:rsidRPr="00892DE3" w:rsidTr="00080446">
        <w:trPr>
          <w:cantSplit/>
          <w:trHeight w:val="386"/>
        </w:trPr>
        <w:tc>
          <w:tcPr>
            <w:tcW w:w="3420"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left"/>
            </w:pPr>
            <w:r w:rsidRPr="00892DE3">
              <w:br w:type="page"/>
            </w:r>
            <w:r w:rsidRPr="00892DE3">
              <w:br w:type="page"/>
            </w:r>
            <w:r w:rsidRPr="00892DE3">
              <w:br w:type="column"/>
              <w:t>Performance measures</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centred"/>
            </w:pPr>
            <w:r w:rsidRPr="00892DE3">
              <w:t>Unit of measure</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2016</w:t>
            </w:r>
            <w:r w:rsidRPr="00892DE3">
              <w:noBreakHyphen/>
              <w:t>17</w:t>
            </w:r>
            <w:r w:rsidRPr="00892DE3">
              <w:br/>
              <w:t>actual</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2016</w:t>
            </w:r>
            <w:r w:rsidRPr="00892DE3">
              <w:noBreakHyphen/>
              <w:t>17</w:t>
            </w:r>
            <w:r w:rsidRPr="00892DE3">
              <w:br/>
              <w:t>target</w:t>
            </w:r>
          </w:p>
        </w:tc>
        <w:tc>
          <w:tcPr>
            <w:tcW w:w="1104"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Performance variation (%)</w:t>
            </w:r>
          </w:p>
        </w:tc>
        <w:tc>
          <w:tcPr>
            <w:tcW w:w="810" w:type="dxa"/>
            <w:tcBorders>
              <w:top w:val="single" w:sz="4" w:space="0" w:color="auto"/>
              <w:bottom w:val="single" w:sz="4" w:space="0" w:color="auto"/>
            </w:tcBorders>
            <w:shd w:val="clear" w:color="auto" w:fill="000000" w:themeFill="text1"/>
            <w:vAlign w:val="bottom"/>
          </w:tcPr>
          <w:p w:rsidR="00080446" w:rsidRPr="00892DE3" w:rsidRDefault="00080446" w:rsidP="00381114">
            <w:pPr>
              <w:pStyle w:val="Tabletextheadingcentred"/>
            </w:pPr>
            <w:r w:rsidRPr="00892DE3">
              <w:br/>
              <w:t xml:space="preserve">Result </w:t>
            </w:r>
            <w:r w:rsidR="00381114" w:rsidRPr="00892DE3">
              <w:rPr>
                <w:vertAlign w:val="superscript"/>
              </w:rPr>
              <w:t>(a)</w:t>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Quantity</w:t>
            </w:r>
          </w:p>
        </w:tc>
        <w:tc>
          <w:tcPr>
            <w:tcW w:w="892" w:type="dxa"/>
            <w:tcBorders>
              <w:top w:val="single" w:sz="4" w:space="0" w:color="auto"/>
            </w:tcBorders>
            <w:vAlign w:val="center"/>
          </w:tcPr>
          <w:p w:rsidR="00080446" w:rsidRPr="00892DE3" w:rsidRDefault="00080446" w:rsidP="00381114">
            <w:pPr>
              <w:pStyle w:val="Tabletext"/>
              <w:ind w:left="0" w:firstLine="0"/>
              <w:rPr>
                <w:i/>
                <w:sz w:val="15"/>
                <w:szCs w:val="15"/>
              </w:rPr>
            </w:pPr>
          </w:p>
        </w:tc>
        <w:tc>
          <w:tcPr>
            <w:tcW w:w="892" w:type="dxa"/>
            <w:tcBorders>
              <w:top w:val="single" w:sz="4" w:space="0" w:color="auto"/>
            </w:tcBorders>
            <w:shd w:val="clear" w:color="auto" w:fill="D9D9D9"/>
          </w:tcPr>
          <w:p w:rsidR="00080446" w:rsidRPr="00892DE3" w:rsidRDefault="00080446" w:rsidP="00381114">
            <w:pPr>
              <w:pStyle w:val="Tabletextright"/>
              <w:ind w:left="0" w:firstLine="0"/>
              <w:rPr>
                <w:i/>
                <w:sz w:val="15"/>
                <w:szCs w:val="15"/>
              </w:rPr>
            </w:pPr>
          </w:p>
        </w:tc>
        <w:tc>
          <w:tcPr>
            <w:tcW w:w="892" w:type="dxa"/>
            <w:tcBorders>
              <w:top w:val="single" w:sz="4" w:space="0" w:color="auto"/>
            </w:tcBorders>
          </w:tcPr>
          <w:p w:rsidR="00080446" w:rsidRPr="00892DE3" w:rsidRDefault="00080446" w:rsidP="00381114">
            <w:pPr>
              <w:pStyle w:val="Tabletextright"/>
              <w:ind w:left="0" w:firstLine="0"/>
              <w:rPr>
                <w:i/>
                <w:sz w:val="15"/>
                <w:szCs w:val="15"/>
              </w:rPr>
            </w:pPr>
          </w:p>
        </w:tc>
        <w:tc>
          <w:tcPr>
            <w:tcW w:w="1104" w:type="dxa"/>
            <w:tcBorders>
              <w:top w:val="single" w:sz="4" w:space="0" w:color="auto"/>
            </w:tcBorders>
          </w:tcPr>
          <w:p w:rsidR="00080446" w:rsidRPr="00892DE3" w:rsidRDefault="00080446" w:rsidP="00381114">
            <w:pPr>
              <w:pStyle w:val="Tabletextright"/>
              <w:ind w:left="0" w:firstLine="0"/>
              <w:rPr>
                <w:i/>
                <w:sz w:val="15"/>
                <w:szCs w:val="15"/>
              </w:rPr>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20"/>
        </w:trPr>
        <w:tc>
          <w:tcPr>
            <w:tcW w:w="3420" w:type="dxa"/>
          </w:tcPr>
          <w:p w:rsidR="00080446" w:rsidRPr="00892DE3" w:rsidRDefault="00080446" w:rsidP="00381114">
            <w:pPr>
              <w:pStyle w:val="Tabletext"/>
              <w:ind w:left="0" w:firstLine="0"/>
            </w:pPr>
            <w:r w:rsidRPr="00892DE3">
              <w:t>Provision of policy briefings</w:t>
            </w:r>
          </w:p>
        </w:tc>
        <w:tc>
          <w:tcPr>
            <w:tcW w:w="892" w:type="dxa"/>
          </w:tcPr>
          <w:p w:rsidR="00080446" w:rsidRPr="00892DE3" w:rsidRDefault="00080446" w:rsidP="00381114">
            <w:pPr>
              <w:pStyle w:val="Tabletextcentred"/>
              <w:ind w:left="0" w:firstLine="0"/>
            </w:pPr>
            <w:r w:rsidRPr="00892DE3">
              <w:t>number</w:t>
            </w:r>
          </w:p>
        </w:tc>
        <w:tc>
          <w:tcPr>
            <w:tcW w:w="892" w:type="dxa"/>
            <w:shd w:val="clear" w:color="auto" w:fill="D9D9D9"/>
          </w:tcPr>
          <w:p w:rsidR="00080446" w:rsidRPr="00892DE3" w:rsidRDefault="00080446" w:rsidP="00381114">
            <w:pPr>
              <w:pStyle w:val="Tabletextright"/>
              <w:ind w:left="0" w:firstLine="0"/>
            </w:pPr>
            <w:r w:rsidRPr="00892DE3">
              <w:t>530</w:t>
            </w:r>
          </w:p>
        </w:tc>
        <w:tc>
          <w:tcPr>
            <w:tcW w:w="892" w:type="dxa"/>
          </w:tcPr>
          <w:p w:rsidR="00080446" w:rsidRPr="00892DE3" w:rsidRDefault="00080446" w:rsidP="00381114">
            <w:pPr>
              <w:pStyle w:val="Tabletextright"/>
              <w:ind w:left="0" w:firstLine="0"/>
            </w:pPr>
            <w:r w:rsidRPr="00892DE3">
              <w:t>500</w:t>
            </w:r>
          </w:p>
        </w:tc>
        <w:tc>
          <w:tcPr>
            <w:tcW w:w="1104" w:type="dxa"/>
          </w:tcPr>
          <w:p w:rsidR="00080446" w:rsidRPr="00892DE3" w:rsidRDefault="00080446" w:rsidP="00381114">
            <w:pPr>
              <w:pStyle w:val="Tabletextright"/>
              <w:ind w:left="0" w:firstLine="0"/>
            </w:pPr>
            <w:r w:rsidRPr="00892DE3">
              <w:t>6</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20"/>
        </w:trPr>
        <w:tc>
          <w:tcPr>
            <w:tcW w:w="8010" w:type="dxa"/>
            <w:gridSpan w:val="6"/>
          </w:tcPr>
          <w:p w:rsidR="00080446" w:rsidRPr="00892DE3" w:rsidRDefault="00080446" w:rsidP="00381114">
            <w:pPr>
              <w:pStyle w:val="Tabletextindent0"/>
              <w:ind w:left="0" w:firstLine="0"/>
              <w:rPr>
                <w:i/>
              </w:rPr>
            </w:pPr>
            <w:r w:rsidRPr="00892DE3">
              <w:rPr>
                <w:i/>
              </w:rPr>
              <w:t>Policy briefings are provided on an as needed basis which makes it difficult to accurately predict how many briefings are required for the year. This year the provision of briefings has been higher than targeted because of a number of new technological developments requiring additional briefings to the Minister, as well as additional policy briefings associated with the new output research and development of biological technology.</w:t>
            </w:r>
          </w:p>
        </w:tc>
      </w:tr>
      <w:tr w:rsidR="00080446" w:rsidRPr="00892DE3" w:rsidTr="00080446">
        <w:trPr>
          <w:cantSplit/>
          <w:trHeight w:val="20"/>
        </w:trPr>
        <w:tc>
          <w:tcPr>
            <w:tcW w:w="3420" w:type="dxa"/>
          </w:tcPr>
          <w:p w:rsidR="00080446" w:rsidRPr="00892DE3" w:rsidRDefault="00080446" w:rsidP="00381114">
            <w:pPr>
              <w:pStyle w:val="Tabletext"/>
              <w:ind w:left="0" w:firstLine="0"/>
            </w:pPr>
            <w:r w:rsidRPr="00892DE3">
              <w:t>Deliver two long</w:t>
            </w:r>
            <w:r w:rsidRPr="00892DE3">
              <w:noBreakHyphen/>
              <w:t>term research projects</w:t>
            </w:r>
          </w:p>
        </w:tc>
        <w:tc>
          <w:tcPr>
            <w:tcW w:w="892" w:type="dxa"/>
          </w:tcPr>
          <w:p w:rsidR="00080446" w:rsidRPr="00892DE3" w:rsidRDefault="00080446" w:rsidP="00381114">
            <w:pPr>
              <w:pStyle w:val="Tabletextcentred"/>
              <w:ind w:left="0" w:firstLine="0"/>
            </w:pPr>
            <w:r w:rsidRPr="00892DE3">
              <w:t>number</w:t>
            </w:r>
          </w:p>
        </w:tc>
        <w:tc>
          <w:tcPr>
            <w:tcW w:w="892" w:type="dxa"/>
            <w:shd w:val="clear" w:color="auto" w:fill="D9D9D9"/>
          </w:tcPr>
          <w:p w:rsidR="00080446" w:rsidRPr="00892DE3" w:rsidRDefault="00080446" w:rsidP="00381114">
            <w:pPr>
              <w:pStyle w:val="Tabletextright"/>
              <w:ind w:left="0" w:firstLine="0"/>
            </w:pPr>
            <w:r w:rsidRPr="00892DE3">
              <w:t>2</w:t>
            </w:r>
          </w:p>
        </w:tc>
        <w:tc>
          <w:tcPr>
            <w:tcW w:w="892" w:type="dxa"/>
          </w:tcPr>
          <w:p w:rsidR="00080446" w:rsidRPr="00892DE3" w:rsidRDefault="00080446" w:rsidP="00381114">
            <w:pPr>
              <w:pStyle w:val="Tabletextright"/>
              <w:ind w:left="0" w:firstLine="0"/>
            </w:pPr>
            <w:r w:rsidRPr="00892DE3">
              <w:t>2</w:t>
            </w:r>
          </w:p>
        </w:tc>
        <w:tc>
          <w:tcPr>
            <w:tcW w:w="1104" w:type="dxa"/>
          </w:tcPr>
          <w:p w:rsidR="00080446" w:rsidRPr="00892DE3" w:rsidRDefault="00080446" w:rsidP="00381114">
            <w:pPr>
              <w:pStyle w:val="Tabletextright"/>
              <w:ind w:left="0" w:firstLine="0"/>
            </w:pPr>
            <w:r w:rsidRPr="00892DE3">
              <w:t>0</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Quality</w:t>
            </w:r>
          </w:p>
        </w:tc>
        <w:tc>
          <w:tcPr>
            <w:tcW w:w="892" w:type="dxa"/>
            <w:tcBorders>
              <w:top w:val="single" w:sz="4" w:space="0" w:color="auto"/>
            </w:tcBorders>
          </w:tcPr>
          <w:p w:rsidR="00080446" w:rsidRPr="00892DE3" w:rsidRDefault="00080446" w:rsidP="00381114">
            <w:pPr>
              <w:pStyle w:val="Tabletext"/>
              <w:ind w:left="0" w:firstLine="0"/>
              <w:rPr>
                <w:i/>
                <w:sz w:val="15"/>
                <w:szCs w:val="15"/>
              </w:rPr>
            </w:pPr>
          </w:p>
        </w:tc>
        <w:tc>
          <w:tcPr>
            <w:tcW w:w="892" w:type="dxa"/>
            <w:tcBorders>
              <w:top w:val="single" w:sz="4" w:space="0" w:color="auto"/>
            </w:tcBorders>
            <w:shd w:val="clear" w:color="auto" w:fill="D9D9D9"/>
          </w:tcPr>
          <w:p w:rsidR="00080446" w:rsidRPr="00892DE3" w:rsidRDefault="00080446" w:rsidP="00381114">
            <w:pPr>
              <w:pStyle w:val="Tabletextright"/>
              <w:ind w:left="0" w:firstLine="0"/>
              <w:rPr>
                <w:i/>
                <w:sz w:val="15"/>
                <w:szCs w:val="15"/>
              </w:rPr>
            </w:pPr>
          </w:p>
        </w:tc>
        <w:tc>
          <w:tcPr>
            <w:tcW w:w="892" w:type="dxa"/>
            <w:tcBorders>
              <w:top w:val="single" w:sz="4" w:space="0" w:color="auto"/>
            </w:tcBorders>
          </w:tcPr>
          <w:p w:rsidR="00080446" w:rsidRPr="00892DE3" w:rsidRDefault="00080446" w:rsidP="00381114">
            <w:pPr>
              <w:pStyle w:val="Tabletextright"/>
              <w:ind w:left="0" w:firstLine="0"/>
              <w:rPr>
                <w:i/>
                <w:sz w:val="15"/>
                <w:szCs w:val="15"/>
              </w:rPr>
            </w:pPr>
          </w:p>
        </w:tc>
        <w:tc>
          <w:tcPr>
            <w:tcW w:w="1104" w:type="dxa"/>
            <w:tcBorders>
              <w:top w:val="single" w:sz="4" w:space="0" w:color="auto"/>
            </w:tcBorders>
          </w:tcPr>
          <w:p w:rsidR="00080446" w:rsidRPr="00892DE3" w:rsidRDefault="00080446" w:rsidP="00381114">
            <w:pPr>
              <w:pStyle w:val="Tabletextright"/>
              <w:ind w:left="0" w:firstLine="0"/>
              <w:rPr>
                <w:i/>
                <w:sz w:val="15"/>
                <w:szCs w:val="15"/>
              </w:rPr>
            </w:pPr>
          </w:p>
        </w:tc>
        <w:tc>
          <w:tcPr>
            <w:tcW w:w="810" w:type="dxa"/>
            <w:tcBorders>
              <w:top w:val="single" w:sz="4" w:space="0" w:color="auto"/>
            </w:tcBorders>
          </w:tcPr>
          <w:p w:rsidR="00080446" w:rsidRPr="00892DE3" w:rsidRDefault="00080446" w:rsidP="00381114">
            <w:pPr>
              <w:pStyle w:val="Tabletextcentred"/>
              <w:ind w:left="0" w:firstLine="0"/>
              <w:rPr>
                <w:i/>
                <w:sz w:val="15"/>
                <w:szCs w:val="15"/>
              </w:rPr>
            </w:pPr>
          </w:p>
        </w:tc>
      </w:tr>
      <w:tr w:rsidR="00080446" w:rsidRPr="00892DE3" w:rsidTr="00080446">
        <w:trPr>
          <w:cantSplit/>
          <w:trHeight w:val="57"/>
        </w:trPr>
        <w:tc>
          <w:tcPr>
            <w:tcW w:w="3420" w:type="dxa"/>
          </w:tcPr>
          <w:p w:rsidR="00080446" w:rsidRPr="00892DE3" w:rsidRDefault="00080446" w:rsidP="00381114">
            <w:pPr>
              <w:pStyle w:val="Tabletext"/>
              <w:ind w:left="0" w:firstLine="0"/>
            </w:pPr>
            <w:r w:rsidRPr="00892DE3">
              <w:t>Client satisfaction rating</w:t>
            </w:r>
          </w:p>
        </w:tc>
        <w:tc>
          <w:tcPr>
            <w:tcW w:w="892" w:type="dxa"/>
          </w:tcPr>
          <w:p w:rsidR="00080446" w:rsidRPr="00892DE3" w:rsidRDefault="00080446" w:rsidP="00381114">
            <w:pPr>
              <w:pStyle w:val="Tabletextcentred"/>
              <w:ind w:left="0" w:firstLine="0"/>
            </w:pPr>
            <w:r w:rsidRPr="00892DE3">
              <w:t>per cent</w:t>
            </w:r>
          </w:p>
        </w:tc>
        <w:tc>
          <w:tcPr>
            <w:tcW w:w="892" w:type="dxa"/>
            <w:shd w:val="clear" w:color="auto" w:fill="D9D9D9"/>
          </w:tcPr>
          <w:p w:rsidR="00080446" w:rsidRPr="00892DE3" w:rsidRDefault="00080446" w:rsidP="00381114">
            <w:pPr>
              <w:pStyle w:val="Tabletextright"/>
              <w:ind w:left="0" w:firstLine="0"/>
            </w:pPr>
            <w:r w:rsidRPr="00892DE3">
              <w:t>95.0</w:t>
            </w:r>
          </w:p>
        </w:tc>
        <w:tc>
          <w:tcPr>
            <w:tcW w:w="892" w:type="dxa"/>
          </w:tcPr>
          <w:p w:rsidR="00080446" w:rsidRPr="00892DE3" w:rsidRDefault="00080446" w:rsidP="00381114">
            <w:pPr>
              <w:pStyle w:val="Tabletextright"/>
              <w:ind w:left="0" w:firstLine="0"/>
            </w:pPr>
            <w:r w:rsidRPr="00892DE3">
              <w:t>90.0</w:t>
            </w:r>
          </w:p>
        </w:tc>
        <w:tc>
          <w:tcPr>
            <w:tcW w:w="1104" w:type="dxa"/>
          </w:tcPr>
          <w:p w:rsidR="00080446" w:rsidRPr="00892DE3" w:rsidRDefault="00080446" w:rsidP="00381114">
            <w:pPr>
              <w:pStyle w:val="Tabletextright"/>
              <w:ind w:left="0" w:firstLine="0"/>
            </w:pPr>
            <w:r w:rsidRPr="00892DE3">
              <w:t>5.6</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8010" w:type="dxa"/>
            <w:gridSpan w:val="6"/>
          </w:tcPr>
          <w:p w:rsidR="00080446" w:rsidRPr="00892DE3" w:rsidRDefault="00080446" w:rsidP="00381114">
            <w:pPr>
              <w:pStyle w:val="Tabletextindent0"/>
              <w:ind w:left="0" w:firstLine="0"/>
              <w:rPr>
                <w:i/>
              </w:rPr>
            </w:pPr>
            <w:r w:rsidRPr="00892DE3">
              <w:rPr>
                <w:i/>
              </w:rPr>
              <w:t>The rating is based on surveys completed by clients. The actual survey rating received exceeded the targeted survey result mainly due to client satisfaction with the timeliness of the briefings provided, and client satisfaction with an improved format and style of briefings.</w:t>
            </w:r>
          </w:p>
        </w:tc>
      </w:tr>
      <w:tr w:rsidR="00080446" w:rsidRPr="00892DE3" w:rsidTr="00080446">
        <w:trPr>
          <w:cantSplit/>
          <w:trHeight w:val="57"/>
        </w:trPr>
        <w:tc>
          <w:tcPr>
            <w:tcW w:w="3420" w:type="dxa"/>
          </w:tcPr>
          <w:p w:rsidR="00080446" w:rsidRPr="00892DE3" w:rsidRDefault="00080446" w:rsidP="00381114">
            <w:pPr>
              <w:pStyle w:val="Tabletext"/>
              <w:ind w:left="0" w:firstLine="0"/>
            </w:pPr>
            <w:r w:rsidRPr="00892DE3">
              <w:t>Policy briefings addressed key issues</w:t>
            </w:r>
          </w:p>
        </w:tc>
        <w:tc>
          <w:tcPr>
            <w:tcW w:w="892" w:type="dxa"/>
          </w:tcPr>
          <w:p w:rsidR="00080446" w:rsidRPr="00892DE3" w:rsidRDefault="00080446" w:rsidP="00381114">
            <w:pPr>
              <w:pStyle w:val="Tabletextcentred"/>
              <w:ind w:left="0" w:firstLine="0"/>
            </w:pPr>
            <w:r w:rsidRPr="00892DE3">
              <w:t>per cent</w:t>
            </w:r>
          </w:p>
        </w:tc>
        <w:tc>
          <w:tcPr>
            <w:tcW w:w="892" w:type="dxa"/>
            <w:shd w:val="clear" w:color="auto" w:fill="D9D9D9"/>
          </w:tcPr>
          <w:p w:rsidR="00080446" w:rsidRPr="00892DE3" w:rsidRDefault="00080446" w:rsidP="00381114">
            <w:pPr>
              <w:pStyle w:val="Tabletextright"/>
              <w:ind w:left="0" w:firstLine="0"/>
              <w:rPr>
                <w:sz w:val="15"/>
                <w:szCs w:val="15"/>
              </w:rPr>
            </w:pPr>
            <w:r w:rsidRPr="00892DE3">
              <w:rPr>
                <w:sz w:val="15"/>
                <w:szCs w:val="15"/>
              </w:rPr>
              <w:t>91.0</w:t>
            </w:r>
          </w:p>
        </w:tc>
        <w:tc>
          <w:tcPr>
            <w:tcW w:w="892" w:type="dxa"/>
          </w:tcPr>
          <w:p w:rsidR="00080446" w:rsidRPr="00892DE3" w:rsidRDefault="00080446" w:rsidP="00381114">
            <w:pPr>
              <w:pStyle w:val="Tabletextright"/>
              <w:ind w:left="0" w:firstLine="0"/>
              <w:rPr>
                <w:sz w:val="15"/>
                <w:szCs w:val="15"/>
              </w:rPr>
            </w:pPr>
            <w:r w:rsidRPr="00892DE3">
              <w:rPr>
                <w:sz w:val="15"/>
                <w:szCs w:val="15"/>
              </w:rPr>
              <w:t>91.0</w:t>
            </w:r>
          </w:p>
        </w:tc>
        <w:tc>
          <w:tcPr>
            <w:tcW w:w="1104" w:type="dxa"/>
          </w:tcPr>
          <w:p w:rsidR="00080446" w:rsidRPr="00892DE3" w:rsidRDefault="00080446" w:rsidP="00381114">
            <w:pPr>
              <w:pStyle w:val="Tabletextright"/>
              <w:ind w:left="0" w:firstLine="0"/>
              <w:rPr>
                <w:sz w:val="15"/>
                <w:szCs w:val="15"/>
              </w:rPr>
            </w:pPr>
            <w:r w:rsidRPr="00892DE3">
              <w:rPr>
                <w:sz w:val="15"/>
                <w:szCs w:val="15"/>
              </w:rPr>
              <w:t>0</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Timeliness</w:t>
            </w:r>
          </w:p>
        </w:tc>
        <w:tc>
          <w:tcPr>
            <w:tcW w:w="892" w:type="dxa"/>
            <w:tcBorders>
              <w:top w:val="single" w:sz="4" w:space="0" w:color="auto"/>
            </w:tcBorders>
          </w:tcPr>
          <w:p w:rsidR="00080446" w:rsidRPr="00892DE3" w:rsidRDefault="00080446" w:rsidP="00381114">
            <w:pPr>
              <w:pStyle w:val="Tabletext"/>
              <w:ind w:left="0" w:firstLine="0"/>
              <w:rPr>
                <w:i/>
                <w:sz w:val="15"/>
                <w:szCs w:val="15"/>
              </w:rPr>
            </w:pPr>
          </w:p>
        </w:tc>
        <w:tc>
          <w:tcPr>
            <w:tcW w:w="892" w:type="dxa"/>
            <w:tcBorders>
              <w:top w:val="single" w:sz="4" w:space="0" w:color="auto"/>
            </w:tcBorders>
            <w:shd w:val="clear" w:color="auto" w:fill="D9D9D9"/>
          </w:tcPr>
          <w:p w:rsidR="00080446" w:rsidRPr="00892DE3" w:rsidRDefault="00080446" w:rsidP="00381114">
            <w:pPr>
              <w:pStyle w:val="Tabletextright"/>
              <w:ind w:left="0" w:firstLine="0"/>
              <w:rPr>
                <w:i/>
                <w:sz w:val="15"/>
                <w:szCs w:val="15"/>
              </w:rPr>
            </w:pPr>
          </w:p>
        </w:tc>
        <w:tc>
          <w:tcPr>
            <w:tcW w:w="892" w:type="dxa"/>
            <w:tcBorders>
              <w:top w:val="single" w:sz="4" w:space="0" w:color="auto"/>
            </w:tcBorders>
          </w:tcPr>
          <w:p w:rsidR="00080446" w:rsidRPr="00892DE3" w:rsidRDefault="00080446" w:rsidP="00381114">
            <w:pPr>
              <w:pStyle w:val="Tabletextright"/>
              <w:ind w:left="0" w:firstLine="0"/>
              <w:rPr>
                <w:i/>
                <w:sz w:val="15"/>
                <w:szCs w:val="15"/>
              </w:rPr>
            </w:pPr>
          </w:p>
        </w:tc>
        <w:tc>
          <w:tcPr>
            <w:tcW w:w="1104" w:type="dxa"/>
            <w:tcBorders>
              <w:top w:val="single" w:sz="4" w:space="0" w:color="auto"/>
            </w:tcBorders>
          </w:tcPr>
          <w:p w:rsidR="00080446" w:rsidRPr="00892DE3" w:rsidRDefault="00080446" w:rsidP="00381114">
            <w:pPr>
              <w:pStyle w:val="Tabletextright"/>
              <w:ind w:left="0" w:firstLine="0"/>
              <w:rPr>
                <w:i/>
                <w:sz w:val="15"/>
                <w:szCs w:val="15"/>
              </w:rPr>
            </w:pPr>
          </w:p>
        </w:tc>
        <w:tc>
          <w:tcPr>
            <w:tcW w:w="810" w:type="dxa"/>
            <w:tcBorders>
              <w:top w:val="single" w:sz="4" w:space="0" w:color="auto"/>
            </w:tcBorders>
          </w:tcPr>
          <w:p w:rsidR="00080446" w:rsidRPr="00892DE3" w:rsidRDefault="00080446" w:rsidP="00381114">
            <w:pPr>
              <w:pStyle w:val="Tabletextcentred"/>
              <w:ind w:left="0" w:firstLine="0"/>
              <w:rPr>
                <w:i/>
              </w:rPr>
            </w:pPr>
          </w:p>
        </w:tc>
      </w:tr>
      <w:tr w:rsidR="00080446" w:rsidRPr="00892DE3" w:rsidTr="00080446">
        <w:trPr>
          <w:cantSplit/>
          <w:trHeight w:val="57"/>
        </w:trPr>
        <w:tc>
          <w:tcPr>
            <w:tcW w:w="3420" w:type="dxa"/>
          </w:tcPr>
          <w:p w:rsidR="00080446" w:rsidRPr="00892DE3" w:rsidRDefault="00080446" w:rsidP="00381114">
            <w:pPr>
              <w:pStyle w:val="Tabletext"/>
              <w:ind w:left="0" w:firstLine="0"/>
            </w:pPr>
            <w:r w:rsidRPr="00892DE3">
              <w:t>Key deliverables managed on time</w:t>
            </w:r>
          </w:p>
        </w:tc>
        <w:tc>
          <w:tcPr>
            <w:tcW w:w="892" w:type="dxa"/>
          </w:tcPr>
          <w:p w:rsidR="00080446" w:rsidRPr="00892DE3" w:rsidRDefault="00080446" w:rsidP="00381114">
            <w:pPr>
              <w:pStyle w:val="Tabletextcentred"/>
              <w:ind w:left="0" w:firstLine="0"/>
            </w:pPr>
            <w:r w:rsidRPr="00892DE3">
              <w:t>per cent</w:t>
            </w:r>
          </w:p>
        </w:tc>
        <w:tc>
          <w:tcPr>
            <w:tcW w:w="892" w:type="dxa"/>
            <w:shd w:val="clear" w:color="auto" w:fill="D9D9D9"/>
          </w:tcPr>
          <w:p w:rsidR="00080446" w:rsidRPr="00892DE3" w:rsidRDefault="00080446" w:rsidP="00381114">
            <w:pPr>
              <w:pStyle w:val="Tabletextright"/>
              <w:ind w:left="0" w:firstLine="0"/>
              <w:rPr>
                <w:sz w:val="15"/>
                <w:szCs w:val="15"/>
              </w:rPr>
            </w:pPr>
            <w:r w:rsidRPr="00892DE3">
              <w:rPr>
                <w:sz w:val="15"/>
                <w:szCs w:val="15"/>
              </w:rPr>
              <w:t>100.0</w:t>
            </w:r>
          </w:p>
        </w:tc>
        <w:tc>
          <w:tcPr>
            <w:tcW w:w="892" w:type="dxa"/>
          </w:tcPr>
          <w:p w:rsidR="00080446" w:rsidRPr="00892DE3" w:rsidRDefault="00080446" w:rsidP="00381114">
            <w:pPr>
              <w:pStyle w:val="Tabletextright"/>
              <w:ind w:left="0" w:firstLine="0"/>
              <w:rPr>
                <w:sz w:val="15"/>
                <w:szCs w:val="15"/>
              </w:rPr>
            </w:pPr>
            <w:r w:rsidRPr="00892DE3">
              <w:rPr>
                <w:sz w:val="15"/>
                <w:szCs w:val="15"/>
              </w:rPr>
              <w:t>100.0</w:t>
            </w:r>
          </w:p>
        </w:tc>
        <w:tc>
          <w:tcPr>
            <w:tcW w:w="1104" w:type="dxa"/>
          </w:tcPr>
          <w:p w:rsidR="00080446" w:rsidRPr="00892DE3" w:rsidRDefault="00080446" w:rsidP="00381114">
            <w:pPr>
              <w:pStyle w:val="Tabletextright"/>
              <w:ind w:left="0" w:firstLine="0"/>
              <w:rPr>
                <w:sz w:val="15"/>
                <w:szCs w:val="15"/>
              </w:rPr>
            </w:pPr>
            <w:r w:rsidRPr="00892DE3">
              <w:rPr>
                <w:sz w:val="15"/>
                <w:szCs w:val="15"/>
              </w:rPr>
              <w:t>0</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3420" w:type="dxa"/>
            <w:tcBorders>
              <w:bottom w:val="single" w:sz="4" w:space="0" w:color="auto"/>
            </w:tcBorders>
          </w:tcPr>
          <w:p w:rsidR="00080446" w:rsidRPr="00892DE3" w:rsidRDefault="00080446" w:rsidP="00381114">
            <w:pPr>
              <w:pStyle w:val="Tabletext"/>
              <w:ind w:left="0" w:firstLine="0"/>
            </w:pPr>
            <w:r w:rsidRPr="00892DE3">
              <w:t>Responses to Ministerial correspondence delivered within agreed timeline</w:t>
            </w:r>
          </w:p>
        </w:tc>
        <w:tc>
          <w:tcPr>
            <w:tcW w:w="892" w:type="dxa"/>
            <w:tcBorders>
              <w:bottom w:val="single" w:sz="4" w:space="0" w:color="auto"/>
            </w:tcBorders>
          </w:tcPr>
          <w:p w:rsidR="00080446" w:rsidRPr="00892DE3" w:rsidRDefault="00080446" w:rsidP="00381114">
            <w:pPr>
              <w:pStyle w:val="Tabletextcentred"/>
              <w:ind w:left="0" w:firstLine="0"/>
            </w:pPr>
            <w:r w:rsidRPr="00892DE3">
              <w:t>per cent</w:t>
            </w:r>
          </w:p>
        </w:tc>
        <w:tc>
          <w:tcPr>
            <w:tcW w:w="892" w:type="dxa"/>
            <w:tcBorders>
              <w:bottom w:val="single" w:sz="4" w:space="0" w:color="auto"/>
            </w:tcBorders>
            <w:shd w:val="clear" w:color="auto" w:fill="D9D9D9"/>
          </w:tcPr>
          <w:p w:rsidR="00080446" w:rsidRPr="00892DE3" w:rsidRDefault="00080446" w:rsidP="00381114">
            <w:pPr>
              <w:pStyle w:val="Tabletextright"/>
              <w:ind w:left="0" w:firstLine="0"/>
              <w:rPr>
                <w:sz w:val="15"/>
                <w:szCs w:val="15"/>
              </w:rPr>
            </w:pPr>
            <w:r w:rsidRPr="00892DE3">
              <w:rPr>
                <w:sz w:val="15"/>
                <w:szCs w:val="15"/>
              </w:rPr>
              <w:t>100.0</w:t>
            </w:r>
          </w:p>
        </w:tc>
        <w:tc>
          <w:tcPr>
            <w:tcW w:w="892" w:type="dxa"/>
            <w:tcBorders>
              <w:bottom w:val="single" w:sz="4" w:space="0" w:color="auto"/>
            </w:tcBorders>
          </w:tcPr>
          <w:p w:rsidR="00080446" w:rsidRPr="00892DE3" w:rsidRDefault="00080446" w:rsidP="00381114">
            <w:pPr>
              <w:pStyle w:val="Tabletextright"/>
              <w:ind w:left="0" w:firstLine="0"/>
              <w:rPr>
                <w:sz w:val="15"/>
                <w:szCs w:val="15"/>
              </w:rPr>
            </w:pPr>
            <w:r w:rsidRPr="00892DE3">
              <w:rPr>
                <w:sz w:val="15"/>
                <w:szCs w:val="15"/>
              </w:rPr>
              <w:t>100.0</w:t>
            </w:r>
          </w:p>
        </w:tc>
        <w:tc>
          <w:tcPr>
            <w:tcW w:w="1104" w:type="dxa"/>
            <w:tcBorders>
              <w:bottom w:val="single" w:sz="4" w:space="0" w:color="auto"/>
            </w:tcBorders>
          </w:tcPr>
          <w:p w:rsidR="00080446" w:rsidRPr="00892DE3" w:rsidRDefault="00080446" w:rsidP="00381114">
            <w:pPr>
              <w:pStyle w:val="Tabletextright"/>
              <w:ind w:left="0" w:firstLine="0"/>
              <w:rPr>
                <w:sz w:val="15"/>
                <w:szCs w:val="15"/>
              </w:rPr>
            </w:pPr>
            <w:r w:rsidRPr="00892DE3">
              <w:rPr>
                <w:sz w:val="15"/>
                <w:szCs w:val="15"/>
              </w:rPr>
              <w:t>0</w:t>
            </w:r>
          </w:p>
        </w:tc>
        <w:tc>
          <w:tcPr>
            <w:tcW w:w="810" w:type="dxa"/>
            <w:tcBorders>
              <w:bottom w:val="single" w:sz="4" w:space="0" w:color="auto"/>
            </w:tcBorders>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Cost</w:t>
            </w:r>
          </w:p>
        </w:tc>
        <w:tc>
          <w:tcPr>
            <w:tcW w:w="892" w:type="dxa"/>
            <w:tcBorders>
              <w:top w:val="single" w:sz="4" w:space="0" w:color="auto"/>
            </w:tcBorders>
          </w:tcPr>
          <w:p w:rsidR="00080446" w:rsidRPr="00892DE3" w:rsidRDefault="00080446" w:rsidP="00381114">
            <w:pPr>
              <w:pStyle w:val="Tabletext"/>
              <w:ind w:left="0" w:firstLine="0"/>
              <w:rPr>
                <w:i/>
                <w:sz w:val="15"/>
                <w:szCs w:val="15"/>
              </w:rPr>
            </w:pPr>
          </w:p>
        </w:tc>
        <w:tc>
          <w:tcPr>
            <w:tcW w:w="892" w:type="dxa"/>
            <w:tcBorders>
              <w:top w:val="single" w:sz="4" w:space="0" w:color="auto"/>
            </w:tcBorders>
            <w:shd w:val="clear" w:color="auto" w:fill="D9D9D9"/>
          </w:tcPr>
          <w:p w:rsidR="00080446" w:rsidRPr="00892DE3" w:rsidRDefault="00080446" w:rsidP="00381114">
            <w:pPr>
              <w:pStyle w:val="Tabletextright"/>
              <w:ind w:left="0" w:firstLine="0"/>
              <w:rPr>
                <w:i/>
                <w:sz w:val="15"/>
                <w:szCs w:val="15"/>
              </w:rPr>
            </w:pPr>
          </w:p>
        </w:tc>
        <w:tc>
          <w:tcPr>
            <w:tcW w:w="892" w:type="dxa"/>
            <w:tcBorders>
              <w:top w:val="single" w:sz="4" w:space="0" w:color="auto"/>
            </w:tcBorders>
          </w:tcPr>
          <w:p w:rsidR="00080446" w:rsidRPr="00892DE3" w:rsidRDefault="00080446" w:rsidP="00381114">
            <w:pPr>
              <w:pStyle w:val="Tabletextright"/>
              <w:ind w:left="0" w:firstLine="0"/>
              <w:rPr>
                <w:i/>
                <w:sz w:val="15"/>
                <w:szCs w:val="15"/>
              </w:rPr>
            </w:pPr>
          </w:p>
        </w:tc>
        <w:tc>
          <w:tcPr>
            <w:tcW w:w="1104" w:type="dxa"/>
            <w:tcBorders>
              <w:top w:val="single" w:sz="4" w:space="0" w:color="auto"/>
            </w:tcBorders>
          </w:tcPr>
          <w:p w:rsidR="00080446" w:rsidRPr="00892DE3" w:rsidRDefault="00080446" w:rsidP="00381114">
            <w:pPr>
              <w:pStyle w:val="Tabletextright"/>
              <w:ind w:left="0" w:firstLine="0"/>
              <w:rPr>
                <w:i/>
                <w:sz w:val="15"/>
                <w:szCs w:val="15"/>
              </w:rPr>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57"/>
        </w:trPr>
        <w:tc>
          <w:tcPr>
            <w:tcW w:w="3420" w:type="dxa"/>
          </w:tcPr>
          <w:p w:rsidR="00080446" w:rsidRPr="00892DE3" w:rsidRDefault="00080446" w:rsidP="00381114">
            <w:pPr>
              <w:pStyle w:val="Tabletext"/>
              <w:ind w:left="0" w:firstLine="0"/>
            </w:pPr>
            <w:r w:rsidRPr="00892DE3">
              <w:t>Total output cost</w:t>
            </w:r>
          </w:p>
        </w:tc>
        <w:tc>
          <w:tcPr>
            <w:tcW w:w="892" w:type="dxa"/>
          </w:tcPr>
          <w:p w:rsidR="00080446" w:rsidRPr="00892DE3" w:rsidRDefault="00080446" w:rsidP="00381114">
            <w:pPr>
              <w:pStyle w:val="Tabletextcentred"/>
              <w:ind w:left="0" w:firstLine="0"/>
            </w:pPr>
            <w:r w:rsidRPr="00892DE3">
              <w:t>$ million</w:t>
            </w:r>
          </w:p>
        </w:tc>
        <w:tc>
          <w:tcPr>
            <w:tcW w:w="892" w:type="dxa"/>
            <w:shd w:val="clear" w:color="auto" w:fill="D9D9D9"/>
          </w:tcPr>
          <w:p w:rsidR="00080446" w:rsidRPr="00892DE3" w:rsidRDefault="00080446" w:rsidP="00381114">
            <w:pPr>
              <w:pStyle w:val="Tabletextright"/>
              <w:ind w:left="0" w:firstLine="0"/>
              <w:rPr>
                <w:sz w:val="15"/>
                <w:szCs w:val="15"/>
              </w:rPr>
            </w:pPr>
            <w:r w:rsidRPr="00892DE3">
              <w:rPr>
                <w:sz w:val="15"/>
                <w:szCs w:val="15"/>
              </w:rPr>
              <w:t>27.6</w:t>
            </w:r>
          </w:p>
        </w:tc>
        <w:tc>
          <w:tcPr>
            <w:tcW w:w="892" w:type="dxa"/>
          </w:tcPr>
          <w:p w:rsidR="00080446" w:rsidRPr="00892DE3" w:rsidRDefault="00080446" w:rsidP="00381114">
            <w:pPr>
              <w:pStyle w:val="Tabletextright"/>
              <w:ind w:left="0" w:firstLine="0"/>
              <w:rPr>
                <w:sz w:val="15"/>
                <w:szCs w:val="15"/>
              </w:rPr>
            </w:pPr>
            <w:r w:rsidRPr="00892DE3">
              <w:rPr>
                <w:sz w:val="15"/>
                <w:szCs w:val="15"/>
              </w:rPr>
              <w:t>32.5</w:t>
            </w:r>
          </w:p>
        </w:tc>
        <w:tc>
          <w:tcPr>
            <w:tcW w:w="1104" w:type="dxa"/>
          </w:tcPr>
          <w:p w:rsidR="00080446" w:rsidRPr="00892DE3" w:rsidRDefault="00080446" w:rsidP="00381114">
            <w:pPr>
              <w:pStyle w:val="Tabletextright"/>
              <w:ind w:left="0" w:firstLine="0"/>
              <w:rPr>
                <w:sz w:val="15"/>
                <w:szCs w:val="15"/>
              </w:rPr>
            </w:pPr>
            <w:r w:rsidRPr="00892DE3">
              <w:rPr>
                <w:sz w:val="15"/>
                <w:szCs w:val="15"/>
              </w:rPr>
              <w:noBreakHyphen/>
              <w:t>15</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8010" w:type="dxa"/>
            <w:gridSpan w:val="6"/>
            <w:tcBorders>
              <w:bottom w:val="single" w:sz="12" w:space="0" w:color="auto"/>
            </w:tcBorders>
          </w:tcPr>
          <w:p w:rsidR="00080446" w:rsidRPr="00892DE3" w:rsidRDefault="00080446" w:rsidP="00381114">
            <w:pPr>
              <w:pStyle w:val="Tabletextindent0"/>
              <w:ind w:left="0" w:firstLine="0"/>
              <w:rPr>
                <w:i/>
              </w:rPr>
            </w:pPr>
            <w:r w:rsidRPr="00892DE3">
              <w:rPr>
                <w:i/>
              </w:rPr>
              <w:t>The variance in total output cost between actual and target reflects the impact of efficiency and productivity initiatives carried out by the Department during the year. Productivity gains include improved turnaround times for policy briefings and stabilisation of the workforce.</w:t>
            </w:r>
          </w:p>
        </w:tc>
      </w:tr>
    </w:tbl>
    <w:p w:rsidR="00080446" w:rsidRPr="00892DE3" w:rsidRDefault="00080446" w:rsidP="00080446">
      <w:pPr>
        <w:pStyle w:val="Note"/>
      </w:pPr>
      <w:r w:rsidRPr="00892DE3">
        <w:t>Note:</w:t>
      </w:r>
    </w:p>
    <w:p w:rsidR="00080446" w:rsidRPr="00892DE3" w:rsidRDefault="00381114" w:rsidP="00080446">
      <w:pPr>
        <w:pStyle w:val="Noteindent"/>
      </w:pPr>
      <w:r w:rsidRPr="00892DE3">
        <w:t>(a)</w:t>
      </w:r>
      <w:r w:rsidR="00080446" w:rsidRPr="00892DE3">
        <w:tab/>
      </w:r>
      <w:r w:rsidR="00080446" w:rsidRPr="00892DE3">
        <w:rPr>
          <w:i w:val="0"/>
        </w:rPr>
        <w:sym w:font="Wingdings" w:char="F0FC"/>
      </w:r>
      <w:r w:rsidR="00080446" w:rsidRPr="00892DE3">
        <w:tab/>
        <w:t xml:space="preserve">Performance target achieved or exceeded. </w:t>
      </w:r>
      <w:r w:rsidR="00080446" w:rsidRPr="00892DE3">
        <w:rPr>
          <w:color w:val="0063A6" w:themeColor="accent1"/>
        </w:rPr>
        <w:t>[A variance exceeding 5 per cent is a significant variance that requires an explanation, including internal or external factors that caused the variance.]</w:t>
      </w:r>
    </w:p>
    <w:p w:rsidR="00080446" w:rsidRPr="00892DE3" w:rsidRDefault="00080446" w:rsidP="00080446">
      <w:r w:rsidRPr="00892DE3">
        <w:t xml:space="preserve"> </w:t>
      </w:r>
    </w:p>
    <w:p w:rsidR="00080446" w:rsidRPr="00892DE3" w:rsidRDefault="00080446" w:rsidP="00080446">
      <w:pPr>
        <w:pStyle w:val="Note"/>
      </w:pPr>
      <w:r w:rsidRPr="00892DE3">
        <w:br w:type="page"/>
      </w: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r w:rsidRPr="00892DE3">
        <w:t>FRD 8D</w:t>
      </w:r>
    </w:p>
    <w:p w:rsidR="00080446" w:rsidRPr="00892DE3" w:rsidRDefault="00080446" w:rsidP="00306EE3">
      <w:pPr>
        <w:pStyle w:val="Heading30"/>
      </w:pPr>
      <w:r w:rsidRPr="00892DE3">
        <w:br w:type="column"/>
      </w:r>
      <w:r w:rsidRPr="00892DE3">
        <w:lastRenderedPageBreak/>
        <w:t>Information technology and telecommunication services</w:t>
      </w:r>
    </w:p>
    <w:p w:rsidR="00080446" w:rsidRPr="00892DE3" w:rsidRDefault="00080446" w:rsidP="00080446">
      <w:pPr>
        <w:pStyle w:val="BodyText"/>
      </w:pPr>
      <w:r w:rsidRPr="00892DE3">
        <w:t>The objective of this output is to provide efficient and economical operation of government activities to ensure optimal use of resources, and also to provide leadership in information technology and telecommunication services (IT&amp;TS) that promotes Victoria as a centre of excellence in the application of new information technology, and has the potential to contribute to the economic growth of the State.</w:t>
      </w:r>
    </w:p>
    <w:p w:rsidR="00080446" w:rsidRPr="00892DE3" w:rsidRDefault="00080446" w:rsidP="00080446">
      <w:pPr>
        <w:pStyle w:val="BodyText"/>
      </w:pPr>
      <w:r w:rsidRPr="00892DE3">
        <w:t>This output makes a significant contribution to the achievement of the departmental objective of</w:t>
      </w:r>
      <w:r w:rsidRPr="00892DE3">
        <w:rPr>
          <w:color w:val="0072CE" w:themeColor="accent4"/>
        </w:rPr>
        <w:t xml:space="preserve"> [Departments to insert the relevant departmental objective]</w:t>
      </w:r>
      <w:r w:rsidRPr="00892DE3">
        <w:t>.</w:t>
      </w:r>
    </w:p>
    <w:p w:rsidR="00080446" w:rsidRPr="00892DE3" w:rsidRDefault="00080446" w:rsidP="00306EE3">
      <w:pPr>
        <w:pStyle w:val="Heading4"/>
      </w:pPr>
      <w:r w:rsidRPr="00892DE3">
        <w:t>Key initiatives and projects</w:t>
      </w:r>
    </w:p>
    <w:p w:rsidR="00080446" w:rsidRPr="00892DE3" w:rsidRDefault="00080446" w:rsidP="00080446">
      <w:pPr>
        <w:pStyle w:val="Guidancenoborder"/>
      </w:pPr>
      <w:r w:rsidRPr="00892DE3">
        <w:t>[Departments to disclose the key initiatives and projects relevant to this output. Refer to page 1</w:t>
      </w:r>
      <w:r w:rsidR="00B50EAC" w:rsidRPr="00892DE3">
        <w:t>9</w:t>
      </w:r>
      <w:r w:rsidRPr="00892DE3">
        <w:t xml:space="preserve"> for additional guidance.]</w:t>
      </w:r>
    </w:p>
    <w:tbl>
      <w:tblPr>
        <w:tblW w:w="8010" w:type="dxa"/>
        <w:tblInd w:w="43" w:type="dxa"/>
        <w:tblLayout w:type="fixed"/>
        <w:tblCellMar>
          <w:left w:w="43" w:type="dxa"/>
          <w:right w:w="43" w:type="dxa"/>
        </w:tblCellMar>
        <w:tblLook w:val="01E0" w:firstRow="1" w:lastRow="1" w:firstColumn="1" w:lastColumn="1" w:noHBand="0" w:noVBand="0"/>
      </w:tblPr>
      <w:tblGrid>
        <w:gridCol w:w="3420"/>
        <w:gridCol w:w="892"/>
        <w:gridCol w:w="892"/>
        <w:gridCol w:w="892"/>
        <w:gridCol w:w="1104"/>
        <w:gridCol w:w="810"/>
      </w:tblGrid>
      <w:tr w:rsidR="00080446" w:rsidRPr="00892DE3" w:rsidTr="00080446">
        <w:trPr>
          <w:cantSplit/>
        </w:trPr>
        <w:tc>
          <w:tcPr>
            <w:tcW w:w="3420"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left"/>
            </w:pPr>
            <w:r w:rsidRPr="00892DE3">
              <w:br w:type="page"/>
            </w:r>
            <w:r w:rsidRPr="00892DE3">
              <w:br w:type="page"/>
            </w:r>
            <w:r w:rsidRPr="00892DE3">
              <w:br w:type="column"/>
              <w:t>Performance measures</w:t>
            </w:r>
          </w:p>
        </w:tc>
        <w:tc>
          <w:tcPr>
            <w:tcW w:w="892" w:type="dxa"/>
            <w:tcBorders>
              <w:top w:val="single" w:sz="4" w:space="0" w:color="auto"/>
              <w:bottom w:val="single" w:sz="4" w:space="0" w:color="auto"/>
            </w:tcBorders>
            <w:shd w:val="clear" w:color="auto" w:fill="000000" w:themeFill="text1"/>
            <w:vAlign w:val="center"/>
          </w:tcPr>
          <w:p w:rsidR="00080446" w:rsidRPr="00892DE3" w:rsidRDefault="00080446" w:rsidP="00080446">
            <w:pPr>
              <w:pStyle w:val="Tabletextheadingcentred"/>
            </w:pPr>
            <w:r w:rsidRPr="00892DE3">
              <w:t>Unit of measure</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2016</w:t>
            </w:r>
            <w:r w:rsidRPr="00892DE3">
              <w:noBreakHyphen/>
              <w:t>17</w:t>
            </w:r>
            <w:r w:rsidRPr="00892DE3">
              <w:br/>
              <w:t>actual</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2016</w:t>
            </w:r>
            <w:r w:rsidRPr="00892DE3">
              <w:noBreakHyphen/>
              <w:t>17</w:t>
            </w:r>
            <w:r w:rsidRPr="00892DE3">
              <w:br/>
              <w:t>target</w:t>
            </w:r>
          </w:p>
        </w:tc>
        <w:tc>
          <w:tcPr>
            <w:tcW w:w="1104" w:type="dxa"/>
            <w:tcBorders>
              <w:top w:val="single" w:sz="4" w:space="0" w:color="auto"/>
              <w:bottom w:val="single" w:sz="4" w:space="0" w:color="auto"/>
            </w:tcBorders>
            <w:shd w:val="clear" w:color="auto" w:fill="000000" w:themeFill="text1"/>
          </w:tcPr>
          <w:p w:rsidR="00080446" w:rsidRPr="00892DE3" w:rsidRDefault="00080446" w:rsidP="00080446">
            <w:pPr>
              <w:pStyle w:val="Tabletextheadingright"/>
            </w:pPr>
            <w:r w:rsidRPr="00892DE3">
              <w:t>Performance variation (%)</w:t>
            </w:r>
          </w:p>
        </w:tc>
        <w:tc>
          <w:tcPr>
            <w:tcW w:w="810" w:type="dxa"/>
            <w:tcBorders>
              <w:top w:val="single" w:sz="4" w:space="0" w:color="auto"/>
              <w:bottom w:val="single" w:sz="4" w:space="0" w:color="auto"/>
            </w:tcBorders>
            <w:shd w:val="clear" w:color="auto" w:fill="000000" w:themeFill="text1"/>
          </w:tcPr>
          <w:p w:rsidR="00080446" w:rsidRPr="00892DE3" w:rsidRDefault="00080446" w:rsidP="00080446">
            <w:pPr>
              <w:pStyle w:val="Tabletextheadingcentred"/>
            </w:pPr>
            <w:r w:rsidRPr="00892DE3">
              <w:br/>
              <w:t xml:space="preserve">Result </w:t>
            </w:r>
            <w:r w:rsidR="00381114" w:rsidRPr="00892DE3">
              <w:rPr>
                <w:vertAlign w:val="superscript"/>
              </w:rPr>
              <w:t>(a)</w:t>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Quantity</w:t>
            </w:r>
          </w:p>
        </w:tc>
        <w:tc>
          <w:tcPr>
            <w:tcW w:w="892" w:type="dxa"/>
            <w:tcBorders>
              <w:top w:val="single" w:sz="4" w:space="0" w:color="auto"/>
            </w:tcBorders>
            <w:vAlign w:val="center"/>
          </w:tcPr>
          <w:p w:rsidR="00080446" w:rsidRPr="00892DE3" w:rsidRDefault="00080446" w:rsidP="00381114">
            <w:pPr>
              <w:pStyle w:val="Tabletextcentred"/>
              <w:ind w:left="0" w:firstLine="0"/>
            </w:pPr>
          </w:p>
        </w:tc>
        <w:tc>
          <w:tcPr>
            <w:tcW w:w="892" w:type="dxa"/>
            <w:tcBorders>
              <w:top w:val="single" w:sz="4" w:space="0" w:color="auto"/>
            </w:tcBorders>
            <w:shd w:val="clear" w:color="auto" w:fill="D9D9D9"/>
          </w:tcPr>
          <w:p w:rsidR="00080446" w:rsidRPr="00892DE3" w:rsidRDefault="00080446" w:rsidP="00381114">
            <w:pPr>
              <w:pStyle w:val="Tabletextright"/>
              <w:ind w:left="0" w:firstLine="0"/>
            </w:pPr>
          </w:p>
        </w:tc>
        <w:tc>
          <w:tcPr>
            <w:tcW w:w="892"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20"/>
        </w:trPr>
        <w:tc>
          <w:tcPr>
            <w:tcW w:w="3420" w:type="dxa"/>
          </w:tcPr>
          <w:p w:rsidR="00080446" w:rsidRPr="00892DE3" w:rsidRDefault="00080446" w:rsidP="00381114">
            <w:pPr>
              <w:pStyle w:val="Tabletext"/>
              <w:ind w:left="0" w:firstLine="0"/>
            </w:pPr>
            <w:r w:rsidRPr="00892DE3">
              <w:t>New clients gained</w:t>
            </w:r>
          </w:p>
        </w:tc>
        <w:tc>
          <w:tcPr>
            <w:tcW w:w="892" w:type="dxa"/>
          </w:tcPr>
          <w:p w:rsidR="00080446" w:rsidRPr="00892DE3" w:rsidRDefault="00080446" w:rsidP="00381114">
            <w:pPr>
              <w:pStyle w:val="Tabletextcentred"/>
              <w:ind w:left="0" w:firstLine="0"/>
            </w:pPr>
            <w:r w:rsidRPr="00892DE3">
              <w:t>number</w:t>
            </w:r>
          </w:p>
        </w:tc>
        <w:tc>
          <w:tcPr>
            <w:tcW w:w="892" w:type="dxa"/>
            <w:shd w:val="clear" w:color="auto" w:fill="D9D9D9"/>
          </w:tcPr>
          <w:p w:rsidR="00080446" w:rsidRPr="00892DE3" w:rsidRDefault="00080446" w:rsidP="00381114">
            <w:pPr>
              <w:pStyle w:val="Tabletextright"/>
              <w:ind w:left="0" w:firstLine="0"/>
            </w:pPr>
            <w:r w:rsidRPr="00892DE3">
              <w:t>120</w:t>
            </w:r>
          </w:p>
        </w:tc>
        <w:tc>
          <w:tcPr>
            <w:tcW w:w="892" w:type="dxa"/>
          </w:tcPr>
          <w:p w:rsidR="00080446" w:rsidRPr="00892DE3" w:rsidRDefault="00080446" w:rsidP="00381114">
            <w:pPr>
              <w:pStyle w:val="Tabletextright"/>
              <w:ind w:left="0" w:firstLine="0"/>
            </w:pPr>
            <w:r w:rsidRPr="00892DE3">
              <w:t>500</w:t>
            </w:r>
          </w:p>
        </w:tc>
        <w:tc>
          <w:tcPr>
            <w:tcW w:w="1104" w:type="dxa"/>
          </w:tcPr>
          <w:p w:rsidR="00080446" w:rsidRPr="00892DE3" w:rsidRDefault="00080446" w:rsidP="00381114">
            <w:pPr>
              <w:pStyle w:val="Tabletextright"/>
              <w:ind w:left="0" w:firstLine="0"/>
            </w:pPr>
            <w:r w:rsidRPr="00892DE3">
              <w:t>6</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20"/>
        </w:trPr>
        <w:tc>
          <w:tcPr>
            <w:tcW w:w="3420" w:type="dxa"/>
          </w:tcPr>
          <w:p w:rsidR="00080446" w:rsidRPr="00892DE3" w:rsidRDefault="00080446" w:rsidP="00381114">
            <w:pPr>
              <w:pStyle w:val="Tabletext"/>
              <w:ind w:left="0" w:firstLine="0"/>
            </w:pPr>
            <w:r w:rsidRPr="00892DE3">
              <w:t>Database system report delivered</w:t>
            </w:r>
          </w:p>
        </w:tc>
        <w:tc>
          <w:tcPr>
            <w:tcW w:w="892" w:type="dxa"/>
          </w:tcPr>
          <w:p w:rsidR="00080446" w:rsidRPr="00892DE3" w:rsidRDefault="00080446" w:rsidP="00381114">
            <w:pPr>
              <w:pStyle w:val="Tabletextcentred"/>
              <w:ind w:left="0" w:firstLine="0"/>
            </w:pPr>
          </w:p>
        </w:tc>
        <w:tc>
          <w:tcPr>
            <w:tcW w:w="892" w:type="dxa"/>
            <w:shd w:val="clear" w:color="auto" w:fill="D9D9D9"/>
          </w:tcPr>
          <w:p w:rsidR="00080446" w:rsidRPr="00892DE3" w:rsidRDefault="00080446" w:rsidP="00381114">
            <w:pPr>
              <w:pStyle w:val="Tabletextright"/>
              <w:ind w:left="0" w:firstLine="0"/>
            </w:pPr>
            <w:r w:rsidRPr="00892DE3">
              <w:t>15</w:t>
            </w:r>
          </w:p>
        </w:tc>
        <w:tc>
          <w:tcPr>
            <w:tcW w:w="892" w:type="dxa"/>
          </w:tcPr>
          <w:p w:rsidR="00080446" w:rsidRPr="00892DE3" w:rsidRDefault="00080446" w:rsidP="00381114">
            <w:pPr>
              <w:pStyle w:val="Tabletextright"/>
              <w:ind w:left="0" w:firstLine="0"/>
            </w:pPr>
            <w:r w:rsidRPr="00892DE3">
              <w:t>12</w:t>
            </w:r>
          </w:p>
        </w:tc>
        <w:tc>
          <w:tcPr>
            <w:tcW w:w="1104" w:type="dxa"/>
          </w:tcPr>
          <w:p w:rsidR="00080446" w:rsidRPr="00892DE3" w:rsidRDefault="00080446" w:rsidP="00381114">
            <w:pPr>
              <w:pStyle w:val="Tabletextright"/>
              <w:ind w:left="0" w:firstLine="0"/>
            </w:pPr>
            <w:r w:rsidRPr="00892DE3">
              <w:t>25</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20"/>
        </w:trPr>
        <w:tc>
          <w:tcPr>
            <w:tcW w:w="8010" w:type="dxa"/>
            <w:gridSpan w:val="6"/>
          </w:tcPr>
          <w:p w:rsidR="00080446" w:rsidRPr="00892DE3" w:rsidRDefault="00080446" w:rsidP="00381114">
            <w:pPr>
              <w:pStyle w:val="Tabletextindent0"/>
              <w:ind w:left="0" w:firstLine="0"/>
              <w:rPr>
                <w:i/>
              </w:rPr>
            </w:pPr>
            <w:r w:rsidRPr="00892DE3">
              <w:rPr>
                <w:i/>
              </w:rPr>
              <w:t>New services received through machinery of government changes resulted in more system reports required to be delivered.</w:t>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Quality</w:t>
            </w:r>
          </w:p>
        </w:tc>
        <w:tc>
          <w:tcPr>
            <w:tcW w:w="892" w:type="dxa"/>
            <w:tcBorders>
              <w:top w:val="single" w:sz="4" w:space="0" w:color="auto"/>
            </w:tcBorders>
          </w:tcPr>
          <w:p w:rsidR="00080446" w:rsidRPr="00892DE3" w:rsidRDefault="00080446" w:rsidP="00381114">
            <w:pPr>
              <w:pStyle w:val="Tabletextcentred"/>
              <w:ind w:left="0" w:firstLine="0"/>
            </w:pPr>
          </w:p>
        </w:tc>
        <w:tc>
          <w:tcPr>
            <w:tcW w:w="892" w:type="dxa"/>
            <w:tcBorders>
              <w:top w:val="single" w:sz="4" w:space="0" w:color="auto"/>
            </w:tcBorders>
            <w:shd w:val="clear" w:color="auto" w:fill="D9D9D9"/>
          </w:tcPr>
          <w:p w:rsidR="00080446" w:rsidRPr="00892DE3" w:rsidRDefault="00080446" w:rsidP="00381114">
            <w:pPr>
              <w:pStyle w:val="Tabletextright"/>
              <w:ind w:left="0" w:firstLine="0"/>
            </w:pPr>
          </w:p>
        </w:tc>
        <w:tc>
          <w:tcPr>
            <w:tcW w:w="892"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57"/>
        </w:trPr>
        <w:tc>
          <w:tcPr>
            <w:tcW w:w="3420" w:type="dxa"/>
          </w:tcPr>
          <w:p w:rsidR="00080446" w:rsidRPr="00892DE3" w:rsidRDefault="00080446" w:rsidP="00381114">
            <w:pPr>
              <w:pStyle w:val="Tabletext"/>
              <w:ind w:left="0" w:firstLine="0"/>
            </w:pPr>
            <w:r w:rsidRPr="00892DE3">
              <w:t>Service provision rating (based on client agencies survey data)</w:t>
            </w:r>
          </w:p>
        </w:tc>
        <w:tc>
          <w:tcPr>
            <w:tcW w:w="892" w:type="dxa"/>
          </w:tcPr>
          <w:p w:rsidR="00080446" w:rsidRPr="00892DE3" w:rsidRDefault="00080446" w:rsidP="00381114">
            <w:pPr>
              <w:pStyle w:val="Tabletextcentred"/>
              <w:ind w:left="0" w:firstLine="0"/>
            </w:pPr>
            <w:r w:rsidRPr="00892DE3">
              <w:t>per cent</w:t>
            </w:r>
          </w:p>
        </w:tc>
        <w:tc>
          <w:tcPr>
            <w:tcW w:w="892" w:type="dxa"/>
            <w:shd w:val="clear" w:color="auto" w:fill="D9D9D9"/>
          </w:tcPr>
          <w:p w:rsidR="00080446" w:rsidRPr="00892DE3" w:rsidRDefault="00080446" w:rsidP="00381114">
            <w:pPr>
              <w:pStyle w:val="Tabletextright"/>
              <w:ind w:left="0" w:firstLine="0"/>
            </w:pPr>
            <w:r w:rsidRPr="00892DE3">
              <w:t>90.0</w:t>
            </w:r>
          </w:p>
        </w:tc>
        <w:tc>
          <w:tcPr>
            <w:tcW w:w="892" w:type="dxa"/>
          </w:tcPr>
          <w:p w:rsidR="00080446" w:rsidRPr="00892DE3" w:rsidRDefault="00080446" w:rsidP="00381114">
            <w:pPr>
              <w:pStyle w:val="Tabletextright"/>
              <w:ind w:left="0" w:firstLine="0"/>
            </w:pPr>
            <w:r w:rsidRPr="00892DE3">
              <w:t>80.0</w:t>
            </w:r>
          </w:p>
        </w:tc>
        <w:tc>
          <w:tcPr>
            <w:tcW w:w="1104" w:type="dxa"/>
          </w:tcPr>
          <w:p w:rsidR="00080446" w:rsidRPr="00892DE3" w:rsidRDefault="00080446" w:rsidP="00381114">
            <w:pPr>
              <w:pStyle w:val="Tabletextright"/>
              <w:ind w:left="0" w:firstLine="0"/>
            </w:pPr>
            <w:r w:rsidRPr="00892DE3">
              <w:t>12.5</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8010" w:type="dxa"/>
            <w:gridSpan w:val="6"/>
          </w:tcPr>
          <w:p w:rsidR="00080446" w:rsidRPr="00892DE3" w:rsidRDefault="00080446" w:rsidP="00381114">
            <w:pPr>
              <w:pStyle w:val="Tabletextindent0"/>
              <w:ind w:left="0" w:firstLine="0"/>
              <w:rPr>
                <w:i/>
              </w:rPr>
            </w:pPr>
            <w:r w:rsidRPr="00892DE3">
              <w:rPr>
                <w:i/>
              </w:rPr>
              <w:t>Result reflects the effectiveness of this service provision in addressing the high and complex needs of this client group.</w:t>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Timeliness</w:t>
            </w:r>
          </w:p>
        </w:tc>
        <w:tc>
          <w:tcPr>
            <w:tcW w:w="892" w:type="dxa"/>
            <w:tcBorders>
              <w:top w:val="single" w:sz="4" w:space="0" w:color="auto"/>
            </w:tcBorders>
          </w:tcPr>
          <w:p w:rsidR="00080446" w:rsidRPr="00892DE3" w:rsidRDefault="00080446" w:rsidP="00381114">
            <w:pPr>
              <w:pStyle w:val="Tabletextcentred"/>
              <w:ind w:left="0" w:firstLine="0"/>
            </w:pPr>
          </w:p>
        </w:tc>
        <w:tc>
          <w:tcPr>
            <w:tcW w:w="892" w:type="dxa"/>
            <w:tcBorders>
              <w:top w:val="single" w:sz="4" w:space="0" w:color="auto"/>
            </w:tcBorders>
            <w:shd w:val="clear" w:color="auto" w:fill="D9D9D9"/>
          </w:tcPr>
          <w:p w:rsidR="00080446" w:rsidRPr="00892DE3" w:rsidRDefault="00080446" w:rsidP="00381114">
            <w:pPr>
              <w:pStyle w:val="Tabletextright"/>
              <w:ind w:left="0" w:firstLine="0"/>
            </w:pPr>
          </w:p>
        </w:tc>
        <w:tc>
          <w:tcPr>
            <w:tcW w:w="892"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57"/>
        </w:trPr>
        <w:tc>
          <w:tcPr>
            <w:tcW w:w="3420" w:type="dxa"/>
          </w:tcPr>
          <w:p w:rsidR="00080446" w:rsidRPr="00892DE3" w:rsidRDefault="00080446" w:rsidP="00381114">
            <w:pPr>
              <w:pStyle w:val="Tabletext"/>
              <w:ind w:left="0" w:firstLine="0"/>
            </w:pPr>
            <w:r w:rsidRPr="00892DE3">
              <w:t>Broadband network queries responded to within six hours of receipt (number of queries in a day)</w:t>
            </w:r>
          </w:p>
        </w:tc>
        <w:tc>
          <w:tcPr>
            <w:tcW w:w="892" w:type="dxa"/>
          </w:tcPr>
          <w:p w:rsidR="00080446" w:rsidRPr="00892DE3" w:rsidRDefault="00080446" w:rsidP="00381114">
            <w:pPr>
              <w:pStyle w:val="Tabletextcentred"/>
              <w:ind w:left="0" w:firstLine="0"/>
            </w:pPr>
            <w:r w:rsidRPr="00892DE3">
              <w:t>per cent</w:t>
            </w:r>
          </w:p>
        </w:tc>
        <w:tc>
          <w:tcPr>
            <w:tcW w:w="892" w:type="dxa"/>
            <w:shd w:val="clear" w:color="auto" w:fill="D9D9D9"/>
          </w:tcPr>
          <w:p w:rsidR="00080446" w:rsidRPr="00892DE3" w:rsidRDefault="00080446" w:rsidP="00381114">
            <w:pPr>
              <w:pStyle w:val="Tabletextright"/>
              <w:ind w:left="0" w:firstLine="0"/>
            </w:pPr>
            <w:r w:rsidRPr="00892DE3">
              <w:t>90.0</w:t>
            </w:r>
          </w:p>
        </w:tc>
        <w:tc>
          <w:tcPr>
            <w:tcW w:w="892" w:type="dxa"/>
          </w:tcPr>
          <w:p w:rsidR="00080446" w:rsidRPr="00892DE3" w:rsidRDefault="00080446" w:rsidP="00381114">
            <w:pPr>
              <w:pStyle w:val="Tabletextright"/>
              <w:ind w:left="0" w:firstLine="0"/>
            </w:pPr>
            <w:r w:rsidRPr="00892DE3">
              <w:t>90.0</w:t>
            </w:r>
          </w:p>
        </w:tc>
        <w:tc>
          <w:tcPr>
            <w:tcW w:w="1104" w:type="dxa"/>
          </w:tcPr>
          <w:p w:rsidR="00080446" w:rsidRPr="00892DE3" w:rsidRDefault="00080446" w:rsidP="00381114">
            <w:pPr>
              <w:pStyle w:val="Tabletextright"/>
              <w:ind w:left="0" w:firstLine="0"/>
            </w:pPr>
            <w:r w:rsidRPr="00892DE3">
              <w:t>0</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Cost</w:t>
            </w:r>
          </w:p>
        </w:tc>
        <w:tc>
          <w:tcPr>
            <w:tcW w:w="892" w:type="dxa"/>
            <w:tcBorders>
              <w:top w:val="single" w:sz="4" w:space="0" w:color="auto"/>
            </w:tcBorders>
          </w:tcPr>
          <w:p w:rsidR="00080446" w:rsidRPr="00892DE3" w:rsidRDefault="00080446" w:rsidP="00381114">
            <w:pPr>
              <w:pStyle w:val="Tabletextcentred"/>
              <w:ind w:left="0" w:firstLine="0"/>
            </w:pPr>
          </w:p>
        </w:tc>
        <w:tc>
          <w:tcPr>
            <w:tcW w:w="892" w:type="dxa"/>
            <w:tcBorders>
              <w:top w:val="single" w:sz="4" w:space="0" w:color="auto"/>
            </w:tcBorders>
            <w:shd w:val="clear" w:color="auto" w:fill="D9D9D9"/>
          </w:tcPr>
          <w:p w:rsidR="00080446" w:rsidRPr="00892DE3" w:rsidRDefault="00080446" w:rsidP="00381114">
            <w:pPr>
              <w:pStyle w:val="Tabletextright"/>
              <w:ind w:left="0" w:firstLine="0"/>
            </w:pPr>
          </w:p>
        </w:tc>
        <w:tc>
          <w:tcPr>
            <w:tcW w:w="892"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57"/>
        </w:trPr>
        <w:tc>
          <w:tcPr>
            <w:tcW w:w="3420" w:type="dxa"/>
          </w:tcPr>
          <w:p w:rsidR="00080446" w:rsidRPr="00892DE3" w:rsidRDefault="00080446" w:rsidP="00381114">
            <w:pPr>
              <w:pStyle w:val="Tabletext"/>
              <w:ind w:left="0" w:firstLine="0"/>
            </w:pPr>
            <w:r w:rsidRPr="00892DE3">
              <w:t>Total output cost</w:t>
            </w:r>
          </w:p>
        </w:tc>
        <w:tc>
          <w:tcPr>
            <w:tcW w:w="892" w:type="dxa"/>
          </w:tcPr>
          <w:p w:rsidR="00080446" w:rsidRPr="00892DE3" w:rsidRDefault="00080446" w:rsidP="00381114">
            <w:pPr>
              <w:pStyle w:val="Tabletextcentred"/>
              <w:ind w:left="0" w:firstLine="0"/>
            </w:pPr>
            <w:r w:rsidRPr="00892DE3">
              <w:t>$ million</w:t>
            </w:r>
          </w:p>
        </w:tc>
        <w:tc>
          <w:tcPr>
            <w:tcW w:w="892" w:type="dxa"/>
            <w:shd w:val="clear" w:color="auto" w:fill="D9D9D9"/>
          </w:tcPr>
          <w:p w:rsidR="00080446" w:rsidRPr="00892DE3" w:rsidRDefault="00080446" w:rsidP="00381114">
            <w:pPr>
              <w:pStyle w:val="Tabletextright"/>
              <w:ind w:left="0" w:firstLine="0"/>
            </w:pPr>
            <w:r w:rsidRPr="00892DE3">
              <w:t>45.7</w:t>
            </w:r>
          </w:p>
        </w:tc>
        <w:tc>
          <w:tcPr>
            <w:tcW w:w="892" w:type="dxa"/>
          </w:tcPr>
          <w:p w:rsidR="00080446" w:rsidRPr="00892DE3" w:rsidRDefault="00080446" w:rsidP="00381114">
            <w:pPr>
              <w:pStyle w:val="Tabletextright"/>
              <w:ind w:left="0" w:firstLine="0"/>
            </w:pPr>
            <w:r w:rsidRPr="00892DE3">
              <w:t>40.5</w:t>
            </w:r>
          </w:p>
        </w:tc>
        <w:tc>
          <w:tcPr>
            <w:tcW w:w="1104" w:type="dxa"/>
          </w:tcPr>
          <w:p w:rsidR="00080446" w:rsidRPr="00892DE3" w:rsidRDefault="00080446" w:rsidP="00381114">
            <w:pPr>
              <w:pStyle w:val="Tabletextright"/>
              <w:ind w:left="0" w:firstLine="0"/>
            </w:pPr>
            <w:r w:rsidRPr="00892DE3">
              <w:t>12.8</w:t>
            </w:r>
          </w:p>
        </w:tc>
        <w:tc>
          <w:tcPr>
            <w:tcW w:w="810" w:type="dxa"/>
          </w:tcPr>
          <w:p w:rsidR="00080446" w:rsidRPr="00892DE3" w:rsidRDefault="00080446" w:rsidP="00381114">
            <w:pPr>
              <w:pStyle w:val="Tabletextcentred"/>
              <w:ind w:left="0" w:firstLine="0"/>
            </w:pPr>
            <w:r w:rsidRPr="00892DE3">
              <w:sym w:font="Wingdings" w:char="F06E"/>
            </w:r>
          </w:p>
        </w:tc>
      </w:tr>
      <w:tr w:rsidR="00080446" w:rsidRPr="00892DE3" w:rsidTr="00080446">
        <w:trPr>
          <w:cantSplit/>
          <w:trHeight w:val="57"/>
        </w:trPr>
        <w:tc>
          <w:tcPr>
            <w:tcW w:w="8010" w:type="dxa"/>
            <w:gridSpan w:val="6"/>
            <w:tcBorders>
              <w:bottom w:val="single" w:sz="12" w:space="0" w:color="auto"/>
            </w:tcBorders>
          </w:tcPr>
          <w:p w:rsidR="00080446" w:rsidRPr="00892DE3" w:rsidRDefault="00080446" w:rsidP="00381114">
            <w:pPr>
              <w:pStyle w:val="Tabletextindent0"/>
              <w:ind w:left="0" w:firstLine="0"/>
              <w:rPr>
                <w:i/>
              </w:rPr>
            </w:pPr>
            <w:r w:rsidRPr="00892DE3">
              <w:rPr>
                <w:i/>
              </w:rPr>
              <w:t>The variance in total output cost between actual and target is due to the increase in demand caused by the provision of new services.</w:t>
            </w:r>
          </w:p>
        </w:tc>
      </w:tr>
    </w:tbl>
    <w:p w:rsidR="00080446" w:rsidRPr="00892DE3" w:rsidRDefault="00080446" w:rsidP="00080446">
      <w:pPr>
        <w:pStyle w:val="Note"/>
      </w:pPr>
      <w:r w:rsidRPr="00892DE3">
        <w:t>Note:</w:t>
      </w:r>
    </w:p>
    <w:p w:rsidR="00080446" w:rsidRPr="00892DE3" w:rsidRDefault="00381114" w:rsidP="00080446">
      <w:pPr>
        <w:pStyle w:val="Noteindent"/>
      </w:pPr>
      <w:r w:rsidRPr="00892DE3">
        <w:t>(a)</w:t>
      </w:r>
      <w:r w:rsidR="00080446" w:rsidRPr="00892DE3">
        <w:tab/>
      </w:r>
      <w:r w:rsidR="00080446" w:rsidRPr="00892DE3">
        <w:rPr>
          <w:i w:val="0"/>
        </w:rPr>
        <w:sym w:font="Wingdings" w:char="F0FC"/>
      </w:r>
      <w:r w:rsidR="00080446" w:rsidRPr="00892DE3">
        <w:tab/>
        <w:t xml:space="preserve">Performance target achieved or exceeded. </w:t>
      </w:r>
      <w:r w:rsidR="00080446" w:rsidRPr="00892DE3">
        <w:rPr>
          <w:color w:val="0063A6" w:themeColor="accent1"/>
        </w:rPr>
        <w:t>[A variance exceeding 5 per cent is a significant variance that requires an explanation, including internal or external factors that caused the variance.]</w:t>
      </w:r>
    </w:p>
    <w:p w:rsidR="00080446" w:rsidRPr="00892DE3" w:rsidRDefault="00080446" w:rsidP="00080446">
      <w:pPr>
        <w:pStyle w:val="Noteindent"/>
      </w:pPr>
      <w:r w:rsidRPr="00892DE3">
        <w:tab/>
      </w:r>
      <w:r w:rsidRPr="00892DE3">
        <w:rPr>
          <w:i w:val="0"/>
        </w:rPr>
        <w:sym w:font="Wingdings" w:char="F06E"/>
      </w:r>
      <w:r w:rsidRPr="00892DE3">
        <w:rPr>
          <w:i w:val="0"/>
        </w:rPr>
        <w:t xml:space="preserve"> </w:t>
      </w:r>
      <w:r w:rsidRPr="00892DE3">
        <w:tab/>
        <w:t xml:space="preserve">Performance target not achieved – exceeds 5 per cent variance. </w:t>
      </w:r>
      <w:r w:rsidRPr="00892DE3">
        <w:rPr>
          <w:color w:val="0063A6" w:themeColor="accent1"/>
        </w:rPr>
        <w:t>[This is a significant variance that requires an explanation, including internal or external factors that caused the variance.]</w:t>
      </w:r>
    </w:p>
    <w:p w:rsidR="00080446" w:rsidRPr="00892DE3" w:rsidRDefault="00080446" w:rsidP="00080446">
      <w:pPr>
        <w:pStyle w:val="Notesindent"/>
      </w:pPr>
    </w:p>
    <w:p w:rsidR="00080446" w:rsidRPr="00892DE3" w:rsidRDefault="00080446" w:rsidP="00080446">
      <w:pPr>
        <w:pStyle w:val="BodyText"/>
      </w:pPr>
      <w:r w:rsidRPr="00892DE3">
        <w:br w:type="page"/>
      </w: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r w:rsidRPr="00892DE3">
        <w:t>FRD 8D</w:t>
      </w:r>
    </w:p>
    <w:p w:rsidR="00080446" w:rsidRPr="00892DE3" w:rsidRDefault="00080446" w:rsidP="00306EE3">
      <w:pPr>
        <w:pStyle w:val="Heading30"/>
      </w:pPr>
      <w:r w:rsidRPr="00892DE3">
        <w:br w:type="column"/>
      </w:r>
      <w:r w:rsidRPr="00892DE3">
        <w:lastRenderedPageBreak/>
        <w:t>Research and development of biological technology</w:t>
      </w:r>
    </w:p>
    <w:p w:rsidR="00080446" w:rsidRPr="00892DE3" w:rsidRDefault="00080446" w:rsidP="00080446">
      <w:pPr>
        <w:pStyle w:val="BodyText"/>
      </w:pPr>
      <w:r w:rsidRPr="00892DE3">
        <w:t>The output focuses on the development of new biological technology and supporting its implementation by businesses to achieve better quality agricultural products. Improved agricultural products are also considered to contribute to the economic growth of the State.</w:t>
      </w:r>
    </w:p>
    <w:p w:rsidR="00080446" w:rsidRPr="00892DE3" w:rsidRDefault="00080446" w:rsidP="00080446">
      <w:pPr>
        <w:pStyle w:val="BodyText"/>
      </w:pPr>
      <w:r w:rsidRPr="00892DE3">
        <w:t>This output makes a significant contribution to the departmental objective of improving the quality of life of Victorians through eradicating certain diseases and enhancing nutrition.</w:t>
      </w:r>
    </w:p>
    <w:p w:rsidR="00080446" w:rsidRPr="00892DE3" w:rsidRDefault="00080446" w:rsidP="00080446">
      <w:pPr>
        <w:pStyle w:val="Guidancenoborder"/>
      </w:pPr>
      <w:r w:rsidRPr="00892DE3">
        <w:t>[Departments to insert the relevant departmental objective.]</w:t>
      </w:r>
    </w:p>
    <w:p w:rsidR="00080446" w:rsidRPr="00892DE3" w:rsidRDefault="00080446" w:rsidP="00306EE3">
      <w:pPr>
        <w:pStyle w:val="Heading4"/>
      </w:pPr>
      <w:r w:rsidRPr="00892DE3">
        <w:t>Key initiatives and projects</w:t>
      </w:r>
    </w:p>
    <w:p w:rsidR="00080446" w:rsidRPr="00892DE3" w:rsidRDefault="00080446" w:rsidP="00080446">
      <w:pPr>
        <w:pStyle w:val="Guidancenoborder"/>
      </w:pPr>
      <w:r w:rsidRPr="00892DE3">
        <w:t>[Departments to disclose the key initiatives and projects relevant to this output. Refer to page 19 for additional guidance.]</w:t>
      </w:r>
    </w:p>
    <w:tbl>
      <w:tblPr>
        <w:tblW w:w="8010" w:type="dxa"/>
        <w:tblInd w:w="43" w:type="dxa"/>
        <w:tblLayout w:type="fixed"/>
        <w:tblCellMar>
          <w:left w:w="43" w:type="dxa"/>
          <w:right w:w="43" w:type="dxa"/>
        </w:tblCellMar>
        <w:tblLook w:val="01E0" w:firstRow="1" w:lastRow="1" w:firstColumn="1" w:lastColumn="1" w:noHBand="0" w:noVBand="0"/>
      </w:tblPr>
      <w:tblGrid>
        <w:gridCol w:w="3600"/>
        <w:gridCol w:w="892"/>
        <w:gridCol w:w="818"/>
        <w:gridCol w:w="810"/>
        <w:gridCol w:w="1104"/>
        <w:gridCol w:w="786"/>
      </w:tblGrid>
      <w:tr w:rsidR="00080446" w:rsidRPr="00892DE3" w:rsidTr="00080446">
        <w:trPr>
          <w:cantSplit/>
          <w:trHeight w:val="539"/>
        </w:trPr>
        <w:tc>
          <w:tcPr>
            <w:tcW w:w="3600"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left"/>
            </w:pPr>
            <w:r w:rsidRPr="00892DE3">
              <w:br w:type="page"/>
            </w:r>
            <w:r w:rsidRPr="00892DE3">
              <w:br w:type="page"/>
            </w:r>
            <w:r w:rsidRPr="00892DE3">
              <w:br w:type="column"/>
              <w:t>Performance measures</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centred"/>
            </w:pPr>
            <w:r w:rsidRPr="00892DE3">
              <w:t>Unit of measure</w:t>
            </w:r>
          </w:p>
        </w:tc>
        <w:tc>
          <w:tcPr>
            <w:tcW w:w="818"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2016</w:t>
            </w:r>
            <w:r w:rsidRPr="00892DE3">
              <w:noBreakHyphen/>
              <w:t>17</w:t>
            </w:r>
            <w:r w:rsidRPr="00892DE3">
              <w:br/>
              <w:t>actual</w:t>
            </w:r>
          </w:p>
        </w:tc>
        <w:tc>
          <w:tcPr>
            <w:tcW w:w="810"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2016</w:t>
            </w:r>
            <w:r w:rsidRPr="00892DE3">
              <w:noBreakHyphen/>
              <w:t>17</w:t>
            </w:r>
            <w:r w:rsidRPr="00892DE3">
              <w:br/>
              <w:t>target</w:t>
            </w:r>
          </w:p>
        </w:tc>
        <w:tc>
          <w:tcPr>
            <w:tcW w:w="1104"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Performance variation (%)</w:t>
            </w:r>
          </w:p>
        </w:tc>
        <w:tc>
          <w:tcPr>
            <w:tcW w:w="786"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centred"/>
            </w:pPr>
            <w:r w:rsidRPr="00892DE3">
              <w:t xml:space="preserve">Result </w:t>
            </w:r>
            <w:r w:rsidR="00381114" w:rsidRPr="00892DE3">
              <w:rPr>
                <w:vertAlign w:val="superscript"/>
              </w:rPr>
              <w:t>(a)</w:t>
            </w:r>
          </w:p>
        </w:tc>
      </w:tr>
      <w:tr w:rsidR="00080446" w:rsidRPr="00892DE3" w:rsidTr="00080446">
        <w:trPr>
          <w:cantSplit/>
          <w:trHeight w:val="57"/>
        </w:trPr>
        <w:tc>
          <w:tcPr>
            <w:tcW w:w="3600" w:type="dxa"/>
            <w:tcBorders>
              <w:top w:val="single" w:sz="4" w:space="0" w:color="auto"/>
            </w:tcBorders>
          </w:tcPr>
          <w:p w:rsidR="00080446" w:rsidRPr="00892DE3" w:rsidRDefault="00080446" w:rsidP="00381114">
            <w:pPr>
              <w:pStyle w:val="Tabletext"/>
              <w:ind w:left="0" w:firstLine="0"/>
              <w:rPr>
                <w:i/>
              </w:rPr>
            </w:pPr>
            <w:r w:rsidRPr="00892DE3">
              <w:rPr>
                <w:i/>
              </w:rPr>
              <w:t>Quantity</w:t>
            </w:r>
          </w:p>
        </w:tc>
        <w:tc>
          <w:tcPr>
            <w:tcW w:w="892" w:type="dxa"/>
            <w:tcBorders>
              <w:top w:val="single" w:sz="4" w:space="0" w:color="auto"/>
            </w:tcBorders>
            <w:vAlign w:val="center"/>
          </w:tcPr>
          <w:p w:rsidR="00080446" w:rsidRPr="00892DE3" w:rsidRDefault="00080446" w:rsidP="00381114">
            <w:pPr>
              <w:pStyle w:val="Tabletextcentred"/>
              <w:ind w:left="0" w:firstLine="0"/>
            </w:pPr>
          </w:p>
        </w:tc>
        <w:tc>
          <w:tcPr>
            <w:tcW w:w="818" w:type="dxa"/>
            <w:tcBorders>
              <w:top w:val="single" w:sz="4" w:space="0" w:color="auto"/>
            </w:tcBorders>
            <w:shd w:val="clear" w:color="auto" w:fill="D9D9D9"/>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786"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20"/>
        </w:trPr>
        <w:tc>
          <w:tcPr>
            <w:tcW w:w="3600" w:type="dxa"/>
          </w:tcPr>
          <w:p w:rsidR="00080446" w:rsidRPr="00892DE3" w:rsidRDefault="00080446" w:rsidP="00381114">
            <w:pPr>
              <w:pStyle w:val="Tabletext"/>
              <w:ind w:left="0" w:firstLine="0"/>
            </w:pPr>
            <w:r w:rsidRPr="00892DE3">
              <w:t>Businesses supported with implementation of new technology</w:t>
            </w:r>
          </w:p>
        </w:tc>
        <w:tc>
          <w:tcPr>
            <w:tcW w:w="892" w:type="dxa"/>
          </w:tcPr>
          <w:p w:rsidR="00080446" w:rsidRPr="00892DE3" w:rsidRDefault="00080446" w:rsidP="00381114">
            <w:pPr>
              <w:pStyle w:val="Tabletextcentred"/>
              <w:ind w:left="0" w:firstLine="0"/>
            </w:pPr>
            <w:r w:rsidRPr="00892DE3">
              <w:t>number</w:t>
            </w:r>
          </w:p>
        </w:tc>
        <w:tc>
          <w:tcPr>
            <w:tcW w:w="818" w:type="dxa"/>
            <w:shd w:val="clear" w:color="auto" w:fill="D9D9D9"/>
          </w:tcPr>
          <w:p w:rsidR="00080446" w:rsidRPr="00892DE3" w:rsidRDefault="00080446" w:rsidP="00381114">
            <w:pPr>
              <w:pStyle w:val="Tabletextright"/>
              <w:ind w:left="0" w:firstLine="0"/>
            </w:pPr>
            <w:r w:rsidRPr="00892DE3">
              <w:t>100</w:t>
            </w:r>
          </w:p>
        </w:tc>
        <w:tc>
          <w:tcPr>
            <w:tcW w:w="810" w:type="dxa"/>
          </w:tcPr>
          <w:p w:rsidR="00080446" w:rsidRPr="00892DE3" w:rsidRDefault="00080446" w:rsidP="00381114">
            <w:pPr>
              <w:pStyle w:val="Tabletextright"/>
              <w:ind w:left="0" w:firstLine="0"/>
            </w:pPr>
            <w:r w:rsidRPr="00892DE3">
              <w:t>120</w:t>
            </w:r>
          </w:p>
        </w:tc>
        <w:tc>
          <w:tcPr>
            <w:tcW w:w="1104" w:type="dxa"/>
          </w:tcPr>
          <w:p w:rsidR="00080446" w:rsidRPr="00892DE3" w:rsidRDefault="00080446" w:rsidP="00381114">
            <w:pPr>
              <w:pStyle w:val="Tabletextright"/>
              <w:ind w:left="0" w:firstLine="0"/>
            </w:pPr>
            <w:r w:rsidRPr="00892DE3">
              <w:noBreakHyphen/>
              <w:t>16.7</w:t>
            </w:r>
          </w:p>
        </w:tc>
        <w:tc>
          <w:tcPr>
            <w:tcW w:w="786" w:type="dxa"/>
          </w:tcPr>
          <w:p w:rsidR="00080446" w:rsidRPr="00892DE3" w:rsidRDefault="00080446" w:rsidP="00381114">
            <w:pPr>
              <w:pStyle w:val="Tabletextcentred"/>
              <w:ind w:left="0" w:firstLine="0"/>
            </w:pPr>
            <w:r w:rsidRPr="00892DE3">
              <w:rPr>
                <w:rFonts w:cstheme="minorHAnsi"/>
              </w:rPr>
              <w:sym w:font="Wingdings" w:char="F06E"/>
            </w:r>
          </w:p>
        </w:tc>
      </w:tr>
      <w:tr w:rsidR="00080446" w:rsidRPr="00892DE3" w:rsidTr="00080446">
        <w:trPr>
          <w:cantSplit/>
          <w:trHeight w:val="20"/>
        </w:trPr>
        <w:tc>
          <w:tcPr>
            <w:tcW w:w="8010" w:type="dxa"/>
            <w:gridSpan w:val="6"/>
          </w:tcPr>
          <w:p w:rsidR="00080446" w:rsidRPr="00892DE3" w:rsidRDefault="00080446" w:rsidP="00381114">
            <w:pPr>
              <w:pStyle w:val="Tabletextindent0"/>
              <w:ind w:left="0" w:firstLine="0"/>
              <w:rPr>
                <w:i/>
              </w:rPr>
            </w:pPr>
            <w:r w:rsidRPr="00892DE3">
              <w:rPr>
                <w:i/>
              </w:rPr>
              <w:t>The actual outcome in 2016-17 is significantly lower than the target due to delays in the internal tender process – there was a lack of consensus between businesses and the Government on payment terms in tender proposals.</w:t>
            </w:r>
          </w:p>
        </w:tc>
      </w:tr>
      <w:tr w:rsidR="00080446" w:rsidRPr="00892DE3" w:rsidTr="00080446">
        <w:trPr>
          <w:cantSplit/>
          <w:trHeight w:val="20"/>
        </w:trPr>
        <w:tc>
          <w:tcPr>
            <w:tcW w:w="3600" w:type="dxa"/>
          </w:tcPr>
          <w:p w:rsidR="00080446" w:rsidRPr="00892DE3" w:rsidRDefault="00080446" w:rsidP="00381114">
            <w:pPr>
              <w:pStyle w:val="Tabletext"/>
              <w:ind w:left="0" w:firstLine="0"/>
            </w:pPr>
            <w:r w:rsidRPr="00892DE3">
              <w:t>Laboratories with fully-integrated new research platform</w:t>
            </w:r>
          </w:p>
        </w:tc>
        <w:tc>
          <w:tcPr>
            <w:tcW w:w="892" w:type="dxa"/>
          </w:tcPr>
          <w:p w:rsidR="00080446" w:rsidRPr="00892DE3" w:rsidRDefault="00080446" w:rsidP="00381114">
            <w:pPr>
              <w:pStyle w:val="Tabletextcentred"/>
              <w:ind w:left="0" w:firstLine="0"/>
            </w:pPr>
            <w:r w:rsidRPr="00892DE3">
              <w:t>number</w:t>
            </w:r>
          </w:p>
        </w:tc>
        <w:tc>
          <w:tcPr>
            <w:tcW w:w="818" w:type="dxa"/>
            <w:shd w:val="clear" w:color="auto" w:fill="D9D9D9"/>
          </w:tcPr>
          <w:p w:rsidR="00080446" w:rsidRPr="00892DE3" w:rsidRDefault="00080446" w:rsidP="00381114">
            <w:pPr>
              <w:pStyle w:val="Tabletextright"/>
              <w:ind w:left="0" w:firstLine="0"/>
            </w:pPr>
            <w:r w:rsidRPr="00892DE3">
              <w:t>10</w:t>
            </w:r>
          </w:p>
        </w:tc>
        <w:tc>
          <w:tcPr>
            <w:tcW w:w="810" w:type="dxa"/>
          </w:tcPr>
          <w:p w:rsidR="00080446" w:rsidRPr="00892DE3" w:rsidRDefault="00080446" w:rsidP="00381114">
            <w:pPr>
              <w:pStyle w:val="Tabletextright"/>
              <w:ind w:left="0" w:firstLine="0"/>
            </w:pPr>
            <w:r w:rsidRPr="00892DE3">
              <w:t>10</w:t>
            </w:r>
          </w:p>
        </w:tc>
        <w:tc>
          <w:tcPr>
            <w:tcW w:w="1104" w:type="dxa"/>
          </w:tcPr>
          <w:p w:rsidR="00080446" w:rsidRPr="00892DE3" w:rsidRDefault="00080446" w:rsidP="00381114">
            <w:pPr>
              <w:pStyle w:val="Tabletextright"/>
              <w:ind w:left="0" w:firstLine="0"/>
            </w:pPr>
            <w:r w:rsidRPr="00892DE3">
              <w:t>0</w:t>
            </w:r>
          </w:p>
        </w:tc>
        <w:tc>
          <w:tcPr>
            <w:tcW w:w="786"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20"/>
        </w:trPr>
        <w:tc>
          <w:tcPr>
            <w:tcW w:w="3600" w:type="dxa"/>
          </w:tcPr>
          <w:p w:rsidR="00080446" w:rsidRPr="00892DE3" w:rsidRDefault="00080446" w:rsidP="00381114">
            <w:pPr>
              <w:pStyle w:val="Tabletext"/>
              <w:ind w:left="0" w:firstLine="0"/>
            </w:pPr>
            <w:r w:rsidRPr="00892DE3">
              <w:t>Six new patents sought by partner agencies</w:t>
            </w:r>
          </w:p>
        </w:tc>
        <w:tc>
          <w:tcPr>
            <w:tcW w:w="892" w:type="dxa"/>
            <w:vAlign w:val="center"/>
          </w:tcPr>
          <w:p w:rsidR="00080446" w:rsidRPr="00892DE3" w:rsidRDefault="00080446" w:rsidP="00381114">
            <w:pPr>
              <w:pStyle w:val="Tabletextcentred"/>
              <w:ind w:left="0" w:firstLine="0"/>
            </w:pPr>
            <w:r w:rsidRPr="00892DE3">
              <w:t>number</w:t>
            </w:r>
          </w:p>
        </w:tc>
        <w:tc>
          <w:tcPr>
            <w:tcW w:w="818" w:type="dxa"/>
            <w:shd w:val="clear" w:color="auto" w:fill="D9D9D9"/>
          </w:tcPr>
          <w:p w:rsidR="00080446" w:rsidRPr="00892DE3" w:rsidRDefault="00080446" w:rsidP="00381114">
            <w:pPr>
              <w:pStyle w:val="Tabletextright"/>
              <w:ind w:left="0" w:firstLine="0"/>
              <w:rPr>
                <w:rFonts w:ascii="Calibri" w:hAnsi="Calibri"/>
              </w:rPr>
            </w:pPr>
            <w:r w:rsidRPr="00892DE3">
              <w:rPr>
                <w:rFonts w:ascii="Calibri" w:hAnsi="Calibri"/>
              </w:rPr>
              <w:t>6</w:t>
            </w:r>
          </w:p>
        </w:tc>
        <w:tc>
          <w:tcPr>
            <w:tcW w:w="810" w:type="dxa"/>
          </w:tcPr>
          <w:p w:rsidR="00080446" w:rsidRPr="00892DE3" w:rsidRDefault="00080446" w:rsidP="00381114">
            <w:pPr>
              <w:pStyle w:val="Tabletextright"/>
              <w:ind w:left="0" w:firstLine="0"/>
              <w:rPr>
                <w:rFonts w:ascii="Calibri" w:hAnsi="Calibri"/>
              </w:rPr>
            </w:pPr>
            <w:r w:rsidRPr="00892DE3">
              <w:rPr>
                <w:rFonts w:ascii="Calibri" w:hAnsi="Calibri"/>
              </w:rPr>
              <w:t>6</w:t>
            </w:r>
          </w:p>
        </w:tc>
        <w:tc>
          <w:tcPr>
            <w:tcW w:w="1104" w:type="dxa"/>
          </w:tcPr>
          <w:p w:rsidR="00080446" w:rsidRPr="00892DE3" w:rsidRDefault="00080446" w:rsidP="00381114">
            <w:pPr>
              <w:pStyle w:val="Tabletextright"/>
              <w:ind w:left="0" w:firstLine="0"/>
              <w:rPr>
                <w:rFonts w:ascii="Calibri" w:hAnsi="Calibri"/>
              </w:rPr>
            </w:pPr>
            <w:r w:rsidRPr="00892DE3">
              <w:rPr>
                <w:rFonts w:ascii="Calibri" w:hAnsi="Calibri"/>
              </w:rPr>
              <w:t>0</w:t>
            </w:r>
          </w:p>
        </w:tc>
        <w:tc>
          <w:tcPr>
            <w:tcW w:w="786"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3600" w:type="dxa"/>
            <w:tcBorders>
              <w:top w:val="single" w:sz="4" w:space="0" w:color="auto"/>
            </w:tcBorders>
          </w:tcPr>
          <w:p w:rsidR="00080446" w:rsidRPr="00892DE3" w:rsidRDefault="00080446" w:rsidP="00381114">
            <w:pPr>
              <w:pStyle w:val="Tabletext"/>
              <w:ind w:left="0" w:firstLine="0"/>
              <w:rPr>
                <w:i/>
              </w:rPr>
            </w:pPr>
            <w:r w:rsidRPr="00892DE3">
              <w:rPr>
                <w:i/>
              </w:rPr>
              <w:t>Quality</w:t>
            </w:r>
          </w:p>
        </w:tc>
        <w:tc>
          <w:tcPr>
            <w:tcW w:w="892" w:type="dxa"/>
            <w:tcBorders>
              <w:top w:val="single" w:sz="4" w:space="0" w:color="auto"/>
            </w:tcBorders>
          </w:tcPr>
          <w:p w:rsidR="00080446" w:rsidRPr="00892DE3" w:rsidRDefault="00080446" w:rsidP="00381114">
            <w:pPr>
              <w:pStyle w:val="Tabletextcentred"/>
              <w:ind w:left="0" w:firstLine="0"/>
              <w:rPr>
                <w:i/>
              </w:rPr>
            </w:pPr>
          </w:p>
        </w:tc>
        <w:tc>
          <w:tcPr>
            <w:tcW w:w="818" w:type="dxa"/>
            <w:tcBorders>
              <w:top w:val="single" w:sz="4" w:space="0" w:color="auto"/>
            </w:tcBorders>
            <w:shd w:val="clear" w:color="auto" w:fill="D9D9D9"/>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786" w:type="dxa"/>
            <w:tcBorders>
              <w:top w:val="single" w:sz="4" w:space="0" w:color="auto"/>
            </w:tcBorders>
          </w:tcPr>
          <w:p w:rsidR="00080446" w:rsidRPr="00892DE3" w:rsidRDefault="00080446" w:rsidP="00381114">
            <w:pPr>
              <w:pStyle w:val="Tabletextcentred"/>
              <w:ind w:left="0" w:firstLine="0"/>
              <w:rPr>
                <w:i/>
              </w:rPr>
            </w:pPr>
          </w:p>
        </w:tc>
      </w:tr>
      <w:tr w:rsidR="00080446" w:rsidRPr="00892DE3" w:rsidTr="00080446">
        <w:trPr>
          <w:cantSplit/>
          <w:trHeight w:val="57"/>
        </w:trPr>
        <w:tc>
          <w:tcPr>
            <w:tcW w:w="3600" w:type="dxa"/>
          </w:tcPr>
          <w:p w:rsidR="00080446" w:rsidRPr="00892DE3" w:rsidRDefault="00080446" w:rsidP="00381114">
            <w:pPr>
              <w:pStyle w:val="Tabletext"/>
              <w:ind w:left="0" w:firstLine="0"/>
            </w:pPr>
            <w:r w:rsidRPr="00892DE3">
              <w:t>New technology met business requirements</w:t>
            </w:r>
          </w:p>
        </w:tc>
        <w:tc>
          <w:tcPr>
            <w:tcW w:w="892" w:type="dxa"/>
            <w:vAlign w:val="center"/>
          </w:tcPr>
          <w:p w:rsidR="00080446" w:rsidRPr="00892DE3" w:rsidRDefault="00080446" w:rsidP="00381114">
            <w:pPr>
              <w:pStyle w:val="Tabletextcentred"/>
              <w:ind w:left="0" w:firstLine="0"/>
            </w:pPr>
            <w:r w:rsidRPr="00892DE3">
              <w:t>per cent</w:t>
            </w:r>
          </w:p>
        </w:tc>
        <w:tc>
          <w:tcPr>
            <w:tcW w:w="818" w:type="dxa"/>
            <w:shd w:val="clear" w:color="auto" w:fill="D9D9D9"/>
          </w:tcPr>
          <w:p w:rsidR="00080446" w:rsidRPr="00892DE3" w:rsidRDefault="00080446" w:rsidP="00381114">
            <w:pPr>
              <w:pStyle w:val="Tabletextright"/>
              <w:ind w:left="0" w:firstLine="0"/>
            </w:pPr>
            <w:r w:rsidRPr="00892DE3">
              <w:t>80.0</w:t>
            </w:r>
          </w:p>
        </w:tc>
        <w:tc>
          <w:tcPr>
            <w:tcW w:w="810" w:type="dxa"/>
          </w:tcPr>
          <w:p w:rsidR="00080446" w:rsidRPr="00892DE3" w:rsidRDefault="00080446" w:rsidP="00381114">
            <w:pPr>
              <w:pStyle w:val="Tabletextright"/>
              <w:ind w:left="0" w:firstLine="0"/>
            </w:pPr>
            <w:r w:rsidRPr="00892DE3">
              <w:t>80.0</w:t>
            </w:r>
          </w:p>
        </w:tc>
        <w:tc>
          <w:tcPr>
            <w:tcW w:w="1104" w:type="dxa"/>
          </w:tcPr>
          <w:p w:rsidR="00080446" w:rsidRPr="00892DE3" w:rsidRDefault="00080446" w:rsidP="00381114">
            <w:pPr>
              <w:pStyle w:val="Tabletextright"/>
              <w:ind w:left="0" w:firstLine="0"/>
            </w:pPr>
            <w:r w:rsidRPr="00892DE3">
              <w:t>0</w:t>
            </w:r>
          </w:p>
        </w:tc>
        <w:tc>
          <w:tcPr>
            <w:tcW w:w="786"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8010" w:type="dxa"/>
            <w:gridSpan w:val="6"/>
          </w:tcPr>
          <w:p w:rsidR="00080446" w:rsidRPr="00892DE3" w:rsidRDefault="00080446" w:rsidP="00381114">
            <w:pPr>
              <w:pStyle w:val="Tabletextindent0"/>
              <w:ind w:left="0" w:firstLine="0"/>
              <w:rPr>
                <w:i/>
              </w:rPr>
            </w:pPr>
            <w:r w:rsidRPr="00892DE3">
              <w:rPr>
                <w:i/>
              </w:rPr>
              <w:t>This measure is based on surveys completed by clients.</w:t>
            </w:r>
          </w:p>
        </w:tc>
      </w:tr>
      <w:tr w:rsidR="00080446" w:rsidRPr="00892DE3" w:rsidTr="00080446">
        <w:trPr>
          <w:cantSplit/>
          <w:trHeight w:val="57"/>
        </w:trPr>
        <w:tc>
          <w:tcPr>
            <w:tcW w:w="3600" w:type="dxa"/>
            <w:tcBorders>
              <w:top w:val="single" w:sz="4" w:space="0" w:color="auto"/>
            </w:tcBorders>
          </w:tcPr>
          <w:p w:rsidR="00080446" w:rsidRPr="00892DE3" w:rsidRDefault="00080446" w:rsidP="00381114">
            <w:pPr>
              <w:pStyle w:val="Tabletext"/>
              <w:ind w:left="0" w:firstLine="0"/>
            </w:pPr>
            <w:r w:rsidRPr="00892DE3">
              <w:t>New platform key success factors</w:t>
            </w:r>
          </w:p>
        </w:tc>
        <w:tc>
          <w:tcPr>
            <w:tcW w:w="892" w:type="dxa"/>
            <w:tcBorders>
              <w:top w:val="single" w:sz="4" w:space="0" w:color="auto"/>
            </w:tcBorders>
          </w:tcPr>
          <w:p w:rsidR="00080446" w:rsidRPr="00892DE3" w:rsidRDefault="00080446" w:rsidP="00381114">
            <w:pPr>
              <w:pStyle w:val="Tabletextcentred"/>
              <w:ind w:left="0" w:firstLine="0"/>
            </w:pPr>
            <w:r w:rsidRPr="00892DE3">
              <w:t>per cent</w:t>
            </w:r>
          </w:p>
        </w:tc>
        <w:tc>
          <w:tcPr>
            <w:tcW w:w="818" w:type="dxa"/>
            <w:tcBorders>
              <w:top w:val="single" w:sz="4" w:space="0" w:color="auto"/>
            </w:tcBorders>
            <w:shd w:val="clear" w:color="auto" w:fill="D9D9D9"/>
          </w:tcPr>
          <w:p w:rsidR="00080446" w:rsidRPr="00892DE3" w:rsidRDefault="00080446" w:rsidP="00381114">
            <w:pPr>
              <w:pStyle w:val="Tabletextright"/>
              <w:ind w:left="0" w:firstLine="0"/>
            </w:pPr>
            <w:r w:rsidRPr="00892DE3">
              <w:t>80.0</w:t>
            </w:r>
          </w:p>
        </w:tc>
        <w:tc>
          <w:tcPr>
            <w:tcW w:w="810" w:type="dxa"/>
            <w:tcBorders>
              <w:top w:val="single" w:sz="4" w:space="0" w:color="auto"/>
            </w:tcBorders>
          </w:tcPr>
          <w:p w:rsidR="00080446" w:rsidRPr="00892DE3" w:rsidRDefault="00080446" w:rsidP="00381114">
            <w:pPr>
              <w:pStyle w:val="Tabletextright"/>
              <w:ind w:left="0" w:firstLine="0"/>
            </w:pPr>
            <w:r w:rsidRPr="00892DE3">
              <w:t>80.0</w:t>
            </w:r>
          </w:p>
        </w:tc>
        <w:tc>
          <w:tcPr>
            <w:tcW w:w="1104" w:type="dxa"/>
            <w:tcBorders>
              <w:top w:val="single" w:sz="4" w:space="0" w:color="auto"/>
            </w:tcBorders>
          </w:tcPr>
          <w:p w:rsidR="00080446" w:rsidRPr="00892DE3" w:rsidRDefault="00080446" w:rsidP="00381114">
            <w:pPr>
              <w:pStyle w:val="Tabletextright"/>
              <w:ind w:left="0" w:firstLine="0"/>
            </w:pPr>
            <w:r w:rsidRPr="00892DE3">
              <w:t>0</w:t>
            </w:r>
          </w:p>
        </w:tc>
        <w:tc>
          <w:tcPr>
            <w:tcW w:w="786" w:type="dxa"/>
            <w:tcBorders>
              <w:top w:val="single" w:sz="4" w:space="0" w:color="auto"/>
            </w:tcBorders>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3600" w:type="dxa"/>
            <w:tcBorders>
              <w:top w:val="single" w:sz="4" w:space="0" w:color="auto"/>
            </w:tcBorders>
          </w:tcPr>
          <w:p w:rsidR="00080446" w:rsidRPr="00892DE3" w:rsidRDefault="00080446" w:rsidP="00381114">
            <w:pPr>
              <w:pStyle w:val="Tabletext"/>
              <w:ind w:left="0" w:firstLine="0"/>
              <w:rPr>
                <w:i/>
              </w:rPr>
            </w:pPr>
            <w:r w:rsidRPr="00892DE3">
              <w:rPr>
                <w:i/>
              </w:rPr>
              <w:t>Timeliness</w:t>
            </w:r>
          </w:p>
        </w:tc>
        <w:tc>
          <w:tcPr>
            <w:tcW w:w="892" w:type="dxa"/>
            <w:tcBorders>
              <w:top w:val="single" w:sz="4" w:space="0" w:color="auto"/>
            </w:tcBorders>
          </w:tcPr>
          <w:p w:rsidR="00080446" w:rsidRPr="00892DE3" w:rsidRDefault="00080446" w:rsidP="00381114">
            <w:pPr>
              <w:pStyle w:val="Tabletextcentred"/>
              <w:ind w:left="0" w:firstLine="0"/>
              <w:rPr>
                <w:i/>
              </w:rPr>
            </w:pPr>
          </w:p>
        </w:tc>
        <w:tc>
          <w:tcPr>
            <w:tcW w:w="818" w:type="dxa"/>
            <w:tcBorders>
              <w:top w:val="single" w:sz="4" w:space="0" w:color="auto"/>
            </w:tcBorders>
            <w:shd w:val="clear" w:color="auto" w:fill="D9D9D9"/>
          </w:tcPr>
          <w:p w:rsidR="00080446" w:rsidRPr="00892DE3" w:rsidRDefault="00080446" w:rsidP="00381114">
            <w:pPr>
              <w:pStyle w:val="Tabletextright"/>
              <w:ind w:left="0" w:firstLine="0"/>
              <w:rPr>
                <w:i/>
              </w:rPr>
            </w:pPr>
          </w:p>
        </w:tc>
        <w:tc>
          <w:tcPr>
            <w:tcW w:w="810" w:type="dxa"/>
            <w:tcBorders>
              <w:top w:val="single" w:sz="4" w:space="0" w:color="auto"/>
            </w:tcBorders>
          </w:tcPr>
          <w:p w:rsidR="00080446" w:rsidRPr="00892DE3" w:rsidRDefault="00080446" w:rsidP="00381114">
            <w:pPr>
              <w:pStyle w:val="Tabletextright"/>
              <w:ind w:left="0" w:firstLine="0"/>
              <w:rPr>
                <w:i/>
              </w:rPr>
            </w:pPr>
          </w:p>
        </w:tc>
        <w:tc>
          <w:tcPr>
            <w:tcW w:w="1104" w:type="dxa"/>
            <w:tcBorders>
              <w:top w:val="single" w:sz="4" w:space="0" w:color="auto"/>
            </w:tcBorders>
          </w:tcPr>
          <w:p w:rsidR="00080446" w:rsidRPr="00892DE3" w:rsidRDefault="00080446" w:rsidP="00381114">
            <w:pPr>
              <w:pStyle w:val="Tabletextright"/>
              <w:ind w:left="0" w:firstLine="0"/>
              <w:rPr>
                <w:i/>
              </w:rPr>
            </w:pPr>
          </w:p>
        </w:tc>
        <w:tc>
          <w:tcPr>
            <w:tcW w:w="786" w:type="dxa"/>
            <w:tcBorders>
              <w:top w:val="single" w:sz="4" w:space="0" w:color="auto"/>
            </w:tcBorders>
          </w:tcPr>
          <w:p w:rsidR="00080446" w:rsidRPr="00892DE3" w:rsidRDefault="00080446" w:rsidP="00381114">
            <w:pPr>
              <w:pStyle w:val="Tabletextcentred"/>
              <w:ind w:left="0" w:firstLine="0"/>
              <w:rPr>
                <w:i/>
              </w:rPr>
            </w:pPr>
          </w:p>
        </w:tc>
      </w:tr>
      <w:tr w:rsidR="00080446" w:rsidRPr="00892DE3" w:rsidTr="00080446">
        <w:trPr>
          <w:cantSplit/>
          <w:trHeight w:val="57"/>
        </w:trPr>
        <w:tc>
          <w:tcPr>
            <w:tcW w:w="3600" w:type="dxa"/>
          </w:tcPr>
          <w:p w:rsidR="00080446" w:rsidRPr="00892DE3" w:rsidRDefault="00080446" w:rsidP="00381114">
            <w:pPr>
              <w:pStyle w:val="Tabletext"/>
              <w:ind w:left="0" w:firstLine="0"/>
            </w:pPr>
            <w:r w:rsidRPr="00892DE3">
              <w:t>Projects managed within agreed timelines</w:t>
            </w:r>
          </w:p>
        </w:tc>
        <w:tc>
          <w:tcPr>
            <w:tcW w:w="892" w:type="dxa"/>
            <w:vAlign w:val="center"/>
          </w:tcPr>
          <w:p w:rsidR="00080446" w:rsidRPr="00892DE3" w:rsidRDefault="00080446" w:rsidP="00381114">
            <w:pPr>
              <w:pStyle w:val="Tabletextcentred"/>
              <w:ind w:left="0" w:firstLine="0"/>
            </w:pPr>
            <w:r w:rsidRPr="00892DE3">
              <w:t>per cent</w:t>
            </w:r>
          </w:p>
        </w:tc>
        <w:tc>
          <w:tcPr>
            <w:tcW w:w="818" w:type="dxa"/>
            <w:shd w:val="clear" w:color="auto" w:fill="D9D9D9"/>
          </w:tcPr>
          <w:p w:rsidR="00080446" w:rsidRPr="00892DE3" w:rsidRDefault="00080446" w:rsidP="00381114">
            <w:pPr>
              <w:pStyle w:val="Tabletextright"/>
              <w:ind w:left="0" w:firstLine="0"/>
              <w:rPr>
                <w:rFonts w:ascii="Calibri" w:hAnsi="Calibri"/>
              </w:rPr>
            </w:pPr>
            <w:r w:rsidRPr="00892DE3">
              <w:rPr>
                <w:rFonts w:ascii="Calibri" w:hAnsi="Calibri"/>
              </w:rPr>
              <w:t>87.0</w:t>
            </w:r>
          </w:p>
        </w:tc>
        <w:tc>
          <w:tcPr>
            <w:tcW w:w="810" w:type="dxa"/>
          </w:tcPr>
          <w:p w:rsidR="00080446" w:rsidRPr="00892DE3" w:rsidRDefault="00080446" w:rsidP="00381114">
            <w:pPr>
              <w:pStyle w:val="Tabletextright"/>
              <w:ind w:left="0" w:firstLine="0"/>
              <w:rPr>
                <w:rFonts w:ascii="Calibri" w:hAnsi="Calibri"/>
              </w:rPr>
            </w:pPr>
            <w:r w:rsidRPr="00892DE3">
              <w:rPr>
                <w:rFonts w:ascii="Calibri" w:hAnsi="Calibri"/>
              </w:rPr>
              <w:t>91.0</w:t>
            </w:r>
          </w:p>
        </w:tc>
        <w:tc>
          <w:tcPr>
            <w:tcW w:w="1104" w:type="dxa"/>
          </w:tcPr>
          <w:p w:rsidR="00080446" w:rsidRPr="00892DE3" w:rsidRDefault="00080446" w:rsidP="00381114">
            <w:pPr>
              <w:pStyle w:val="Tabletextright"/>
              <w:ind w:left="0" w:firstLine="0"/>
              <w:rPr>
                <w:rFonts w:ascii="Calibri" w:hAnsi="Calibri"/>
              </w:rPr>
            </w:pPr>
            <w:r w:rsidRPr="00892DE3">
              <w:rPr>
                <w:rFonts w:ascii="Calibri" w:hAnsi="Calibri"/>
              </w:rPr>
              <w:noBreakHyphen/>
              <w:t>4.4</w:t>
            </w:r>
          </w:p>
        </w:tc>
        <w:tc>
          <w:tcPr>
            <w:tcW w:w="786" w:type="dxa"/>
          </w:tcPr>
          <w:p w:rsidR="00080446" w:rsidRPr="00892DE3" w:rsidRDefault="00080446" w:rsidP="00381114">
            <w:pPr>
              <w:pStyle w:val="Tabletextcentred"/>
              <w:ind w:left="0" w:firstLine="0"/>
              <w:rPr>
                <w:rFonts w:ascii="Calibri" w:hAnsi="Calibri"/>
              </w:rPr>
            </w:pPr>
            <w:r w:rsidRPr="00892DE3">
              <w:rPr>
                <w:rFonts w:ascii="Calibri" w:hAnsi="Calibri"/>
              </w:rPr>
              <w:sym w:font="Wingdings 2" w:char="F099"/>
            </w:r>
          </w:p>
        </w:tc>
      </w:tr>
      <w:tr w:rsidR="00080446" w:rsidRPr="00892DE3" w:rsidTr="00080446">
        <w:trPr>
          <w:cantSplit/>
          <w:trHeight w:val="57"/>
        </w:trPr>
        <w:tc>
          <w:tcPr>
            <w:tcW w:w="3600" w:type="dxa"/>
            <w:tcBorders>
              <w:top w:val="single" w:sz="4" w:space="0" w:color="auto"/>
            </w:tcBorders>
          </w:tcPr>
          <w:p w:rsidR="00080446" w:rsidRPr="00892DE3" w:rsidRDefault="00080446" w:rsidP="00381114">
            <w:pPr>
              <w:pStyle w:val="Tabletext"/>
              <w:ind w:left="0" w:firstLine="0"/>
            </w:pPr>
            <w:r w:rsidRPr="00892DE3">
              <w:t>Cost</w:t>
            </w:r>
          </w:p>
        </w:tc>
        <w:tc>
          <w:tcPr>
            <w:tcW w:w="892" w:type="dxa"/>
            <w:tcBorders>
              <w:top w:val="single" w:sz="4" w:space="0" w:color="auto"/>
            </w:tcBorders>
          </w:tcPr>
          <w:p w:rsidR="00080446" w:rsidRPr="00892DE3" w:rsidRDefault="00080446" w:rsidP="00381114">
            <w:pPr>
              <w:pStyle w:val="Tabletextcentred"/>
              <w:ind w:left="0" w:firstLine="0"/>
            </w:pPr>
          </w:p>
        </w:tc>
        <w:tc>
          <w:tcPr>
            <w:tcW w:w="818" w:type="dxa"/>
            <w:tcBorders>
              <w:top w:val="single" w:sz="4" w:space="0" w:color="auto"/>
            </w:tcBorders>
            <w:shd w:val="clear" w:color="auto" w:fill="D9D9D9"/>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786"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57"/>
        </w:trPr>
        <w:tc>
          <w:tcPr>
            <w:tcW w:w="3600" w:type="dxa"/>
            <w:tcBorders>
              <w:bottom w:val="single" w:sz="12" w:space="0" w:color="auto"/>
            </w:tcBorders>
          </w:tcPr>
          <w:p w:rsidR="00080446" w:rsidRPr="00892DE3" w:rsidRDefault="00080446" w:rsidP="00381114">
            <w:pPr>
              <w:pStyle w:val="Tabletext"/>
              <w:ind w:left="0" w:firstLine="0"/>
            </w:pPr>
            <w:r w:rsidRPr="00892DE3">
              <w:t>Total output cost</w:t>
            </w:r>
          </w:p>
        </w:tc>
        <w:tc>
          <w:tcPr>
            <w:tcW w:w="892" w:type="dxa"/>
            <w:tcBorders>
              <w:bottom w:val="single" w:sz="12" w:space="0" w:color="auto"/>
            </w:tcBorders>
          </w:tcPr>
          <w:p w:rsidR="00080446" w:rsidRPr="00892DE3" w:rsidRDefault="00080446" w:rsidP="00381114">
            <w:pPr>
              <w:pStyle w:val="Tabletextcentred"/>
              <w:ind w:left="0" w:firstLine="0"/>
            </w:pPr>
            <w:r w:rsidRPr="00892DE3">
              <w:t>$ million</w:t>
            </w:r>
          </w:p>
        </w:tc>
        <w:tc>
          <w:tcPr>
            <w:tcW w:w="818" w:type="dxa"/>
            <w:tcBorders>
              <w:bottom w:val="single" w:sz="12" w:space="0" w:color="auto"/>
            </w:tcBorders>
            <w:shd w:val="clear" w:color="auto" w:fill="D9D9D9"/>
          </w:tcPr>
          <w:p w:rsidR="00080446" w:rsidRPr="00892DE3" w:rsidRDefault="00080446" w:rsidP="00381114">
            <w:pPr>
              <w:pStyle w:val="Tabletextright"/>
              <w:ind w:left="0" w:firstLine="0"/>
            </w:pPr>
            <w:r w:rsidRPr="00892DE3">
              <w:t>50.6</w:t>
            </w:r>
          </w:p>
        </w:tc>
        <w:tc>
          <w:tcPr>
            <w:tcW w:w="810" w:type="dxa"/>
            <w:tcBorders>
              <w:bottom w:val="single" w:sz="12" w:space="0" w:color="auto"/>
            </w:tcBorders>
          </w:tcPr>
          <w:p w:rsidR="00080446" w:rsidRPr="00892DE3" w:rsidRDefault="00080446" w:rsidP="00381114">
            <w:pPr>
              <w:pStyle w:val="Tabletextright"/>
              <w:ind w:left="0" w:firstLine="0"/>
            </w:pPr>
            <w:r w:rsidRPr="00892DE3">
              <w:t>51.2</w:t>
            </w:r>
          </w:p>
        </w:tc>
        <w:tc>
          <w:tcPr>
            <w:tcW w:w="1104" w:type="dxa"/>
            <w:tcBorders>
              <w:bottom w:val="single" w:sz="12" w:space="0" w:color="auto"/>
            </w:tcBorders>
          </w:tcPr>
          <w:p w:rsidR="00080446" w:rsidRPr="00892DE3" w:rsidRDefault="00080446" w:rsidP="00381114">
            <w:pPr>
              <w:pStyle w:val="Tabletextright"/>
              <w:ind w:left="0" w:firstLine="0"/>
            </w:pPr>
            <w:r w:rsidRPr="00892DE3">
              <w:noBreakHyphen/>
              <w:t>1.2</w:t>
            </w:r>
          </w:p>
        </w:tc>
        <w:tc>
          <w:tcPr>
            <w:tcW w:w="786" w:type="dxa"/>
            <w:tcBorders>
              <w:bottom w:val="single" w:sz="12" w:space="0" w:color="auto"/>
            </w:tcBorders>
          </w:tcPr>
          <w:p w:rsidR="00080446" w:rsidRPr="00892DE3" w:rsidRDefault="00080446" w:rsidP="00381114">
            <w:pPr>
              <w:pStyle w:val="Tabletextcentred"/>
              <w:ind w:left="0" w:firstLine="0"/>
            </w:pPr>
            <w:r w:rsidRPr="00892DE3">
              <w:sym w:font="Wingdings" w:char="F0FC"/>
            </w:r>
          </w:p>
        </w:tc>
      </w:tr>
    </w:tbl>
    <w:p w:rsidR="00080446" w:rsidRPr="00892DE3" w:rsidRDefault="00080446" w:rsidP="00080446">
      <w:pPr>
        <w:pStyle w:val="Note"/>
      </w:pPr>
      <w:r w:rsidRPr="00892DE3">
        <w:t>Note:</w:t>
      </w:r>
    </w:p>
    <w:p w:rsidR="00080446" w:rsidRPr="00892DE3" w:rsidRDefault="00381114" w:rsidP="00080446">
      <w:pPr>
        <w:pStyle w:val="Noteindent"/>
      </w:pPr>
      <w:r w:rsidRPr="00892DE3">
        <w:t>(a)</w:t>
      </w:r>
      <w:r w:rsidR="00080446" w:rsidRPr="00892DE3">
        <w:tab/>
      </w:r>
      <w:r w:rsidR="00080446" w:rsidRPr="00892DE3">
        <w:rPr>
          <w:rFonts w:cstheme="minorHAnsi"/>
          <w:i w:val="0"/>
        </w:rPr>
        <w:sym w:font="Wingdings" w:char="F06E"/>
      </w:r>
      <w:r w:rsidR="00080446" w:rsidRPr="00892DE3">
        <w:tab/>
        <w:t xml:space="preserve">Performance target not achieved – exceeds 5 per cent variance. </w:t>
      </w:r>
      <w:r w:rsidR="00080446" w:rsidRPr="00892DE3">
        <w:rPr>
          <w:color w:val="0063A6" w:themeColor="accent1"/>
        </w:rPr>
        <w:t>[This is a significant variance that requires an explanation, including internal or external factors that caused the variance.]</w:t>
      </w:r>
    </w:p>
    <w:p w:rsidR="00080446" w:rsidRPr="00892DE3" w:rsidRDefault="00080446" w:rsidP="00080446">
      <w:pPr>
        <w:pStyle w:val="Noteindent"/>
      </w:pPr>
      <w:r w:rsidRPr="00892DE3">
        <w:tab/>
      </w:r>
      <w:r w:rsidRPr="00892DE3">
        <w:rPr>
          <w:i w:val="0"/>
        </w:rPr>
        <w:sym w:font="Wingdings" w:char="F0FC"/>
      </w:r>
      <w:r w:rsidRPr="00892DE3">
        <w:tab/>
        <w:t xml:space="preserve">Performance target achieved or exceeded. </w:t>
      </w:r>
      <w:r w:rsidRPr="00892DE3">
        <w:rPr>
          <w:color w:val="0063A6" w:themeColor="accent1"/>
        </w:rPr>
        <w:t>[A variance exceeding 5 per cent is a significant variance that requires an explanation, including internal or external factors that caused the variance.]</w:t>
      </w:r>
    </w:p>
    <w:p w:rsidR="00080446" w:rsidRPr="00892DE3" w:rsidRDefault="00080446" w:rsidP="00080446">
      <w:pPr>
        <w:pStyle w:val="Notesindent"/>
        <w:rPr>
          <w:rFonts w:asciiTheme="majorHAnsi" w:hAnsiTheme="majorHAnsi"/>
          <w:spacing w:val="-2"/>
          <w:sz w:val="14"/>
          <w:szCs w:val="20"/>
        </w:rPr>
      </w:pPr>
      <w:r w:rsidRPr="00892DE3">
        <w:tab/>
      </w:r>
      <w:r w:rsidRPr="00892DE3">
        <w:rPr>
          <w:rFonts w:asciiTheme="majorHAnsi" w:hAnsiTheme="majorHAnsi" w:cstheme="majorHAnsi"/>
          <w:i w:val="0"/>
          <w:sz w:val="14"/>
        </w:rPr>
        <w:sym w:font="Wingdings 2" w:char="F099"/>
      </w:r>
      <w:r w:rsidRPr="00892DE3">
        <w:rPr>
          <w:rFonts w:asciiTheme="majorHAnsi" w:hAnsiTheme="majorHAnsi"/>
          <w:spacing w:val="-2"/>
          <w:sz w:val="14"/>
          <w:szCs w:val="20"/>
        </w:rPr>
        <w:tab/>
        <w:t>Performance target not achieved – within 5 per cent variance.</w:t>
      </w:r>
    </w:p>
    <w:p w:rsidR="00080446" w:rsidRPr="00892DE3" w:rsidRDefault="00080446" w:rsidP="00381114">
      <w:pPr>
        <w:pStyle w:val="Heading2nonTOC"/>
      </w:pPr>
      <w:bookmarkStart w:id="26" w:name="_Toc477967486"/>
      <w:r w:rsidRPr="00892DE3">
        <w:t>Discontinued operation</w:t>
      </w:r>
      <w:bookmarkEnd w:id="26"/>
    </w:p>
    <w:p w:rsidR="00080446" w:rsidRPr="00892DE3" w:rsidRDefault="00080446" w:rsidP="00306EE3">
      <w:r w:rsidRPr="00892DE3">
        <w:t>On 28 March 201</w:t>
      </w:r>
      <w:r w:rsidR="00492605" w:rsidRPr="00892DE3">
        <w:t>7</w:t>
      </w:r>
      <w:r w:rsidRPr="00892DE3">
        <w:t xml:space="preserve">, the Minister for the portfolio, the Hon. John Bristol MP, approved and announced a detailed formal plan to discontinue the activities of the Technology and Communication Office under the Strategic Policy Advice output. The discontinuation of the Technology and Communication Office activities is consistent with the Department’s long-term policy to promote the adoption of new technology and monitor their appropriate use. The departmental objective indicator </w:t>
      </w:r>
      <w:r w:rsidRPr="00892DE3">
        <w:rPr>
          <w:color w:val="0072CE" w:themeColor="accent4"/>
        </w:rPr>
        <w:t>[insert objective indicator(s) the discontinued activities contributed to]</w:t>
      </w:r>
      <w:r w:rsidRPr="00892DE3">
        <w:t xml:space="preserve"> will be </w:t>
      </w:r>
      <w:r w:rsidRPr="00892DE3">
        <w:rPr>
          <w:color w:val="0072CE" w:themeColor="accent4"/>
        </w:rPr>
        <w:t>[removed/adjusted]</w:t>
      </w:r>
      <w:r w:rsidRPr="00892DE3">
        <w:t xml:space="preserve"> as a result of this decision. The discontinuation was completed by 30 June 201</w:t>
      </w:r>
      <w:r w:rsidR="00492605" w:rsidRPr="00892DE3">
        <w:t>7</w:t>
      </w:r>
      <w:r w:rsidRPr="00892DE3">
        <w:t>.</w:t>
      </w:r>
    </w:p>
    <w:p w:rsidR="00080446" w:rsidRPr="00892DE3" w:rsidRDefault="00080446" w:rsidP="00080446">
      <w:pPr>
        <w:pStyle w:val="BodyText"/>
      </w:pPr>
      <w:r w:rsidRPr="00892DE3">
        <w:br w:type="page"/>
      </w:r>
    </w:p>
    <w:p w:rsidR="00080446" w:rsidRPr="00892DE3" w:rsidRDefault="00080446" w:rsidP="00080446">
      <w:pPr>
        <w:pStyle w:val="Smallline"/>
      </w:pPr>
      <w:r w:rsidRPr="00892DE3">
        <w:lastRenderedPageBreak/>
        <w:br w:type="column"/>
      </w:r>
    </w:p>
    <w:p w:rsidR="00080446" w:rsidRPr="00892DE3" w:rsidRDefault="00080446" w:rsidP="00080446">
      <w:pPr>
        <w:pStyle w:val="Guidanceheading"/>
      </w:pPr>
      <w:r w:rsidRPr="00892DE3">
        <w:t>Guidance – Performance against output performance measures</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Reference"/>
      </w:pPr>
      <w:r w:rsidRPr="00892DE3">
        <w:t>FRD 8D</w:t>
      </w:r>
    </w:p>
    <w:p w:rsidR="00080446" w:rsidRPr="00892DE3" w:rsidRDefault="00080446" w:rsidP="00080446">
      <w:pPr>
        <w:pStyle w:val="Guidance"/>
        <w:pBdr>
          <w:bottom w:val="none" w:sz="0" w:space="0" w:color="auto"/>
        </w:pBdr>
      </w:pPr>
      <w:r w:rsidRPr="00892DE3">
        <w:br w:type="column"/>
      </w:r>
      <w:r w:rsidRPr="00892DE3">
        <w:lastRenderedPageBreak/>
        <w:t xml:space="preserve">FRD 8D requires departments to report on actual output performance for a government department including a comparison of the output targets published in the budget papers and actual performance for the portfolio for the corresponding financial year.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
        <w:pBdr>
          <w:bottom w:val="none" w:sz="0" w:space="0" w:color="auto"/>
        </w:pBdr>
      </w:pPr>
      <w:r w:rsidRPr="00892DE3">
        <w:br w:type="column"/>
      </w:r>
      <w:r w:rsidRPr="00892DE3">
        <w:lastRenderedPageBreak/>
        <w:t>FRD 22H</w:t>
      </w:r>
      <w:r w:rsidR="006A58CA">
        <w:t xml:space="preserve"> (to be issued in June 2017) </w:t>
      </w:r>
      <w:r w:rsidRPr="00892DE3">
        <w:t xml:space="preserve"> states the report should include a ‘summary of the entity’s operational and budgetary objectives, including performance against the objectives and significant achievements’ for the current reporting period. This section also supplements a department’s fulfilment of the requirement in FRD 22H to detail the ‘purpose, functions, powers and duties’ of the entity (which is fulfilled in the earlier </w:t>
      </w:r>
      <w:r w:rsidRPr="00892DE3">
        <w:rPr>
          <w:i/>
        </w:rPr>
        <w:t>‘Year in review’</w:t>
      </w:r>
      <w:r w:rsidRPr="00892DE3">
        <w:t xml:space="preserve"> section).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Recommendation 39, PAEC Report 118</w:t>
      </w:r>
    </w:p>
    <w:p w:rsidR="00080446" w:rsidRPr="00892DE3" w:rsidRDefault="00080446" w:rsidP="00080446">
      <w:pPr>
        <w:pStyle w:val="Guidanceheading1"/>
      </w:pPr>
      <w:r w:rsidRPr="00892DE3">
        <w:br w:type="column"/>
      </w:r>
      <w:r w:rsidRPr="00892DE3">
        <w:lastRenderedPageBreak/>
        <w:t>Guidance</w:t>
      </w:r>
    </w:p>
    <w:p w:rsidR="00080446" w:rsidRPr="00892DE3" w:rsidRDefault="00080446" w:rsidP="00080446">
      <w:pPr>
        <w:pStyle w:val="Guidance"/>
        <w:pBdr>
          <w:bottom w:val="none" w:sz="0" w:space="0" w:color="auto"/>
        </w:pBdr>
      </w:pPr>
      <w:r w:rsidRPr="00892DE3">
        <w:t xml:space="preserve">An introduction to this section should include an overview of the key output areas, as articulated in the budget papers, plus any explanation of changes to the output structure that occurred during the year (covered above in </w:t>
      </w:r>
      <w:r w:rsidRPr="00892DE3">
        <w:rPr>
          <w:i/>
        </w:rPr>
        <w:t>Changes to the Department during 2016-17</w:t>
      </w:r>
      <w:r w:rsidRPr="00892DE3">
        <w:t>).</w:t>
      </w:r>
    </w:p>
    <w:p w:rsidR="00080446" w:rsidRPr="00892DE3" w:rsidRDefault="00080446" w:rsidP="00080446">
      <w:pPr>
        <w:pStyle w:val="Guidance"/>
        <w:pBdr>
          <w:bottom w:val="none" w:sz="0" w:space="0" w:color="auto"/>
        </w:pBdr>
      </w:pPr>
      <w:r w:rsidRPr="00892DE3">
        <w:t>Departmental output performance reporting should therefore include:</w:t>
      </w:r>
    </w:p>
    <w:p w:rsidR="00080446" w:rsidRPr="00892DE3" w:rsidRDefault="00080446" w:rsidP="00587DAE">
      <w:pPr>
        <w:pStyle w:val="Guidancebullet"/>
        <w:numPr>
          <w:ilvl w:val="1"/>
          <w:numId w:val="24"/>
        </w:numPr>
        <w:pBdr>
          <w:bottom w:val="none" w:sz="0" w:space="0" w:color="auto"/>
        </w:pBdr>
        <w:ind w:left="446" w:hanging="446"/>
      </w:pPr>
      <w:r w:rsidRPr="00892DE3">
        <w:t xml:space="preserve">an overview of the key output areas for which a department is responsible for that financial year (as set out in Budget Paper No. 3 </w:t>
      </w:r>
      <w:r w:rsidRPr="00892DE3">
        <w:rPr>
          <w:i/>
        </w:rPr>
        <w:t>Service Delivery</w:t>
      </w:r>
      <w:r w:rsidRPr="00892DE3">
        <w:t xml:space="preserve"> (BP3); and</w:t>
      </w:r>
    </w:p>
    <w:p w:rsidR="00080446" w:rsidRPr="00892DE3" w:rsidRDefault="00080446" w:rsidP="00587DAE">
      <w:pPr>
        <w:pStyle w:val="Guidancebullet"/>
        <w:numPr>
          <w:ilvl w:val="1"/>
          <w:numId w:val="24"/>
        </w:numPr>
        <w:pBdr>
          <w:bottom w:val="none" w:sz="0" w:space="0" w:color="auto"/>
        </w:pBdr>
        <w:ind w:left="446" w:hanging="446"/>
      </w:pPr>
      <w:r w:rsidRPr="00892DE3">
        <w:t>detailed output performance delivery information, in particular:</w:t>
      </w:r>
    </w:p>
    <w:p w:rsidR="00080446" w:rsidRPr="00892DE3" w:rsidRDefault="00080446" w:rsidP="00080446">
      <w:pPr>
        <w:pStyle w:val="Guidanceindent2"/>
      </w:pPr>
      <w:r w:rsidRPr="00892DE3">
        <w:tab/>
        <w:t>–</w:t>
      </w:r>
      <w:r w:rsidRPr="00892DE3">
        <w:tab/>
        <w:t>the actual result on an output by output basis against the budget target (as per BP3) and the actual result for each quantity, quality, timeliness and cost performance measure. The output performance measures should be presented as published in the department’s output statements in BP3;</w:t>
      </w:r>
    </w:p>
    <w:p w:rsidR="00080446" w:rsidRPr="00892DE3" w:rsidRDefault="00080446" w:rsidP="00080446">
      <w:pPr>
        <w:pStyle w:val="Guidanceindent2"/>
      </w:pPr>
      <w:r w:rsidRPr="00892DE3">
        <w:tab/>
        <w:t>–</w:t>
      </w:r>
      <w:r w:rsidRPr="00892DE3">
        <w:tab/>
        <w:t xml:space="preserve">appropriate commentary for any complex output performance measures to assist readers to understand the measure and its purpose; </w:t>
      </w:r>
    </w:p>
    <w:p w:rsidR="00080446" w:rsidRPr="00892DE3" w:rsidRDefault="00080446" w:rsidP="00080446">
      <w:pPr>
        <w:pStyle w:val="Guidanceindent2"/>
      </w:pPr>
      <w:r w:rsidRPr="00892DE3">
        <w:tab/>
        <w:t>–</w:t>
      </w:r>
      <w:r w:rsidRPr="00892DE3">
        <w:tab/>
        <w:t>appropriate commentary to explain the cause of all significant or material variances (both positive and negative) between the BP3 targets and actual results (including output costs). The commentary provided should be sufficient to assist the reader in understanding variances between actual and targeted results; and</w:t>
      </w:r>
    </w:p>
    <w:p w:rsidR="00080446" w:rsidRPr="00892DE3" w:rsidRDefault="00080446" w:rsidP="00080446">
      <w:pPr>
        <w:pStyle w:val="Guidanceindent2"/>
      </w:pPr>
      <w:r w:rsidRPr="00892DE3">
        <w:tab/>
        <w:t>–</w:t>
      </w:r>
      <w:r w:rsidRPr="00892DE3">
        <w:tab/>
        <w:t>explanation of any changes to the output structure that have occurred during the financial year, such as changes arising from machinery of government administrative changes and any other changes (i.e. new output created due to a government policy decision, output name change from the previous financial year, consolidation or disaggregation of outputs from the previous financial year).</w:t>
      </w:r>
    </w:p>
    <w:p w:rsidR="00080446" w:rsidRPr="00892DE3" w:rsidRDefault="00080446" w:rsidP="00080446">
      <w:pPr>
        <w:pStyle w:val="Guidance"/>
        <w:pBdr>
          <w:bottom w:val="none" w:sz="0" w:space="0" w:color="auto"/>
        </w:pBdr>
      </w:pPr>
      <w:r w:rsidRPr="00892DE3">
        <w:t>The details may be shown in tabular form with some commentary on those targets that were met or exceeded and an explanation of any targets not met, as noted below.</w:t>
      </w:r>
    </w:p>
    <w:p w:rsidR="00080446" w:rsidRPr="00892DE3" w:rsidRDefault="00080446" w:rsidP="00080446">
      <w:pPr>
        <w:pStyle w:val="Guidanceheading2"/>
        <w:pBdr>
          <w:bottom w:val="none" w:sz="0" w:space="0" w:color="auto"/>
        </w:pBdr>
      </w:pPr>
      <w:r w:rsidRPr="00892DE3">
        <w:t>Significant or material variances in output performance reporting</w:t>
      </w:r>
    </w:p>
    <w:p w:rsidR="00080446" w:rsidRPr="00892DE3" w:rsidRDefault="00080446" w:rsidP="00080446">
      <w:pPr>
        <w:pStyle w:val="Guidanceheading1"/>
      </w:pPr>
      <w:r w:rsidRPr="00892DE3">
        <w:t>General criteria in determining a significant variation of output performances</w:t>
      </w:r>
    </w:p>
    <w:p w:rsidR="00080446" w:rsidRPr="00892DE3" w:rsidRDefault="00080446" w:rsidP="00080446">
      <w:pPr>
        <w:pStyle w:val="Guidance"/>
        <w:pBdr>
          <w:bottom w:val="none" w:sz="0" w:space="0" w:color="auto"/>
        </w:pBdr>
      </w:pPr>
      <w:r w:rsidRPr="00892DE3">
        <w:t xml:space="preserve">The following criteria are intended as general guidance for departments in determining whether or not to provide commentary to explain variances between budget and actual results: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t>Recommendation 38,</w:t>
      </w:r>
    </w:p>
    <w:p w:rsidR="00080446" w:rsidRPr="00892DE3" w:rsidRDefault="00080446" w:rsidP="00080446">
      <w:pPr>
        <w:pStyle w:val="Reference"/>
      </w:pPr>
      <w:r w:rsidRPr="00892DE3">
        <w:t>PAEC Report 118</w:t>
      </w:r>
    </w:p>
    <w:p w:rsidR="00080446" w:rsidRPr="00892DE3" w:rsidRDefault="00080446" w:rsidP="00587DAE">
      <w:pPr>
        <w:pStyle w:val="Guidancebullet"/>
        <w:numPr>
          <w:ilvl w:val="1"/>
          <w:numId w:val="24"/>
        </w:numPr>
        <w:ind w:left="446" w:hanging="446"/>
      </w:pPr>
      <w:r w:rsidRPr="00892DE3">
        <w:br w:type="column"/>
      </w:r>
      <w:r w:rsidRPr="00892DE3">
        <w:lastRenderedPageBreak/>
        <w:t xml:space="preserve">greater than five per cent (as opposed to five percentage points) increase or decrease from budget; [A percentage point is the unit for the arithmetic difference of two percentages, e.g. moving from 80 per cent to 84 per cent is a 4 percentage point increase (not a 4 per cent increase). This means if the target is 80 per cent and the expected outcome is 84 per cent, the variance is 5 per cent.] </w:t>
      </w:r>
    </w:p>
    <w:p w:rsidR="00080446" w:rsidRPr="00892DE3" w:rsidRDefault="00080446" w:rsidP="00587DAE">
      <w:pPr>
        <w:pStyle w:val="Guidancebullet"/>
        <w:numPr>
          <w:ilvl w:val="1"/>
          <w:numId w:val="24"/>
        </w:numPr>
        <w:ind w:left="446" w:hanging="446"/>
      </w:pPr>
      <w:r w:rsidRPr="00892DE3">
        <w:t>an explanation for the variance that arises from the implementation of new policy or existing policy, government decisions or actions;</w:t>
      </w:r>
    </w:p>
    <w:p w:rsidR="00080446" w:rsidRPr="00892DE3" w:rsidRDefault="00080446" w:rsidP="00587DAE">
      <w:pPr>
        <w:pStyle w:val="Guidancebullet"/>
        <w:numPr>
          <w:ilvl w:val="1"/>
          <w:numId w:val="24"/>
        </w:numPr>
        <w:ind w:left="446" w:hanging="446"/>
      </w:pPr>
      <w:r w:rsidRPr="00892DE3">
        <w:t xml:space="preserve">an explanation for the variance should identify whether the factor that caused the variation was internal (a factor within the government) or external (a factor outside the government); and </w:t>
      </w:r>
    </w:p>
    <w:p w:rsidR="00080446" w:rsidRPr="00892DE3" w:rsidRDefault="00080446" w:rsidP="00587DAE">
      <w:pPr>
        <w:pStyle w:val="Guidancebullet"/>
        <w:numPr>
          <w:ilvl w:val="1"/>
          <w:numId w:val="24"/>
        </w:numPr>
        <w:ind w:left="446" w:hanging="446"/>
      </w:pPr>
      <w:r w:rsidRPr="00892DE3">
        <w:t xml:space="preserve">an explanation for the variance that may be of public interest. </w:t>
      </w:r>
    </w:p>
    <w:p w:rsidR="00080446" w:rsidRPr="00892DE3" w:rsidRDefault="00080446" w:rsidP="00080446"/>
    <w:p w:rsidR="00080446" w:rsidRPr="00892DE3" w:rsidRDefault="00080446" w:rsidP="00080446">
      <w:pPr>
        <w:spacing w:before="0" w:after="200" w:line="276" w:lineRule="auto"/>
        <w:rPr>
          <w:rFonts w:ascii="Arial Bold" w:hAnsi="Arial Bold"/>
          <w:b/>
          <w:color w:val="FFFFFF" w:themeColor="background1"/>
          <w:spacing w:val="6"/>
          <w:position w:val="4"/>
        </w:rPr>
      </w:pPr>
    </w:p>
    <w:p w:rsidR="00080446" w:rsidRPr="00892DE3" w:rsidRDefault="00080446" w:rsidP="00080446">
      <w:pPr>
        <w:spacing w:before="0" w:after="200" w:line="276" w:lineRule="auto"/>
        <w:rPr>
          <w:rStyle w:val="BodyTextChar"/>
          <w:rFonts w:ascii="Arial" w:hAnsi="Arial"/>
          <w:spacing w:val="6"/>
          <w:sz w:val="4"/>
          <w:szCs w:val="4"/>
        </w:rPr>
      </w:pPr>
      <w:r w:rsidRPr="00892DE3">
        <w:rPr>
          <w:rStyle w:val="BodyTextChar"/>
          <w:spacing w:val="6"/>
          <w:sz w:val="4"/>
          <w:szCs w:val="4"/>
        </w:rPr>
        <w:br w:type="page"/>
      </w:r>
    </w:p>
    <w:p w:rsidR="00080446" w:rsidRPr="00892DE3" w:rsidRDefault="00080446" w:rsidP="00080446">
      <w:pPr>
        <w:pStyle w:val="Smallline"/>
        <w:rPr>
          <w:rStyle w:val="BodyTextChar"/>
        </w:rPr>
      </w:pPr>
    </w:p>
    <w:p w:rsidR="00080446" w:rsidRPr="00892DE3" w:rsidRDefault="00080446" w:rsidP="00080446">
      <w:pPr>
        <w:pStyle w:val="Smallline"/>
        <w:rPr>
          <w:rStyle w:val="BodyTextChar"/>
        </w:rPr>
      </w:pPr>
      <w:r w:rsidRPr="00892DE3">
        <w:rPr>
          <w:rStyle w:val="BodyTextChar"/>
        </w:rPr>
        <w:br w:type="column"/>
      </w:r>
    </w:p>
    <w:p w:rsidR="00080446" w:rsidRPr="00892DE3" w:rsidRDefault="00080446" w:rsidP="00080446">
      <w:pPr>
        <w:pStyle w:val="Guidanceheading"/>
      </w:pPr>
      <w:r w:rsidRPr="00892DE3">
        <w:t xml:space="preserve">Guidance – Performance against output performance measures </w:t>
      </w:r>
      <w:r w:rsidRPr="00892DE3">
        <w:rPr>
          <w:i/>
        </w:rPr>
        <w:t>(continued)</w:t>
      </w:r>
    </w:p>
    <w:p w:rsidR="00080446" w:rsidRPr="00892DE3" w:rsidRDefault="00080446" w:rsidP="00080446">
      <w:pPr>
        <w:pStyle w:val="Guidanceheading1"/>
      </w:pPr>
      <w:r w:rsidRPr="00892DE3">
        <w:t>Specific criteria in determining a significant target variances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t xml:space="preserve">Recommendation 27, PAEC Report 109 </w:t>
      </w:r>
    </w:p>
    <w:p w:rsidR="00080446" w:rsidRPr="00892DE3" w:rsidRDefault="00080446" w:rsidP="00587DAE">
      <w:pPr>
        <w:pStyle w:val="Guidancebullet"/>
        <w:numPr>
          <w:ilvl w:val="1"/>
          <w:numId w:val="24"/>
        </w:numPr>
        <w:pBdr>
          <w:bottom w:val="none" w:sz="0" w:space="0" w:color="auto"/>
        </w:pBdr>
        <w:ind w:left="446" w:hanging="446"/>
      </w:pPr>
      <w:r w:rsidRPr="00892DE3">
        <w:br w:type="column"/>
      </w:r>
      <w:r w:rsidRPr="00892DE3">
        <w:lastRenderedPageBreak/>
        <w:t>For a target that is range based – if the target is a range, a significant variance is one that falls outside the target range by 5 per cent below the lower band and 5 per cent above the higher band.</w:t>
      </w:r>
    </w:p>
    <w:p w:rsidR="00080446" w:rsidRPr="00892DE3" w:rsidRDefault="00080446" w:rsidP="00587DAE">
      <w:pPr>
        <w:pStyle w:val="Guidancebullet"/>
        <w:numPr>
          <w:ilvl w:val="1"/>
          <w:numId w:val="24"/>
        </w:numPr>
        <w:ind w:left="446" w:hanging="446"/>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spacing w:before="120"/>
      </w:pPr>
      <w:r w:rsidRPr="00892DE3">
        <w:lastRenderedPageBreak/>
        <w:t xml:space="preserve">Recommendation 32, PAEC Report 109 </w:t>
      </w:r>
    </w:p>
    <w:p w:rsidR="00080446" w:rsidRPr="00892DE3" w:rsidRDefault="00080446" w:rsidP="00587DAE">
      <w:pPr>
        <w:pStyle w:val="Guidancebullet"/>
        <w:numPr>
          <w:ilvl w:val="1"/>
          <w:numId w:val="24"/>
        </w:numPr>
        <w:pBdr>
          <w:bottom w:val="none" w:sz="0" w:space="0" w:color="auto"/>
        </w:pBdr>
        <w:ind w:left="446" w:hanging="446"/>
      </w:pPr>
      <w:r w:rsidRPr="00892DE3">
        <w:br w:type="column"/>
      </w:r>
      <w:r w:rsidRPr="00892DE3">
        <w:lastRenderedPageBreak/>
        <w:t>For the target that is a date:</w:t>
      </w:r>
    </w:p>
    <w:p w:rsidR="00080446" w:rsidRPr="00892DE3" w:rsidRDefault="00080446" w:rsidP="00080446">
      <w:pPr>
        <w:pStyle w:val="Guidanceindent2"/>
      </w:pPr>
      <w:r w:rsidRPr="00892DE3">
        <w:tab/>
        <w:t>–</w:t>
      </w:r>
      <w:r w:rsidRPr="00892DE3">
        <w:tab/>
        <w:t>if the target reflects a statutory requirement, any variance later than the target is significant; and</w:t>
      </w:r>
    </w:p>
    <w:p w:rsidR="00080446" w:rsidRPr="00892DE3" w:rsidRDefault="00080446" w:rsidP="00080446">
      <w:pPr>
        <w:pStyle w:val="Guidanceindent2"/>
      </w:pPr>
      <w:r w:rsidRPr="00892DE3">
        <w:tab/>
        <w:t>–</w:t>
      </w:r>
      <w:r w:rsidRPr="00892DE3">
        <w:tab/>
        <w:t>if the target is a quarter (e.g. quarter four), anything that falls outside the target is a significant target variance.</w:t>
      </w:r>
    </w:p>
    <w:p w:rsidR="00080446" w:rsidRPr="00892DE3" w:rsidRDefault="00080446" w:rsidP="00587DAE">
      <w:pPr>
        <w:pStyle w:val="Guidancebullet"/>
        <w:numPr>
          <w:ilvl w:val="1"/>
          <w:numId w:val="24"/>
        </w:numPr>
        <w:ind w:left="446" w:hanging="446"/>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spacing w:before="120"/>
      </w:pPr>
      <w:r w:rsidRPr="00892DE3">
        <w:lastRenderedPageBreak/>
        <w:t>Recommendation 19,</w:t>
      </w:r>
    </w:p>
    <w:p w:rsidR="00080446" w:rsidRPr="00892DE3" w:rsidRDefault="00080446" w:rsidP="00080446">
      <w:pPr>
        <w:pStyle w:val="Reference"/>
      </w:pPr>
      <w:r w:rsidRPr="00892DE3">
        <w:t>PAEC Report 118</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red"/>
        <w:rPr>
          <w:b/>
        </w:rPr>
      </w:pPr>
      <w:r w:rsidRPr="00892DE3">
        <w:rPr>
          <w:b/>
        </w:rPr>
        <w:t xml:space="preserve">New </w:t>
      </w:r>
    </w:p>
    <w:p w:rsidR="00080446" w:rsidRPr="00892DE3" w:rsidRDefault="00080446" w:rsidP="00080446">
      <w:pPr>
        <w:pStyle w:val="Reference"/>
      </w:pPr>
    </w:p>
    <w:p w:rsidR="00080446" w:rsidRPr="00892DE3" w:rsidRDefault="00080446" w:rsidP="00587DAE">
      <w:pPr>
        <w:pStyle w:val="Guidancebullet"/>
        <w:numPr>
          <w:ilvl w:val="1"/>
          <w:numId w:val="24"/>
        </w:numPr>
        <w:pBdr>
          <w:bottom w:val="none" w:sz="0" w:space="0" w:color="auto"/>
        </w:pBdr>
        <w:ind w:left="446" w:hanging="446"/>
      </w:pPr>
      <w:r w:rsidRPr="00892DE3">
        <w:br w:type="column"/>
      </w:r>
      <w:r w:rsidRPr="00892DE3">
        <w:lastRenderedPageBreak/>
        <w:t>Departments are expected to adopt a system that incorporates the use of symbols to indicate whether:</w:t>
      </w:r>
    </w:p>
    <w:p w:rsidR="00080446" w:rsidRPr="00892DE3" w:rsidRDefault="00080446" w:rsidP="00080446">
      <w:pPr>
        <w:pStyle w:val="Guidanceindent2"/>
      </w:pPr>
      <w:r w:rsidRPr="00892DE3">
        <w:tab/>
        <w:t>–</w:t>
      </w:r>
      <w:r w:rsidRPr="00892DE3">
        <w:tab/>
        <w:t>the target was achieved or exceeded in a desirable way;</w:t>
      </w:r>
    </w:p>
    <w:p w:rsidR="00080446" w:rsidRPr="00892DE3" w:rsidRDefault="00080446" w:rsidP="00080446">
      <w:pPr>
        <w:pStyle w:val="Guidanceindent2"/>
      </w:pPr>
      <w:r w:rsidRPr="00892DE3">
        <w:tab/>
        <w:t>–</w:t>
      </w:r>
      <w:r w:rsidRPr="00892DE3">
        <w:tab/>
        <w:t>the actual result varied from the target in an undesirable direction but by less than 5 per cent; or</w:t>
      </w:r>
    </w:p>
    <w:p w:rsidR="00080446" w:rsidRPr="00892DE3" w:rsidRDefault="00080446" w:rsidP="00080446">
      <w:pPr>
        <w:pStyle w:val="Guidanceindent2"/>
      </w:pPr>
      <w:r w:rsidRPr="00892DE3">
        <w:tab/>
        <w:t>–</w:t>
      </w:r>
      <w:r w:rsidRPr="00892DE3">
        <w:tab/>
        <w:t>the actual result varied from the target in an undesirable direction by more than 5 per cent.</w:t>
      </w:r>
    </w:p>
    <w:p w:rsidR="00080446" w:rsidRPr="00892DE3" w:rsidRDefault="00080446" w:rsidP="00587DAE">
      <w:pPr>
        <w:pStyle w:val="Guidancebullet"/>
        <w:numPr>
          <w:ilvl w:val="1"/>
          <w:numId w:val="24"/>
        </w:numPr>
        <w:pBdr>
          <w:bottom w:val="none" w:sz="0" w:space="0" w:color="auto"/>
        </w:pBdr>
        <w:ind w:left="446" w:hanging="446"/>
      </w:pPr>
      <w:r w:rsidRPr="00892DE3">
        <w:t>The illustrations above used the following symbols as an example to indicate the type of variance:</w:t>
      </w:r>
    </w:p>
    <w:p w:rsidR="00080446" w:rsidRPr="00892DE3" w:rsidRDefault="00080446" w:rsidP="00080446">
      <w:pPr>
        <w:pStyle w:val="Guidanceindent2"/>
      </w:pPr>
      <w:r w:rsidRPr="00892DE3">
        <w:tab/>
      </w:r>
      <w:r w:rsidRPr="00892DE3">
        <w:sym w:font="Wingdings" w:char="F0FC"/>
      </w:r>
      <w:r w:rsidRPr="00892DE3">
        <w:tab/>
        <w:t>performance target achieved – (both within 5 per cent variance and exceeds 5 per cent variance);</w:t>
      </w:r>
    </w:p>
    <w:p w:rsidR="00080446" w:rsidRPr="00892DE3" w:rsidRDefault="00080446" w:rsidP="00080446">
      <w:pPr>
        <w:pStyle w:val="Guidanceindent2"/>
      </w:pPr>
      <w:r w:rsidRPr="00892DE3">
        <w:tab/>
      </w:r>
      <w:r w:rsidRPr="00892DE3">
        <w:sym w:font="Wingdings" w:char="F0A1"/>
      </w:r>
      <w:r w:rsidRPr="00892DE3">
        <w:tab/>
        <w:t>performance target not achieved – within 5 per cent variance; and</w:t>
      </w:r>
    </w:p>
    <w:p w:rsidR="00080446" w:rsidRPr="00892DE3" w:rsidRDefault="00080446" w:rsidP="00080446">
      <w:pPr>
        <w:pStyle w:val="Guidanceindent2"/>
      </w:pPr>
      <w:r w:rsidRPr="00892DE3">
        <w:tab/>
      </w:r>
      <w:r w:rsidRPr="00892DE3">
        <w:sym w:font="Wingdings" w:char="F06E"/>
      </w:r>
      <w:r w:rsidRPr="00892DE3">
        <w:tab/>
        <w:t>performance target not achieved – exceeds 5 per cent variance.</w:t>
      </w:r>
    </w:p>
    <w:p w:rsidR="00080446" w:rsidRPr="00892DE3" w:rsidRDefault="00080446" w:rsidP="00080446">
      <w:pPr>
        <w:pStyle w:val="Guidanceheading2"/>
        <w:pBdr>
          <w:bottom w:val="none" w:sz="0" w:space="0" w:color="auto"/>
        </w:pBdr>
      </w:pPr>
      <w:r w:rsidRPr="00892DE3">
        <w:t>Presentation of output reporting</w:t>
      </w:r>
    </w:p>
    <w:p w:rsidR="00080446" w:rsidRPr="00892DE3" w:rsidRDefault="00080446" w:rsidP="00080446">
      <w:pPr>
        <w:pStyle w:val="Guidance"/>
        <w:pBdr>
          <w:bottom w:val="none" w:sz="0" w:space="0" w:color="auto"/>
        </w:pBdr>
      </w:pPr>
      <w:r w:rsidRPr="00892DE3">
        <w:t>Departments are expected to present their output performance results in the same format as the departmental output statements contained in the corresponding BP3 Service Delivery. The format involves stating the reasons for significant variances for each category (i.e. quantity, quality, timeliness and total output cost) within the output performance tables.</w:t>
      </w:r>
    </w:p>
    <w:p w:rsidR="00080446" w:rsidRPr="00892DE3" w:rsidRDefault="00080446" w:rsidP="00080446">
      <w:pPr>
        <w:pStyle w:val="Guidance"/>
        <w:pBdr>
          <w:bottom w:val="none" w:sz="0" w:space="0" w:color="auto"/>
        </w:pBdr>
      </w:pPr>
      <w:r w:rsidRPr="00892DE3">
        <w:t>Departments are encouraged to describe their progress and/or achievement of the key programs/project/activities and deliverables associated with the outputs and the impact on departmental objectives.</w:t>
      </w:r>
    </w:p>
    <w:p w:rsidR="00080446" w:rsidRPr="00892DE3" w:rsidRDefault="00080446" w:rsidP="00080446">
      <w:pPr>
        <w:pStyle w:val="Guidanceheading2"/>
        <w:pBdr>
          <w:bottom w:val="none" w:sz="0" w:space="0" w:color="auto"/>
        </w:pBdr>
      </w:pPr>
      <w:r w:rsidRPr="00892DE3">
        <w:t>Discontinued output performance measures</w:t>
      </w:r>
    </w:p>
    <w:p w:rsidR="00080446" w:rsidRPr="00892DE3" w:rsidRDefault="00080446" w:rsidP="00080446">
      <w:pPr>
        <w:pStyle w:val="Guidance"/>
        <w:pBdr>
          <w:bottom w:val="none" w:sz="0" w:space="0" w:color="auto"/>
        </w:pBdr>
      </w:pPr>
      <w:r w:rsidRPr="00892DE3">
        <w:t>Departments do not need to report on any PAEC approved discontinued measures. The report of operations should disclose that these output performance measures have been discontinued with PAEC’s approval. Reporting of actuals against targets is not required.</w:t>
      </w:r>
    </w:p>
    <w:p w:rsidR="00080446" w:rsidRPr="00892DE3" w:rsidRDefault="00080446" w:rsidP="00080446">
      <w:pPr>
        <w:pStyle w:val="Guidance"/>
      </w:pPr>
      <w:r w:rsidRPr="00892DE3">
        <w:t>Any measures that were proposed for discontinuation but were not approved by PAEC must continue to be reported.</w:t>
      </w:r>
    </w:p>
    <w:p w:rsidR="00080446" w:rsidRPr="00892DE3" w:rsidRDefault="00080446" w:rsidP="00080446">
      <w:pPr>
        <w:pStyle w:val="BodyText"/>
      </w:pPr>
      <w:r w:rsidRPr="00892DE3">
        <w:br w:type="page"/>
      </w:r>
    </w:p>
    <w:p w:rsidR="00080446" w:rsidRPr="00892DE3" w:rsidRDefault="00080446" w:rsidP="00AA770B">
      <w:pPr>
        <w:pStyle w:val="Heading1nonTOC"/>
      </w:pPr>
      <w:r w:rsidRPr="00892DE3">
        <w:lastRenderedPageBreak/>
        <w:br w:type="column"/>
      </w:r>
      <w:r w:rsidRPr="00892DE3">
        <w:lastRenderedPageBreak/>
        <w:t>Portfolio performance reporting – Financial section</w:t>
      </w:r>
    </w:p>
    <w:p w:rsidR="00080446" w:rsidRPr="00892DE3" w:rsidRDefault="00080446" w:rsidP="00AA770B">
      <w:pPr>
        <w:pStyle w:val="Heading2nonTOC"/>
      </w:pPr>
      <w:r w:rsidRPr="00892DE3">
        <w:t xml:space="preserve">Budget portfolio outcomes </w:t>
      </w:r>
    </w:p>
    <w:p w:rsidR="00080446" w:rsidRPr="00892DE3" w:rsidRDefault="00080446" w:rsidP="00080446">
      <w:pPr>
        <w:pStyle w:val="Heading4blue"/>
      </w:pPr>
      <w:r w:rsidRPr="00892DE3">
        <w:t xml:space="preserve">[The budget portfolio outcomes are better disclosed as an appendix in the entity’s annual report]. </w:t>
      </w:r>
    </w:p>
    <w:p w:rsidR="00080446" w:rsidRPr="00892DE3" w:rsidRDefault="00080446" w:rsidP="00080446">
      <w:pPr>
        <w:pStyle w:val="Heading4blu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br/>
        <w:t>FRD 8D</w:t>
      </w:r>
    </w:p>
    <w:p w:rsidR="00080446" w:rsidRPr="00892DE3" w:rsidRDefault="00080446" w:rsidP="00080446">
      <w:pPr>
        <w:pStyle w:val="BodyText"/>
      </w:pPr>
      <w:r w:rsidRPr="00892DE3">
        <w:br w:type="column"/>
      </w:r>
      <w:r w:rsidRPr="00892DE3">
        <w:lastRenderedPageBreak/>
        <w:t xml:space="preserve">The budget portfolio outcomes provide comparisons between the actual financial statements of all general government sector entities in the portfolio and the forecast financial information (initial budget estimates) published in Budget Paper No. 5 </w:t>
      </w:r>
      <w:r w:rsidRPr="00892DE3">
        <w:rPr>
          <w:i/>
        </w:rPr>
        <w:t>Statement of Finances</w:t>
      </w:r>
      <w:r w:rsidRPr="00892DE3">
        <w:t xml:space="preserve"> (BP5). The budget portfolio outcomes comprise the comprehensive operating statements, balance sheets, cash flow statements, statements of changes in equity, and administered item statements.</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br/>
        <w:t>Recommendation 9, PAEC Report 109</w:t>
      </w:r>
    </w:p>
    <w:p w:rsidR="00080446" w:rsidRPr="00892DE3" w:rsidRDefault="00080446" w:rsidP="00080446">
      <w:pPr>
        <w:pStyle w:val="BodyText"/>
      </w:pPr>
      <w:r w:rsidRPr="00892DE3">
        <w:br w:type="column"/>
      </w:r>
      <w:r w:rsidRPr="00892DE3">
        <w:lastRenderedPageBreak/>
        <w:t xml:space="preserve">The budget portfolio outcomes have been prepared on a consolidated basis and include all general government sector entities in the portfolio. Financial transactions and balances are classified into either controlled or administered categories consistent with the published statements in BP5. </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br/>
        <w:t>FRD 8D</w:t>
      </w:r>
    </w:p>
    <w:p w:rsidR="00080446" w:rsidRPr="00892DE3" w:rsidRDefault="00080446" w:rsidP="00080446">
      <w:pPr>
        <w:pStyle w:val="BodyText"/>
      </w:pPr>
      <w:r w:rsidRPr="00892DE3">
        <w:br w:type="column"/>
      </w:r>
      <w:r w:rsidRPr="00892DE3">
        <w:lastRenderedPageBreak/>
        <w:t>The following budget portfolio outcomes statements are not subject to audit by the Victorian Auditor-General’s Office and are not prepared on the same basis as the Department’s financial statements as they include the consolidated financial information of the following entities:</w:t>
      </w:r>
    </w:p>
    <w:p w:rsidR="00080446" w:rsidRPr="00892DE3" w:rsidRDefault="00080446" w:rsidP="00080446">
      <w:pPr>
        <w:pStyle w:val="Guidancenoborder"/>
      </w:pPr>
      <w:r w:rsidRPr="00892DE3">
        <w:t xml:space="preserve">[Insert list of controlled entities or refer reader to </w:t>
      </w:r>
      <w:r w:rsidR="00825A98" w:rsidRPr="00892DE3">
        <w:t>the relevant note</w:t>
      </w:r>
      <w:r w:rsidRPr="00892DE3">
        <w:t xml:space="preserve"> in the financial statements.]</w:t>
      </w:r>
    </w:p>
    <w:p w:rsidR="00080446" w:rsidRPr="00892DE3" w:rsidRDefault="00080446" w:rsidP="00080446">
      <w:pPr>
        <w:pStyle w:val="Guidancenoborder"/>
      </w:pPr>
      <w:r w:rsidRPr="00892DE3">
        <w:t>[Insert relevant portfolio financial statements consistent with the corresponding BP5 presentation.]</w:t>
      </w:r>
    </w:p>
    <w:p w:rsidR="00080446" w:rsidRPr="00892DE3" w:rsidRDefault="00080446" w:rsidP="00080446">
      <w:pPr>
        <w:pStyle w:val="Guidancenoborder"/>
      </w:pPr>
      <w:r w:rsidRPr="00892DE3">
        <w:t xml:space="preserve">[Please refer to Appendix </w:t>
      </w:r>
      <w:r w:rsidR="006A58CA">
        <w:t>2</w:t>
      </w:r>
      <w:r w:rsidRPr="00892DE3">
        <w:t xml:space="preserve"> for illustrations on the disclosure of budget portfolio outcomes.]</w:t>
      </w:r>
    </w:p>
    <w:p w:rsidR="00080446" w:rsidRPr="00892DE3" w:rsidRDefault="00080446" w:rsidP="00080446">
      <w:pPr>
        <w:pStyle w:val="Guidanceheading"/>
      </w:pPr>
      <w:r w:rsidRPr="00892DE3">
        <w:t xml:space="preserve">Guidance – Budget portfolio outcomes </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
        <w:pBdr>
          <w:bottom w:val="none" w:sz="0" w:space="0" w:color="auto"/>
        </w:pBdr>
      </w:pPr>
      <w:r w:rsidRPr="00892DE3">
        <w:rPr>
          <w:b/>
        </w:rPr>
        <w:t>FRD 8D</w:t>
      </w:r>
      <w:r w:rsidRPr="00892DE3">
        <w:t xml:space="preserve"> </w:t>
      </w:r>
      <w:r w:rsidRPr="00892DE3">
        <w:rPr>
          <w:i/>
        </w:rPr>
        <w:t>Consistency of Budget and Departmental Reporting</w:t>
      </w:r>
      <w:r w:rsidRPr="00892DE3">
        <w:t xml:space="preserve"> states departments must include in their annual report, but not forming part of the audited complete set of financial statements, a comparison between their </w:t>
      </w:r>
      <w:r w:rsidRPr="00892DE3">
        <w:rPr>
          <w:b/>
        </w:rPr>
        <w:t>initial budget estimates as presented in the portfolio financial statements published in BP5</w:t>
      </w:r>
      <w:r w:rsidRPr="00892DE3">
        <w:t xml:space="preserve"> and actual results for the portfolio for the corresponding financial year. The accountability cycle for departments commences with the publication of budget portfolio financial statements in the annual budget papers and ends with the publication of actual results in departmental annual reports. </w:t>
      </w:r>
    </w:p>
    <w:p w:rsidR="00080446" w:rsidRPr="00892DE3" w:rsidRDefault="00080446" w:rsidP="00080446">
      <w:pPr>
        <w:pStyle w:val="Guidance"/>
        <w:pBdr>
          <w:bottom w:val="none" w:sz="0" w:space="0" w:color="auto"/>
        </w:pBdr>
      </w:pPr>
      <w:r w:rsidRPr="00892DE3">
        <w:t xml:space="preserve">The comparison between portfolio </w:t>
      </w:r>
      <w:r w:rsidRPr="00892DE3">
        <w:rPr>
          <w:b/>
        </w:rPr>
        <w:t>budget</w:t>
      </w:r>
      <w:r w:rsidRPr="00892DE3">
        <w:t xml:space="preserve"> and actual figures must be presented as a set of financial statements in the same format and consolidation basis as those for the portfolio set out in </w:t>
      </w:r>
      <w:r w:rsidRPr="00892DE3">
        <w:rPr>
          <w:b/>
        </w:rPr>
        <w:t>BP5 for that financial year</w:t>
      </w:r>
      <w:r w:rsidRPr="00892DE3">
        <w:t>. These financial statements are to be referred to as budget portfolio outcomes. Departments must classify all entities, financial transactions and balances (income, expenses, assets, liabilities and equity) into either the departmental (controlled) or administered category as agreed with the Treasurer in the context of the financial statements published in BP5.</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 xml:space="preserve">The comparison between portfolio budget and actual figures must be presented as a set of financial statements in the same format and consolidation basis as those for the portfolio, set out in </w:t>
      </w:r>
      <w:r w:rsidRPr="00892DE3">
        <w:rPr>
          <w:b/>
        </w:rPr>
        <w:t>BP5 for that financial year</w:t>
      </w:r>
      <w:r w:rsidRPr="00892DE3">
        <w:t xml:space="preserve"> (i.e. those figures and format used in </w:t>
      </w:r>
      <w:r w:rsidRPr="00892DE3">
        <w:rPr>
          <w:b/>
        </w:rPr>
        <w:t>BP5</w:t>
      </w:r>
      <w:r w:rsidRPr="00892DE3">
        <w:t>). The section should include an introduction explaining the statements and their relationship to the budget papers. The introduction should also state that the statements are not subject to audit by the Victorian Auditor-General’s Office.</w:t>
      </w:r>
    </w:p>
    <w:p w:rsidR="00080446" w:rsidRPr="00892DE3" w:rsidRDefault="00080446" w:rsidP="00080446">
      <w:pPr>
        <w:pStyle w:val="Guidance"/>
      </w:pPr>
      <w:r w:rsidRPr="00892DE3">
        <w:t>From time to time, the layouts and titles of the financial statements may change in accordance with the AAS requirements. Care should be taken to ensure the presentation of the budget portfolio outcomes in the annual report reflects the title and layout of the financial statements from the corresponding BP5, with additional commentary and footnotes where appropriate.</w:t>
      </w:r>
    </w:p>
    <w:p w:rsidR="00080446" w:rsidRPr="00892DE3" w:rsidRDefault="00080446" w:rsidP="00080446">
      <w:pPr>
        <w:pStyle w:val="BodyText"/>
      </w:pPr>
      <w:r w:rsidRPr="00892DE3">
        <w:br w:type="page"/>
      </w:r>
    </w:p>
    <w:p w:rsidR="00080446" w:rsidRPr="00892DE3" w:rsidRDefault="00080446" w:rsidP="00080446">
      <w:pPr>
        <w:pStyle w:val="Smallline"/>
      </w:pPr>
      <w:r w:rsidRPr="00892DE3">
        <w:lastRenderedPageBreak/>
        <w:br w:type="column"/>
      </w:r>
    </w:p>
    <w:p w:rsidR="00080446" w:rsidRPr="00892DE3" w:rsidRDefault="00080446" w:rsidP="00080446">
      <w:pPr>
        <w:pStyle w:val="Guidanceheading"/>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t>Guidance – Budget portfolio outcomes</w:t>
      </w:r>
      <w:r w:rsidRPr="00892DE3">
        <w:rPr>
          <w:i/>
        </w:rPr>
        <w:t xml:space="preserve"> (continued)</w:t>
      </w:r>
    </w:p>
    <w:p w:rsidR="00080446" w:rsidRPr="00892DE3" w:rsidRDefault="00080446" w:rsidP="00080446">
      <w:pPr>
        <w:pStyle w:val="Reference"/>
      </w:pPr>
    </w:p>
    <w:p w:rsidR="00080446" w:rsidRPr="00892DE3" w:rsidRDefault="00080446" w:rsidP="00080446">
      <w:pPr>
        <w:pStyle w:val="Reference"/>
      </w:pPr>
      <w:r w:rsidRPr="00892DE3">
        <w:t>Recommendation 10, PAEC Report 109</w:t>
      </w:r>
    </w:p>
    <w:p w:rsidR="00080446" w:rsidRPr="00892DE3" w:rsidRDefault="00080446" w:rsidP="00080446">
      <w:pPr>
        <w:pStyle w:val="Guidanceheading2"/>
        <w:pBdr>
          <w:bottom w:val="none" w:sz="0" w:space="0" w:color="auto"/>
        </w:pBdr>
      </w:pPr>
      <w:r w:rsidRPr="00892DE3">
        <w:br w:type="column"/>
      </w:r>
      <w:r w:rsidRPr="00892DE3">
        <w:lastRenderedPageBreak/>
        <w:t>Significant or material variances in budget portfolio outcomes reporting</w:t>
      </w:r>
    </w:p>
    <w:p w:rsidR="00080446" w:rsidRPr="00892DE3" w:rsidRDefault="00080446" w:rsidP="00080446">
      <w:pPr>
        <w:pStyle w:val="Guidance"/>
        <w:pBdr>
          <w:bottom w:val="none" w:sz="0" w:space="0" w:color="auto"/>
        </w:pBdr>
      </w:pPr>
      <w:r w:rsidRPr="00892DE3">
        <w:t xml:space="preserve">Disclosure is required for any significant or material variances between the initial budget estimates presented in the portfolio financial statements published in BP5 and the actual results of the portfolio for the corresponding financial year. In particular, the Department shall explain the reasons why the variance occurred. </w:t>
      </w:r>
    </w:p>
    <w:p w:rsidR="00080446" w:rsidRPr="00892DE3" w:rsidRDefault="00080446" w:rsidP="00080446">
      <w:pPr>
        <w:pStyle w:val="Guidance"/>
        <w:rPr>
          <w:b/>
          <w:i/>
        </w:r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red"/>
        <w:rPr>
          <w:b/>
        </w:rPr>
      </w:pPr>
      <w:r w:rsidRPr="00892DE3">
        <w:rPr>
          <w:b/>
        </w:rPr>
        <w:lastRenderedPageBreak/>
        <w:t xml:space="preserve">New </w:t>
      </w:r>
    </w:p>
    <w:p w:rsidR="00080446" w:rsidRPr="00892DE3" w:rsidRDefault="00080446" w:rsidP="00080446">
      <w:pPr>
        <w:pStyle w:val="Reference"/>
      </w:pPr>
      <w:r w:rsidRPr="00892DE3">
        <w:t>Recommendation 15, PAEC Report on 2013-14 and 2014-15 Financial and Performance Outcomes</w:t>
      </w:r>
    </w:p>
    <w:p w:rsidR="00080446" w:rsidRPr="00892DE3" w:rsidRDefault="00080446" w:rsidP="00080446">
      <w:pPr>
        <w:pStyle w:val="Guidance"/>
        <w:rPr>
          <w:b/>
          <w:i/>
        </w:rPr>
      </w:pPr>
      <w:r w:rsidRPr="00892DE3">
        <w:rPr>
          <w:b/>
          <w:i/>
        </w:rPr>
        <w:br w:type="column"/>
      </w:r>
      <w:r w:rsidRPr="00892DE3">
        <w:rPr>
          <w:b/>
          <w:i/>
        </w:rPr>
        <w:lastRenderedPageBreak/>
        <w:t>Machinery of government changes</w:t>
      </w:r>
    </w:p>
    <w:p w:rsidR="00080446" w:rsidRPr="00892DE3" w:rsidRDefault="00080446" w:rsidP="00080446">
      <w:pPr>
        <w:pStyle w:val="Guidance"/>
      </w:pPr>
      <w:r w:rsidRPr="00892DE3">
        <w:t>In a machinery of government year, departments are required to include the published budget, along with the revised budget with adjustments for machinery of government changes in their annual reports. The reasons for variances should be disclosed in the annual report of the portfolio entities.</w:t>
      </w:r>
    </w:p>
    <w:p w:rsidR="00080446" w:rsidRPr="00892DE3" w:rsidRDefault="00080446" w:rsidP="00080446">
      <w:pPr>
        <w:pStyle w:val="Reference"/>
      </w:pPr>
    </w:p>
    <w:p w:rsidR="00080446" w:rsidRPr="00892DE3" w:rsidRDefault="00080446" w:rsidP="00080446">
      <w:pPr>
        <w:pStyle w:val="Subheading"/>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w:t>
      </w:r>
      <w:r w:rsidR="00C42E5E" w:rsidRPr="00892DE3">
        <w:t>H</w:t>
      </w:r>
    </w:p>
    <w:p w:rsidR="00080446" w:rsidRPr="00892DE3" w:rsidRDefault="00080446" w:rsidP="00381114">
      <w:pPr>
        <w:pStyle w:val="TableHeading"/>
        <w:tabs>
          <w:tab w:val="clear" w:pos="9639"/>
          <w:tab w:val="right" w:pos="8080"/>
        </w:tabs>
      </w:pPr>
      <w:r w:rsidRPr="00892DE3">
        <w:br w:type="column"/>
      </w:r>
      <w:r w:rsidRPr="00892DE3">
        <w:lastRenderedPageBreak/>
        <w:t>Departmental five year financial summary</w:t>
      </w:r>
      <w:r w:rsidR="00381114" w:rsidRPr="00892DE3">
        <w:tab/>
      </w:r>
      <w:r w:rsidRPr="00892DE3">
        <w:t>($ thousand)</w:t>
      </w:r>
    </w:p>
    <w:tbl>
      <w:tblPr>
        <w:tblStyle w:val="DTFTable"/>
        <w:tblW w:w="8155" w:type="dxa"/>
        <w:tblLayout w:type="fixed"/>
        <w:tblLook w:val="06A0" w:firstRow="1" w:lastRow="0" w:firstColumn="1" w:lastColumn="0" w:noHBand="1" w:noVBand="1"/>
      </w:tblPr>
      <w:tblGrid>
        <w:gridCol w:w="3193"/>
        <w:gridCol w:w="851"/>
        <w:gridCol w:w="992"/>
        <w:gridCol w:w="992"/>
        <w:gridCol w:w="993"/>
        <w:gridCol w:w="1134"/>
      </w:tblGrid>
      <w:tr w:rsidR="00080446" w:rsidRPr="00892DE3" w:rsidTr="00306EE3">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Five year financial summary</w:t>
            </w:r>
          </w:p>
        </w:tc>
        <w:tc>
          <w:tcPr>
            <w:tcW w:w="851" w:type="dxa"/>
            <w:tcBorders>
              <w:bottom w:val="nil"/>
            </w:tcBorders>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2017</w:t>
            </w:r>
          </w:p>
        </w:tc>
        <w:tc>
          <w:tcPr>
            <w:tcW w:w="992"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2016</w:t>
            </w:r>
          </w:p>
        </w:tc>
        <w:tc>
          <w:tcPr>
            <w:tcW w:w="992"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2015</w:t>
            </w:r>
          </w:p>
        </w:tc>
        <w:tc>
          <w:tcPr>
            <w:tcW w:w="993"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2014</w:t>
            </w:r>
          </w:p>
        </w:tc>
        <w:tc>
          <w:tcPr>
            <w:tcW w:w="1134"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2013</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r w:rsidRPr="00892DE3">
              <w:t xml:space="preserve">Income from government </w:t>
            </w:r>
            <w:r w:rsidRPr="00892DE3">
              <w:rPr>
                <w:vertAlign w:val="superscript"/>
              </w:rPr>
              <w:t>(</w:t>
            </w:r>
            <w:r w:rsidR="00306EE3" w:rsidRPr="00892DE3">
              <w:rPr>
                <w:vertAlign w:val="superscript"/>
              </w:rPr>
              <w:t>a</w:t>
            </w:r>
            <w:r w:rsidRPr="00892DE3">
              <w:rPr>
                <w:vertAlign w:val="superscript"/>
              </w:rPr>
              <w:t>)</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93 663</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75 078</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110 490</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101 311</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100 460</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Total income from transactions</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107 474</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86 260</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112 500</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106 263</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104 669</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Total expenses from transactions</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(81 252)</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(77 421)</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(110 000)</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(100 000)</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(100 000)</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r w:rsidRPr="00892DE3">
              <w:t xml:space="preserve">Net result from transactions </w:t>
            </w:r>
            <w:r w:rsidRPr="00892DE3">
              <w:rPr>
                <w:vertAlign w:val="superscript"/>
              </w:rPr>
              <w:t>(</w:t>
            </w:r>
            <w:r w:rsidR="00306EE3" w:rsidRPr="00892DE3">
              <w:rPr>
                <w:vertAlign w:val="superscript"/>
              </w:rPr>
              <w:t>b</w:t>
            </w:r>
            <w:r w:rsidRPr="00892DE3">
              <w:rPr>
                <w:vertAlign w:val="superscript"/>
              </w:rPr>
              <w:t>)</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26 222</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8 839</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2 500</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6 263</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4 669</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r w:rsidRPr="00892DE3">
              <w:t xml:space="preserve">Net result for the period </w:t>
            </w:r>
            <w:r w:rsidRPr="00892DE3">
              <w:rPr>
                <w:vertAlign w:val="superscript"/>
              </w:rPr>
              <w:t>(</w:t>
            </w:r>
            <w:r w:rsidR="00306EE3" w:rsidRPr="00892DE3">
              <w:rPr>
                <w:vertAlign w:val="superscript"/>
              </w:rPr>
              <w:t>c</w:t>
            </w:r>
            <w:r w:rsidRPr="00892DE3">
              <w:rPr>
                <w:vertAlign w:val="superscript"/>
              </w:rPr>
              <w:t>)</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14 790</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9 879</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3 369</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3 874</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3 409</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Net cash flow from operating activities</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15 207</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18 654</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9 357</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9 712</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9 386</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Total assets</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239 034</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227 787</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227 759</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228 314</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227 897</w:t>
            </w:r>
          </w:p>
        </w:tc>
      </w:tr>
      <w:tr w:rsidR="00080446" w:rsidRPr="00892DE3" w:rsidTr="00306EE3">
        <w:trPr>
          <w:trHeight w:val="262"/>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Total liabilities</w:t>
            </w:r>
          </w:p>
        </w:tc>
        <w:tc>
          <w:tcPr>
            <w:tcW w:w="851" w:type="dxa"/>
            <w:tcBorders>
              <w:bottom w:val="single" w:sz="12" w:space="0" w:color="auto"/>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97 601</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112 826</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39 419</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37 150</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36 117</w:t>
            </w:r>
          </w:p>
        </w:tc>
      </w:tr>
    </w:tbl>
    <w:p w:rsidR="00080446" w:rsidRPr="00892DE3" w:rsidRDefault="00080446" w:rsidP="00306EE3">
      <w:pPr>
        <w:pStyle w:val="Note"/>
      </w:pPr>
      <w:r w:rsidRPr="00892DE3">
        <w:t>Notes:</w:t>
      </w:r>
    </w:p>
    <w:p w:rsidR="00080446" w:rsidRPr="00892DE3" w:rsidRDefault="00080446" w:rsidP="00306EE3">
      <w:pPr>
        <w:pStyle w:val="Note"/>
      </w:pPr>
      <w:r w:rsidRPr="00892DE3">
        <w:t>(</w:t>
      </w:r>
      <w:r w:rsidR="00306EE3" w:rsidRPr="00892DE3">
        <w:t>a</w:t>
      </w:r>
      <w:r w:rsidRPr="00892DE3">
        <w:t>)</w:t>
      </w:r>
      <w:r w:rsidRPr="00892DE3">
        <w:tab/>
        <w:t>Income from government includes both output and special appropriations.</w:t>
      </w:r>
    </w:p>
    <w:p w:rsidR="00080446" w:rsidRPr="00892DE3" w:rsidRDefault="00080446" w:rsidP="00306EE3">
      <w:pPr>
        <w:pStyle w:val="Note"/>
      </w:pPr>
      <w:r w:rsidRPr="00892DE3">
        <w:t>(</w:t>
      </w:r>
      <w:r w:rsidR="00306EE3" w:rsidRPr="00892DE3">
        <w:t>b</w:t>
      </w:r>
      <w:r w:rsidRPr="00892DE3">
        <w:t>)</w:t>
      </w:r>
      <w:r w:rsidRPr="00892DE3">
        <w:tab/>
        <w:t>The ‘net result from transactions’ is identical to the ‘net operating balance’ for the general government sector.</w:t>
      </w:r>
    </w:p>
    <w:p w:rsidR="00080446" w:rsidRPr="00892DE3" w:rsidRDefault="00080446" w:rsidP="00306EE3">
      <w:pPr>
        <w:pStyle w:val="Note"/>
      </w:pPr>
      <w:r w:rsidRPr="00892DE3">
        <w:t>(</w:t>
      </w:r>
      <w:r w:rsidR="00306EE3" w:rsidRPr="00892DE3">
        <w:t>c</w:t>
      </w:r>
      <w:r w:rsidRPr="00892DE3">
        <w:t>)</w:t>
      </w:r>
      <w:r w:rsidRPr="00892DE3">
        <w:tab/>
        <w:t>Includes net result from discontinued operations.</w:t>
      </w:r>
    </w:p>
    <w:p w:rsidR="00080446" w:rsidRPr="00892DE3" w:rsidRDefault="00080446" w:rsidP="00080446">
      <w:pPr>
        <w:pStyle w:val="Note"/>
      </w:pPr>
    </w:p>
    <w:p w:rsidR="00080446" w:rsidRPr="00892DE3" w:rsidRDefault="00080446" w:rsidP="00381114">
      <w:pPr>
        <w:pStyle w:val="Heading2nonTOC"/>
      </w:pPr>
      <w:bookmarkStart w:id="27" w:name="_Toc477967487"/>
      <w:r w:rsidRPr="00892DE3">
        <w:t>Departmental current year financial review</w:t>
      </w:r>
      <w:bookmarkEnd w:id="27"/>
      <w:r w:rsidRPr="00892DE3">
        <w:t xml:space="preserve"> </w:t>
      </w:r>
    </w:p>
    <w:p w:rsidR="00080446" w:rsidRPr="00892DE3" w:rsidRDefault="00080446" w:rsidP="00080446">
      <w:pPr>
        <w:pStyle w:val="Heading3unnumbered"/>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spacing w:before="60"/>
      </w:pPr>
    </w:p>
    <w:p w:rsidR="00080446" w:rsidRPr="00892DE3" w:rsidRDefault="00080446" w:rsidP="00080446">
      <w:pPr>
        <w:pStyle w:val="Reference"/>
        <w:spacing w:before="60"/>
      </w:pPr>
      <w:r w:rsidRPr="00892DE3">
        <w:t>FRD22H</w:t>
      </w:r>
    </w:p>
    <w:p w:rsidR="00080446" w:rsidRPr="00892DE3" w:rsidRDefault="00080446" w:rsidP="00306EE3">
      <w:pPr>
        <w:pStyle w:val="Heading30"/>
      </w:pPr>
      <w:r w:rsidRPr="00892DE3">
        <w:br w:type="column"/>
      </w:r>
      <w:r w:rsidRPr="00892DE3">
        <w:lastRenderedPageBreak/>
        <w:t>Overview</w:t>
      </w:r>
    </w:p>
    <w:p w:rsidR="00080446" w:rsidRPr="00892DE3" w:rsidRDefault="00080446" w:rsidP="00080446">
      <w:pPr>
        <w:pStyle w:val="Guidancenoborder"/>
      </w:pPr>
      <w:r w:rsidRPr="00892DE3">
        <w:t>[Analysis of the current year financial performance should be balanced and objective, free from bias and complete, dealing even-handedly with both positive and negative aspects of operations, financial conditions, risks and opportunities. In addition, analysis of any significant overall financial trends over the past five years could also be considered for inclusion in this section further explaining the five year financial summary table above.]</w:t>
      </w:r>
    </w:p>
    <w:p w:rsidR="00080446" w:rsidRPr="00892DE3" w:rsidRDefault="00080446" w:rsidP="00587DAE">
      <w:pPr>
        <w:pStyle w:val="ListBullet"/>
        <w:keepLines w:val="0"/>
        <w:numPr>
          <w:ilvl w:val="0"/>
          <w:numId w:val="19"/>
        </w:numPr>
        <w:spacing w:before="120" w:after="60"/>
      </w:pPr>
      <w:r w:rsidRPr="00892DE3">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Department.</w:t>
      </w:r>
    </w:p>
    <w:p w:rsidR="00080446" w:rsidRPr="00892DE3" w:rsidRDefault="00080446" w:rsidP="00587DAE">
      <w:pPr>
        <w:pStyle w:val="ListBullet"/>
        <w:keepLines w:val="0"/>
        <w:numPr>
          <w:ilvl w:val="0"/>
          <w:numId w:val="19"/>
        </w:numPr>
        <w:spacing w:before="120" w:after="60"/>
        <w:rPr>
          <w:color w:val="0072CE" w:themeColor="accent4"/>
        </w:rPr>
      </w:pPr>
      <w:r w:rsidRPr="00892DE3">
        <w:t xml:space="preserve">In 2016-17, the Department achieved a net result from transactions of $26.2 million, $17.3 million higher than in 2015-16. Both total income and expenses from transactions have steadily increased since 2012-13 up to 2014-15 and the net result from transactions has been relatively consistent during these periods. However, there is an uncharacteristic decline in both income and expenses from transactions in 2015-16 before stabilising again in 2016-17, mainly due to: </w:t>
      </w:r>
      <w:r w:rsidRPr="00892DE3">
        <w:rPr>
          <w:color w:val="0072CE" w:themeColor="accent4"/>
        </w:rPr>
        <w:t>[while this example considers the current year and past five years’ performance, explanations should be kept brief in this overview section. Where possible, explanations should attribute the key drivers to related services or programs].</w:t>
      </w:r>
    </w:p>
    <w:p w:rsidR="00080446" w:rsidRPr="00892DE3" w:rsidRDefault="00080446" w:rsidP="00587DAE">
      <w:pPr>
        <w:pStyle w:val="ListBullet"/>
        <w:keepLines w:val="0"/>
        <w:numPr>
          <w:ilvl w:val="0"/>
          <w:numId w:val="19"/>
        </w:numPr>
        <w:spacing w:before="120" w:after="60"/>
        <w:rPr>
          <w:color w:val="0072CE" w:themeColor="accent4"/>
        </w:rPr>
      </w:pPr>
      <w:r w:rsidRPr="00892DE3">
        <w:t xml:space="preserve">The overall net result of $14.8 million in 2016-17 is the highest in the five-year period as a result of </w:t>
      </w:r>
      <w:r w:rsidRPr="00892DE3">
        <w:rPr>
          <w:color w:val="0072CE" w:themeColor="accent4"/>
        </w:rPr>
        <w:t>[consider brief explanations of the key drivers from transactions and other economic flows, attributing the explanation where possible to programs or services].</w:t>
      </w:r>
    </w:p>
    <w:p w:rsidR="00080446" w:rsidRPr="00892DE3" w:rsidRDefault="00080446" w:rsidP="00306EE3">
      <w:r w:rsidRPr="00892DE3">
        <w:t xml:space="preserve">Total net assets continued to grow with an increase of $26.5 million in 2016-17 to $141.4 million predominately reflecting the growth in total asset base, including: </w:t>
      </w:r>
      <w:r w:rsidRPr="00892DE3">
        <w:rPr>
          <w:color w:val="0072CE" w:themeColor="accent4"/>
        </w:rPr>
        <w:t>[consider brief explanations of key drivers, attributing the explanation where possible to programs or services]</w:t>
      </w:r>
      <w:r w:rsidRPr="00892DE3">
        <w:t>.</w:t>
      </w:r>
    </w:p>
    <w:p w:rsidR="00DA3433" w:rsidRPr="00892DE3" w:rsidRDefault="00DA3433">
      <w:pPr>
        <w:keepLines w:val="0"/>
      </w:pPr>
      <w:r w:rsidRPr="00892DE3">
        <w:br w:type="page"/>
      </w:r>
    </w:p>
    <w:p w:rsidR="00080446" w:rsidRPr="00892DE3" w:rsidRDefault="00DA3433" w:rsidP="00080446">
      <w:pPr>
        <w:pStyle w:val="BodyText"/>
      </w:pPr>
      <w:r w:rsidRPr="00892DE3">
        <w:lastRenderedPageBreak/>
        <w:br w:type="column"/>
      </w:r>
      <w:r w:rsidR="00080446" w:rsidRPr="00892DE3">
        <w:lastRenderedPageBreak/>
        <w:t xml:space="preserve">The decline in operating cash inflows to $15.2 million from last year’s $18.7 million is mainly due to the Department relinquishing a joint venture to the Department of Cabinet Administration as a result of machinery of government changes. As a consequence, dividends from the venture are now received by the latter Department. </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Note"/>
      </w:pPr>
    </w:p>
    <w:p w:rsidR="00080446" w:rsidRPr="00892DE3" w:rsidRDefault="00080446" w:rsidP="00080446">
      <w:pPr>
        <w:pStyle w:val="Reference"/>
      </w:pPr>
      <w:r w:rsidRPr="00892DE3">
        <w:t>FRD 22H</w:t>
      </w:r>
    </w:p>
    <w:p w:rsidR="00080446" w:rsidRPr="00892DE3" w:rsidRDefault="00080446" w:rsidP="00381114">
      <w:pPr>
        <w:pStyle w:val="Heading30"/>
      </w:pPr>
      <w:r w:rsidRPr="00892DE3">
        <w:br w:type="column"/>
      </w:r>
      <w:r w:rsidRPr="00892DE3">
        <w:lastRenderedPageBreak/>
        <w:t>Financial performance and business review</w:t>
      </w:r>
    </w:p>
    <w:p w:rsidR="00080446" w:rsidRPr="00892DE3" w:rsidRDefault="00080446" w:rsidP="00080446">
      <w:pPr>
        <w:pStyle w:val="BodyText"/>
      </w:pPr>
      <w:r w:rsidRPr="00892DE3">
        <w:t xml:space="preserve">As part of the </w:t>
      </w:r>
      <w:r w:rsidRPr="00892DE3">
        <w:rPr>
          <w:i/>
        </w:rPr>
        <w:t xml:space="preserve">Administrative Arrangements Order </w:t>
      </w:r>
      <w:r w:rsidRPr="00892DE3">
        <w:rPr>
          <w:i/>
          <w:color w:val="0072CE" w:themeColor="accent4"/>
        </w:rPr>
        <w:t>[No.XXX]</w:t>
      </w:r>
      <w:r w:rsidRPr="00892DE3">
        <w:rPr>
          <w:i/>
        </w:rPr>
        <w:t xml:space="preserve"> 2016</w:t>
      </w:r>
      <w:r w:rsidRPr="00892DE3">
        <w:t>, the transfer of outputs on 1 September 2016 was reflected in the financial statement of the Department as follows:</w:t>
      </w:r>
    </w:p>
    <w:p w:rsidR="00080446" w:rsidRPr="00892DE3" w:rsidRDefault="00080446" w:rsidP="00587DAE">
      <w:pPr>
        <w:pStyle w:val="ListBullet"/>
        <w:keepLines w:val="0"/>
        <w:numPr>
          <w:ilvl w:val="0"/>
          <w:numId w:val="19"/>
        </w:numPr>
        <w:spacing w:before="120" w:after="60"/>
      </w:pPr>
      <w:r w:rsidRPr="00892DE3">
        <w:t>the New Technology Administration output is included for the period 1 July until 31 August 2016. From 1 September 2016 to 30 June 2017 this output is reported by the Department of Cabinet and Administration; and</w:t>
      </w:r>
    </w:p>
    <w:p w:rsidR="00080446" w:rsidRPr="00892DE3" w:rsidRDefault="00080446" w:rsidP="00587DAE">
      <w:pPr>
        <w:pStyle w:val="ListBullet"/>
        <w:keepLines w:val="0"/>
        <w:numPr>
          <w:ilvl w:val="0"/>
          <w:numId w:val="19"/>
        </w:numPr>
        <w:spacing w:before="120" w:after="60"/>
      </w:pPr>
      <w:r w:rsidRPr="00892DE3">
        <w:t>the Research and Development of Biological Technology output is included from 1 September 2016 to 30 June 2017. From 1 July to 31 August 2016 it was reported by the Department of Natural Resources.</w:t>
      </w:r>
    </w:p>
    <w:p w:rsidR="00080446" w:rsidRPr="00892DE3" w:rsidRDefault="00080446" w:rsidP="00080446">
      <w:pPr>
        <w:pStyle w:val="BodyText"/>
      </w:pPr>
      <w:r w:rsidRPr="00892DE3">
        <w:t>While the Department achieved a higher net result from transactions in 2016-17 of $17.4 million, income dropped marginally due to funding for the new technology output from the State Government being transferred out following the machinery of government changes as outlined above. However, the reduced appropriation was largely offset by the increase in income of $4.9 million generated by the strategic output, and the funding related to the research and development of biological technology output transferred in due to machinery of government changes.</w:t>
      </w:r>
    </w:p>
    <w:p w:rsidR="00080446" w:rsidRPr="00892DE3" w:rsidRDefault="00080446" w:rsidP="00080446">
      <w:pPr>
        <w:pStyle w:val="BodyText"/>
      </w:pPr>
      <w:r w:rsidRPr="00892DE3">
        <w:t xml:space="preserve">Expenses from transactions marginally increased largely due to machinery of government changes resulting in increased expenses related to the new output received, even as the overall expenses of existing outputs have decreased. </w:t>
      </w:r>
      <w:r w:rsidRPr="00892DE3">
        <w:rPr>
          <w:color w:val="0072CE" w:themeColor="accent4"/>
        </w:rPr>
        <w:t>[Expand the information presented in the overview section drawing particular attention to certain line items in the comprehensive operating statement, and relate these where possible to key drivers from programs/services etc.]</w:t>
      </w:r>
      <w:r w:rsidRPr="00892DE3">
        <w:t xml:space="preserve"> Overall 50 per cent of expenses went to payments to service providers mainly for </w:t>
      </w:r>
      <w:r w:rsidRPr="00892DE3">
        <w:rPr>
          <w:color w:val="0072CE" w:themeColor="accent4"/>
        </w:rPr>
        <w:t>[complete with a list of key programs/services]</w:t>
      </w:r>
      <w:r w:rsidRPr="00892DE3">
        <w:t>.</w:t>
      </w:r>
    </w:p>
    <w:p w:rsidR="00080446" w:rsidRPr="00892DE3" w:rsidRDefault="00080446" w:rsidP="00080446">
      <w:pPr>
        <w:pStyle w:val="BodyText"/>
      </w:pPr>
      <w:r w:rsidRPr="00892DE3">
        <w:t>The increase of $4.9 million [or 50 per cent] in the net result for the period primarily reflects [expand the discussion presented in the overview, drawing on key drivers where appropriate from line items under transactions and other economic flows. The overall result is likely to be driven by a combination of activities including offsetting activities].</w:t>
      </w:r>
    </w:p>
    <w:p w:rsidR="00080446" w:rsidRPr="00892DE3" w:rsidRDefault="00080446" w:rsidP="00080446">
      <w:pPr>
        <w:pStyle w:val="BodyText"/>
      </w:pPr>
      <w:r w:rsidRPr="00892DE3">
        <w:t xml:space="preserve">In addition, the overall comprehensive result increased due to valuation gains on property plant and equipment and certain available-for-sale financial instruments. </w:t>
      </w:r>
      <w:r w:rsidRPr="00892DE3">
        <w:rPr>
          <w:color w:val="0072CE" w:themeColor="accent4"/>
        </w:rPr>
        <w:t>[Where appropriate, the key general purpose group category of related reserves could be named as well as any key available</w:t>
      </w:r>
      <w:r w:rsidRPr="00892DE3">
        <w:rPr>
          <w:color w:val="0072CE" w:themeColor="accent4"/>
        </w:rPr>
        <w:noBreakHyphen/>
        <w:t>for-sale investments.]</w:t>
      </w:r>
      <w:r w:rsidRPr="00892DE3">
        <w:rPr>
          <w:i/>
          <w:color w:val="0072CE" w:themeColor="accent4"/>
        </w:rPr>
        <w:t xml:space="preserve"> </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Note"/>
      </w:pPr>
    </w:p>
    <w:p w:rsidR="00080446" w:rsidRPr="00892DE3" w:rsidRDefault="00080446" w:rsidP="00080446">
      <w:pPr>
        <w:pStyle w:val="Reference"/>
      </w:pPr>
      <w:r w:rsidRPr="00892DE3">
        <w:t>FRD 22H</w:t>
      </w:r>
    </w:p>
    <w:p w:rsidR="00080446" w:rsidRPr="00892DE3" w:rsidRDefault="00080446" w:rsidP="00381114">
      <w:pPr>
        <w:pStyle w:val="Heading30"/>
      </w:pPr>
      <w:r w:rsidRPr="00892DE3">
        <w:br w:type="column"/>
      </w:r>
      <w:r w:rsidRPr="00892DE3">
        <w:lastRenderedPageBreak/>
        <w:t>Financial position – balance sheet</w:t>
      </w:r>
    </w:p>
    <w:p w:rsidR="00080446" w:rsidRPr="00892DE3" w:rsidRDefault="00080446" w:rsidP="00080446">
      <w:pPr>
        <w:pStyle w:val="BodyText"/>
      </w:pPr>
      <w:r w:rsidRPr="00892DE3">
        <w:t xml:space="preserve">Net assets increased by $26.5 million over the year to $141.4 million, mainly due to increases in total assets of $11.2 million comprising $19.5 million of increases in financial assets, partly offset by a reduction of $8.3 million in non-financial assets. The increase in financial assets is mainly due to increase in cash, deposits, and receivables due to </w:t>
      </w:r>
      <w:r w:rsidRPr="00892DE3">
        <w:rPr>
          <w:color w:val="0072CE" w:themeColor="accent4"/>
        </w:rPr>
        <w:t>[describe]</w:t>
      </w:r>
      <w:r w:rsidRPr="00892DE3">
        <w:t xml:space="preserve">. </w:t>
      </w:r>
    </w:p>
    <w:p w:rsidR="00080446" w:rsidRPr="00892DE3" w:rsidRDefault="00080446" w:rsidP="00080446">
      <w:pPr>
        <w:pStyle w:val="BodyText"/>
      </w:pPr>
      <w:r w:rsidRPr="00892DE3">
        <w:t>The overall total of non-financial assets marginally increased due to the combined effect of decreases in plant, equipment and vehicles related to output transferred out (refer to Note 5</w:t>
      </w:r>
      <w:r w:rsidR="00825A98" w:rsidRPr="00892DE3">
        <w:t>.1</w:t>
      </w:r>
      <w:r w:rsidRPr="00892DE3">
        <w:t xml:space="preserve"> </w:t>
      </w:r>
      <w:r w:rsidRPr="00892DE3">
        <w:rPr>
          <w:i/>
        </w:rPr>
        <w:t>Property, plant and equipment</w:t>
      </w:r>
      <w:r w:rsidRPr="00892DE3">
        <w:t xml:space="preserve"> within the financial statements for further details), offset by:</w:t>
      </w:r>
    </w:p>
    <w:p w:rsidR="00080446" w:rsidRPr="00892DE3" w:rsidRDefault="00080446" w:rsidP="00587DAE">
      <w:pPr>
        <w:pStyle w:val="ListBullet"/>
        <w:keepLines w:val="0"/>
        <w:numPr>
          <w:ilvl w:val="0"/>
          <w:numId w:val="19"/>
        </w:numPr>
        <w:spacing w:before="120" w:after="60"/>
      </w:pPr>
      <w:r w:rsidRPr="00892DE3">
        <w:t>acquisition of laboratories and other agricultural facilities associated with the transfer of the research and development of biological technology output;</w:t>
      </w:r>
    </w:p>
    <w:p w:rsidR="00080446" w:rsidRPr="00892DE3" w:rsidRDefault="00080446" w:rsidP="00587DAE">
      <w:pPr>
        <w:pStyle w:val="ListBullet"/>
        <w:keepLines w:val="0"/>
        <w:numPr>
          <w:ilvl w:val="0"/>
          <w:numId w:val="19"/>
        </w:numPr>
        <w:spacing w:before="120" w:after="60"/>
      </w:pPr>
      <w:r w:rsidRPr="00892DE3">
        <w:t xml:space="preserve">new research laboratories built at Mildura and Wonthaggi to study the impact of extreme weather conditions on agricultural crops and natural vegetation; </w:t>
      </w:r>
    </w:p>
    <w:p w:rsidR="00080446" w:rsidRPr="00892DE3" w:rsidRDefault="00080446" w:rsidP="00587DAE">
      <w:pPr>
        <w:pStyle w:val="ListBullet"/>
        <w:keepLines w:val="0"/>
        <w:numPr>
          <w:ilvl w:val="0"/>
          <w:numId w:val="19"/>
        </w:numPr>
        <w:spacing w:before="120" w:after="60"/>
      </w:pPr>
      <w:r w:rsidRPr="00892DE3">
        <w:t xml:space="preserve">increases due to </w:t>
      </w:r>
      <w:r w:rsidRPr="00892DE3">
        <w:rPr>
          <w:color w:val="0072CE" w:themeColor="accent4"/>
        </w:rPr>
        <w:t>[describe key drivers, e.g. addition, disposal, impairment, etc.]</w:t>
      </w:r>
      <w:r w:rsidRPr="00892DE3">
        <w:t xml:space="preserve"> in plant, equipment and vehicles in the public administration and transport and communications sectors; and </w:t>
      </w:r>
    </w:p>
    <w:p w:rsidR="00080446" w:rsidRPr="00892DE3" w:rsidRDefault="00080446" w:rsidP="00587DAE">
      <w:pPr>
        <w:pStyle w:val="ListBullet"/>
        <w:keepLines w:val="0"/>
        <w:numPr>
          <w:ilvl w:val="0"/>
          <w:numId w:val="19"/>
        </w:numPr>
        <w:spacing w:before="120" w:after="60"/>
      </w:pPr>
      <w:r w:rsidRPr="00892DE3">
        <w:t>biological assets received from the new output transferred in.</w:t>
      </w:r>
    </w:p>
    <w:p w:rsidR="00080446" w:rsidRPr="00892DE3" w:rsidRDefault="00080446" w:rsidP="00080446">
      <w:pPr>
        <w:pStyle w:val="BodyText"/>
      </w:pPr>
      <w:r w:rsidRPr="00892DE3">
        <w:t>Total liabilities decreased mainly due to some liabilities related to the new technology output transferred out as a result of machinery of government changes, slightly offset by liabilities recognised from the new output transferred in.</w:t>
      </w:r>
    </w:p>
    <w:p w:rsidR="00080446" w:rsidRPr="00892DE3" w:rsidRDefault="00080446" w:rsidP="00381114">
      <w:pPr>
        <w:pStyle w:val="Heading30"/>
      </w:pPr>
      <w:r w:rsidRPr="00892DE3">
        <w:br w:type="column"/>
      </w:r>
      <w:r w:rsidRPr="00892DE3">
        <w:lastRenderedPageBreak/>
        <w:br w:type="column"/>
      </w:r>
      <w:r w:rsidRPr="00892DE3">
        <w:lastRenderedPageBreak/>
        <w:t>Cash flows</w:t>
      </w:r>
    </w:p>
    <w:p w:rsidR="00080446" w:rsidRPr="00892DE3" w:rsidRDefault="00080446" w:rsidP="00080446">
      <w:pPr>
        <w:pStyle w:val="BodyText"/>
      </w:pPr>
      <w:r w:rsidRPr="00892DE3">
        <w:t xml:space="preserve">The overall cash surplus of $20.4 million for the 2016-17 financial year was a net increase of $11.2 million compared to the previous year. This additional cash was the result of a large net cash inflow from financing activities of $34.7 million, in particular increased borrowings the Department undertook to </w:t>
      </w:r>
      <w:r w:rsidRPr="00892DE3">
        <w:rPr>
          <w:color w:val="0072CE" w:themeColor="accent4"/>
        </w:rPr>
        <w:t>[describe key drivers and reasons]</w:t>
      </w:r>
      <w:r w:rsidRPr="00892DE3">
        <w:t>.</w:t>
      </w:r>
    </w:p>
    <w:p w:rsidR="00080446" w:rsidRPr="00892DE3" w:rsidRDefault="00080446" w:rsidP="00080446">
      <w:pPr>
        <w:pStyle w:val="BodyText"/>
      </w:pPr>
      <w:r w:rsidRPr="00892DE3">
        <w:t xml:space="preserve">Net cash outflows from investing activities increased by $2.3 million due to much higher payments of $23.8 million for non-financial assets, which included the purchase of the new research laboratories in Mildura and Wonthaggi. This was slightly offset by the proceeds from the disposal of discontinued businesses </w:t>
      </w:r>
      <w:r w:rsidRPr="00892DE3">
        <w:rPr>
          <w:color w:val="0072CE" w:themeColor="accent4"/>
        </w:rPr>
        <w:t>[describe key drivers and reasons]</w:t>
      </w:r>
      <w:r w:rsidRPr="00892DE3">
        <w:t xml:space="preserve"> of $17.8 million.</w:t>
      </w:r>
    </w:p>
    <w:p w:rsidR="00080446" w:rsidRPr="00892DE3" w:rsidRDefault="00080446" w:rsidP="00080446">
      <w:pPr>
        <w:pStyle w:val="BodyText"/>
      </w:pPr>
      <w:r w:rsidRPr="00892DE3">
        <w:t xml:space="preserve">The net cash inflows from operating activities was $15.2 million, and 18.5 per cent lower than in 2015-16 due to lower cash funding received from government </w:t>
      </w:r>
      <w:r w:rsidRPr="00892DE3">
        <w:rPr>
          <w:color w:val="0072CE" w:themeColor="accent4"/>
        </w:rPr>
        <w:t>[describe key drivers and reasons]</w:t>
      </w:r>
      <w:r w:rsidRPr="00892DE3">
        <w:t>, while slightly offset by reduced payments for grants and payments to suppliers.</w:t>
      </w:r>
    </w:p>
    <w:p w:rsidR="00080446" w:rsidRPr="00892DE3" w:rsidRDefault="00080446" w:rsidP="00080446">
      <w:pPr>
        <w:pStyle w:val="Smallline"/>
      </w:pPr>
    </w:p>
    <w:p w:rsidR="00080446" w:rsidRPr="00892DE3" w:rsidRDefault="00080446" w:rsidP="00080446">
      <w:pPr>
        <w:pStyle w:val="Guidanceheading"/>
      </w:pPr>
      <w:r w:rsidRPr="00892DE3">
        <w:t>Guidance – Departmental five year financial summary and current year financial review</w:t>
      </w:r>
    </w:p>
    <w:p w:rsidR="00080446" w:rsidRPr="00892DE3" w:rsidRDefault="00080446" w:rsidP="00080446">
      <w:pPr>
        <w:pStyle w:val="Guidanceheading1"/>
      </w:pPr>
      <w:r w:rsidRPr="00892DE3">
        <w:t>Guidance</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heading2"/>
        <w:pBdr>
          <w:bottom w:val="none" w:sz="0" w:space="0" w:color="auto"/>
        </w:pBdr>
      </w:pPr>
      <w:r w:rsidRPr="00892DE3">
        <w:br w:type="column"/>
      </w:r>
      <w:r w:rsidRPr="00892DE3">
        <w:lastRenderedPageBreak/>
        <w:t>Financial information</w:t>
      </w:r>
    </w:p>
    <w:p w:rsidR="00080446" w:rsidRPr="00892DE3" w:rsidRDefault="00080446" w:rsidP="00080446">
      <w:pPr>
        <w:pStyle w:val="Guidance"/>
        <w:pBdr>
          <w:bottom w:val="none" w:sz="0" w:space="0" w:color="auto"/>
        </w:pBdr>
      </w:pPr>
      <w:r w:rsidRPr="00892DE3">
        <w:t>The financial information in the Report of Operation should include the following information relating to the current reporting period:</w:t>
      </w:r>
    </w:p>
    <w:p w:rsidR="00080446" w:rsidRPr="00892DE3" w:rsidRDefault="00080446" w:rsidP="00080446">
      <w:pPr>
        <w:pStyle w:val="Guidanceindent"/>
      </w:pPr>
      <w:r w:rsidRPr="00892DE3">
        <w:t>(a)</w:t>
      </w:r>
      <w:r w:rsidRPr="00892DE3">
        <w:tab/>
        <w:t xml:space="preserve">a summary of the financial results for the year, with comparative information for the preceding four reporting periods; </w:t>
      </w:r>
    </w:p>
    <w:p w:rsidR="00080446" w:rsidRPr="00892DE3" w:rsidRDefault="00080446" w:rsidP="00080446">
      <w:pPr>
        <w:pStyle w:val="Guidanceindent"/>
      </w:pPr>
      <w:r w:rsidRPr="00892DE3">
        <w:t>(b)</w:t>
      </w:r>
      <w:r w:rsidRPr="00892DE3">
        <w:tab/>
        <w:t>a summary of the significant changes in financial position;</w:t>
      </w:r>
    </w:p>
    <w:p w:rsidR="00080446" w:rsidRPr="00892DE3" w:rsidRDefault="00080446" w:rsidP="00080446">
      <w:pPr>
        <w:pStyle w:val="Guidanceindent"/>
      </w:pPr>
      <w:r w:rsidRPr="00892DE3">
        <w:t>(c)</w:t>
      </w:r>
      <w:r w:rsidRPr="00892DE3">
        <w:tab/>
        <w:t xml:space="preserve">a summary of the operational and budgetary objectives, including performance against the objectives and significant achievements; </w:t>
      </w:r>
    </w:p>
    <w:p w:rsidR="00080446" w:rsidRPr="00892DE3" w:rsidRDefault="00080446" w:rsidP="00080446">
      <w:pPr>
        <w:pStyle w:val="Guidanceindent"/>
      </w:pPr>
      <w:r w:rsidRPr="00892DE3">
        <w:t>(c)</w:t>
      </w:r>
      <w:r w:rsidRPr="00892DE3">
        <w:tab/>
        <w:t>any events occurring after balance date that may significantly affect the entity’s operations in subsequent reporting periods;</w:t>
      </w:r>
    </w:p>
    <w:p w:rsidR="00080446" w:rsidRPr="00892DE3" w:rsidRDefault="00080446" w:rsidP="00080446">
      <w:pPr>
        <w:pStyle w:val="Guidanceindent"/>
      </w:pPr>
      <w:r w:rsidRPr="00892DE3">
        <w:t>(e)</w:t>
      </w:r>
      <w:r w:rsidRPr="00892DE3">
        <w:tab/>
        <w:t>expenditure on consultancies; and</w:t>
      </w:r>
    </w:p>
    <w:p w:rsidR="00080446" w:rsidRPr="00892DE3" w:rsidRDefault="00080446" w:rsidP="00080446">
      <w:pPr>
        <w:pStyle w:val="Guidanceindent"/>
      </w:pPr>
      <w:r w:rsidRPr="00892DE3">
        <w:t>(f)</w:t>
      </w:r>
      <w:r w:rsidRPr="00892DE3">
        <w:tab/>
        <w:t>expenditure on government advertising.</w:t>
      </w:r>
    </w:p>
    <w:p w:rsidR="00080446" w:rsidRPr="00892DE3" w:rsidRDefault="00080446" w:rsidP="00080446">
      <w:pPr>
        <w:pStyle w:val="Guidance"/>
      </w:pPr>
      <w:r w:rsidRPr="00892DE3">
        <w:t>The report of operations should complement the information presented in the financial statements by providing a discussion and analysis of the entity’s operating results and financial position. This should include details about any significant factors that affect the entity’s performance.</w:t>
      </w:r>
    </w:p>
    <w:p w:rsidR="00080446" w:rsidRPr="00892DE3" w:rsidRDefault="00080446" w:rsidP="00AA770B">
      <w:pPr>
        <w:pStyle w:val="Heading2nonTOC"/>
      </w:pPr>
      <w:r w:rsidRPr="00892DE3">
        <w:t>Capital projects/asset investment programs</w:t>
      </w:r>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Recommendation 45, PAEC Report 109</w:t>
      </w:r>
    </w:p>
    <w:p w:rsidR="00080446" w:rsidRPr="00892DE3" w:rsidRDefault="00080446" w:rsidP="00080446">
      <w:pPr>
        <w:pStyle w:val="BodyText"/>
      </w:pPr>
      <w:r w:rsidRPr="00892DE3">
        <w:br w:type="column"/>
      </w:r>
      <w:r w:rsidRPr="00892DE3">
        <w:lastRenderedPageBreak/>
        <w:t xml:space="preserve">The Department and its related portfolio entities manage a range of capital projects to deliver services for government. </w:t>
      </w:r>
    </w:p>
    <w:p w:rsidR="00080446" w:rsidRPr="00892DE3" w:rsidRDefault="00080446" w:rsidP="00080446">
      <w:pPr>
        <w:pStyle w:val="BodyText"/>
      </w:pPr>
      <w:r w:rsidRPr="00892DE3">
        <w:t xml:space="preserve">Information on the new and existing capital projects for departments and the broader Victorian public sector is contained in the most recent Budget Paper No. 4 </w:t>
      </w:r>
      <w:r w:rsidRPr="00892DE3">
        <w:rPr>
          <w:i/>
        </w:rPr>
        <w:t>State Capital Program</w:t>
      </w:r>
      <w:r w:rsidRPr="00892DE3">
        <w:t xml:space="preserve"> (BP4) which is available on the Department of Treasury and Finance’s website.</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t>Recommendation 51, PAEC Report 118</w:t>
      </w:r>
    </w:p>
    <w:p w:rsidR="00080446" w:rsidRPr="00892DE3" w:rsidRDefault="00080446" w:rsidP="00080446">
      <w:pPr>
        <w:pStyle w:val="BodyText"/>
        <w:spacing w:before="0"/>
      </w:pPr>
    </w:p>
    <w:p w:rsidR="00080446" w:rsidRPr="00892DE3" w:rsidRDefault="00080446" w:rsidP="00080446">
      <w:pPr>
        <w:pStyle w:val="BodyText"/>
        <w:spacing w:before="0"/>
      </w:pPr>
    </w:p>
    <w:p w:rsidR="00080446" w:rsidRPr="00892DE3" w:rsidRDefault="00080446" w:rsidP="00080446">
      <w:pPr>
        <w:pStyle w:val="Reference"/>
        <w:rPr>
          <w:b/>
          <w:color w:val="0063A6" w:themeColor="accent1"/>
        </w:rPr>
      </w:pPr>
    </w:p>
    <w:p w:rsidR="00080446" w:rsidRPr="00892DE3" w:rsidRDefault="00080446" w:rsidP="00080446">
      <w:pPr>
        <w:pStyle w:val="BodyText"/>
        <w:spacing w:before="0"/>
      </w:pPr>
      <w:r w:rsidRPr="00892DE3">
        <w:rPr>
          <w:rFonts w:eastAsia="Tahoma" w:cs="Arial"/>
          <w:b/>
          <w:iCs/>
          <w:noProof/>
          <w:color w:val="0063A6" w:themeColor="accent1"/>
          <w:sz w:val="14"/>
          <w:szCs w:val="14"/>
          <w:lang w:eastAsia="en-AU"/>
        </w:rPr>
        <w:t>Revised</w:t>
      </w:r>
      <w:r w:rsidRPr="00892DE3">
        <w:t xml:space="preserve"> </w:t>
      </w:r>
      <w:r w:rsidRPr="00892DE3">
        <w:br w:type="column"/>
      </w:r>
      <w:r w:rsidRPr="00892DE3">
        <w:lastRenderedPageBreak/>
        <w:t>During the year, the Department/agency completed the following capital projects with a Total Estimated Investment of $10 million or greater. The details related to these projects are reported below.</w:t>
      </w:r>
    </w:p>
    <w:p w:rsidR="00080446" w:rsidRPr="00892DE3" w:rsidRDefault="00080446" w:rsidP="00306EE3">
      <w:pPr>
        <w:pStyle w:val="TableHeading"/>
      </w:pPr>
      <w:r w:rsidRPr="00892DE3">
        <w:t>Table 1: Capital projects completed during the financial year ended 30 June 2017</w:t>
      </w:r>
    </w:p>
    <w:tbl>
      <w:tblPr>
        <w:tblStyle w:val="DTFFinancialTable"/>
        <w:tblW w:w="8089" w:type="dxa"/>
        <w:tblLayout w:type="fixed"/>
        <w:tblCellMar>
          <w:left w:w="43" w:type="dxa"/>
          <w:right w:w="43" w:type="dxa"/>
        </w:tblCellMar>
        <w:tblLook w:val="0620" w:firstRow="1" w:lastRow="0" w:firstColumn="0" w:lastColumn="0" w:noHBand="1" w:noVBand="1"/>
      </w:tblPr>
      <w:tblGrid>
        <w:gridCol w:w="673"/>
        <w:gridCol w:w="837"/>
        <w:gridCol w:w="855"/>
        <w:gridCol w:w="828"/>
        <w:gridCol w:w="724"/>
        <w:gridCol w:w="826"/>
        <w:gridCol w:w="839"/>
        <w:gridCol w:w="1067"/>
        <w:gridCol w:w="1440"/>
      </w:tblGrid>
      <w:tr w:rsidR="00080446" w:rsidRPr="00892DE3" w:rsidTr="00381114">
        <w:trPr>
          <w:cnfStyle w:val="100000000000" w:firstRow="1" w:lastRow="0" w:firstColumn="0" w:lastColumn="0" w:oddVBand="0" w:evenVBand="0" w:oddHBand="0" w:evenHBand="0" w:firstRowFirstColumn="0" w:firstRowLastColumn="0" w:lastRowFirstColumn="0" w:lastRowLastColumn="0"/>
          <w:trHeight w:val="795"/>
        </w:trPr>
        <w:tc>
          <w:tcPr>
            <w:tcW w:w="673" w:type="dxa"/>
          </w:tcPr>
          <w:p w:rsidR="00080446" w:rsidRPr="00892DE3" w:rsidRDefault="00080446" w:rsidP="00080446">
            <w:pPr>
              <w:pStyle w:val="Tabletext"/>
              <w:ind w:left="0" w:firstLine="0"/>
              <w:rPr>
                <w:i/>
                <w:sz w:val="14"/>
                <w:szCs w:val="14"/>
              </w:rPr>
            </w:pPr>
            <w:r w:rsidRPr="00892DE3">
              <w:rPr>
                <w:i/>
                <w:sz w:val="14"/>
                <w:szCs w:val="14"/>
              </w:rPr>
              <w:t>Project Name</w:t>
            </w:r>
          </w:p>
        </w:tc>
        <w:tc>
          <w:tcPr>
            <w:tcW w:w="837" w:type="dxa"/>
          </w:tcPr>
          <w:p w:rsidR="00080446" w:rsidRPr="00892DE3" w:rsidRDefault="00080446" w:rsidP="00080446">
            <w:pPr>
              <w:pStyle w:val="Tabletext"/>
              <w:ind w:left="0" w:firstLine="0"/>
              <w:rPr>
                <w:i/>
                <w:sz w:val="14"/>
                <w:szCs w:val="14"/>
              </w:rPr>
            </w:pPr>
            <w:r w:rsidRPr="00892DE3">
              <w:rPr>
                <w:i/>
                <w:sz w:val="14"/>
                <w:szCs w:val="14"/>
              </w:rPr>
              <w:t>Original completion date</w:t>
            </w:r>
          </w:p>
        </w:tc>
        <w:tc>
          <w:tcPr>
            <w:tcW w:w="855" w:type="dxa"/>
          </w:tcPr>
          <w:p w:rsidR="00080446" w:rsidRPr="00892DE3" w:rsidRDefault="00080446" w:rsidP="00080446">
            <w:pPr>
              <w:pStyle w:val="Tabletext"/>
              <w:ind w:left="22" w:hanging="22"/>
              <w:rPr>
                <w:i/>
                <w:sz w:val="14"/>
                <w:szCs w:val="14"/>
              </w:rPr>
            </w:pPr>
            <w:r w:rsidRPr="00892DE3">
              <w:rPr>
                <w:i/>
                <w:sz w:val="14"/>
                <w:szCs w:val="14"/>
              </w:rPr>
              <w:t>Latest approved completion date</w:t>
            </w:r>
          </w:p>
        </w:tc>
        <w:tc>
          <w:tcPr>
            <w:tcW w:w="828" w:type="dxa"/>
          </w:tcPr>
          <w:p w:rsidR="00080446" w:rsidRPr="00892DE3" w:rsidRDefault="002A29CB" w:rsidP="00080446">
            <w:pPr>
              <w:pStyle w:val="Tabletext"/>
              <w:ind w:left="0" w:firstLine="0"/>
              <w:rPr>
                <w:i/>
                <w:sz w:val="14"/>
                <w:szCs w:val="14"/>
              </w:rPr>
            </w:pPr>
            <w:r w:rsidRPr="00892DE3">
              <w:rPr>
                <w:i/>
                <w:sz w:val="14"/>
                <w:szCs w:val="14"/>
              </w:rPr>
              <w:t>Practical</w:t>
            </w:r>
          </w:p>
          <w:p w:rsidR="00080446" w:rsidRPr="00892DE3" w:rsidRDefault="00080446" w:rsidP="00080446">
            <w:pPr>
              <w:pStyle w:val="Tabletext"/>
              <w:ind w:left="0" w:firstLine="0"/>
              <w:rPr>
                <w:i/>
                <w:sz w:val="14"/>
                <w:szCs w:val="14"/>
              </w:rPr>
            </w:pPr>
            <w:r w:rsidRPr="00892DE3">
              <w:rPr>
                <w:i/>
                <w:sz w:val="14"/>
                <w:szCs w:val="14"/>
              </w:rPr>
              <w:t>completion date</w:t>
            </w:r>
          </w:p>
        </w:tc>
        <w:tc>
          <w:tcPr>
            <w:tcW w:w="724" w:type="dxa"/>
          </w:tcPr>
          <w:p w:rsidR="00080446" w:rsidRPr="00892DE3" w:rsidRDefault="00381114" w:rsidP="00381114">
            <w:pPr>
              <w:pStyle w:val="Tabletext"/>
              <w:ind w:left="0" w:firstLine="0"/>
              <w:jc w:val="right"/>
              <w:rPr>
                <w:i/>
                <w:sz w:val="14"/>
                <w:szCs w:val="14"/>
              </w:rPr>
            </w:pPr>
            <w:r w:rsidRPr="00892DE3">
              <w:rPr>
                <w:i/>
                <w:sz w:val="14"/>
                <w:szCs w:val="14"/>
              </w:rPr>
              <w:t xml:space="preserve">Original approved TEI </w:t>
            </w:r>
            <w:r w:rsidRPr="00892DE3">
              <w:rPr>
                <w:i/>
                <w:sz w:val="14"/>
                <w:szCs w:val="14"/>
                <w:vertAlign w:val="superscript"/>
              </w:rPr>
              <w:t xml:space="preserve">(a) </w:t>
            </w:r>
            <w:r w:rsidR="00080446" w:rsidRPr="00892DE3">
              <w:rPr>
                <w:i/>
                <w:sz w:val="14"/>
                <w:szCs w:val="14"/>
              </w:rPr>
              <w:t xml:space="preserve">budget </w:t>
            </w:r>
            <w:r w:rsidRPr="00892DE3">
              <w:rPr>
                <w:i/>
                <w:sz w:val="14"/>
                <w:szCs w:val="14"/>
              </w:rPr>
              <w:br/>
              <w:t>(</w:t>
            </w:r>
            <w:r w:rsidR="00080446" w:rsidRPr="00892DE3">
              <w:rPr>
                <w:i/>
                <w:sz w:val="14"/>
                <w:szCs w:val="14"/>
              </w:rPr>
              <w:t>$</w:t>
            </w:r>
            <w:r w:rsidRPr="00892DE3">
              <w:rPr>
                <w:i/>
                <w:sz w:val="14"/>
                <w:szCs w:val="14"/>
              </w:rPr>
              <w:t xml:space="preserve"> </w:t>
            </w:r>
            <w:r w:rsidR="00080446" w:rsidRPr="00892DE3">
              <w:rPr>
                <w:i/>
                <w:sz w:val="14"/>
                <w:szCs w:val="14"/>
              </w:rPr>
              <w:t>m</w:t>
            </w:r>
            <w:r w:rsidRPr="00892DE3">
              <w:rPr>
                <w:i/>
                <w:sz w:val="14"/>
                <w:szCs w:val="14"/>
              </w:rPr>
              <w:t>illion)</w:t>
            </w:r>
          </w:p>
        </w:tc>
        <w:tc>
          <w:tcPr>
            <w:tcW w:w="826" w:type="dxa"/>
          </w:tcPr>
          <w:p w:rsidR="00080446" w:rsidRPr="00892DE3" w:rsidRDefault="00080446" w:rsidP="00381114">
            <w:pPr>
              <w:pStyle w:val="Tabletext"/>
              <w:ind w:left="0" w:firstLine="0"/>
              <w:jc w:val="right"/>
              <w:rPr>
                <w:i/>
                <w:sz w:val="14"/>
                <w:szCs w:val="14"/>
              </w:rPr>
            </w:pPr>
            <w:r w:rsidRPr="00892DE3">
              <w:rPr>
                <w:i/>
                <w:sz w:val="14"/>
                <w:szCs w:val="14"/>
              </w:rPr>
              <w:t>Latest approved TE</w:t>
            </w:r>
            <w:r w:rsidR="00381114" w:rsidRPr="00892DE3">
              <w:rPr>
                <w:i/>
                <w:sz w:val="14"/>
                <w:szCs w:val="14"/>
              </w:rPr>
              <w:t>I</w:t>
            </w:r>
            <w:r w:rsidRPr="00892DE3">
              <w:rPr>
                <w:i/>
                <w:sz w:val="14"/>
                <w:szCs w:val="14"/>
              </w:rPr>
              <w:br/>
              <w:t xml:space="preserve">budget </w:t>
            </w:r>
            <w:r w:rsidR="00381114" w:rsidRPr="00892DE3">
              <w:rPr>
                <w:i/>
                <w:sz w:val="14"/>
                <w:szCs w:val="14"/>
              </w:rPr>
              <w:br/>
              <w:t>(</w:t>
            </w:r>
            <w:r w:rsidRPr="00892DE3">
              <w:rPr>
                <w:i/>
                <w:sz w:val="14"/>
                <w:szCs w:val="14"/>
              </w:rPr>
              <w:t>$</w:t>
            </w:r>
            <w:r w:rsidR="00381114" w:rsidRPr="00892DE3">
              <w:rPr>
                <w:i/>
                <w:sz w:val="14"/>
                <w:szCs w:val="14"/>
              </w:rPr>
              <w:t xml:space="preserve"> </w:t>
            </w:r>
            <w:r w:rsidRPr="00892DE3">
              <w:rPr>
                <w:i/>
                <w:sz w:val="14"/>
                <w:szCs w:val="14"/>
              </w:rPr>
              <w:t>m</w:t>
            </w:r>
            <w:r w:rsidR="00381114" w:rsidRPr="00892DE3">
              <w:rPr>
                <w:i/>
                <w:sz w:val="14"/>
                <w:szCs w:val="14"/>
              </w:rPr>
              <w:t>illion)</w:t>
            </w:r>
          </w:p>
        </w:tc>
        <w:tc>
          <w:tcPr>
            <w:tcW w:w="839" w:type="dxa"/>
          </w:tcPr>
          <w:p w:rsidR="00080446" w:rsidRPr="00892DE3" w:rsidRDefault="00080446" w:rsidP="00080446">
            <w:pPr>
              <w:pStyle w:val="Tabletext"/>
              <w:ind w:left="0" w:firstLine="0"/>
              <w:jc w:val="right"/>
              <w:rPr>
                <w:i/>
                <w:sz w:val="14"/>
                <w:szCs w:val="14"/>
              </w:rPr>
            </w:pPr>
            <w:r w:rsidRPr="00892DE3">
              <w:rPr>
                <w:i/>
                <w:sz w:val="14"/>
                <w:szCs w:val="14"/>
              </w:rPr>
              <w:t xml:space="preserve">Actual </w:t>
            </w:r>
            <w:r w:rsidR="00381114" w:rsidRPr="00892DE3">
              <w:rPr>
                <w:i/>
                <w:sz w:val="14"/>
                <w:szCs w:val="14"/>
              </w:rPr>
              <w:br/>
            </w:r>
            <w:r w:rsidRPr="00892DE3">
              <w:rPr>
                <w:i/>
                <w:sz w:val="14"/>
                <w:szCs w:val="14"/>
              </w:rPr>
              <w:t xml:space="preserve">TEI cost </w:t>
            </w:r>
            <w:r w:rsidR="00381114" w:rsidRPr="00892DE3">
              <w:rPr>
                <w:i/>
                <w:sz w:val="14"/>
                <w:szCs w:val="14"/>
              </w:rPr>
              <w:br/>
              <w:t>(</w:t>
            </w:r>
            <w:r w:rsidRPr="00892DE3">
              <w:rPr>
                <w:i/>
                <w:sz w:val="14"/>
                <w:szCs w:val="14"/>
              </w:rPr>
              <w:t>$</w:t>
            </w:r>
            <w:r w:rsidR="00381114" w:rsidRPr="00892DE3">
              <w:rPr>
                <w:i/>
                <w:sz w:val="14"/>
                <w:szCs w:val="14"/>
              </w:rPr>
              <w:t xml:space="preserve"> </w:t>
            </w:r>
            <w:r w:rsidRPr="00892DE3">
              <w:rPr>
                <w:i/>
                <w:sz w:val="14"/>
                <w:szCs w:val="14"/>
              </w:rPr>
              <w:t>m</w:t>
            </w:r>
            <w:r w:rsidR="00381114" w:rsidRPr="00892DE3">
              <w:rPr>
                <w:i/>
                <w:sz w:val="14"/>
                <w:szCs w:val="14"/>
              </w:rPr>
              <w:t>illion)</w:t>
            </w:r>
          </w:p>
        </w:tc>
        <w:tc>
          <w:tcPr>
            <w:tcW w:w="1067" w:type="dxa"/>
          </w:tcPr>
          <w:p w:rsidR="00080446" w:rsidRPr="00892DE3" w:rsidRDefault="00080446" w:rsidP="00080446">
            <w:pPr>
              <w:pStyle w:val="Tabletext"/>
              <w:ind w:left="0" w:firstLine="0"/>
              <w:jc w:val="right"/>
              <w:rPr>
                <w:i/>
                <w:sz w:val="14"/>
                <w:szCs w:val="14"/>
              </w:rPr>
            </w:pPr>
            <w:r w:rsidRPr="00892DE3">
              <w:rPr>
                <w:i/>
                <w:sz w:val="14"/>
                <w:szCs w:val="14"/>
              </w:rPr>
              <w:t>Variation between actual cost and latest approved TEI budget</w:t>
            </w:r>
          </w:p>
        </w:tc>
        <w:tc>
          <w:tcPr>
            <w:tcW w:w="1440" w:type="dxa"/>
          </w:tcPr>
          <w:p w:rsidR="00080446" w:rsidRPr="00892DE3" w:rsidRDefault="00080446" w:rsidP="00080446">
            <w:pPr>
              <w:pStyle w:val="Tabletext"/>
              <w:ind w:left="0" w:firstLine="0"/>
              <w:rPr>
                <w:i/>
                <w:sz w:val="14"/>
                <w:szCs w:val="14"/>
              </w:rPr>
            </w:pPr>
            <w:r w:rsidRPr="00892DE3">
              <w:rPr>
                <w:i/>
                <w:sz w:val="14"/>
                <w:szCs w:val="14"/>
              </w:rPr>
              <w:t>Reason for variance from latest approved TEI Budget</w:t>
            </w:r>
          </w:p>
        </w:tc>
      </w:tr>
      <w:tr w:rsidR="00080446" w:rsidRPr="00892DE3" w:rsidTr="00381114">
        <w:trPr>
          <w:trHeight w:val="453"/>
        </w:trPr>
        <w:tc>
          <w:tcPr>
            <w:tcW w:w="673" w:type="dxa"/>
          </w:tcPr>
          <w:p w:rsidR="00080446" w:rsidRPr="00892DE3" w:rsidRDefault="00080446" w:rsidP="00080446">
            <w:pPr>
              <w:pStyle w:val="Tabletext"/>
              <w:ind w:left="0" w:firstLine="0"/>
              <w:rPr>
                <w:sz w:val="14"/>
                <w:szCs w:val="14"/>
              </w:rPr>
            </w:pPr>
            <w:r w:rsidRPr="00892DE3">
              <w:rPr>
                <w:sz w:val="14"/>
                <w:szCs w:val="14"/>
              </w:rPr>
              <w:t>Anti</w:t>
            </w:r>
            <w:r w:rsidRPr="00892DE3">
              <w:rPr>
                <w:sz w:val="14"/>
                <w:szCs w:val="14"/>
              </w:rPr>
              <w:noBreakHyphen/>
            </w:r>
            <w:r w:rsidRPr="00892DE3">
              <w:rPr>
                <w:sz w:val="14"/>
                <w:szCs w:val="14"/>
              </w:rPr>
              <w:br/>
              <w:t>virus IT system</w:t>
            </w:r>
          </w:p>
        </w:tc>
        <w:tc>
          <w:tcPr>
            <w:tcW w:w="837" w:type="dxa"/>
          </w:tcPr>
          <w:p w:rsidR="00080446" w:rsidRPr="00892DE3" w:rsidRDefault="00080446" w:rsidP="00080446">
            <w:pPr>
              <w:pStyle w:val="Tabletext"/>
              <w:rPr>
                <w:sz w:val="14"/>
                <w:szCs w:val="14"/>
              </w:rPr>
            </w:pPr>
            <w:r w:rsidRPr="00892DE3">
              <w:rPr>
                <w:sz w:val="14"/>
                <w:szCs w:val="14"/>
              </w:rPr>
              <w:t>April 201</w:t>
            </w:r>
            <w:r w:rsidR="00492605" w:rsidRPr="00892DE3">
              <w:rPr>
                <w:sz w:val="14"/>
                <w:szCs w:val="14"/>
              </w:rPr>
              <w:t>7</w:t>
            </w:r>
          </w:p>
        </w:tc>
        <w:tc>
          <w:tcPr>
            <w:tcW w:w="855" w:type="dxa"/>
          </w:tcPr>
          <w:p w:rsidR="00080446" w:rsidRPr="00892DE3" w:rsidRDefault="00080446" w:rsidP="00080446">
            <w:pPr>
              <w:pStyle w:val="Tabletext"/>
              <w:rPr>
                <w:sz w:val="14"/>
                <w:szCs w:val="14"/>
              </w:rPr>
            </w:pPr>
            <w:r w:rsidRPr="00892DE3">
              <w:rPr>
                <w:sz w:val="14"/>
                <w:szCs w:val="14"/>
              </w:rPr>
              <w:t>June 201</w:t>
            </w:r>
            <w:r w:rsidR="00492605" w:rsidRPr="00892DE3">
              <w:rPr>
                <w:sz w:val="14"/>
                <w:szCs w:val="14"/>
              </w:rPr>
              <w:t>7</w:t>
            </w:r>
          </w:p>
        </w:tc>
        <w:tc>
          <w:tcPr>
            <w:tcW w:w="828" w:type="dxa"/>
          </w:tcPr>
          <w:p w:rsidR="00080446" w:rsidRPr="00892DE3" w:rsidRDefault="00080446" w:rsidP="006300D5">
            <w:pPr>
              <w:pStyle w:val="Tabletext"/>
              <w:rPr>
                <w:sz w:val="14"/>
                <w:szCs w:val="14"/>
              </w:rPr>
            </w:pPr>
            <w:r w:rsidRPr="00892DE3">
              <w:rPr>
                <w:sz w:val="14"/>
                <w:szCs w:val="14"/>
              </w:rPr>
              <w:t>June 201</w:t>
            </w:r>
            <w:r w:rsidR="006300D5" w:rsidRPr="00892DE3">
              <w:rPr>
                <w:sz w:val="14"/>
                <w:szCs w:val="14"/>
              </w:rPr>
              <w:t>7</w:t>
            </w:r>
          </w:p>
        </w:tc>
        <w:tc>
          <w:tcPr>
            <w:tcW w:w="724" w:type="dxa"/>
          </w:tcPr>
          <w:p w:rsidR="00080446" w:rsidRPr="00892DE3" w:rsidRDefault="00080446" w:rsidP="00080446">
            <w:pPr>
              <w:pStyle w:val="Tabletext"/>
              <w:jc w:val="right"/>
              <w:rPr>
                <w:sz w:val="14"/>
                <w:szCs w:val="14"/>
              </w:rPr>
            </w:pPr>
            <w:r w:rsidRPr="00892DE3">
              <w:rPr>
                <w:sz w:val="14"/>
                <w:szCs w:val="14"/>
              </w:rPr>
              <w:t>9</w:t>
            </w:r>
          </w:p>
        </w:tc>
        <w:tc>
          <w:tcPr>
            <w:tcW w:w="826" w:type="dxa"/>
          </w:tcPr>
          <w:p w:rsidR="00080446" w:rsidRPr="00892DE3" w:rsidRDefault="00080446" w:rsidP="00080446">
            <w:pPr>
              <w:pStyle w:val="Tabletext"/>
              <w:jc w:val="right"/>
              <w:rPr>
                <w:sz w:val="14"/>
                <w:szCs w:val="14"/>
              </w:rPr>
            </w:pPr>
            <w:r w:rsidRPr="00892DE3">
              <w:rPr>
                <w:sz w:val="14"/>
                <w:szCs w:val="14"/>
              </w:rPr>
              <w:t>10</w:t>
            </w:r>
          </w:p>
        </w:tc>
        <w:tc>
          <w:tcPr>
            <w:tcW w:w="839" w:type="dxa"/>
          </w:tcPr>
          <w:p w:rsidR="00080446" w:rsidRPr="00892DE3" w:rsidRDefault="00080446" w:rsidP="00080446">
            <w:pPr>
              <w:pStyle w:val="Tabletext"/>
              <w:jc w:val="right"/>
              <w:rPr>
                <w:sz w:val="14"/>
                <w:szCs w:val="14"/>
              </w:rPr>
            </w:pPr>
            <w:r w:rsidRPr="00892DE3">
              <w:rPr>
                <w:sz w:val="14"/>
                <w:szCs w:val="14"/>
              </w:rPr>
              <w:t>8</w:t>
            </w:r>
          </w:p>
        </w:tc>
        <w:tc>
          <w:tcPr>
            <w:tcW w:w="1067" w:type="dxa"/>
          </w:tcPr>
          <w:p w:rsidR="00080446" w:rsidRPr="00892DE3" w:rsidRDefault="00080446" w:rsidP="00080446">
            <w:pPr>
              <w:pStyle w:val="Tabletext"/>
              <w:jc w:val="right"/>
              <w:rPr>
                <w:sz w:val="14"/>
                <w:szCs w:val="14"/>
              </w:rPr>
            </w:pPr>
            <w:r w:rsidRPr="00892DE3">
              <w:rPr>
                <w:sz w:val="14"/>
                <w:szCs w:val="14"/>
              </w:rPr>
              <w:t>(2)</w:t>
            </w:r>
          </w:p>
        </w:tc>
        <w:tc>
          <w:tcPr>
            <w:tcW w:w="1440" w:type="dxa"/>
          </w:tcPr>
          <w:p w:rsidR="00080446" w:rsidRPr="00892DE3" w:rsidRDefault="00080446" w:rsidP="00080446">
            <w:pPr>
              <w:pStyle w:val="Tabletext"/>
              <w:ind w:left="0" w:firstLine="0"/>
              <w:rPr>
                <w:sz w:val="14"/>
                <w:szCs w:val="14"/>
              </w:rPr>
            </w:pPr>
            <w:r w:rsidRPr="00892DE3">
              <w:rPr>
                <w:sz w:val="14"/>
                <w:szCs w:val="14"/>
              </w:rPr>
              <w:t>The variance relates to suitable hardware being sourced more cheaply than anticipated.</w:t>
            </w:r>
          </w:p>
        </w:tc>
      </w:tr>
    </w:tbl>
    <w:p w:rsidR="00381114" w:rsidRPr="00892DE3" w:rsidRDefault="00381114" w:rsidP="00381114">
      <w:pPr>
        <w:pStyle w:val="Note"/>
      </w:pPr>
      <w:r w:rsidRPr="00892DE3">
        <w:t>Note:</w:t>
      </w:r>
    </w:p>
    <w:p w:rsidR="00080446" w:rsidRPr="00892DE3" w:rsidRDefault="00381114" w:rsidP="00381114">
      <w:pPr>
        <w:pStyle w:val="Note"/>
      </w:pPr>
      <w:r w:rsidRPr="00892DE3">
        <w:t>(a)</w:t>
      </w:r>
      <w:r w:rsidRPr="00892DE3">
        <w:tab/>
      </w:r>
      <w:r w:rsidR="00080446" w:rsidRPr="00892DE3">
        <w:t xml:space="preserve">Total estimated investment </w:t>
      </w:r>
    </w:p>
    <w:p w:rsidR="00080446" w:rsidRPr="00892DE3" w:rsidRDefault="00080446" w:rsidP="00080446">
      <w:pPr>
        <w:spacing w:before="0" w:after="200" w:line="276" w:lineRule="auto"/>
        <w:rPr>
          <w:rFonts w:ascii="Arial" w:hAnsi="Arial"/>
          <w:color w:val="0072CE" w:themeColor="accent4"/>
        </w:rPr>
      </w:pPr>
      <w:r w:rsidRPr="00892DE3">
        <w:br w:type="page"/>
      </w: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Guidancenoborder"/>
      </w:pPr>
      <w:r w:rsidRPr="00892DE3">
        <w:br w:type="column"/>
      </w:r>
      <w:r w:rsidRPr="00892DE3">
        <w:lastRenderedPageBreak/>
        <w:t xml:space="preserve">The table above is for illustrative purposes only. Departments are required to disclose </w:t>
      </w:r>
      <w:r w:rsidRPr="00892DE3">
        <w:rPr>
          <w:b/>
        </w:rPr>
        <w:t>all</w:t>
      </w:r>
      <w:r w:rsidRPr="00892DE3">
        <w:t xml:space="preserve"> capital projects funded through the State budget, with a total estimated investment (TEI) of $10 million or greater (total funding from all sources for the overall project) completed within the reporting period. This includes budget funded capital projects of portfolio agencies.</w:t>
      </w:r>
    </w:p>
    <w:p w:rsidR="00080446" w:rsidRPr="00892DE3" w:rsidRDefault="00080446" w:rsidP="00080446"/>
    <w:p w:rsidR="00080446" w:rsidRPr="00892DE3" w:rsidRDefault="00080446" w:rsidP="00080446">
      <w:pPr>
        <w:pStyle w:val="Guidanceheading"/>
      </w:pPr>
      <w:r w:rsidRPr="00892DE3">
        <w:t>Guidance – Capital projects/asset investment programs</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 xml:space="preserve">The Department of Treasury and Finance, on behalf of all portfolio departments, publishes information on the State’s asset investment program in Budget Paper No. 4 </w:t>
      </w:r>
      <w:r w:rsidRPr="00892DE3">
        <w:rPr>
          <w:i/>
        </w:rPr>
        <w:t>State Capital Program</w:t>
      </w:r>
      <w:r w:rsidRPr="00892DE3">
        <w:t xml:space="preserve"> as part of the annual budget papers. Any subsequent approved revisions to the original budgeted asset investment programs are also reported. </w:t>
      </w:r>
    </w:p>
    <w:p w:rsidR="00080446" w:rsidRPr="00892DE3" w:rsidRDefault="00080446" w:rsidP="00080446">
      <w:pPr>
        <w:pStyle w:val="Guidance"/>
        <w:pBdr>
          <w:bottom w:val="none" w:sz="0" w:space="0" w:color="auto"/>
        </w:pBdr>
      </w:pPr>
      <w:r w:rsidRPr="00892DE3">
        <w:t xml:space="preserve">For transparency, departments are required to disclose in their Annual Financial Reports the actual and budgeted cost and the completion dates of all asset investments funded through the State budget with a TEI of $10 million or greater that reach practical completion by the department or portfolio agencies in the current reporting period. Departments are not required to provide further reporting on a project that reaches financial completion in a subsequent period (unless there is a material variation) if it has been reported as practically complete in an earlier reporting period. Departments are also required to disclose the variance between the actual cost to deliver the project and the latest approved (or budgeted) TEI endorsed by government and an explanation for this variance. </w:t>
      </w:r>
    </w:p>
    <w:p w:rsidR="00080446" w:rsidRPr="00892DE3" w:rsidRDefault="00080446" w:rsidP="00080446">
      <w:pPr>
        <w:pStyle w:val="Guidance"/>
        <w:pBdr>
          <w:bottom w:val="none" w:sz="0" w:space="0" w:color="auto"/>
        </w:pBdr>
      </w:pPr>
      <w:r w:rsidRPr="00892DE3">
        <w:t xml:space="preserve">Practical completion occurs when construction is complete and the asset has been handed over to the Department. </w:t>
      </w:r>
    </w:p>
    <w:p w:rsidR="00080446" w:rsidRPr="00892DE3" w:rsidRDefault="00080446" w:rsidP="00080446">
      <w:pPr>
        <w:pStyle w:val="Guidance"/>
        <w:pBdr>
          <w:bottom w:val="none" w:sz="0" w:space="0" w:color="auto"/>
        </w:pBdr>
      </w:pPr>
      <w:r w:rsidRPr="00892DE3">
        <w:t xml:space="preserve">Financial completion occurs when the warranty/defects liability period ends, which may occur after the practical completion date. </w:t>
      </w:r>
    </w:p>
    <w:p w:rsidR="00080446" w:rsidRPr="00892DE3" w:rsidRDefault="00080446" w:rsidP="00080446">
      <w:pPr>
        <w:pStyle w:val="Guidance"/>
        <w:pBdr>
          <w:bottom w:val="none" w:sz="0" w:space="0" w:color="auto"/>
        </w:pBdr>
      </w:pPr>
      <w:r w:rsidRPr="00892DE3">
        <w:t xml:space="preserve">Where projects are handled across multiple agencies within the same portfolio department, the portfolio department for the agency that owns the asset should report the project in their annual report. Individual portfolio agencies are not required to report on these projects in their annual report. </w:t>
      </w:r>
    </w:p>
    <w:p w:rsidR="00080446" w:rsidRPr="00892DE3" w:rsidRDefault="00080446" w:rsidP="00080446">
      <w:pPr>
        <w:pStyle w:val="Guidance"/>
        <w:pBdr>
          <w:bottom w:val="none" w:sz="0" w:space="0" w:color="auto"/>
        </w:pBdr>
      </w:pPr>
      <w:r w:rsidRPr="00892DE3">
        <w:t>For example, VicTrack delivers projects on behalf of other agencies and has recently completed a capital project, which was funded through the State Budget. The portfolio department for the agency, the Department of Economic Development, Jobs, Transport and Resources, will report these completed capital projects in its annual report.</w:t>
      </w:r>
    </w:p>
    <w:p w:rsidR="00080446" w:rsidRPr="00892DE3" w:rsidRDefault="00080446" w:rsidP="00080446">
      <w:pPr>
        <w:pStyle w:val="Guidanceheading2"/>
        <w:pBdr>
          <w:bottom w:val="none" w:sz="0" w:space="0" w:color="auto"/>
        </w:pBdr>
      </w:pPr>
      <w:r w:rsidRPr="00892DE3">
        <w:t>Nil reports</w:t>
      </w:r>
    </w:p>
    <w:p w:rsidR="00080446" w:rsidRPr="00892DE3" w:rsidRDefault="00080446" w:rsidP="00080446">
      <w:pPr>
        <w:pStyle w:val="Guidance"/>
      </w:pPr>
      <w:r w:rsidRPr="00892DE3">
        <w:t>An explicit statement of ‘nil reports’ is required where no completed projects are disclosed. Departments must provide a reason for the nil report, including whether this is because no projects were completed during the financial year, or that none of the TEI of their projects completed during the financial year meet the disclosure threshold of $10 million.</w:t>
      </w:r>
    </w:p>
    <w:p w:rsidR="00080446" w:rsidRPr="00892DE3" w:rsidRDefault="00080446" w:rsidP="00080446"/>
    <w:p w:rsidR="00080446" w:rsidRPr="00892DE3" w:rsidRDefault="00080446" w:rsidP="00080446">
      <w:pPr>
        <w:pStyle w:val="BodyText"/>
      </w:pPr>
      <w:r w:rsidRPr="00892DE3">
        <w:br w:type="page"/>
      </w:r>
    </w:p>
    <w:p w:rsidR="00080446" w:rsidRPr="00892DE3" w:rsidRDefault="00080446" w:rsidP="00AA770B">
      <w:pPr>
        <w:pStyle w:val="Heading2nonTOC"/>
      </w:pPr>
      <w:r w:rsidRPr="00892DE3">
        <w:lastRenderedPageBreak/>
        <w:br w:type="column"/>
      </w:r>
      <w:r w:rsidRPr="00892DE3">
        <w:lastRenderedPageBreak/>
        <w:t>Disclosure of grants and transfer payments (other than contributions by owners)</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Recommendation 15, PAEC Report 87</w:t>
      </w:r>
    </w:p>
    <w:p w:rsidR="00080446" w:rsidRPr="00892DE3" w:rsidRDefault="00080446" w:rsidP="00080446">
      <w:pPr>
        <w:pStyle w:val="BodyText"/>
      </w:pPr>
      <w:r w:rsidRPr="00892DE3">
        <w:br w:type="column"/>
      </w:r>
      <w:r w:rsidRPr="00892DE3">
        <w:lastRenderedPageBreak/>
        <w:t>The Department has provided assistance to certain companies and organisations. Financial assistance provided in 2016-17 was as follows:</w:t>
      </w:r>
    </w:p>
    <w:p w:rsidR="00080446" w:rsidRPr="00892DE3" w:rsidRDefault="00080446" w:rsidP="00AA770B">
      <w:pPr>
        <w:pStyle w:val="Heading4ops"/>
      </w:pPr>
      <w:r w:rsidRPr="00892DE3">
        <w:t xml:space="preserve">Strategic policy advice </w:t>
      </w:r>
      <w:r w:rsidRPr="00892DE3">
        <w:rPr>
          <w:color w:val="0072CE" w:themeColor="accent4"/>
        </w:rPr>
        <w:t>[output name]</w:t>
      </w:r>
    </w:p>
    <w:p w:rsidR="00080446" w:rsidRPr="00892DE3" w:rsidRDefault="00080446" w:rsidP="00080446">
      <w:pPr>
        <w:pStyle w:val="Heading5unnumbered"/>
      </w:pPr>
      <w:r w:rsidRPr="00892DE3">
        <w:t xml:space="preserve">Program A </w:t>
      </w:r>
      <w:r w:rsidRPr="00892DE3">
        <w:rPr>
          <w:color w:val="0072CE" w:themeColor="accent4"/>
        </w:rPr>
        <w:t>[insert name]</w:t>
      </w:r>
    </w:p>
    <w:p w:rsidR="00080446" w:rsidRPr="00892DE3" w:rsidRDefault="00080446" w:rsidP="00080446">
      <w:pPr>
        <w:pStyle w:val="Heading5unnumbered"/>
      </w:pPr>
      <w:r w:rsidRPr="00892DE3">
        <w:t xml:space="preserve">Grant 1 </w:t>
      </w:r>
      <w:r w:rsidRPr="00892DE3">
        <w:rPr>
          <w:color w:val="0072CE" w:themeColor="accent4"/>
        </w:rPr>
        <w:t>[insert name]</w:t>
      </w:r>
    </w:p>
    <w:p w:rsidR="00080446" w:rsidRPr="00892DE3" w:rsidRDefault="00080446" w:rsidP="00080446">
      <w:pPr>
        <w:pStyle w:val="Guidancenoborder"/>
      </w:pPr>
      <w:r w:rsidRPr="00892DE3">
        <w:t>[Insert description of purpose and nature of grant.]</w:t>
      </w:r>
    </w:p>
    <w:tbl>
      <w:tblPr>
        <w:tblStyle w:val="DTFTable"/>
        <w:tblW w:w="4644" w:type="dxa"/>
        <w:tblLook w:val="06A0" w:firstRow="1" w:lastRow="0" w:firstColumn="1" w:lastColumn="0" w:noHBand="1" w:noVBand="1"/>
      </w:tblPr>
      <w:tblGrid>
        <w:gridCol w:w="2376"/>
        <w:gridCol w:w="2268"/>
      </w:tblGrid>
      <w:tr w:rsidR="00080446" w:rsidRPr="00892DE3" w:rsidTr="00306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 xml:space="preserve">Organisation </w:t>
            </w:r>
          </w:p>
        </w:tc>
        <w:tc>
          <w:tcPr>
            <w:tcW w:w="2268"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Payment $</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ABC Ltd</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XYZ Division</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Society of BBY</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bl>
    <w:p w:rsidR="00080446" w:rsidRPr="00892DE3" w:rsidRDefault="00080446" w:rsidP="00080446">
      <w:pPr>
        <w:pStyle w:val="Heading5unnumbered"/>
      </w:pPr>
      <w:r w:rsidRPr="00892DE3">
        <w:t xml:space="preserve">Grant 2 </w:t>
      </w:r>
      <w:r w:rsidRPr="00892DE3">
        <w:rPr>
          <w:color w:val="0072CE" w:themeColor="accent4"/>
        </w:rPr>
        <w:t>[insert name]</w:t>
      </w:r>
    </w:p>
    <w:p w:rsidR="00080446" w:rsidRPr="00892DE3" w:rsidRDefault="00080446" w:rsidP="00080446">
      <w:pPr>
        <w:pStyle w:val="Guidancenoborder"/>
      </w:pPr>
      <w:r w:rsidRPr="00892DE3">
        <w:t>[Insert description of purpose and nature of grant.]</w:t>
      </w:r>
    </w:p>
    <w:tbl>
      <w:tblPr>
        <w:tblStyle w:val="DTFTable"/>
        <w:tblW w:w="4644" w:type="dxa"/>
        <w:tblLook w:val="06A0" w:firstRow="1" w:lastRow="0" w:firstColumn="1" w:lastColumn="0" w:noHBand="1" w:noVBand="1"/>
      </w:tblPr>
      <w:tblGrid>
        <w:gridCol w:w="2376"/>
        <w:gridCol w:w="2268"/>
      </w:tblGrid>
      <w:tr w:rsidR="00080446" w:rsidRPr="00892DE3" w:rsidTr="00306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 xml:space="preserve">Organisation </w:t>
            </w:r>
          </w:p>
        </w:tc>
        <w:tc>
          <w:tcPr>
            <w:tcW w:w="2268"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Payment $</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ABC Ltd</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XYZ Division</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Society of BBY</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bl>
    <w:p w:rsidR="00080446" w:rsidRPr="00892DE3" w:rsidRDefault="00080446" w:rsidP="00080446">
      <w:pPr>
        <w:pStyle w:val="Heading5unnumbered"/>
      </w:pPr>
      <w:r w:rsidRPr="00892DE3">
        <w:t xml:space="preserve">Program B </w:t>
      </w:r>
      <w:r w:rsidRPr="00892DE3">
        <w:rPr>
          <w:color w:val="0072CE" w:themeColor="accent4"/>
        </w:rPr>
        <w:t>[insert name]</w:t>
      </w:r>
    </w:p>
    <w:p w:rsidR="00080446" w:rsidRPr="00892DE3" w:rsidRDefault="00080446" w:rsidP="00080446">
      <w:pPr>
        <w:pStyle w:val="Heading5unnumbered"/>
      </w:pPr>
      <w:r w:rsidRPr="00892DE3">
        <w:t xml:space="preserve">Grant 1 </w:t>
      </w:r>
      <w:r w:rsidRPr="00892DE3">
        <w:rPr>
          <w:color w:val="0072CE" w:themeColor="accent4"/>
        </w:rPr>
        <w:t>[insert name]</w:t>
      </w:r>
    </w:p>
    <w:p w:rsidR="00080446" w:rsidRPr="00892DE3" w:rsidRDefault="00080446" w:rsidP="00080446">
      <w:pPr>
        <w:pStyle w:val="Guidancenoborder"/>
      </w:pPr>
      <w:r w:rsidRPr="00892DE3">
        <w:t>[Insert description of purpose and nature of grant.]</w:t>
      </w:r>
    </w:p>
    <w:tbl>
      <w:tblPr>
        <w:tblStyle w:val="DTFTable"/>
        <w:tblW w:w="4644" w:type="dxa"/>
        <w:tblLook w:val="06A0" w:firstRow="1" w:lastRow="0" w:firstColumn="1" w:lastColumn="0" w:noHBand="1" w:noVBand="1"/>
      </w:tblPr>
      <w:tblGrid>
        <w:gridCol w:w="2376"/>
        <w:gridCol w:w="2268"/>
      </w:tblGrid>
      <w:tr w:rsidR="00080446" w:rsidRPr="00892DE3" w:rsidTr="00306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 xml:space="preserve">Organisation </w:t>
            </w:r>
          </w:p>
        </w:tc>
        <w:tc>
          <w:tcPr>
            <w:tcW w:w="2268"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Payment $</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ATE Ltd</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bl>
    <w:p w:rsidR="00080446" w:rsidRPr="00892DE3" w:rsidRDefault="00080446" w:rsidP="00080446">
      <w:pPr>
        <w:pStyle w:val="Heading5unnumbered"/>
      </w:pPr>
      <w:r w:rsidRPr="00892DE3">
        <w:t xml:space="preserve">Program C </w:t>
      </w:r>
      <w:r w:rsidRPr="00892DE3">
        <w:rPr>
          <w:color w:val="0072CE" w:themeColor="accent4"/>
        </w:rPr>
        <w:t>[insert name]</w:t>
      </w:r>
    </w:p>
    <w:p w:rsidR="00080446" w:rsidRPr="00892DE3" w:rsidRDefault="00080446" w:rsidP="00080446">
      <w:pPr>
        <w:pStyle w:val="Heading5unnumbered"/>
      </w:pPr>
      <w:r w:rsidRPr="00892DE3">
        <w:t xml:space="preserve">Grant 1 </w:t>
      </w:r>
      <w:r w:rsidRPr="00892DE3">
        <w:rPr>
          <w:color w:val="0072CE" w:themeColor="accent4"/>
        </w:rPr>
        <w:t>[insert name]</w:t>
      </w:r>
    </w:p>
    <w:p w:rsidR="00080446" w:rsidRPr="00892DE3" w:rsidRDefault="00080446" w:rsidP="00080446">
      <w:pPr>
        <w:pStyle w:val="Guidancenoborder"/>
      </w:pPr>
      <w:r w:rsidRPr="00892DE3">
        <w:t>[Insert description of purpose and nature of grant.]</w:t>
      </w:r>
    </w:p>
    <w:tbl>
      <w:tblPr>
        <w:tblStyle w:val="DTFTable"/>
        <w:tblW w:w="4644" w:type="dxa"/>
        <w:tblLook w:val="06A0" w:firstRow="1" w:lastRow="0" w:firstColumn="1" w:lastColumn="0" w:noHBand="1" w:noVBand="1"/>
      </w:tblPr>
      <w:tblGrid>
        <w:gridCol w:w="2376"/>
        <w:gridCol w:w="2268"/>
      </w:tblGrid>
      <w:tr w:rsidR="00080446" w:rsidRPr="00892DE3" w:rsidTr="00306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 xml:space="preserve">Organisation </w:t>
            </w:r>
          </w:p>
        </w:tc>
        <w:tc>
          <w:tcPr>
            <w:tcW w:w="2268"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Payment $</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ABC Ltd</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XYZ Division</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Society of BBY</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XYZ Division</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Society of BBY</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bl>
    <w:p w:rsidR="00080446" w:rsidRPr="00892DE3" w:rsidRDefault="00080446" w:rsidP="00080446">
      <w:pPr>
        <w:pStyle w:val="Guidancenoborder"/>
      </w:pPr>
      <w:r w:rsidRPr="00892DE3">
        <w:t>[Repeat as applicable for each output.]</w:t>
      </w:r>
    </w:p>
    <w:p w:rsidR="00080446" w:rsidRPr="00892DE3" w:rsidRDefault="00080446" w:rsidP="00080446">
      <w:pPr>
        <w:pStyle w:val="Guidanceheading"/>
      </w:pPr>
      <w:r w:rsidRPr="00892DE3">
        <w:t>Guidance – Disclosure of grants and transfer payments</w:t>
      </w:r>
    </w:p>
    <w:p w:rsidR="00080446" w:rsidRPr="00892DE3" w:rsidRDefault="00080446" w:rsidP="00080446">
      <w:pPr>
        <w:pStyle w:val="Guidance"/>
      </w:pPr>
      <w:r w:rsidRPr="00892DE3">
        <w:t xml:space="preserve">There is little detailed coverage of grant programs in the annual reports of government departments and agencies. Accountable reporting for the expenditure of grant funds and delivery of grant program outcomes needs to be informative and more extensive than in previous years. </w:t>
      </w:r>
    </w:p>
    <w:p w:rsidR="00080446" w:rsidRPr="00892DE3" w:rsidRDefault="00080446" w:rsidP="00080446">
      <w:pPr>
        <w:pStyle w:val="Guidance"/>
      </w:pPr>
      <w:r w:rsidRPr="00892DE3">
        <w:t xml:space="preserve">For the purposes of annual report disclosure, the following definition can be applied for a grant, developed from that used by the Auditor-General’s report </w:t>
      </w:r>
      <w:r w:rsidRPr="00892DE3">
        <w:rPr>
          <w:i/>
        </w:rPr>
        <w:t>Grants to non-government organisations: Improving accountability</w:t>
      </w:r>
      <w:r w:rsidRPr="00892DE3">
        <w:t>.</w:t>
      </w:r>
    </w:p>
    <w:p w:rsidR="00080446" w:rsidRPr="00892DE3" w:rsidRDefault="00080446" w:rsidP="00080446">
      <w:pPr>
        <w:pStyle w:val="BodyText"/>
      </w:pPr>
      <w:r w:rsidRPr="00892DE3">
        <w:br w:type="page"/>
      </w:r>
    </w:p>
    <w:p w:rsidR="00080446" w:rsidRPr="00892DE3" w:rsidRDefault="00080446" w:rsidP="00080446">
      <w:pPr>
        <w:pStyle w:val="Smallline"/>
      </w:pPr>
      <w:r w:rsidRPr="00892DE3">
        <w:lastRenderedPageBreak/>
        <w:br w:type="column"/>
      </w:r>
    </w:p>
    <w:p w:rsidR="00080446" w:rsidRPr="00892DE3" w:rsidRDefault="00080446" w:rsidP="00080446">
      <w:pPr>
        <w:pStyle w:val="Guidanceheading"/>
      </w:pPr>
      <w:r w:rsidRPr="00892DE3">
        <w:t xml:space="preserve">Guidance – Disclosure of grants and transfer payments </w:t>
      </w:r>
      <w:r w:rsidRPr="00892DE3">
        <w:rPr>
          <w:i/>
        </w:rPr>
        <w:t>(continued)</w:t>
      </w:r>
    </w:p>
    <w:p w:rsidR="00080446" w:rsidRPr="00892DE3" w:rsidRDefault="00080446" w:rsidP="00080446">
      <w:pPr>
        <w:pStyle w:val="Guidance"/>
        <w:pBdr>
          <w:bottom w:val="none" w:sz="0" w:space="0" w:color="auto"/>
        </w:pBdr>
      </w:pPr>
      <w:r w:rsidRPr="00892DE3">
        <w:rPr>
          <w:i/>
        </w:rPr>
        <w:t>‘A grant pertains to any monies included as a controlled expense within a department’s output schedule that is allocated to any government entity (including general government entities and public non-financial corporations), third party or parties outside the public sector and at the discretion of a department or agency, with recipients required to use the monies for the specific purposes outlined in the particular funding agreement.’</w:t>
      </w:r>
    </w:p>
    <w:p w:rsidR="00080446" w:rsidRPr="00892DE3" w:rsidRDefault="00080446" w:rsidP="00080446">
      <w:pPr>
        <w:pStyle w:val="Guidance"/>
        <w:pBdr>
          <w:bottom w:val="none" w:sz="0" w:space="0" w:color="auto"/>
        </w:pBdr>
      </w:pPr>
      <w:r w:rsidRPr="00892DE3">
        <w:t>Departments and agencies may wish to include some additional information in this section in relation to grants programs.</w:t>
      </w:r>
    </w:p>
    <w:p w:rsidR="00080446" w:rsidRPr="00892DE3" w:rsidRDefault="00080446" w:rsidP="00080446">
      <w:pPr>
        <w:pStyle w:val="Guidanceheading2"/>
        <w:pBdr>
          <w:bottom w:val="none" w:sz="0" w:space="0" w:color="auto"/>
        </w:pBdr>
      </w:pPr>
      <w:r w:rsidRPr="00892DE3">
        <w:t>Disclosure in machinery of government changes</w:t>
      </w:r>
    </w:p>
    <w:p w:rsidR="00080446" w:rsidRPr="00892DE3" w:rsidRDefault="00080446" w:rsidP="00080446">
      <w:pPr>
        <w:pStyle w:val="Guidance"/>
      </w:pPr>
      <w:r w:rsidRPr="00892DE3">
        <w:t>Recommendation 15 of PAEC Report 87 recommended the disclosure of grants and transfer payments by output. This is based on the Department’s responsibility of output delivery at the end of the financial year.</w:t>
      </w:r>
    </w:p>
    <w:p w:rsidR="00080446" w:rsidRPr="00892DE3" w:rsidRDefault="00080446" w:rsidP="00080446">
      <w:pPr>
        <w:pStyle w:val="Guidance"/>
      </w:pPr>
      <w:r w:rsidRPr="00892DE3">
        <w:t>In the event of a machinery of government change, the transferor department will no longer be required to disclose grants and transfer payments associated with outputs that have been transferred out to the transferee department. The transferee department will now be required to disclose grants and transfer payments associated with the outputs for the full year because the transferee department is administratively responsible for the outputs at the end of the financial year.</w:t>
      </w:r>
    </w:p>
    <w:p w:rsidR="00080446" w:rsidRPr="00892DE3" w:rsidRDefault="00080446" w:rsidP="00080446">
      <w:pPr>
        <w:pStyle w:val="Guidance"/>
      </w:pPr>
      <w:r w:rsidRPr="00892DE3">
        <w:t>In terms of the relationship between the Report of Operations and the Financial Statements, the grants and transfer payments disclosed in the Report of Operations may not necessarily reconcile with the operating expenses in the Financial Statements (i.e. Grants and transfer payments actually paid by the department) as a result of machinery of government changes during the financial year. For transparency, it is recommended departments make a footnote to highlight the reporting approach and include a comment to clarify that the disclosed amount will not reconcile to the financial statements.</w:t>
      </w:r>
    </w:p>
    <w:p w:rsidR="00080446" w:rsidRPr="00892DE3" w:rsidRDefault="00080446" w:rsidP="00080446">
      <w:pPr>
        <w:pStyle w:val="BodyText"/>
      </w:pPr>
    </w:p>
    <w:p w:rsidR="00080446" w:rsidRPr="00892DE3" w:rsidRDefault="00080446" w:rsidP="00381114">
      <w:pPr>
        <w:pStyle w:val="Heading2nonTOC"/>
      </w:pPr>
      <w:bookmarkStart w:id="28" w:name="_Toc477967488"/>
      <w:r w:rsidRPr="00892DE3">
        <w:t>Subsequent events</w:t>
      </w:r>
      <w:bookmarkEnd w:id="28"/>
      <w:r w:rsidRPr="00892DE3">
        <w:t xml:space="preserve"> </w:t>
      </w:r>
    </w:p>
    <w:p w:rsidR="00080446" w:rsidRPr="00892DE3" w:rsidRDefault="00080446" w:rsidP="00080446">
      <w:pPr>
        <w:pStyle w:val="BodyText"/>
      </w:pPr>
      <w:r w:rsidRPr="00892DE3">
        <w:t>Subsequent to the reporting period, the Government announced its intention to privatise the consulting division of the Department. Further details are provided in Note 9.</w:t>
      </w:r>
      <w:r w:rsidR="00A13A17" w:rsidRPr="00892DE3">
        <w:t>1</w:t>
      </w:r>
      <w:r w:rsidR="0081558E" w:rsidRPr="00892DE3">
        <w:t>1</w:t>
      </w:r>
      <w:r w:rsidR="00A13A17" w:rsidRPr="00892DE3" w:rsidDel="00C14F0B">
        <w:t xml:space="preserve"> </w:t>
      </w:r>
      <w:r w:rsidRPr="00892DE3">
        <w:t xml:space="preserve"> of the Financial Statements.</w:t>
      </w:r>
    </w:p>
    <w:p w:rsidR="00080446" w:rsidRPr="00892DE3" w:rsidRDefault="00080446" w:rsidP="00080446">
      <w:pPr>
        <w:pStyle w:val="BodyText"/>
      </w:pPr>
    </w:p>
    <w:p w:rsidR="00080446" w:rsidRPr="00892DE3" w:rsidRDefault="00080446" w:rsidP="00080446">
      <w:pPr>
        <w:pStyle w:val="Guidanceheading"/>
      </w:pPr>
      <w:r w:rsidRPr="00892DE3">
        <w:t>Guidance – Subsequent events</w:t>
      </w:r>
    </w:p>
    <w:p w:rsidR="00080446" w:rsidRPr="00892DE3" w:rsidRDefault="00080446" w:rsidP="00080446">
      <w:pPr>
        <w:pStyle w:val="Guidanceheading"/>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heading1"/>
      </w:pPr>
      <w:r w:rsidRPr="00892DE3">
        <w:br w:type="column"/>
      </w:r>
      <w:r w:rsidRPr="00892DE3">
        <w:lastRenderedPageBreak/>
        <w:t>Guidance</w:t>
      </w:r>
    </w:p>
    <w:p w:rsidR="00080446" w:rsidRPr="00892DE3" w:rsidRDefault="00080446" w:rsidP="00080446">
      <w:pPr>
        <w:pStyle w:val="Guidance"/>
        <w:pBdr>
          <w:bottom w:val="none" w:sz="0" w:space="0" w:color="auto"/>
        </w:pBdr>
      </w:pPr>
      <w:r w:rsidRPr="00892DE3">
        <w:t>Where detailed information about subsequent events is contained in the financial statement, the report of operations should include a summary of those events with a cross reference to their disclosure in the financial statement. Refer to Note 9.</w:t>
      </w:r>
      <w:r w:rsidR="00A13A17" w:rsidRPr="00892DE3">
        <w:t>1</w:t>
      </w:r>
      <w:r w:rsidR="0081558E" w:rsidRPr="00892DE3">
        <w:t>1</w:t>
      </w:r>
      <w:r w:rsidRPr="00892DE3">
        <w:t xml:space="preserve"> in the Model financial statement.</w:t>
      </w:r>
    </w:p>
    <w:p w:rsidR="00080446" w:rsidRPr="00892DE3" w:rsidRDefault="00080446" w:rsidP="00080446">
      <w:pPr>
        <w:pStyle w:val="Guidanceheading2"/>
        <w:pBdr>
          <w:bottom w:val="none" w:sz="0" w:space="0" w:color="auto"/>
        </w:pBdr>
      </w:pPr>
      <w:r w:rsidRPr="00892DE3">
        <w:t>Machinery of government changes that occurred after the reporting period</w:t>
      </w:r>
    </w:p>
    <w:p w:rsidR="00080446" w:rsidRPr="00892DE3" w:rsidRDefault="00080446" w:rsidP="00080446">
      <w:pPr>
        <w:pStyle w:val="Guidance"/>
      </w:pPr>
      <w:r w:rsidRPr="00892DE3">
        <w:t>If additional disclosures relating to any machinery of government changes occurring after the reporting period are considered useful for readers of the annual report, departments may wish to disclose general facts about the machinery of government changes that would impact on the next annual report. For example, in the case of certain outputs being transferred from one department to another department, if disclosure on the fact that those outputs would be reported under a different department in the next annual report is considered useful to readers, then both transferor and transferee should disclose general facts about the transfer (i.e. department name changes, new minister(s) name(s), output/activity shifts, etc.) in the section under subsequent events in their report of operations and financial statements.</w:t>
      </w:r>
    </w:p>
    <w:p w:rsidR="00080446" w:rsidRPr="00892DE3" w:rsidRDefault="00080446" w:rsidP="00080446">
      <w:pPr>
        <w:pStyle w:val="BodyText"/>
      </w:pPr>
      <w:r w:rsidRPr="00892DE3">
        <w:br w:type="page"/>
      </w:r>
    </w:p>
    <w:p w:rsidR="00080446" w:rsidRPr="00892DE3" w:rsidRDefault="00080446" w:rsidP="00DA3433">
      <w:pPr>
        <w:pStyle w:val="Heading1nonTOC"/>
      </w:pPr>
      <w:r w:rsidRPr="00892DE3">
        <w:lastRenderedPageBreak/>
        <w:br w:type="column"/>
      </w:r>
      <w:bookmarkStart w:id="29" w:name="_Toc477967489"/>
      <w:bookmarkStart w:id="30" w:name="Report_Section2"/>
      <w:r w:rsidRPr="00892DE3">
        <w:lastRenderedPageBreak/>
        <w:t>Section 2: Governance and organisational structure</w:t>
      </w:r>
      <w:bookmarkEnd w:id="29"/>
      <w:bookmarkEnd w:id="30"/>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Guidanceheading"/>
      </w:pPr>
      <w:r w:rsidRPr="00892DE3">
        <w:t>Guidance – Governance and organisational structure (overview)</w:t>
      </w:r>
    </w:p>
    <w:p w:rsidR="00080446" w:rsidRPr="00892DE3" w:rsidRDefault="00080446" w:rsidP="00080446">
      <w:pPr>
        <w:pStyle w:val="Guidanceheading"/>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 xml:space="preserve">FRD 22H </w:t>
      </w:r>
    </w:p>
    <w:p w:rsidR="00080446" w:rsidRPr="00892DE3" w:rsidRDefault="00080446" w:rsidP="00080446">
      <w:pPr>
        <w:pStyle w:val="Guidance"/>
        <w:pBdr>
          <w:bottom w:val="none" w:sz="0" w:space="0" w:color="auto"/>
        </w:pBdr>
      </w:pPr>
      <w:r w:rsidRPr="00892DE3">
        <w:br w:type="column"/>
      </w:r>
      <w:r w:rsidRPr="00892DE3">
        <w:rPr>
          <w:b/>
        </w:rPr>
        <w:lastRenderedPageBreak/>
        <w:t>FRD 22H</w:t>
      </w:r>
      <w:r w:rsidRPr="00892DE3">
        <w:t xml:space="preserve"> </w:t>
      </w:r>
      <w:r w:rsidR="006A58CA">
        <w:t xml:space="preserve">(to be issued in June 2017) </w:t>
      </w:r>
      <w:r w:rsidRPr="00892DE3">
        <w:t xml:space="preserve">requires that the report should include an ‘organisational chart detailing members of the governing board, Audit Committee, Chief Executive Officer, senior officers and their responsibilities. </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 xml:space="preserve">This section may include a short profile on each of a department’s ministers, outlining their portfolio, area of responsibility and other portfolios held by the minister. Profiles of each of a department’s senior executives, outlining their role and professional background should also be included. </w:t>
      </w:r>
    </w:p>
    <w:p w:rsidR="00080446" w:rsidRPr="00892DE3" w:rsidRDefault="00080446" w:rsidP="00080446">
      <w:pPr>
        <w:pStyle w:val="Guidance"/>
      </w:pPr>
      <w:r w:rsidRPr="00892DE3">
        <w:t xml:space="preserve">It may be useful to include stock photos of each minister and relevant secretary/CEO with their profiles for people who use the annual report as a research tool prior to making contact with a department. </w:t>
      </w:r>
    </w:p>
    <w:p w:rsidR="00080446" w:rsidRPr="00892DE3" w:rsidRDefault="00080446" w:rsidP="00080446">
      <w:pPr>
        <w:pStyle w:val="Guidance"/>
      </w:pPr>
      <w:r w:rsidRPr="00892DE3">
        <w:t xml:space="preserve">The organisational chart should show the names of the senior executives and the areas they are responsible for. Below the level of senior executive, names do not need to be shown, however sufficient detail should be included to show the areas of responsibility or key activities undertaken by a department.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120"/>
      </w:pPr>
      <w:r w:rsidRPr="00892DE3">
        <w:t>FRD 22H</w:t>
      </w:r>
    </w:p>
    <w:p w:rsidR="00080446" w:rsidRPr="00892DE3" w:rsidRDefault="00080446" w:rsidP="00381114">
      <w:pPr>
        <w:pStyle w:val="Heading2nonTOC"/>
      </w:pPr>
      <w:r w:rsidRPr="00892DE3">
        <w:br w:type="column"/>
      </w:r>
      <w:bookmarkStart w:id="31" w:name="_Toc477967490"/>
      <w:r w:rsidRPr="00892DE3">
        <w:lastRenderedPageBreak/>
        <w:t>Organisational structure and corporate governance arrangements</w:t>
      </w:r>
      <w:bookmarkEnd w:id="31"/>
      <w:r w:rsidRPr="00892DE3">
        <w:t xml:space="preserve"> </w:t>
      </w:r>
    </w:p>
    <w:p w:rsidR="00080446" w:rsidRPr="00892DE3" w:rsidRDefault="00080446" w:rsidP="00306EE3">
      <w:pPr>
        <w:pStyle w:val="Heading30"/>
      </w:pPr>
      <w:r w:rsidRPr="00892DE3">
        <w:t>The Department’s Ministers</w:t>
      </w:r>
    </w:p>
    <w:p w:rsidR="00080446" w:rsidRPr="00892DE3" w:rsidRDefault="00080446" w:rsidP="00306EE3">
      <w:pPr>
        <w:pStyle w:val="Heading4"/>
      </w:pPr>
      <w:r w:rsidRPr="00892DE3">
        <w:t>Minister for Technology</w:t>
      </w:r>
    </w:p>
    <w:p w:rsidR="00080446" w:rsidRPr="00892DE3" w:rsidRDefault="00080446" w:rsidP="00080446">
      <w:pPr>
        <w:pStyle w:val="BodyText"/>
      </w:pPr>
      <w:r w:rsidRPr="00892DE3">
        <w:t xml:space="preserve">The Hon. John Bristol MP was appointed as the Minister for Technology in May 2016. He is also the Minister for Parks and Forests. </w:t>
      </w:r>
    </w:p>
    <w:p w:rsidR="00080446" w:rsidRPr="00892DE3" w:rsidRDefault="00080446" w:rsidP="00080446">
      <w:pPr>
        <w:pStyle w:val="BodyText"/>
      </w:pPr>
      <w:r w:rsidRPr="00892DE3">
        <w:t>The Minister for Technology is responsible for promoting the development of the technology sector in Victoria. The Minister also manages the provision of technology services to the Government.</w:t>
      </w:r>
    </w:p>
    <w:p w:rsidR="00080446" w:rsidRPr="00892DE3" w:rsidRDefault="00080446" w:rsidP="00080446">
      <w:pPr>
        <w:pStyle w:val="Guidancenoborder"/>
      </w:pPr>
      <w:r w:rsidRPr="00892DE3">
        <w:t>[Insert picture here]</w:t>
      </w:r>
    </w:p>
    <w:p w:rsidR="00080446" w:rsidRPr="00892DE3" w:rsidRDefault="00080446" w:rsidP="00306EE3">
      <w:pPr>
        <w:pStyle w:val="Heading4"/>
      </w:pPr>
      <w:r w:rsidRPr="00892DE3">
        <w:t>Minister for Biotechnology</w:t>
      </w:r>
    </w:p>
    <w:p w:rsidR="00080446" w:rsidRPr="00892DE3" w:rsidRDefault="00080446" w:rsidP="00080446">
      <w:pPr>
        <w:pStyle w:val="BodyText"/>
      </w:pPr>
      <w:r w:rsidRPr="00892DE3">
        <w:t xml:space="preserve">The Hon. Laura Toddingham MP was appointed as the Minister for Biotechnology in May 2016. She is also the Minister for Rural Communities. </w:t>
      </w:r>
    </w:p>
    <w:p w:rsidR="00080446" w:rsidRPr="00892DE3" w:rsidRDefault="00080446" w:rsidP="00080446">
      <w:pPr>
        <w:pStyle w:val="BodyText"/>
      </w:pPr>
      <w:r w:rsidRPr="00892DE3">
        <w:t>The Minister for Biotechnology is responsible for the regulation of Victoria’s biotechnology sector and managing research and development activities conducted by the Government.</w:t>
      </w:r>
    </w:p>
    <w:p w:rsidR="00080446" w:rsidRPr="00892DE3" w:rsidRDefault="00080446" w:rsidP="00080446">
      <w:pPr>
        <w:pStyle w:val="Guidancenoborder"/>
      </w:pPr>
      <w:r w:rsidRPr="00892DE3">
        <w:t>[Insert picture here]</w:t>
      </w:r>
    </w:p>
    <w:p w:rsidR="00080446" w:rsidRPr="00892DE3" w:rsidRDefault="00080446" w:rsidP="00306EE3">
      <w:pPr>
        <w:pStyle w:val="Heading30"/>
      </w:pPr>
      <w:r w:rsidRPr="00892DE3">
        <w:t>The Department’s Senior Executives</w:t>
      </w:r>
    </w:p>
    <w:p w:rsidR="00080446" w:rsidRPr="00892DE3" w:rsidRDefault="00080446" w:rsidP="00080446">
      <w:pPr>
        <w:pStyle w:val="BodyText"/>
      </w:pPr>
      <w:r w:rsidRPr="00892DE3">
        <w:t>The Department is led by the Secretary who reports to the Minister for Technology and the Minister for Biotechnology. The Department is managed by a senior executive group comprising the head of each of the Department’s four divisions. The role of the senior executive group is to set, monitor and review the strategic direction of the Department.</w:t>
      </w:r>
    </w:p>
    <w:p w:rsidR="00080446" w:rsidRPr="00892DE3" w:rsidRDefault="00080446" w:rsidP="00306EE3">
      <w:pPr>
        <w:pStyle w:val="Heading4"/>
      </w:pPr>
      <w:r w:rsidRPr="00892DE3">
        <w:t>Jane Smith</w:t>
      </w:r>
    </w:p>
    <w:p w:rsidR="00080446" w:rsidRPr="00892DE3" w:rsidRDefault="00080446" w:rsidP="00080446">
      <w:pPr>
        <w:pStyle w:val="BodyText"/>
      </w:pPr>
      <w:r w:rsidRPr="00892DE3">
        <w:t>Jane Smith was appointed Secretary of the Department in July 2015. She leads the Department in developing and implementing government technology policy. She is responsible for giving policy advice to ministers and providing support to Cabinet on matters within the Department’s portfolio.</w:t>
      </w:r>
    </w:p>
    <w:p w:rsidR="00080446" w:rsidRPr="00892DE3" w:rsidRDefault="00080446" w:rsidP="00080446">
      <w:pPr>
        <w:pStyle w:val="Guidancenoborder"/>
      </w:pPr>
      <w:r w:rsidRPr="00892DE3">
        <w:t>[Optional picture]</w:t>
      </w:r>
    </w:p>
    <w:p w:rsidR="00DA3433" w:rsidRPr="00892DE3" w:rsidRDefault="00DA3433">
      <w:pPr>
        <w:keepLines w:val="0"/>
        <w:rPr>
          <w:rFonts w:asciiTheme="majorHAnsi" w:eastAsiaTheme="majorEastAsia" w:hAnsiTheme="majorHAnsi" w:cstheme="majorBidi"/>
          <w:i/>
          <w:iCs/>
          <w:spacing w:val="0"/>
          <w:sz w:val="20"/>
          <w:szCs w:val="26"/>
        </w:rPr>
      </w:pPr>
      <w:r w:rsidRPr="00892DE3">
        <w:br w:type="page"/>
      </w:r>
    </w:p>
    <w:p w:rsidR="00080446" w:rsidRPr="00892DE3" w:rsidRDefault="00DA3433" w:rsidP="00306EE3">
      <w:pPr>
        <w:pStyle w:val="Heading4"/>
      </w:pPr>
      <w:r w:rsidRPr="00892DE3">
        <w:lastRenderedPageBreak/>
        <w:br w:type="column"/>
      </w:r>
      <w:r w:rsidR="00080446" w:rsidRPr="00892DE3">
        <w:lastRenderedPageBreak/>
        <w:t>John Tails</w:t>
      </w:r>
    </w:p>
    <w:p w:rsidR="00080446" w:rsidRPr="00892DE3" w:rsidRDefault="00080446" w:rsidP="00080446">
      <w:pPr>
        <w:pStyle w:val="BodyText"/>
      </w:pPr>
      <w:r w:rsidRPr="00892DE3">
        <w:t xml:space="preserve">John heads the Strategic Policy Advice division of the Department and has done so since August 2015. John is responsible for coordinating the Department’s strategic policy advice to Government, including advice on the Department’s involvement in private sector ventures. </w:t>
      </w:r>
    </w:p>
    <w:p w:rsidR="00080446" w:rsidRPr="00892DE3" w:rsidRDefault="00080446" w:rsidP="00306EE3">
      <w:pPr>
        <w:pStyle w:val="Heading4"/>
      </w:pPr>
      <w:r w:rsidRPr="00892DE3">
        <w:t>Paul Germs</w:t>
      </w:r>
    </w:p>
    <w:p w:rsidR="00080446" w:rsidRPr="00892DE3" w:rsidRDefault="00080446" w:rsidP="00080446">
      <w:pPr>
        <w:pStyle w:val="BodyText"/>
      </w:pPr>
      <w:r w:rsidRPr="00892DE3">
        <w:t>Paul heads the Research and Development Biological Technologies division, which coordinates the activities undertaken by several units of the Department in respect of research and development of new biological technology. Paul has extensive experience in pure and applied research and development programs, having previously held senior positions at various educational and research institutions. Paul was appointed in July 2015.</w:t>
      </w:r>
    </w:p>
    <w:p w:rsidR="00080446" w:rsidRPr="00892DE3" w:rsidRDefault="00080446" w:rsidP="00306EE3">
      <w:pPr>
        <w:pStyle w:val="Heading4"/>
      </w:pPr>
      <w:r w:rsidRPr="00892DE3">
        <w:t>Gail Mods</w:t>
      </w:r>
    </w:p>
    <w:p w:rsidR="00080446" w:rsidRPr="00892DE3" w:rsidRDefault="00080446" w:rsidP="00080446">
      <w:pPr>
        <w:pStyle w:val="BodyText"/>
      </w:pPr>
      <w:r w:rsidRPr="00892DE3">
        <w:t xml:space="preserve">Gail heads the Information Technology and Telecommunication Services division of the Department, which supplies payroll, accounting and database management bureau services to other agencies and governments. Gail was appointed in December 2015. </w:t>
      </w:r>
    </w:p>
    <w:p w:rsidR="00080446" w:rsidRPr="00892DE3" w:rsidRDefault="00080446" w:rsidP="00306EE3">
      <w:pPr>
        <w:pStyle w:val="Heading4"/>
      </w:pPr>
      <w:r w:rsidRPr="00892DE3">
        <w:t>Robert McIvor</w:t>
      </w:r>
    </w:p>
    <w:p w:rsidR="00080446" w:rsidRPr="00892DE3" w:rsidRDefault="00080446" w:rsidP="00080446">
      <w:pPr>
        <w:pStyle w:val="BodyText"/>
      </w:pPr>
      <w:r w:rsidRPr="00892DE3">
        <w:t xml:space="preserve">Robert is the Department’s Chief Finance Officer and was appointed in May 2015. He is responsible for maintaining and developing the Department’s financial management systems, and providing a full range of financial and accounting services. </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381114">
      <w:pPr>
        <w:pStyle w:val="Heading2nonTOC"/>
      </w:pPr>
      <w:r w:rsidRPr="00892DE3">
        <w:br w:type="column"/>
      </w:r>
      <w:bookmarkStart w:id="32" w:name="_Toc477967491"/>
      <w:r w:rsidRPr="00892DE3">
        <w:lastRenderedPageBreak/>
        <w:t>Organisation structure</w:t>
      </w:r>
      <w:bookmarkEnd w:id="32"/>
    </w:p>
    <w:p w:rsidR="00080446" w:rsidRPr="00892DE3" w:rsidRDefault="00080446" w:rsidP="00080446">
      <w:pPr>
        <w:pStyle w:val="Smallline"/>
      </w:pP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object w:dxaOrig="9874" w:dyaOrig="5037">
          <v:shape id="_x0000_i1026" type="#_x0000_t75" style="width:400.7pt;height:202.25pt" o:ole="">
            <v:imagedata r:id="rId50" o:title=""/>
          </v:shape>
          <o:OLEObject Type="Embed" ProgID="Visio.Drawing.11" ShapeID="_x0000_i1026" DrawAspect="Content" ObjectID="_1578394204" r:id="rId51"/>
        </w:object>
      </w:r>
    </w:p>
    <w:p w:rsidR="00080446" w:rsidRPr="00892DE3" w:rsidRDefault="00080446" w:rsidP="00080446">
      <w:pPr>
        <w:pStyle w:val="Reference"/>
      </w:pPr>
    </w:p>
    <w:p w:rsidR="00080446" w:rsidRPr="00892DE3" w:rsidRDefault="00080446" w:rsidP="00080446">
      <w:pPr>
        <w:pStyle w:val="Reference"/>
      </w:pPr>
    </w:p>
    <w:p w:rsidR="00DA3433" w:rsidRPr="00892DE3" w:rsidRDefault="00080446">
      <w:pPr>
        <w:keepLines w:val="0"/>
        <w:rPr>
          <w:rFonts w:asciiTheme="majorHAnsi" w:eastAsiaTheme="majorEastAsia" w:hAnsiTheme="majorHAnsi" w:cstheme="majorBidi"/>
          <w:b/>
          <w:spacing w:val="-2"/>
          <w:sz w:val="24"/>
          <w:szCs w:val="26"/>
        </w:rPr>
      </w:pPr>
      <w:r w:rsidRPr="00892DE3">
        <w:br w:type="column"/>
      </w:r>
      <w:bookmarkStart w:id="33" w:name="_Toc477967492"/>
      <w:r w:rsidR="00DA3433" w:rsidRPr="00892DE3">
        <w:lastRenderedPageBreak/>
        <w:br w:type="page"/>
      </w:r>
    </w:p>
    <w:p w:rsidR="00080446" w:rsidRPr="00892DE3" w:rsidRDefault="00DA3433" w:rsidP="00381114">
      <w:pPr>
        <w:pStyle w:val="Heading2nonTOC"/>
      </w:pPr>
      <w:r w:rsidRPr="00892DE3">
        <w:lastRenderedPageBreak/>
        <w:br w:type="column"/>
      </w:r>
      <w:r w:rsidR="00080446" w:rsidRPr="00892DE3">
        <w:lastRenderedPageBreak/>
        <w:t>Audit Committee membership and roles</w:t>
      </w:r>
      <w:bookmarkEnd w:id="33"/>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t>SD 3.2.1.3(f)</w:t>
      </w:r>
    </w:p>
    <w:p w:rsidR="00080446" w:rsidRPr="00892DE3" w:rsidRDefault="00080446" w:rsidP="00080446">
      <w:pPr>
        <w:pStyle w:val="Reference"/>
      </w:pPr>
      <w:r w:rsidRPr="00892DE3">
        <w:t>FRD 22H</w:t>
      </w: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BodyText"/>
      </w:pPr>
      <w:r w:rsidRPr="00892DE3">
        <w:br w:type="column"/>
      </w:r>
      <w:r w:rsidRPr="00892DE3">
        <w:lastRenderedPageBreak/>
        <w:t>The Audit Committee consists of the following members:</w:t>
      </w:r>
    </w:p>
    <w:p w:rsidR="00080446" w:rsidRPr="00892DE3" w:rsidRDefault="00080446" w:rsidP="00587DAE">
      <w:pPr>
        <w:pStyle w:val="ListBullet"/>
        <w:keepLines w:val="0"/>
        <w:numPr>
          <w:ilvl w:val="0"/>
          <w:numId w:val="19"/>
        </w:numPr>
        <w:spacing w:before="120" w:after="60"/>
      </w:pPr>
      <w:r w:rsidRPr="00892DE3">
        <w:t xml:space="preserve">C A Maxwell, Chairman (independent member); </w:t>
      </w:r>
    </w:p>
    <w:p w:rsidR="00080446" w:rsidRPr="00892DE3" w:rsidRDefault="00080446" w:rsidP="00587DAE">
      <w:pPr>
        <w:pStyle w:val="ListBullet"/>
        <w:keepLines w:val="0"/>
        <w:numPr>
          <w:ilvl w:val="0"/>
          <w:numId w:val="19"/>
        </w:numPr>
        <w:spacing w:before="120" w:after="60"/>
      </w:pPr>
      <w:r w:rsidRPr="00892DE3">
        <w:t xml:space="preserve">A L Cunningham (independent member); </w:t>
      </w:r>
    </w:p>
    <w:p w:rsidR="00080446" w:rsidRPr="00892DE3" w:rsidRDefault="00080446" w:rsidP="00587DAE">
      <w:pPr>
        <w:pStyle w:val="ListBullet"/>
        <w:keepLines w:val="0"/>
        <w:numPr>
          <w:ilvl w:val="0"/>
          <w:numId w:val="19"/>
        </w:numPr>
        <w:spacing w:before="120" w:after="60"/>
      </w:pPr>
      <w:r w:rsidRPr="00892DE3">
        <w:t xml:space="preserve">R J Hunter (independent member); </w:t>
      </w:r>
    </w:p>
    <w:p w:rsidR="00080446" w:rsidRPr="00892DE3" w:rsidRDefault="00080446" w:rsidP="00587DAE">
      <w:pPr>
        <w:pStyle w:val="ListBullet"/>
        <w:keepLines w:val="0"/>
        <w:numPr>
          <w:ilvl w:val="0"/>
          <w:numId w:val="19"/>
        </w:numPr>
        <w:spacing w:before="120" w:after="60"/>
      </w:pPr>
      <w:r w:rsidRPr="00892DE3">
        <w:t>B A Wilson; and</w:t>
      </w:r>
    </w:p>
    <w:p w:rsidR="00080446" w:rsidRPr="00892DE3" w:rsidRDefault="00080446" w:rsidP="00080446">
      <w:pPr>
        <w:pStyle w:val="ListBullet"/>
        <w:keepLines w:val="0"/>
        <w:numPr>
          <w:ilvl w:val="0"/>
          <w:numId w:val="19"/>
        </w:numPr>
        <w:spacing w:before="120" w:after="60"/>
      </w:pPr>
      <w:r w:rsidRPr="00892DE3">
        <w:t>J S Curtis.</w:t>
      </w:r>
    </w:p>
    <w:p w:rsidR="00DA3433" w:rsidRPr="00892DE3" w:rsidRDefault="00DA3433" w:rsidP="00080446">
      <w:pPr>
        <w:pStyle w:val="BodyText"/>
        <w:sectPr w:rsidR="00DA3433"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SD 3.2.1.1</w:t>
      </w:r>
    </w:p>
    <w:p w:rsidR="00080446" w:rsidRPr="00892DE3" w:rsidRDefault="00080446" w:rsidP="00080446">
      <w:pPr>
        <w:pStyle w:val="BodyText"/>
      </w:pPr>
      <w:r w:rsidRPr="00892DE3">
        <w:br w:type="column"/>
      </w:r>
      <w:r w:rsidRPr="00892DE3">
        <w:lastRenderedPageBreak/>
        <w:t>The main responsibilities of the audit committee are to:</w:t>
      </w:r>
    </w:p>
    <w:p w:rsidR="00080446" w:rsidRPr="00892DE3" w:rsidRDefault="00080446" w:rsidP="00587DAE">
      <w:pPr>
        <w:pStyle w:val="ListBullet"/>
        <w:keepLines w:val="0"/>
        <w:numPr>
          <w:ilvl w:val="0"/>
          <w:numId w:val="19"/>
        </w:numPr>
        <w:spacing w:before="120" w:after="60"/>
      </w:pPr>
      <w:r w:rsidRPr="00892DE3">
        <w:t>review and report independently to the Secretary and ministers on the annual report and all other financial information published by the Department;</w:t>
      </w:r>
    </w:p>
    <w:p w:rsidR="00080446" w:rsidRPr="00892DE3" w:rsidRDefault="00080446" w:rsidP="00587DAE">
      <w:pPr>
        <w:pStyle w:val="ListBullet"/>
        <w:keepLines w:val="0"/>
        <w:numPr>
          <w:ilvl w:val="0"/>
          <w:numId w:val="19"/>
        </w:numPr>
        <w:spacing w:before="120" w:after="60"/>
      </w:pPr>
      <w:r w:rsidRPr="00892DE3">
        <w:t>assist the Secretary and ministers in reviewing the effectiveness of the Department’s internal control environment covering:</w:t>
      </w:r>
    </w:p>
    <w:p w:rsidR="00080446" w:rsidRPr="00892DE3" w:rsidRDefault="00080446" w:rsidP="00587DAE">
      <w:pPr>
        <w:pStyle w:val="ListBullet2"/>
        <w:keepLines w:val="0"/>
        <w:numPr>
          <w:ilvl w:val="1"/>
          <w:numId w:val="19"/>
        </w:numPr>
        <w:spacing w:before="120" w:after="60"/>
      </w:pPr>
      <w:r w:rsidRPr="00892DE3">
        <w:t>effectiveness and efficiency of operations;</w:t>
      </w:r>
    </w:p>
    <w:p w:rsidR="00080446" w:rsidRPr="00892DE3" w:rsidRDefault="00080446" w:rsidP="00587DAE">
      <w:pPr>
        <w:pStyle w:val="ListBullet2"/>
        <w:keepLines w:val="0"/>
        <w:numPr>
          <w:ilvl w:val="1"/>
          <w:numId w:val="19"/>
        </w:numPr>
        <w:spacing w:before="120" w:after="60"/>
      </w:pPr>
      <w:r w:rsidRPr="00892DE3">
        <w:t>reliability of financial reporting; and</w:t>
      </w:r>
    </w:p>
    <w:p w:rsidR="00080446" w:rsidRPr="00892DE3" w:rsidRDefault="00080446" w:rsidP="00587DAE">
      <w:pPr>
        <w:pStyle w:val="ListBullet2"/>
        <w:keepLines w:val="0"/>
        <w:numPr>
          <w:ilvl w:val="1"/>
          <w:numId w:val="19"/>
        </w:numPr>
        <w:spacing w:before="120" w:after="60"/>
      </w:pPr>
      <w:r w:rsidRPr="00892DE3">
        <w:t xml:space="preserve">compliance with applicable laws and regulations; </w:t>
      </w:r>
    </w:p>
    <w:p w:rsidR="00080446" w:rsidRPr="00892DE3" w:rsidRDefault="00080446" w:rsidP="00587DAE">
      <w:pPr>
        <w:pStyle w:val="ListBullet"/>
        <w:keepLines w:val="0"/>
        <w:numPr>
          <w:ilvl w:val="0"/>
          <w:numId w:val="19"/>
        </w:numPr>
        <w:spacing w:before="120" w:after="60"/>
      </w:pPr>
      <w:r w:rsidRPr="00892DE3">
        <w:t>determine the scope of the internal audit function and ensure its resources are adequate and used effectively, including coordination with the external auditors; and</w:t>
      </w:r>
    </w:p>
    <w:p w:rsidR="00080446" w:rsidRPr="00892DE3" w:rsidRDefault="00080446" w:rsidP="00587DAE">
      <w:pPr>
        <w:pStyle w:val="ListBullet"/>
        <w:keepLines w:val="0"/>
        <w:numPr>
          <w:ilvl w:val="0"/>
          <w:numId w:val="19"/>
        </w:numPr>
        <w:spacing w:before="120" w:after="60"/>
      </w:pPr>
      <w:r w:rsidRPr="00892DE3">
        <w:t xml:space="preserve">oversee the effective operation of the risk management framework. </w:t>
      </w:r>
    </w:p>
    <w:p w:rsidR="00080446" w:rsidRPr="00892DE3" w:rsidRDefault="00080446" w:rsidP="00381114">
      <w:pPr>
        <w:pStyle w:val="Heading2nonTOC"/>
      </w:pPr>
      <w:bookmarkStart w:id="34" w:name="_Toc477967493"/>
      <w:r w:rsidRPr="00892DE3">
        <w:t>Occupational health and safety</w:t>
      </w:r>
      <w:bookmarkEnd w:id="34"/>
      <w:r w:rsidRPr="00892DE3">
        <w:t xml:space="preserve"> </w:t>
      </w:r>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br/>
        <w:t>FRD 22H</w:t>
      </w:r>
    </w:p>
    <w:p w:rsidR="00080446" w:rsidRPr="00892DE3" w:rsidRDefault="00080446" w:rsidP="00080446">
      <w:pPr>
        <w:pStyle w:val="Reference"/>
      </w:pPr>
      <w:r w:rsidRPr="00892DE3">
        <w:t>Best practice disclosure based on Recommendation 70, PAEC Report 87</w:t>
      </w:r>
    </w:p>
    <w:p w:rsidR="00080446" w:rsidRPr="00892DE3" w:rsidRDefault="00080446" w:rsidP="00080446">
      <w:pPr>
        <w:pStyle w:val="BodyText"/>
      </w:pPr>
      <w:r w:rsidRPr="00892DE3">
        <w:br w:type="column"/>
      </w:r>
      <w:r w:rsidRPr="00892DE3">
        <w:lastRenderedPageBreak/>
        <w:t>The goal of the Department’s occupational health and safety (OH&amp;S) strategy is to ensure all staff remain safe and healthy at work. An OH&amp;S management system has been put in place and the majority of business units within the Department have implemented OH&amp;S local action plans aimed at enhancing safety performance and ensuring safe systems of work. The employee attitude survey results (KPI 15) indicated improved attention to OH&amp;S matters in the Department and a high level of commitment to OH&amp;S management.</w:t>
      </w:r>
    </w:p>
    <w:p w:rsidR="00080446" w:rsidRPr="00892DE3" w:rsidRDefault="00080446" w:rsidP="00080446">
      <w:pPr>
        <w:pStyle w:val="BodyText"/>
      </w:pPr>
      <w:r w:rsidRPr="00892DE3">
        <w:t>During the 2016-17 financial year, the Department developed a number of initiatives to improve the health and safety of staff including the OH&amp;S bulletin, ergonomic assessments, quarterly safety audits to identify and address any workplace risks, the occupational risk reduction program, and the healthy lifestyle training program.</w:t>
      </w:r>
    </w:p>
    <w:p w:rsidR="00080446" w:rsidRPr="00892DE3" w:rsidRDefault="00080446" w:rsidP="00080446">
      <w:pPr>
        <w:pStyle w:val="Guidancenoborder"/>
        <w:rPr>
          <w:i/>
        </w:rPr>
      </w:pPr>
      <w:r w:rsidRPr="00892DE3">
        <w:rPr>
          <w:i/>
        </w:rPr>
        <w:t>[While the example best practice disclosure has been included in the body of the report, consideration might be given to structuring such disclosures as a short summary supported by a detailed appendix.]</w:t>
      </w:r>
    </w:p>
    <w:p w:rsidR="00080446" w:rsidRPr="00892DE3" w:rsidRDefault="00080446" w:rsidP="00381114">
      <w:pPr>
        <w:pStyle w:val="Heading2nonTOC"/>
      </w:pPr>
      <w:bookmarkStart w:id="35" w:name="_Toc477967494"/>
      <w:r w:rsidRPr="00892DE3">
        <w:t>Incident management</w:t>
      </w:r>
      <w:bookmarkEnd w:id="35"/>
    </w:p>
    <w:p w:rsidR="00080446" w:rsidRPr="00892DE3" w:rsidRDefault="00080446" w:rsidP="00080446">
      <w:pPr>
        <w:pStyle w:val="BodyText"/>
      </w:pPr>
      <w:r w:rsidRPr="00892DE3">
        <w:t>Incidents across the Department increased by 1.9 per cent per 100 FTE in 2016-17. Incidents include injuries and other hazards (non-injury) related incidents. In real terms, the increase equates to 74 additional reported incidents compared with the previous year.</w:t>
      </w:r>
    </w:p>
    <w:p w:rsidR="008B581F" w:rsidRPr="00892DE3" w:rsidRDefault="00080446" w:rsidP="00080446">
      <w:pPr>
        <w:pStyle w:val="BodyText"/>
      </w:pPr>
      <w:r w:rsidRPr="00892DE3">
        <w:t>The increase was expected and is driven by the introduction of the Department’s online reporting system and an increased awareness of incident reporting among staff, which significantly increased reporting across the Department (refer to Figure 1).</w:t>
      </w:r>
    </w:p>
    <w:p w:rsidR="008B581F" w:rsidRPr="00892DE3" w:rsidRDefault="008B581F" w:rsidP="00080446">
      <w:pPr>
        <w:pStyle w:val="BodyText"/>
        <w:sectPr w:rsidR="008B581F"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r w:rsidRPr="00892DE3">
        <w:t>Best practice disclosure based on Recommendation 70, PAEC Report 87</w:t>
      </w:r>
    </w:p>
    <w:p w:rsidR="008B581F" w:rsidRPr="00892DE3" w:rsidRDefault="008B581F" w:rsidP="008B581F">
      <w:pPr>
        <w:pStyle w:val="TableHeading"/>
      </w:pPr>
      <w:r w:rsidRPr="00892DE3">
        <w:br w:type="column"/>
      </w:r>
      <w:r w:rsidRPr="00892DE3">
        <w:lastRenderedPageBreak/>
        <w:t>Figure 1: Number of incidents and rate per 100 FTE</w:t>
      </w:r>
    </w:p>
    <w:bookmarkStart w:id="36" w:name="_MON_1538896610"/>
    <w:bookmarkEnd w:id="36"/>
    <w:p w:rsidR="00080446" w:rsidRPr="00892DE3" w:rsidRDefault="00657FF0" w:rsidP="00657FF0">
      <w:r w:rsidRPr="00892DE3">
        <w:object w:dxaOrig="9015" w:dyaOrig="5880">
          <v:shape id="_x0000_i1027" type="#_x0000_t75" style="width:390.05pt;height:232.9pt" o:ole="">
            <v:imagedata r:id="rId52" o:title="" croptop="6752f"/>
          </v:shape>
          <o:OLEObject Type="Embed" ProgID="Excel.Sheet.12" ShapeID="_x0000_i1027" DrawAspect="Content" ObjectID="_1578394205" r:id="rId53"/>
        </w:object>
      </w:r>
    </w:p>
    <w:p w:rsidR="00080446" w:rsidRPr="00892DE3" w:rsidRDefault="00080446" w:rsidP="00080446">
      <w:pPr>
        <w:pStyle w:val="BodyText"/>
      </w:pPr>
    </w:p>
    <w:p w:rsidR="00080446" w:rsidRPr="00892DE3" w:rsidRDefault="00080446" w:rsidP="00080446">
      <w:pPr>
        <w:pStyle w:val="BodyText"/>
      </w:pPr>
      <w:r w:rsidRPr="00892DE3">
        <w:t>While the number of standard claims rose marginally in 2016-17, mainly due to predicted increases in muscular skeletal disorder and stress claims, the rate per 100 staff remained steady (Figure 2). To address the increase in the number of standard claims the Department conducted a review of muscular skeletal disorder activities and introduced a number of programs that focus on reducing sprains and strains, stress reductions, and good claims management practices in high risk areas.</w:t>
      </w:r>
    </w:p>
    <w:p w:rsidR="00657FF0" w:rsidRPr="00892DE3" w:rsidRDefault="00657FF0" w:rsidP="00657FF0">
      <w:pPr>
        <w:pStyle w:val="TableHeading"/>
      </w:pPr>
      <w:r w:rsidRPr="00892DE3">
        <w:t>Figure 2: No. of standard claims and rate per 100 FTE</w:t>
      </w:r>
    </w:p>
    <w:bookmarkStart w:id="37" w:name="_MON_1538896800"/>
    <w:bookmarkEnd w:id="37"/>
    <w:p w:rsidR="00080446" w:rsidRPr="00892DE3" w:rsidRDefault="00657FF0" w:rsidP="00657FF0">
      <w:r w:rsidRPr="00892DE3">
        <w:object w:dxaOrig="8835" w:dyaOrig="4995">
          <v:shape id="_x0000_i1028" type="#_x0000_t75" style="width:398.2pt;height:200.95pt" o:ole="">
            <v:imagedata r:id="rId54" o:title="" croptop="7308f"/>
          </v:shape>
          <o:OLEObject Type="Embed" ProgID="Excel.Sheet.12" ShapeID="_x0000_i1028" DrawAspect="Content" ObjectID="_1578394206" r:id="rId55"/>
        </w:object>
      </w:r>
    </w:p>
    <w:p w:rsidR="00080446" w:rsidRPr="00892DE3" w:rsidRDefault="00080446" w:rsidP="00080446">
      <w:pPr>
        <w:pStyle w:val="BodyTextIndent"/>
      </w:pPr>
    </w:p>
    <w:p w:rsidR="00080446" w:rsidRPr="00892DE3" w:rsidRDefault="00080446" w:rsidP="00080446">
      <w:pPr>
        <w:pStyle w:val="BodyText"/>
      </w:pPr>
      <w:r w:rsidRPr="00892DE3">
        <w:t xml:space="preserve">The total number of WorkCover claims lodged decreased in 2016-17 (Figures 3 and 4). In addition, the claims rate continued to decrease due to the growth in staff numbers since 2014-15  (due to the opening of two new research laboratories), effective early intervention strategies and improved claims performance management. The average cost per claim decreased from $36 070 to $33 131. </w:t>
      </w:r>
    </w:p>
    <w:p w:rsidR="00080446" w:rsidRPr="00892DE3" w:rsidRDefault="00080446" w:rsidP="00080446">
      <w:pPr>
        <w:pStyle w:val="BodyText"/>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r w:rsidRPr="00892DE3">
        <w:t>Best practice disclosure based on Recommendation 70, PAEC Report 87</w:t>
      </w:r>
    </w:p>
    <w:p w:rsidR="00657FF0" w:rsidRPr="00892DE3" w:rsidRDefault="00080446" w:rsidP="00657FF0">
      <w:pPr>
        <w:pStyle w:val="TableHeading"/>
      </w:pPr>
      <w:r w:rsidRPr="00892DE3">
        <w:br w:type="column"/>
      </w:r>
      <w:r w:rsidR="00657FF0" w:rsidRPr="00892DE3">
        <w:lastRenderedPageBreak/>
        <w:t>Figure 3: Lost time claims and rate per 100 FTE</w:t>
      </w:r>
    </w:p>
    <w:bookmarkStart w:id="38" w:name="_MON_1538911089"/>
    <w:bookmarkEnd w:id="38"/>
    <w:p w:rsidR="00080446" w:rsidRPr="00892DE3" w:rsidRDefault="00657FF0" w:rsidP="00657FF0">
      <w:r w:rsidRPr="00892DE3">
        <w:object w:dxaOrig="9480" w:dyaOrig="5595">
          <v:shape id="_x0000_i1029" type="#_x0000_t75" style="width:403.2pt;height:208.5pt" o:ole="">
            <v:imagedata r:id="rId56" o:title="" croptop="7697f"/>
          </v:shape>
          <o:OLEObject Type="Embed" ProgID="Excel.Sheet.12" ShapeID="_x0000_i1029" DrawAspect="Content" ObjectID="_1578394207" r:id="rId57"/>
        </w:object>
      </w:r>
    </w:p>
    <w:p w:rsidR="00657FF0" w:rsidRPr="00892DE3" w:rsidRDefault="00657FF0" w:rsidP="00657FF0">
      <w:pPr>
        <w:pStyle w:val="TableHeading"/>
      </w:pPr>
      <w:r w:rsidRPr="00892DE3">
        <w:t>Figure 4: Claims exceeding 13 weeks and rate per 100 FTE</w:t>
      </w:r>
    </w:p>
    <w:bookmarkStart w:id="39" w:name="_MON_1538911129"/>
    <w:bookmarkEnd w:id="39"/>
    <w:p w:rsidR="00080446" w:rsidRPr="00892DE3" w:rsidRDefault="00657FF0" w:rsidP="00657FF0">
      <w:pPr>
        <w:rPr>
          <w:noProof/>
        </w:rPr>
      </w:pPr>
      <w:r w:rsidRPr="00892DE3">
        <w:rPr>
          <w:noProof/>
        </w:rPr>
        <w:object w:dxaOrig="8850" w:dyaOrig="4905">
          <v:shape id="_x0000_i1030" type="#_x0000_t75" style="width:405.1pt;height:200.35pt" o:ole="">
            <v:imagedata r:id="rId58" o:title="" croptop="7884f"/>
          </v:shape>
          <o:OLEObject Type="Embed" ProgID="Excel.Sheet.12" ShapeID="_x0000_i1030" DrawAspect="Content" ObjectID="_1578394208" r:id="rId59"/>
        </w:object>
      </w:r>
    </w:p>
    <w:p w:rsidR="00080446" w:rsidRPr="00892DE3" w:rsidRDefault="00080446" w:rsidP="00080446">
      <w:pPr>
        <w:pStyle w:val="BodyTextIndent"/>
        <w:rPr>
          <w:noProof/>
        </w:rPr>
      </w:pPr>
    </w:p>
    <w:p w:rsidR="00080446" w:rsidRPr="00892DE3" w:rsidRDefault="00080446" w:rsidP="00587DAE">
      <w:pPr>
        <w:pStyle w:val="ListBullet"/>
        <w:keepLines w:val="0"/>
        <w:numPr>
          <w:ilvl w:val="0"/>
          <w:numId w:val="19"/>
        </w:numPr>
        <w:spacing w:before="120" w:after="60"/>
        <w:rPr>
          <w:noProof/>
        </w:rPr>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r w:rsidRPr="00892DE3">
        <w:t>Best practice based on Recommendation 70, PAEC Report 87</w:t>
      </w:r>
    </w:p>
    <w:p w:rsidR="00080446" w:rsidRPr="00892DE3" w:rsidRDefault="00080446" w:rsidP="00080446">
      <w:pPr>
        <w:pStyle w:val="BodyText"/>
        <w:rPr>
          <w:noProof/>
        </w:rPr>
      </w:pPr>
      <w:r w:rsidRPr="00892DE3">
        <w:br w:type="column"/>
      </w:r>
      <w:r w:rsidRPr="00892DE3">
        <w:rPr>
          <w:noProof/>
        </w:rPr>
        <w:lastRenderedPageBreak/>
        <w:t>The Department’s WorkCover premium rate continued to decrease in 2016-17 (Figure 5). This is due to the continuing consultative approach adopted by the OH&amp;S unit. As a proportion of total staff and of increasing remuneration, the claim ratio is decreasing.</w:t>
      </w:r>
    </w:p>
    <w:p w:rsidR="00080446" w:rsidRPr="00892DE3" w:rsidRDefault="00657FF0" w:rsidP="00657FF0">
      <w:pPr>
        <w:pStyle w:val="TableHeading"/>
        <w:rPr>
          <w:noProof/>
        </w:rPr>
      </w:pPr>
      <w:r w:rsidRPr="00892DE3">
        <w:rPr>
          <w:noProof/>
        </w:rPr>
        <w:t>Figure 5: Department of Technology premium rate 2011-2017</w:t>
      </w:r>
    </w:p>
    <w:bookmarkStart w:id="40" w:name="_MON_1538896574"/>
    <w:bookmarkEnd w:id="40"/>
    <w:p w:rsidR="00080446" w:rsidRPr="00892DE3" w:rsidRDefault="00A762F7" w:rsidP="00657FF0">
      <w:r w:rsidRPr="00892DE3">
        <w:object w:dxaOrig="9430" w:dyaOrig="5164">
          <v:shape id="_x0000_i1031" type="#_x0000_t75" style="width:403.85pt;height:206.6pt" o:ole="">
            <v:imagedata r:id="rId60" o:title="" croptop="8722f" cropleft="4561f"/>
          </v:shape>
          <o:OLEObject Type="Embed" ProgID="Excel.Sheet.12" ShapeID="_x0000_i1031" DrawAspect="Content" ObjectID="_1578394209" r:id="rId61"/>
        </w:object>
      </w:r>
    </w:p>
    <w:p w:rsidR="00080446" w:rsidRPr="00892DE3" w:rsidRDefault="00080446" w:rsidP="00080446">
      <w:pPr>
        <w:pStyle w:val="BodyText"/>
        <w:rPr>
          <w:noProof/>
        </w:rPr>
      </w:pPr>
    </w:p>
    <w:p w:rsidR="00080446" w:rsidRPr="00892DE3" w:rsidRDefault="00080446" w:rsidP="00080446">
      <w:pPr>
        <w:pStyle w:val="BodyText"/>
        <w:rPr>
          <w:noProof/>
        </w:rPr>
      </w:pPr>
      <w:r w:rsidRPr="00892DE3">
        <w:rPr>
          <w:noProof/>
        </w:rPr>
        <w:br w:type="page"/>
      </w:r>
    </w:p>
    <w:p w:rsidR="00080446" w:rsidRPr="00892DE3" w:rsidRDefault="00080446" w:rsidP="00A762F7">
      <w:pPr>
        <w:pStyle w:val="TableHeading"/>
      </w:pPr>
      <w:r w:rsidRPr="00892DE3">
        <w:lastRenderedPageBreak/>
        <w:br w:type="column"/>
      </w:r>
      <w:r w:rsidRPr="00892DE3">
        <w:lastRenderedPageBreak/>
        <w:t>The Department’s performance against OH&amp;S management measures</w:t>
      </w:r>
    </w:p>
    <w:p w:rsidR="00080446" w:rsidRPr="00892DE3" w:rsidRDefault="00080446" w:rsidP="00080446">
      <w:pPr>
        <w:pStyle w:val="Subheading"/>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p>
    <w:p w:rsidR="00080446" w:rsidRPr="00892DE3" w:rsidRDefault="00080446" w:rsidP="00080446">
      <w:pPr>
        <w:pStyle w:val="Reference"/>
      </w:pPr>
      <w:r w:rsidRPr="00892DE3">
        <w:t>Recommendation 10, PAEC Report 107</w:t>
      </w:r>
    </w:p>
    <w:p w:rsidR="00080446" w:rsidRPr="00892DE3" w:rsidRDefault="00080446" w:rsidP="00080446">
      <w:pPr>
        <w:pStyle w:val="Smallline"/>
      </w:pPr>
      <w:r w:rsidRPr="00892DE3">
        <w:br w:type="column"/>
      </w:r>
    </w:p>
    <w:tbl>
      <w:tblPr>
        <w:tblStyle w:val="DTFFinancialTable"/>
        <w:tblW w:w="8122" w:type="dxa"/>
        <w:tblLayout w:type="fixed"/>
        <w:tblCellMar>
          <w:left w:w="43" w:type="dxa"/>
          <w:right w:w="43" w:type="dxa"/>
        </w:tblCellMar>
        <w:tblLook w:val="0660" w:firstRow="1" w:lastRow="1" w:firstColumn="0" w:lastColumn="0" w:noHBand="1" w:noVBand="1"/>
      </w:tblPr>
      <w:tblGrid>
        <w:gridCol w:w="1365"/>
        <w:gridCol w:w="4078"/>
        <w:gridCol w:w="893"/>
        <w:gridCol w:w="893"/>
        <w:gridCol w:w="893"/>
      </w:tblGrid>
      <w:tr w:rsidR="00080446" w:rsidRPr="00892DE3" w:rsidTr="00080446">
        <w:trPr>
          <w:cnfStyle w:val="100000000000" w:firstRow="1" w:lastRow="0" w:firstColumn="0" w:lastColumn="0" w:oddVBand="0" w:evenVBand="0" w:oddHBand="0" w:evenHBand="0" w:firstRowFirstColumn="0" w:firstRowLastColumn="0" w:lastRowFirstColumn="0" w:lastRowLastColumn="0"/>
          <w:trHeight w:val="20"/>
        </w:trPr>
        <w:tc>
          <w:tcPr>
            <w:tcW w:w="1365" w:type="dxa"/>
          </w:tcPr>
          <w:p w:rsidR="00080446" w:rsidRPr="00892DE3" w:rsidRDefault="00080446" w:rsidP="00080446">
            <w:pPr>
              <w:pStyle w:val="Tabletextheadingleft"/>
            </w:pPr>
            <w:r w:rsidRPr="00892DE3">
              <w:t>Measure</w:t>
            </w:r>
          </w:p>
        </w:tc>
        <w:tc>
          <w:tcPr>
            <w:tcW w:w="4078" w:type="dxa"/>
          </w:tcPr>
          <w:p w:rsidR="00080446" w:rsidRPr="00892DE3" w:rsidRDefault="00080446" w:rsidP="00080446">
            <w:pPr>
              <w:pStyle w:val="Tabletextheadingleft"/>
            </w:pPr>
            <w:r w:rsidRPr="00892DE3">
              <w:t>KPI</w:t>
            </w:r>
          </w:p>
        </w:tc>
        <w:tc>
          <w:tcPr>
            <w:tcW w:w="893" w:type="dxa"/>
          </w:tcPr>
          <w:p w:rsidR="00080446" w:rsidRPr="00892DE3" w:rsidRDefault="00080446" w:rsidP="00080446">
            <w:pPr>
              <w:pStyle w:val="Tabletextheadingright"/>
            </w:pPr>
            <w:r w:rsidRPr="00892DE3">
              <w:t>2014</w:t>
            </w:r>
            <w:r w:rsidRPr="00892DE3">
              <w:noBreakHyphen/>
              <w:t xml:space="preserve">15 </w:t>
            </w:r>
          </w:p>
        </w:tc>
        <w:tc>
          <w:tcPr>
            <w:tcW w:w="893" w:type="dxa"/>
          </w:tcPr>
          <w:p w:rsidR="00080446" w:rsidRPr="00892DE3" w:rsidRDefault="00080446" w:rsidP="00080446">
            <w:pPr>
              <w:pStyle w:val="Tabletextheadingright"/>
            </w:pPr>
            <w:r w:rsidRPr="00892DE3">
              <w:t>2015</w:t>
            </w:r>
            <w:r w:rsidRPr="00892DE3">
              <w:noBreakHyphen/>
              <w:t xml:space="preserve">16 </w:t>
            </w:r>
          </w:p>
        </w:tc>
        <w:tc>
          <w:tcPr>
            <w:tcW w:w="893" w:type="dxa"/>
          </w:tcPr>
          <w:p w:rsidR="00080446" w:rsidRPr="00892DE3" w:rsidRDefault="00080446" w:rsidP="00080446">
            <w:pPr>
              <w:pStyle w:val="Tabletextheadingright"/>
              <w:rPr>
                <w:color w:val="FFFFFF"/>
              </w:rPr>
            </w:pPr>
            <w:r w:rsidRPr="00892DE3">
              <w:t>2016</w:t>
            </w:r>
            <w:r w:rsidRPr="00892DE3">
              <w:noBreakHyphen/>
              <w:t xml:space="preserve">17 </w:t>
            </w:r>
          </w:p>
        </w:tc>
      </w:tr>
      <w:tr w:rsidR="00080446" w:rsidRPr="00892DE3" w:rsidTr="00080446">
        <w:trPr>
          <w:trHeight w:val="20"/>
        </w:trPr>
        <w:tc>
          <w:tcPr>
            <w:tcW w:w="1365" w:type="dxa"/>
          </w:tcPr>
          <w:p w:rsidR="00080446" w:rsidRPr="00892DE3" w:rsidRDefault="00080446" w:rsidP="00A762F7">
            <w:pPr>
              <w:pStyle w:val="Tabletext"/>
              <w:ind w:left="0" w:firstLine="0"/>
            </w:pPr>
            <w:r w:rsidRPr="00892DE3">
              <w:t>Incidents</w:t>
            </w:r>
          </w:p>
        </w:tc>
        <w:tc>
          <w:tcPr>
            <w:tcW w:w="4078" w:type="dxa"/>
          </w:tcPr>
          <w:p w:rsidR="00080446" w:rsidRPr="00892DE3" w:rsidRDefault="00080446" w:rsidP="00A762F7">
            <w:pPr>
              <w:pStyle w:val="Tabletext"/>
              <w:ind w:left="0" w:firstLine="0"/>
            </w:pPr>
            <w:r w:rsidRPr="00892DE3">
              <w:t>No. of incidents</w:t>
            </w:r>
          </w:p>
        </w:tc>
        <w:tc>
          <w:tcPr>
            <w:tcW w:w="893" w:type="dxa"/>
          </w:tcPr>
          <w:p w:rsidR="00080446" w:rsidRPr="00892DE3" w:rsidRDefault="00080446" w:rsidP="00080446">
            <w:pPr>
              <w:pStyle w:val="Tabletextright"/>
            </w:pPr>
            <w:r w:rsidRPr="00892DE3">
              <w:t>600</w:t>
            </w:r>
          </w:p>
        </w:tc>
        <w:tc>
          <w:tcPr>
            <w:tcW w:w="893" w:type="dxa"/>
          </w:tcPr>
          <w:p w:rsidR="00080446" w:rsidRPr="00892DE3" w:rsidRDefault="00080446" w:rsidP="00080446">
            <w:pPr>
              <w:pStyle w:val="Tabletextright"/>
            </w:pPr>
            <w:r w:rsidRPr="00892DE3">
              <w:t>526</w:t>
            </w:r>
          </w:p>
        </w:tc>
        <w:tc>
          <w:tcPr>
            <w:tcW w:w="893" w:type="dxa"/>
          </w:tcPr>
          <w:p w:rsidR="00080446" w:rsidRPr="00892DE3" w:rsidRDefault="00080446" w:rsidP="00080446">
            <w:pPr>
              <w:pStyle w:val="Tabletextright"/>
            </w:pPr>
            <w:r w:rsidRPr="00892DE3">
              <w:t>730</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Rate per 100 FTE</w:t>
            </w:r>
          </w:p>
        </w:tc>
        <w:tc>
          <w:tcPr>
            <w:tcW w:w="893" w:type="dxa"/>
          </w:tcPr>
          <w:p w:rsidR="00080446" w:rsidRPr="00892DE3" w:rsidRDefault="00080446" w:rsidP="00080446">
            <w:pPr>
              <w:pStyle w:val="Tabletextright"/>
            </w:pPr>
            <w:r w:rsidRPr="00892DE3">
              <w:t>9.4</w:t>
            </w:r>
          </w:p>
        </w:tc>
        <w:tc>
          <w:tcPr>
            <w:tcW w:w="893" w:type="dxa"/>
          </w:tcPr>
          <w:p w:rsidR="00080446" w:rsidRPr="00892DE3" w:rsidRDefault="00080446" w:rsidP="00080446">
            <w:pPr>
              <w:pStyle w:val="Tabletextright"/>
            </w:pPr>
            <w:r w:rsidRPr="00892DE3">
              <w:t>7.7</w:t>
            </w:r>
          </w:p>
        </w:tc>
        <w:tc>
          <w:tcPr>
            <w:tcW w:w="893" w:type="dxa"/>
          </w:tcPr>
          <w:p w:rsidR="00080446" w:rsidRPr="00892DE3" w:rsidRDefault="00080446" w:rsidP="00080446">
            <w:pPr>
              <w:pStyle w:val="Tabletextright"/>
            </w:pPr>
            <w:r w:rsidRPr="00892DE3">
              <w:t>9.6</w:t>
            </w:r>
          </w:p>
        </w:tc>
      </w:tr>
      <w:tr w:rsidR="00080446" w:rsidRPr="00892DE3" w:rsidTr="00080446">
        <w:trPr>
          <w:trHeight w:val="20"/>
        </w:trPr>
        <w:tc>
          <w:tcPr>
            <w:tcW w:w="1365" w:type="dxa"/>
          </w:tcPr>
          <w:p w:rsidR="00080446" w:rsidRPr="00892DE3" w:rsidRDefault="00080446" w:rsidP="00A762F7">
            <w:pPr>
              <w:pStyle w:val="Tabletext"/>
              <w:ind w:left="0" w:firstLine="0"/>
            </w:pPr>
            <w:r w:rsidRPr="00892DE3">
              <w:t>Claims</w:t>
            </w:r>
          </w:p>
        </w:tc>
        <w:tc>
          <w:tcPr>
            <w:tcW w:w="4078" w:type="dxa"/>
          </w:tcPr>
          <w:p w:rsidR="00080446" w:rsidRPr="00892DE3" w:rsidRDefault="00080446" w:rsidP="00A762F7">
            <w:pPr>
              <w:pStyle w:val="Tabletext"/>
              <w:ind w:left="0" w:firstLine="0"/>
            </w:pPr>
            <w:r w:rsidRPr="00892DE3">
              <w:t xml:space="preserve">No. of standard claims </w:t>
            </w:r>
            <w:r w:rsidR="005C5F04" w:rsidRPr="00892DE3">
              <w:rPr>
                <w:vertAlign w:val="superscript"/>
              </w:rPr>
              <w:t>(a</w:t>
            </w:r>
            <w:r w:rsidRPr="00892DE3">
              <w:rPr>
                <w:vertAlign w:val="superscript"/>
              </w:rPr>
              <w:t>)</w:t>
            </w:r>
          </w:p>
        </w:tc>
        <w:tc>
          <w:tcPr>
            <w:tcW w:w="893" w:type="dxa"/>
          </w:tcPr>
          <w:p w:rsidR="00080446" w:rsidRPr="00892DE3" w:rsidRDefault="00080446" w:rsidP="00080446">
            <w:pPr>
              <w:pStyle w:val="Tabletextright"/>
            </w:pPr>
            <w:r w:rsidRPr="00892DE3">
              <w:t>110</w:t>
            </w:r>
          </w:p>
        </w:tc>
        <w:tc>
          <w:tcPr>
            <w:tcW w:w="893" w:type="dxa"/>
          </w:tcPr>
          <w:p w:rsidR="00080446" w:rsidRPr="00892DE3" w:rsidRDefault="00080446" w:rsidP="00080446">
            <w:pPr>
              <w:pStyle w:val="Tabletextright"/>
            </w:pPr>
            <w:r w:rsidRPr="00892DE3">
              <w:t>134</w:t>
            </w:r>
          </w:p>
        </w:tc>
        <w:tc>
          <w:tcPr>
            <w:tcW w:w="893" w:type="dxa"/>
          </w:tcPr>
          <w:p w:rsidR="00080446" w:rsidRPr="00892DE3" w:rsidRDefault="00080446" w:rsidP="00080446">
            <w:pPr>
              <w:pStyle w:val="Tabletextright"/>
            </w:pPr>
            <w:r w:rsidRPr="00892DE3">
              <w:t>143</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Rate per 100 FTE</w:t>
            </w:r>
          </w:p>
        </w:tc>
        <w:tc>
          <w:tcPr>
            <w:tcW w:w="893" w:type="dxa"/>
          </w:tcPr>
          <w:p w:rsidR="00080446" w:rsidRPr="00892DE3" w:rsidRDefault="00080446" w:rsidP="00080446">
            <w:pPr>
              <w:pStyle w:val="Tabletextright"/>
            </w:pPr>
            <w:r w:rsidRPr="00892DE3">
              <w:t>41</w:t>
            </w:r>
          </w:p>
        </w:tc>
        <w:tc>
          <w:tcPr>
            <w:tcW w:w="893" w:type="dxa"/>
          </w:tcPr>
          <w:p w:rsidR="00080446" w:rsidRPr="00892DE3" w:rsidRDefault="00080446" w:rsidP="00080446">
            <w:pPr>
              <w:pStyle w:val="Tabletextright"/>
            </w:pPr>
            <w:r w:rsidRPr="00892DE3">
              <w:t>1.8</w:t>
            </w:r>
          </w:p>
        </w:tc>
        <w:tc>
          <w:tcPr>
            <w:tcW w:w="893" w:type="dxa"/>
          </w:tcPr>
          <w:p w:rsidR="00080446" w:rsidRPr="00892DE3" w:rsidRDefault="00080446" w:rsidP="00080446">
            <w:pPr>
              <w:pStyle w:val="Tabletextright"/>
            </w:pPr>
            <w:r w:rsidRPr="00892DE3">
              <w:t>2.1</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 xml:space="preserve">No. of lost time claims </w:t>
            </w:r>
            <w:r w:rsidR="005C5F04" w:rsidRPr="00892DE3">
              <w:rPr>
                <w:vertAlign w:val="superscript"/>
              </w:rPr>
              <w:t>(a</w:t>
            </w:r>
            <w:r w:rsidRPr="00892DE3">
              <w:rPr>
                <w:vertAlign w:val="superscript"/>
              </w:rPr>
              <w:t>)</w:t>
            </w:r>
          </w:p>
        </w:tc>
        <w:tc>
          <w:tcPr>
            <w:tcW w:w="893" w:type="dxa"/>
          </w:tcPr>
          <w:p w:rsidR="00080446" w:rsidRPr="00892DE3" w:rsidRDefault="00080446" w:rsidP="00080446">
            <w:pPr>
              <w:pStyle w:val="Tabletextright"/>
            </w:pPr>
            <w:r w:rsidRPr="00892DE3">
              <w:t>0.7</w:t>
            </w:r>
          </w:p>
        </w:tc>
        <w:tc>
          <w:tcPr>
            <w:tcW w:w="893" w:type="dxa"/>
          </w:tcPr>
          <w:p w:rsidR="00080446" w:rsidRPr="00892DE3" w:rsidRDefault="00080446" w:rsidP="00080446">
            <w:pPr>
              <w:pStyle w:val="Tabletextright"/>
            </w:pPr>
            <w:r w:rsidRPr="00892DE3">
              <w:t>55</w:t>
            </w:r>
          </w:p>
        </w:tc>
        <w:tc>
          <w:tcPr>
            <w:tcW w:w="893" w:type="dxa"/>
          </w:tcPr>
          <w:p w:rsidR="00080446" w:rsidRPr="00892DE3" w:rsidRDefault="00080446" w:rsidP="00080446">
            <w:pPr>
              <w:pStyle w:val="Tabletextright"/>
            </w:pPr>
            <w:r w:rsidRPr="00892DE3">
              <w:t>43</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Rate per 100 FTE</w:t>
            </w:r>
          </w:p>
        </w:tc>
        <w:tc>
          <w:tcPr>
            <w:tcW w:w="893" w:type="dxa"/>
          </w:tcPr>
          <w:p w:rsidR="00080446" w:rsidRPr="00892DE3" w:rsidRDefault="00080446" w:rsidP="00080446">
            <w:pPr>
              <w:pStyle w:val="Tabletextright"/>
            </w:pPr>
            <w:r w:rsidRPr="00892DE3">
              <w:t>21</w:t>
            </w:r>
          </w:p>
        </w:tc>
        <w:tc>
          <w:tcPr>
            <w:tcW w:w="893" w:type="dxa"/>
          </w:tcPr>
          <w:p w:rsidR="00080446" w:rsidRPr="00892DE3" w:rsidRDefault="00080446" w:rsidP="00080446">
            <w:pPr>
              <w:pStyle w:val="Tabletextright"/>
            </w:pPr>
            <w:r w:rsidRPr="00892DE3">
              <w:t>0.7</w:t>
            </w:r>
          </w:p>
        </w:tc>
        <w:tc>
          <w:tcPr>
            <w:tcW w:w="893" w:type="dxa"/>
          </w:tcPr>
          <w:p w:rsidR="00080446" w:rsidRPr="00892DE3" w:rsidRDefault="00080446" w:rsidP="00080446">
            <w:pPr>
              <w:pStyle w:val="Tabletextright"/>
            </w:pPr>
            <w:r w:rsidRPr="00892DE3">
              <w:t>0.6</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No. of claims exceeding 13 weeks </w:t>
            </w:r>
            <w:r w:rsidR="005C5F04" w:rsidRPr="00892DE3">
              <w:rPr>
                <w:vertAlign w:val="superscript"/>
              </w:rPr>
              <w:t>(a</w:t>
            </w:r>
            <w:r w:rsidRPr="00892DE3">
              <w:rPr>
                <w:vertAlign w:val="superscript"/>
              </w:rPr>
              <w:t>)</w:t>
            </w:r>
          </w:p>
        </w:tc>
        <w:tc>
          <w:tcPr>
            <w:tcW w:w="893" w:type="dxa"/>
          </w:tcPr>
          <w:p w:rsidR="00080446" w:rsidRPr="00892DE3" w:rsidRDefault="00080446" w:rsidP="00080446">
            <w:pPr>
              <w:pStyle w:val="Tabletextright"/>
            </w:pPr>
            <w:r w:rsidRPr="00892DE3">
              <w:t>2.0</w:t>
            </w:r>
          </w:p>
        </w:tc>
        <w:tc>
          <w:tcPr>
            <w:tcW w:w="893" w:type="dxa"/>
          </w:tcPr>
          <w:p w:rsidR="00080446" w:rsidRPr="00892DE3" w:rsidRDefault="00080446" w:rsidP="00080446">
            <w:pPr>
              <w:pStyle w:val="Tabletextright"/>
            </w:pPr>
            <w:r w:rsidRPr="00892DE3">
              <w:t>19</w:t>
            </w:r>
          </w:p>
        </w:tc>
        <w:tc>
          <w:tcPr>
            <w:tcW w:w="893" w:type="dxa"/>
          </w:tcPr>
          <w:p w:rsidR="00080446" w:rsidRPr="00892DE3" w:rsidRDefault="00080446" w:rsidP="00080446">
            <w:pPr>
              <w:pStyle w:val="Tabletextright"/>
            </w:pPr>
            <w:r w:rsidRPr="00892DE3">
              <w:t>1.8</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Rate per 100 FTE</w:t>
            </w:r>
          </w:p>
        </w:tc>
        <w:tc>
          <w:tcPr>
            <w:tcW w:w="893" w:type="dxa"/>
          </w:tcPr>
          <w:p w:rsidR="00080446" w:rsidRPr="00892DE3" w:rsidRDefault="00080446" w:rsidP="00080446">
            <w:pPr>
              <w:pStyle w:val="Tabletextright"/>
            </w:pPr>
            <w:r w:rsidRPr="00892DE3">
              <w:t>0.5</w:t>
            </w:r>
          </w:p>
        </w:tc>
        <w:tc>
          <w:tcPr>
            <w:tcW w:w="893" w:type="dxa"/>
          </w:tcPr>
          <w:p w:rsidR="00080446" w:rsidRPr="00892DE3" w:rsidRDefault="00080446" w:rsidP="00080446">
            <w:pPr>
              <w:pStyle w:val="Tabletextright"/>
            </w:pPr>
            <w:r w:rsidRPr="00892DE3">
              <w:t>0.2</w:t>
            </w:r>
          </w:p>
        </w:tc>
        <w:tc>
          <w:tcPr>
            <w:tcW w:w="893" w:type="dxa"/>
          </w:tcPr>
          <w:p w:rsidR="00080446" w:rsidRPr="00892DE3" w:rsidRDefault="00080446" w:rsidP="00080446">
            <w:pPr>
              <w:pStyle w:val="Tabletextright"/>
            </w:pPr>
            <w:r w:rsidRPr="00892DE3">
              <w:t>0.3</w:t>
            </w:r>
          </w:p>
        </w:tc>
      </w:tr>
      <w:tr w:rsidR="00080446" w:rsidRPr="00892DE3" w:rsidTr="00080446">
        <w:trPr>
          <w:trHeight w:val="20"/>
        </w:trPr>
        <w:tc>
          <w:tcPr>
            <w:tcW w:w="1365" w:type="dxa"/>
          </w:tcPr>
          <w:p w:rsidR="00080446" w:rsidRPr="00892DE3" w:rsidRDefault="00080446" w:rsidP="00A762F7">
            <w:pPr>
              <w:pStyle w:val="Tabletext"/>
              <w:ind w:left="0" w:firstLine="0"/>
            </w:pPr>
            <w:r w:rsidRPr="00892DE3">
              <w:t>Fatalities</w:t>
            </w:r>
          </w:p>
        </w:tc>
        <w:tc>
          <w:tcPr>
            <w:tcW w:w="4078" w:type="dxa"/>
          </w:tcPr>
          <w:p w:rsidR="00080446" w:rsidRPr="00892DE3" w:rsidRDefault="00080446" w:rsidP="00A762F7">
            <w:pPr>
              <w:pStyle w:val="Tabletext"/>
              <w:ind w:left="0" w:firstLine="0"/>
            </w:pPr>
            <w:r w:rsidRPr="00892DE3">
              <w:t xml:space="preserve">Fatality claims </w:t>
            </w:r>
            <w:r w:rsidR="005C5F04" w:rsidRPr="00892DE3">
              <w:rPr>
                <w:vertAlign w:val="superscript"/>
              </w:rPr>
              <w:t>(b</w:t>
            </w:r>
            <w:r w:rsidRPr="00892DE3">
              <w:rPr>
                <w:vertAlign w:val="superscript"/>
              </w:rPr>
              <w:t>)</w:t>
            </w:r>
          </w:p>
        </w:tc>
        <w:tc>
          <w:tcPr>
            <w:tcW w:w="893" w:type="dxa"/>
          </w:tcPr>
          <w:p w:rsidR="00080446" w:rsidRPr="00892DE3" w:rsidRDefault="00080446" w:rsidP="00080446">
            <w:pPr>
              <w:pStyle w:val="Tabletextright"/>
            </w:pPr>
            <w:r w:rsidRPr="00892DE3">
              <w:t>1</w:t>
            </w:r>
          </w:p>
        </w:tc>
        <w:tc>
          <w:tcPr>
            <w:tcW w:w="893" w:type="dxa"/>
          </w:tcPr>
          <w:p w:rsidR="00080446" w:rsidRPr="00892DE3" w:rsidRDefault="00080446" w:rsidP="00080446">
            <w:pPr>
              <w:pStyle w:val="Tabletextright"/>
            </w:pPr>
            <w:r w:rsidRPr="00892DE3">
              <w:t>..</w:t>
            </w:r>
          </w:p>
        </w:tc>
        <w:tc>
          <w:tcPr>
            <w:tcW w:w="893" w:type="dxa"/>
          </w:tcPr>
          <w:p w:rsidR="00080446" w:rsidRPr="00892DE3" w:rsidRDefault="00080446" w:rsidP="00080446">
            <w:pPr>
              <w:pStyle w:val="Tabletextright"/>
            </w:pPr>
            <w:r w:rsidRPr="00892DE3">
              <w:t>..</w:t>
            </w:r>
          </w:p>
        </w:tc>
      </w:tr>
      <w:tr w:rsidR="00080446" w:rsidRPr="00892DE3" w:rsidTr="00080446">
        <w:trPr>
          <w:trHeight w:val="20"/>
        </w:trPr>
        <w:tc>
          <w:tcPr>
            <w:tcW w:w="1365" w:type="dxa"/>
          </w:tcPr>
          <w:p w:rsidR="00080446" w:rsidRPr="00892DE3" w:rsidRDefault="00080446" w:rsidP="00A762F7">
            <w:pPr>
              <w:pStyle w:val="Tabletext"/>
              <w:ind w:left="0" w:firstLine="0"/>
            </w:pPr>
            <w:r w:rsidRPr="00892DE3">
              <w:t>Claim costs</w:t>
            </w:r>
          </w:p>
        </w:tc>
        <w:tc>
          <w:tcPr>
            <w:tcW w:w="4078" w:type="dxa"/>
          </w:tcPr>
          <w:p w:rsidR="00080446" w:rsidRPr="00892DE3" w:rsidRDefault="00080446" w:rsidP="00A762F7">
            <w:pPr>
              <w:pStyle w:val="Tabletext"/>
              <w:ind w:left="0" w:firstLine="0"/>
            </w:pPr>
            <w:r w:rsidRPr="00892DE3">
              <w:t xml:space="preserve">Average cost per standard claim </w:t>
            </w:r>
            <w:r w:rsidR="005C5F04" w:rsidRPr="00892DE3">
              <w:rPr>
                <w:vertAlign w:val="superscript"/>
              </w:rPr>
              <w:t>(a</w:t>
            </w:r>
            <w:r w:rsidRPr="00892DE3">
              <w:rPr>
                <w:vertAlign w:val="superscript"/>
              </w:rPr>
              <w:t>)</w:t>
            </w:r>
          </w:p>
        </w:tc>
        <w:tc>
          <w:tcPr>
            <w:tcW w:w="893" w:type="dxa"/>
          </w:tcPr>
          <w:p w:rsidR="00080446" w:rsidRPr="00892DE3" w:rsidRDefault="00080446" w:rsidP="00080446">
            <w:pPr>
              <w:pStyle w:val="Tabletextright"/>
            </w:pPr>
            <w:r w:rsidRPr="00892DE3">
              <w:t>$27 944</w:t>
            </w:r>
          </w:p>
        </w:tc>
        <w:tc>
          <w:tcPr>
            <w:tcW w:w="893" w:type="dxa"/>
          </w:tcPr>
          <w:p w:rsidR="00080446" w:rsidRPr="00892DE3" w:rsidRDefault="00080446" w:rsidP="00080446">
            <w:pPr>
              <w:pStyle w:val="Tabletextright"/>
            </w:pPr>
            <w:r w:rsidRPr="00892DE3">
              <w:t>$27 121</w:t>
            </w:r>
          </w:p>
        </w:tc>
        <w:tc>
          <w:tcPr>
            <w:tcW w:w="893" w:type="dxa"/>
          </w:tcPr>
          <w:p w:rsidR="00080446" w:rsidRPr="00892DE3" w:rsidRDefault="00080446" w:rsidP="00080446">
            <w:pPr>
              <w:pStyle w:val="Tabletextright"/>
            </w:pPr>
            <w:r w:rsidRPr="00892DE3">
              <w:t>$29 334</w:t>
            </w:r>
          </w:p>
        </w:tc>
      </w:tr>
      <w:tr w:rsidR="00080446" w:rsidRPr="00892DE3" w:rsidTr="00080446">
        <w:trPr>
          <w:trHeight w:val="20"/>
        </w:trPr>
        <w:tc>
          <w:tcPr>
            <w:tcW w:w="1365" w:type="dxa"/>
          </w:tcPr>
          <w:p w:rsidR="00080446" w:rsidRPr="00892DE3" w:rsidRDefault="00080446" w:rsidP="00A762F7">
            <w:pPr>
              <w:pStyle w:val="Tabletext"/>
              <w:ind w:left="0" w:firstLine="0"/>
            </w:pPr>
            <w:r w:rsidRPr="00892DE3">
              <w:t>Return to work</w:t>
            </w:r>
          </w:p>
        </w:tc>
        <w:tc>
          <w:tcPr>
            <w:tcW w:w="4078" w:type="dxa"/>
          </w:tcPr>
          <w:p w:rsidR="00080446" w:rsidRPr="00892DE3" w:rsidRDefault="00080446" w:rsidP="00A762F7">
            <w:pPr>
              <w:pStyle w:val="Tabletext"/>
              <w:ind w:left="0" w:firstLine="0"/>
            </w:pPr>
            <w:r w:rsidRPr="00892DE3">
              <w:t>Percentage of claims with RTW plan &lt;30 days</w:t>
            </w:r>
          </w:p>
        </w:tc>
        <w:tc>
          <w:tcPr>
            <w:tcW w:w="893" w:type="dxa"/>
          </w:tcPr>
          <w:p w:rsidR="00080446" w:rsidRPr="00892DE3" w:rsidRDefault="00080446" w:rsidP="00080446">
            <w:pPr>
              <w:pStyle w:val="Tabletextright"/>
            </w:pPr>
            <w:r w:rsidRPr="00892DE3">
              <w:t>95%</w:t>
            </w:r>
          </w:p>
        </w:tc>
        <w:tc>
          <w:tcPr>
            <w:tcW w:w="893" w:type="dxa"/>
          </w:tcPr>
          <w:p w:rsidR="00080446" w:rsidRPr="00892DE3" w:rsidRDefault="00080446" w:rsidP="00080446">
            <w:pPr>
              <w:pStyle w:val="Tabletextright"/>
            </w:pPr>
            <w:r w:rsidRPr="00892DE3">
              <w:t>92%</w:t>
            </w:r>
          </w:p>
        </w:tc>
        <w:tc>
          <w:tcPr>
            <w:tcW w:w="893" w:type="dxa"/>
          </w:tcPr>
          <w:p w:rsidR="00080446" w:rsidRPr="00892DE3" w:rsidRDefault="00080446" w:rsidP="00080446">
            <w:pPr>
              <w:pStyle w:val="Tabletextright"/>
            </w:pPr>
            <w:r w:rsidRPr="00892DE3">
              <w:t>95%</w:t>
            </w:r>
          </w:p>
        </w:tc>
      </w:tr>
      <w:tr w:rsidR="00080446" w:rsidRPr="00892DE3" w:rsidTr="00080446">
        <w:trPr>
          <w:trHeight w:val="20"/>
        </w:trPr>
        <w:tc>
          <w:tcPr>
            <w:tcW w:w="1365" w:type="dxa"/>
          </w:tcPr>
          <w:p w:rsidR="00080446" w:rsidRPr="00892DE3" w:rsidRDefault="00080446" w:rsidP="00A762F7">
            <w:pPr>
              <w:pStyle w:val="Tabletext"/>
              <w:ind w:left="0" w:firstLine="0"/>
            </w:pPr>
            <w:r w:rsidRPr="00892DE3">
              <w:t>Management commitment</w:t>
            </w:r>
          </w:p>
        </w:tc>
        <w:tc>
          <w:tcPr>
            <w:tcW w:w="4078" w:type="dxa"/>
          </w:tcPr>
          <w:p w:rsidR="00080446" w:rsidRPr="00892DE3" w:rsidRDefault="00080446" w:rsidP="00A762F7">
            <w:pPr>
              <w:pStyle w:val="Tabletext"/>
              <w:ind w:left="0" w:firstLine="0"/>
            </w:pPr>
            <w:r w:rsidRPr="00892DE3">
              <w:t>Evidence of OH&amp;S policy statement, OH&amp;S objectives, regular reporting to senior management of OH&amp;S, and OH&amp;S plans (signed by CEO or equivalent).</w:t>
            </w:r>
          </w:p>
        </w:tc>
        <w:tc>
          <w:tcPr>
            <w:tcW w:w="893" w:type="dxa"/>
          </w:tcPr>
          <w:p w:rsidR="00080446" w:rsidRPr="00892DE3" w:rsidRDefault="00080446" w:rsidP="00080446">
            <w:pPr>
              <w:pStyle w:val="Tabletextright"/>
            </w:pPr>
            <w:r w:rsidRPr="00892DE3">
              <w:t>completed</w:t>
            </w:r>
          </w:p>
        </w:tc>
        <w:tc>
          <w:tcPr>
            <w:tcW w:w="893" w:type="dxa"/>
          </w:tcPr>
          <w:p w:rsidR="00080446" w:rsidRPr="00892DE3" w:rsidRDefault="00080446" w:rsidP="00080446">
            <w:pPr>
              <w:pStyle w:val="Tabletextright"/>
            </w:pPr>
            <w:r w:rsidRPr="00892DE3">
              <w:t>completed</w:t>
            </w:r>
          </w:p>
        </w:tc>
        <w:tc>
          <w:tcPr>
            <w:tcW w:w="893" w:type="dxa"/>
          </w:tcPr>
          <w:p w:rsidR="00080446" w:rsidRPr="00892DE3" w:rsidRDefault="00080446" w:rsidP="00080446">
            <w:pPr>
              <w:pStyle w:val="Tabletextright"/>
            </w:pPr>
            <w:r w:rsidRPr="00892DE3">
              <w:t>completed</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Evidence of OH&amp;S criteria(s) in purchasing guidelines (including goods, services and personnel).</w:t>
            </w:r>
          </w:p>
        </w:tc>
        <w:tc>
          <w:tcPr>
            <w:tcW w:w="893" w:type="dxa"/>
          </w:tcPr>
          <w:p w:rsidR="00080446" w:rsidRPr="00892DE3" w:rsidRDefault="00080446" w:rsidP="00080446">
            <w:pPr>
              <w:pStyle w:val="Tabletextright"/>
            </w:pPr>
            <w:r w:rsidRPr="00892DE3">
              <w:t>completed</w:t>
            </w:r>
          </w:p>
        </w:tc>
        <w:tc>
          <w:tcPr>
            <w:tcW w:w="893" w:type="dxa"/>
          </w:tcPr>
          <w:p w:rsidR="00080446" w:rsidRPr="00892DE3" w:rsidRDefault="00080446" w:rsidP="00080446">
            <w:pPr>
              <w:pStyle w:val="Tabletextright"/>
            </w:pPr>
            <w:r w:rsidRPr="00892DE3">
              <w:t>completed</w:t>
            </w:r>
          </w:p>
        </w:tc>
        <w:tc>
          <w:tcPr>
            <w:tcW w:w="893" w:type="dxa"/>
          </w:tcPr>
          <w:p w:rsidR="00080446" w:rsidRPr="00892DE3" w:rsidRDefault="00080446" w:rsidP="00080446">
            <w:pPr>
              <w:pStyle w:val="Tabletextright"/>
            </w:pPr>
            <w:r w:rsidRPr="00892DE3">
              <w:t>completed</w:t>
            </w:r>
          </w:p>
        </w:tc>
      </w:tr>
      <w:tr w:rsidR="00080446" w:rsidRPr="00892DE3" w:rsidTr="00080446">
        <w:trPr>
          <w:trHeight w:val="20"/>
        </w:trPr>
        <w:tc>
          <w:tcPr>
            <w:tcW w:w="1365" w:type="dxa"/>
            <w:vMerge w:val="restart"/>
          </w:tcPr>
          <w:p w:rsidR="00080446" w:rsidRPr="00892DE3" w:rsidRDefault="00080446" w:rsidP="00A762F7">
            <w:pPr>
              <w:pStyle w:val="Tabletext"/>
              <w:ind w:left="0" w:firstLine="0"/>
            </w:pPr>
            <w:r w:rsidRPr="00892DE3">
              <w:t>Consultation and participation</w:t>
            </w:r>
          </w:p>
        </w:tc>
        <w:tc>
          <w:tcPr>
            <w:tcW w:w="4078" w:type="dxa"/>
          </w:tcPr>
          <w:p w:rsidR="00080446" w:rsidRPr="00892DE3" w:rsidRDefault="00080446" w:rsidP="00A762F7">
            <w:pPr>
              <w:pStyle w:val="Tabletext"/>
              <w:ind w:left="0" w:firstLine="0"/>
            </w:pPr>
            <w:r w:rsidRPr="00892DE3">
              <w:t>Evidence of agreed structure of designated workgroups (DWGs), health and safety representatives (HSRs), and issue resolution proced</w:t>
            </w:r>
            <w:r w:rsidR="005C5F04" w:rsidRPr="00892DE3">
              <w:t>ures (IRPs).</w:t>
            </w:r>
          </w:p>
        </w:tc>
        <w:tc>
          <w:tcPr>
            <w:tcW w:w="893" w:type="dxa"/>
          </w:tcPr>
          <w:p w:rsidR="00080446" w:rsidRPr="00892DE3" w:rsidRDefault="00080446" w:rsidP="00080446">
            <w:pPr>
              <w:pStyle w:val="Tabletextright"/>
            </w:pPr>
            <w:r w:rsidRPr="00892DE3">
              <w:t>completed</w:t>
            </w:r>
          </w:p>
        </w:tc>
        <w:tc>
          <w:tcPr>
            <w:tcW w:w="893" w:type="dxa"/>
          </w:tcPr>
          <w:p w:rsidR="00080446" w:rsidRPr="00892DE3" w:rsidRDefault="00080446" w:rsidP="00080446">
            <w:pPr>
              <w:pStyle w:val="Tabletextright"/>
            </w:pPr>
            <w:r w:rsidRPr="00892DE3">
              <w:t>completed</w:t>
            </w:r>
          </w:p>
        </w:tc>
        <w:tc>
          <w:tcPr>
            <w:tcW w:w="893" w:type="dxa"/>
          </w:tcPr>
          <w:p w:rsidR="00080446" w:rsidRPr="00892DE3" w:rsidRDefault="00080446" w:rsidP="00080446">
            <w:pPr>
              <w:pStyle w:val="Tabletextright"/>
            </w:pPr>
            <w:r w:rsidRPr="00892DE3">
              <w:t>completed</w:t>
            </w:r>
          </w:p>
        </w:tc>
      </w:tr>
      <w:tr w:rsidR="00080446" w:rsidRPr="00892DE3" w:rsidTr="00080446">
        <w:trPr>
          <w:trHeight w:val="20"/>
        </w:trPr>
        <w:tc>
          <w:tcPr>
            <w:tcW w:w="1365" w:type="dxa"/>
            <w:vMerge/>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Compliance with agreed structure on DWGs, HSRs, and IRPs.</w:t>
            </w:r>
          </w:p>
        </w:tc>
        <w:tc>
          <w:tcPr>
            <w:tcW w:w="893" w:type="dxa"/>
          </w:tcPr>
          <w:p w:rsidR="00080446" w:rsidRPr="00892DE3" w:rsidRDefault="00080446" w:rsidP="00080446">
            <w:pPr>
              <w:pStyle w:val="Tabletextright"/>
            </w:pPr>
            <w:r w:rsidRPr="00892DE3">
              <w:t>completed</w:t>
            </w:r>
          </w:p>
        </w:tc>
        <w:tc>
          <w:tcPr>
            <w:tcW w:w="893" w:type="dxa"/>
          </w:tcPr>
          <w:p w:rsidR="00080446" w:rsidRPr="00892DE3" w:rsidRDefault="00080446" w:rsidP="00080446">
            <w:pPr>
              <w:pStyle w:val="Tabletextright"/>
            </w:pPr>
            <w:r w:rsidRPr="00892DE3">
              <w:t>completed</w:t>
            </w:r>
          </w:p>
        </w:tc>
        <w:tc>
          <w:tcPr>
            <w:tcW w:w="893" w:type="dxa"/>
          </w:tcPr>
          <w:p w:rsidR="00080446" w:rsidRPr="00892DE3" w:rsidRDefault="00080446" w:rsidP="00080446">
            <w:pPr>
              <w:pStyle w:val="Tabletextright"/>
            </w:pPr>
            <w:r w:rsidRPr="00892DE3">
              <w:t>completed</w:t>
            </w:r>
          </w:p>
        </w:tc>
      </w:tr>
      <w:tr w:rsidR="00080446" w:rsidRPr="00892DE3" w:rsidTr="00080446">
        <w:trPr>
          <w:trHeight w:val="20"/>
        </w:trPr>
        <w:tc>
          <w:tcPr>
            <w:tcW w:w="1365" w:type="dxa"/>
          </w:tcPr>
          <w:p w:rsidR="00080446" w:rsidRPr="00892DE3" w:rsidRDefault="00080446" w:rsidP="00A762F7">
            <w:pPr>
              <w:pStyle w:val="Tabletext"/>
              <w:ind w:left="0" w:firstLine="0"/>
            </w:pPr>
            <w:r w:rsidRPr="00892DE3">
              <w:t>Risk management</w:t>
            </w:r>
          </w:p>
        </w:tc>
        <w:tc>
          <w:tcPr>
            <w:tcW w:w="4078" w:type="dxa"/>
          </w:tcPr>
          <w:p w:rsidR="00080446" w:rsidRPr="00892DE3" w:rsidRDefault="00080446" w:rsidP="00A762F7">
            <w:pPr>
              <w:pStyle w:val="Tabletext"/>
              <w:ind w:left="0" w:firstLine="0"/>
            </w:pPr>
            <w:r w:rsidRPr="00892DE3">
              <w:t>Percentage of internal audits/inspections conducted as planned.</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Percentage of issues identified actioned arising from:</w:t>
            </w:r>
          </w:p>
        </w:tc>
        <w:tc>
          <w:tcPr>
            <w:tcW w:w="893" w:type="dxa"/>
          </w:tcPr>
          <w:p w:rsidR="00080446" w:rsidRPr="00892DE3" w:rsidRDefault="00080446" w:rsidP="00080446">
            <w:pPr>
              <w:pStyle w:val="Tabletextright"/>
            </w:pPr>
          </w:p>
        </w:tc>
        <w:tc>
          <w:tcPr>
            <w:tcW w:w="893" w:type="dxa"/>
          </w:tcPr>
          <w:p w:rsidR="00080446" w:rsidRPr="00892DE3" w:rsidRDefault="00080446" w:rsidP="00080446">
            <w:pPr>
              <w:pStyle w:val="Tabletextright"/>
            </w:pPr>
          </w:p>
        </w:tc>
        <w:tc>
          <w:tcPr>
            <w:tcW w:w="893" w:type="dxa"/>
          </w:tcPr>
          <w:p w:rsidR="00080446" w:rsidRPr="00892DE3" w:rsidRDefault="00080446" w:rsidP="00080446">
            <w:pPr>
              <w:pStyle w:val="Tabletextright"/>
            </w:pP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ListBullet"/>
            </w:pPr>
            <w:r w:rsidRPr="00892DE3">
              <w:t>internal audits;</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ListBullet"/>
            </w:pPr>
            <w:r w:rsidRPr="00892DE3">
              <w:t>HSR provisional improvement notices (PINs); and</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ListBullet"/>
            </w:pPr>
            <w:r w:rsidRPr="00892DE3">
              <w:t>WorkSafe notices.</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r>
      <w:tr w:rsidR="00080446" w:rsidRPr="00892DE3" w:rsidTr="00080446">
        <w:trPr>
          <w:trHeight w:val="20"/>
        </w:trPr>
        <w:tc>
          <w:tcPr>
            <w:tcW w:w="1365" w:type="dxa"/>
          </w:tcPr>
          <w:p w:rsidR="00080446" w:rsidRPr="00892DE3" w:rsidRDefault="00080446" w:rsidP="00A762F7">
            <w:pPr>
              <w:pStyle w:val="Tabletext"/>
              <w:ind w:left="0" w:firstLine="0"/>
            </w:pPr>
            <w:r w:rsidRPr="00892DE3">
              <w:t>Training</w:t>
            </w:r>
          </w:p>
        </w:tc>
        <w:tc>
          <w:tcPr>
            <w:tcW w:w="4078" w:type="dxa"/>
          </w:tcPr>
          <w:p w:rsidR="00080446" w:rsidRPr="00892DE3" w:rsidRDefault="00080446" w:rsidP="00A762F7">
            <w:pPr>
              <w:pStyle w:val="Tabletext"/>
              <w:ind w:left="0" w:firstLine="0"/>
            </w:pPr>
            <w:r w:rsidRPr="00892DE3">
              <w:t>Percentage of managers and staff that have received OH&amp;S training:</w:t>
            </w:r>
          </w:p>
        </w:tc>
        <w:tc>
          <w:tcPr>
            <w:tcW w:w="893" w:type="dxa"/>
          </w:tcPr>
          <w:p w:rsidR="00080446" w:rsidRPr="00892DE3" w:rsidRDefault="00080446" w:rsidP="00080446">
            <w:pPr>
              <w:pStyle w:val="Tabletextright"/>
            </w:pPr>
          </w:p>
        </w:tc>
        <w:tc>
          <w:tcPr>
            <w:tcW w:w="893" w:type="dxa"/>
          </w:tcPr>
          <w:p w:rsidR="00080446" w:rsidRPr="00892DE3" w:rsidRDefault="00080446" w:rsidP="00080446">
            <w:pPr>
              <w:pStyle w:val="Tabletextright"/>
            </w:pPr>
          </w:p>
        </w:tc>
        <w:tc>
          <w:tcPr>
            <w:tcW w:w="893" w:type="dxa"/>
          </w:tcPr>
          <w:p w:rsidR="00080446" w:rsidRPr="00892DE3" w:rsidRDefault="00080446" w:rsidP="00080446">
            <w:pPr>
              <w:pStyle w:val="Tabletextright"/>
            </w:pP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ListBullet"/>
            </w:pPr>
            <w:r w:rsidRPr="00892DE3">
              <w:t>induction;</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ListBullet"/>
            </w:pPr>
            <w:r w:rsidRPr="00892DE3">
              <w:t>management training; and</w:t>
            </w:r>
          </w:p>
        </w:tc>
        <w:tc>
          <w:tcPr>
            <w:tcW w:w="893" w:type="dxa"/>
          </w:tcPr>
          <w:p w:rsidR="00080446" w:rsidRPr="00892DE3" w:rsidRDefault="00080446" w:rsidP="00080446">
            <w:pPr>
              <w:pStyle w:val="Tabletextright"/>
            </w:pPr>
            <w:r w:rsidRPr="00892DE3">
              <w:t>12%</w:t>
            </w:r>
          </w:p>
        </w:tc>
        <w:tc>
          <w:tcPr>
            <w:tcW w:w="893" w:type="dxa"/>
          </w:tcPr>
          <w:p w:rsidR="00080446" w:rsidRPr="00892DE3" w:rsidRDefault="00080446" w:rsidP="00080446">
            <w:pPr>
              <w:pStyle w:val="Tabletextright"/>
            </w:pPr>
            <w:r w:rsidRPr="00892DE3">
              <w:t>16%</w:t>
            </w:r>
          </w:p>
        </w:tc>
        <w:tc>
          <w:tcPr>
            <w:tcW w:w="893" w:type="dxa"/>
          </w:tcPr>
          <w:p w:rsidR="00080446" w:rsidRPr="00892DE3" w:rsidRDefault="00080446" w:rsidP="00080446">
            <w:pPr>
              <w:pStyle w:val="Tabletextright"/>
            </w:pPr>
            <w:r w:rsidRPr="00892DE3">
              <w:t>19%</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ListBullet"/>
            </w:pPr>
            <w:r w:rsidRPr="00892DE3">
              <w:t>contractors, temps, and visitors.</w:t>
            </w:r>
          </w:p>
        </w:tc>
        <w:tc>
          <w:tcPr>
            <w:tcW w:w="893" w:type="dxa"/>
          </w:tcPr>
          <w:p w:rsidR="00080446" w:rsidRPr="00892DE3" w:rsidRDefault="00080446" w:rsidP="00080446">
            <w:pPr>
              <w:pStyle w:val="Tabletextright"/>
            </w:pPr>
            <w:r w:rsidRPr="00892DE3">
              <w:t>n/a</w:t>
            </w:r>
          </w:p>
        </w:tc>
        <w:tc>
          <w:tcPr>
            <w:tcW w:w="893" w:type="dxa"/>
          </w:tcPr>
          <w:p w:rsidR="00080446" w:rsidRPr="00892DE3" w:rsidRDefault="00080446" w:rsidP="00080446">
            <w:pPr>
              <w:pStyle w:val="Tabletextright"/>
            </w:pPr>
            <w:r w:rsidRPr="00892DE3">
              <w:t>n/a</w:t>
            </w:r>
          </w:p>
        </w:tc>
        <w:tc>
          <w:tcPr>
            <w:tcW w:w="893" w:type="dxa"/>
          </w:tcPr>
          <w:p w:rsidR="00080446" w:rsidRPr="00892DE3" w:rsidRDefault="00080446" w:rsidP="00080446">
            <w:pPr>
              <w:pStyle w:val="Tabletextright"/>
            </w:pPr>
            <w:r w:rsidRPr="00892DE3">
              <w:t>n/a</w:t>
            </w: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Percentage of HSRs trained:</w:t>
            </w:r>
          </w:p>
        </w:tc>
        <w:tc>
          <w:tcPr>
            <w:tcW w:w="893" w:type="dxa"/>
          </w:tcPr>
          <w:p w:rsidR="00080446" w:rsidRPr="00892DE3" w:rsidRDefault="00080446" w:rsidP="00080446">
            <w:pPr>
              <w:pStyle w:val="Tabletextright"/>
            </w:pPr>
          </w:p>
        </w:tc>
        <w:tc>
          <w:tcPr>
            <w:tcW w:w="893" w:type="dxa"/>
          </w:tcPr>
          <w:p w:rsidR="00080446" w:rsidRPr="00892DE3" w:rsidRDefault="00080446" w:rsidP="00080446">
            <w:pPr>
              <w:pStyle w:val="Tabletextright"/>
            </w:pPr>
          </w:p>
        </w:tc>
        <w:tc>
          <w:tcPr>
            <w:tcW w:w="893" w:type="dxa"/>
          </w:tcPr>
          <w:p w:rsidR="00080446" w:rsidRPr="00892DE3" w:rsidRDefault="00080446" w:rsidP="00080446">
            <w:pPr>
              <w:pStyle w:val="Tabletextright"/>
            </w:pPr>
          </w:p>
        </w:tc>
      </w:tr>
      <w:tr w:rsidR="00080446" w:rsidRPr="00892DE3" w:rsidTr="00080446">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367D37">
            <w:pPr>
              <w:pStyle w:val="ListBullet"/>
            </w:pPr>
            <w:r w:rsidRPr="00892DE3">
              <w:t>acceptance of role;</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c>
          <w:tcPr>
            <w:tcW w:w="893" w:type="dxa"/>
          </w:tcPr>
          <w:p w:rsidR="00080446" w:rsidRPr="00892DE3" w:rsidRDefault="00080446" w:rsidP="00080446">
            <w:pPr>
              <w:pStyle w:val="Tabletextright"/>
            </w:pPr>
            <w:r w:rsidRPr="00892DE3">
              <w:t>100%</w:t>
            </w:r>
          </w:p>
        </w:tc>
      </w:tr>
      <w:tr w:rsidR="00080446" w:rsidRPr="00892DE3" w:rsidTr="00080446">
        <w:trPr>
          <w:trHeight w:val="20"/>
        </w:trPr>
        <w:tc>
          <w:tcPr>
            <w:tcW w:w="1365" w:type="dxa"/>
            <w:tcBorders>
              <w:bottom w:val="nil"/>
            </w:tcBorders>
          </w:tcPr>
          <w:p w:rsidR="00080446" w:rsidRPr="00892DE3" w:rsidRDefault="00080446" w:rsidP="00A762F7">
            <w:pPr>
              <w:pStyle w:val="Tabletext"/>
              <w:ind w:left="0" w:firstLine="0"/>
            </w:pPr>
          </w:p>
        </w:tc>
        <w:tc>
          <w:tcPr>
            <w:tcW w:w="4078" w:type="dxa"/>
            <w:tcBorders>
              <w:bottom w:val="nil"/>
            </w:tcBorders>
          </w:tcPr>
          <w:p w:rsidR="00080446" w:rsidRPr="00892DE3" w:rsidRDefault="00080446" w:rsidP="00367D37">
            <w:pPr>
              <w:pStyle w:val="ListBullet"/>
            </w:pPr>
            <w:r w:rsidRPr="00892DE3">
              <w:t>re</w:t>
            </w:r>
            <w:r w:rsidRPr="00892DE3">
              <w:noBreakHyphen/>
              <w:t>training (refresher); and</w:t>
            </w:r>
          </w:p>
        </w:tc>
        <w:tc>
          <w:tcPr>
            <w:tcW w:w="893" w:type="dxa"/>
            <w:tcBorders>
              <w:bottom w:val="nil"/>
            </w:tcBorders>
          </w:tcPr>
          <w:p w:rsidR="00080446" w:rsidRPr="00892DE3" w:rsidRDefault="00080446" w:rsidP="00080446">
            <w:pPr>
              <w:pStyle w:val="Tabletextright"/>
            </w:pPr>
            <w:r w:rsidRPr="00892DE3">
              <w:t>100%</w:t>
            </w:r>
          </w:p>
        </w:tc>
        <w:tc>
          <w:tcPr>
            <w:tcW w:w="893" w:type="dxa"/>
            <w:tcBorders>
              <w:bottom w:val="nil"/>
            </w:tcBorders>
          </w:tcPr>
          <w:p w:rsidR="00080446" w:rsidRPr="00892DE3" w:rsidRDefault="00080446" w:rsidP="00080446">
            <w:pPr>
              <w:pStyle w:val="Tabletextright"/>
            </w:pPr>
            <w:r w:rsidRPr="00892DE3">
              <w:t>100%</w:t>
            </w:r>
          </w:p>
        </w:tc>
        <w:tc>
          <w:tcPr>
            <w:tcW w:w="893" w:type="dxa"/>
            <w:tcBorders>
              <w:bottom w:val="nil"/>
            </w:tcBorders>
          </w:tcPr>
          <w:p w:rsidR="00080446" w:rsidRPr="00892DE3" w:rsidRDefault="00080446" w:rsidP="00080446">
            <w:pPr>
              <w:pStyle w:val="Tabletextright"/>
            </w:pPr>
            <w:r w:rsidRPr="00892DE3">
              <w:t>100%</w:t>
            </w:r>
          </w:p>
        </w:tc>
      </w:tr>
      <w:tr w:rsidR="00080446" w:rsidRPr="00892DE3" w:rsidTr="00080446">
        <w:trPr>
          <w:cnfStyle w:val="010000000000" w:firstRow="0" w:lastRow="1" w:firstColumn="0" w:lastColumn="0" w:oddVBand="0" w:evenVBand="0" w:oddHBand="0" w:evenHBand="0" w:firstRowFirstColumn="0" w:firstRowLastColumn="0" w:lastRowFirstColumn="0" w:lastRowLastColumn="0"/>
          <w:trHeight w:val="20"/>
        </w:trPr>
        <w:tc>
          <w:tcPr>
            <w:tcW w:w="1365" w:type="dxa"/>
            <w:tcBorders>
              <w:top w:val="nil"/>
            </w:tcBorders>
          </w:tcPr>
          <w:p w:rsidR="00080446" w:rsidRPr="00892DE3" w:rsidRDefault="00080446" w:rsidP="00A762F7">
            <w:pPr>
              <w:pStyle w:val="Tabletext"/>
              <w:ind w:left="0" w:firstLine="0"/>
              <w:rPr>
                <w:sz w:val="15"/>
                <w:szCs w:val="15"/>
              </w:rPr>
            </w:pPr>
          </w:p>
        </w:tc>
        <w:tc>
          <w:tcPr>
            <w:tcW w:w="4078" w:type="dxa"/>
            <w:tcBorders>
              <w:top w:val="nil"/>
            </w:tcBorders>
          </w:tcPr>
          <w:p w:rsidR="00080446" w:rsidRPr="00892DE3" w:rsidRDefault="00080446" w:rsidP="00367D37">
            <w:pPr>
              <w:pStyle w:val="ListBullet"/>
            </w:pPr>
            <w:r w:rsidRPr="00892DE3">
              <w:t>reporting of incidents and injuries.</w:t>
            </w:r>
          </w:p>
        </w:tc>
        <w:tc>
          <w:tcPr>
            <w:tcW w:w="893" w:type="dxa"/>
            <w:tcBorders>
              <w:top w:val="nil"/>
            </w:tcBorders>
          </w:tcPr>
          <w:p w:rsidR="00080446" w:rsidRPr="00892DE3" w:rsidRDefault="00080446" w:rsidP="00080446">
            <w:pPr>
              <w:pStyle w:val="Tabletextright"/>
            </w:pPr>
            <w:r w:rsidRPr="00892DE3">
              <w:t>5%</w:t>
            </w:r>
          </w:p>
        </w:tc>
        <w:tc>
          <w:tcPr>
            <w:tcW w:w="893" w:type="dxa"/>
            <w:tcBorders>
              <w:top w:val="nil"/>
            </w:tcBorders>
          </w:tcPr>
          <w:p w:rsidR="00080446" w:rsidRPr="00892DE3" w:rsidRDefault="00080446" w:rsidP="00080446">
            <w:pPr>
              <w:pStyle w:val="Tabletextright"/>
            </w:pPr>
            <w:r w:rsidRPr="00892DE3">
              <w:t>4%</w:t>
            </w:r>
          </w:p>
        </w:tc>
        <w:tc>
          <w:tcPr>
            <w:tcW w:w="893" w:type="dxa"/>
            <w:tcBorders>
              <w:top w:val="nil"/>
            </w:tcBorders>
          </w:tcPr>
          <w:p w:rsidR="00080446" w:rsidRPr="00892DE3" w:rsidRDefault="00080446" w:rsidP="00080446">
            <w:pPr>
              <w:pStyle w:val="Tabletextright"/>
            </w:pPr>
          </w:p>
        </w:tc>
      </w:tr>
    </w:tbl>
    <w:p w:rsidR="00080446" w:rsidRPr="00892DE3" w:rsidRDefault="00080446" w:rsidP="005C5F04">
      <w:pPr>
        <w:pStyle w:val="Note"/>
      </w:pPr>
      <w:r w:rsidRPr="00892DE3">
        <w:t>Notes:</w:t>
      </w:r>
    </w:p>
    <w:p w:rsidR="00080446" w:rsidRPr="00892DE3" w:rsidRDefault="00080446" w:rsidP="005C5F04">
      <w:pPr>
        <w:pStyle w:val="Note"/>
      </w:pPr>
      <w:r w:rsidRPr="00892DE3">
        <w:t>(</w:t>
      </w:r>
      <w:r w:rsidR="005C5F04" w:rsidRPr="00892DE3">
        <w:t>a</w:t>
      </w:r>
      <w:r w:rsidRPr="00892DE3">
        <w:t>)</w:t>
      </w:r>
      <w:r w:rsidRPr="00892DE3">
        <w:tab/>
        <w:t xml:space="preserve">Data sourced from Victorian WorkCover Authority (VWA). </w:t>
      </w:r>
    </w:p>
    <w:p w:rsidR="00080446" w:rsidRPr="00892DE3" w:rsidRDefault="00080446" w:rsidP="00080446">
      <w:pPr>
        <w:pStyle w:val="Not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t>Recommendation 24,</w:t>
      </w:r>
    </w:p>
    <w:p w:rsidR="00080446" w:rsidRPr="00892DE3" w:rsidRDefault="00080446" w:rsidP="00080446">
      <w:pPr>
        <w:pStyle w:val="Reference"/>
      </w:pPr>
      <w:r w:rsidRPr="00892DE3">
        <w:t>PAEC Report 107</w:t>
      </w:r>
    </w:p>
    <w:p w:rsidR="00080446" w:rsidRPr="00892DE3" w:rsidRDefault="00080446" w:rsidP="00080446">
      <w:pPr>
        <w:pStyle w:val="Note"/>
      </w:pPr>
      <w:r w:rsidRPr="00892DE3">
        <w:br w:type="column"/>
      </w:r>
      <w:r w:rsidRPr="00892DE3">
        <w:lastRenderedPageBreak/>
        <w:t>(</w:t>
      </w:r>
      <w:r w:rsidR="005C5F04" w:rsidRPr="00892DE3">
        <w:t>b</w:t>
      </w:r>
      <w:r w:rsidRPr="00892DE3">
        <w:t>)</w:t>
      </w:r>
      <w:r w:rsidRPr="00892DE3">
        <w:tab/>
        <w:t xml:space="preserve">The fatality claim received in 2014-15 was due to a vehicle accident. </w:t>
      </w:r>
      <w:r w:rsidRPr="00892DE3">
        <w:rPr>
          <w:color w:val="0063A6" w:themeColor="accent1"/>
        </w:rPr>
        <w:t>[An explanation of the circumstances contributing to the fatality and the preventive measures taken should also be included. However, in circumstances where the fatality is under investigation or subject to an inquiry, a statement to that effect should be included.]</w:t>
      </w:r>
    </w:p>
    <w:p w:rsidR="00080446" w:rsidRPr="00892DE3" w:rsidRDefault="00080446" w:rsidP="00080446">
      <w:pPr>
        <w:pStyle w:val="Note"/>
      </w:pPr>
    </w:p>
    <w:p w:rsidR="00DA3433" w:rsidRPr="00892DE3" w:rsidRDefault="00DA3433">
      <w:pPr>
        <w:keepLines w:val="0"/>
        <w:rPr>
          <w:rFonts w:asciiTheme="majorHAnsi" w:eastAsiaTheme="majorEastAsia" w:hAnsiTheme="majorHAnsi" w:cstheme="majorBidi"/>
          <w:b/>
          <w:spacing w:val="-2"/>
          <w:sz w:val="24"/>
          <w:szCs w:val="26"/>
        </w:rPr>
      </w:pPr>
      <w:bookmarkStart w:id="41" w:name="_Toc477967495"/>
      <w:r w:rsidRPr="00892DE3">
        <w:br w:type="page"/>
      </w:r>
    </w:p>
    <w:p w:rsidR="00080446" w:rsidRPr="00892DE3" w:rsidRDefault="00DA3433" w:rsidP="005C5F04">
      <w:pPr>
        <w:pStyle w:val="Heading2nonTOC"/>
      </w:pPr>
      <w:r w:rsidRPr="00892DE3">
        <w:lastRenderedPageBreak/>
        <w:br w:type="column"/>
      </w:r>
      <w:r w:rsidR="00080446" w:rsidRPr="00892DE3">
        <w:lastRenderedPageBreak/>
        <w:t>Employment and conduct principles</w:t>
      </w:r>
      <w:bookmarkEnd w:id="41"/>
      <w:r w:rsidR="00080446" w:rsidRPr="00892DE3">
        <w:t xml:space="preserve"> </w:t>
      </w:r>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BodyText"/>
      </w:pPr>
      <w:r w:rsidRPr="00892DE3">
        <w:br w:type="column"/>
      </w:r>
      <w:r w:rsidRPr="00892DE3">
        <w:lastRenderedPageBreak/>
        <w:t>The Department is committed to applying merit and equity principles when appointing staff. The selection processes ensure that applicants are assessed and evaluated fairly and equitably on the basis of the key selection criteria and other accountabilities without discrimination. Employees have been correctly classified in workforce data collections.</w:t>
      </w:r>
    </w:p>
    <w:p w:rsidR="00080446" w:rsidRPr="00892DE3" w:rsidRDefault="00080446" w:rsidP="00080446">
      <w:pPr>
        <w:pStyle w:val="Smallline"/>
      </w:pPr>
    </w:p>
    <w:p w:rsidR="00080446" w:rsidRPr="00892DE3" w:rsidRDefault="00080446" w:rsidP="00080446">
      <w:pPr>
        <w:pStyle w:val="Guidanceheading"/>
      </w:pPr>
      <w:r w:rsidRPr="00892DE3">
        <w:t>Guidance – Occupational health and safety</w:t>
      </w:r>
    </w:p>
    <w:p w:rsidR="00080446" w:rsidRPr="00892DE3" w:rsidRDefault="00080446" w:rsidP="00080446">
      <w:pPr>
        <w:pStyle w:val="Guidance"/>
        <w:pBdr>
          <w:bottom w:val="none" w:sz="0" w:space="0" w:color="auto"/>
        </w:pBdr>
      </w:pPr>
      <w:r w:rsidRPr="00892DE3">
        <w:rPr>
          <w:b/>
        </w:rPr>
        <w:t>FRD 22H</w:t>
      </w:r>
      <w:r w:rsidR="006A58CA">
        <w:rPr>
          <w:b/>
        </w:rPr>
        <w:t xml:space="preserve"> </w:t>
      </w:r>
      <w:r w:rsidR="006A58CA">
        <w:t>(to be issued in June 2017)</w:t>
      </w:r>
      <w:r w:rsidRPr="00892DE3">
        <w:t xml:space="preserve"> requires an entity to disclose:</w:t>
      </w:r>
    </w:p>
    <w:p w:rsidR="00080446" w:rsidRPr="00892DE3" w:rsidRDefault="00080446" w:rsidP="00587DAE">
      <w:pPr>
        <w:pStyle w:val="Guidancebullet"/>
        <w:numPr>
          <w:ilvl w:val="1"/>
          <w:numId w:val="24"/>
        </w:numPr>
        <w:pBdr>
          <w:bottom w:val="none" w:sz="0" w:space="0" w:color="auto"/>
        </w:pBdr>
        <w:ind w:left="446" w:hanging="446"/>
      </w:pPr>
      <w:r w:rsidRPr="00892DE3">
        <w:t xml:space="preserve">a statement on occupational health and safety matters, including the performance indicators adopted to monitor such matters and the entity’s performance against those indicators; and </w:t>
      </w:r>
    </w:p>
    <w:p w:rsidR="00080446" w:rsidRPr="00892DE3" w:rsidRDefault="00080446" w:rsidP="00587DAE">
      <w:pPr>
        <w:pStyle w:val="Guidancebullet"/>
        <w:numPr>
          <w:ilvl w:val="1"/>
          <w:numId w:val="24"/>
        </w:numPr>
        <w:pBdr>
          <w:bottom w:val="none" w:sz="0" w:space="0" w:color="auto"/>
        </w:pBdr>
        <w:ind w:left="446" w:hanging="446"/>
      </w:pPr>
      <w:r w:rsidRPr="00892DE3">
        <w:t>workforce data for the current and previous financial year, including a general statement on the application of employment and conduct principles and that employees have been correctly classified in workforce data collections.</w:t>
      </w:r>
    </w:p>
    <w:p w:rsidR="00080446" w:rsidRPr="00892DE3" w:rsidRDefault="00080446" w:rsidP="00587DAE">
      <w:pPr>
        <w:pStyle w:val="Guidancebullet"/>
        <w:numPr>
          <w:ilvl w:val="1"/>
          <w:numId w:val="24"/>
        </w:numPr>
        <w:ind w:left="446" w:hanging="446"/>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Recommendation 10, PAEC Report 107</w:t>
      </w:r>
    </w:p>
    <w:p w:rsidR="00080446" w:rsidRPr="00892DE3" w:rsidRDefault="00080446" w:rsidP="00080446">
      <w:pPr>
        <w:pStyle w:val="Guidanceheading1"/>
      </w:pPr>
      <w:r w:rsidRPr="00892DE3">
        <w:br w:type="column"/>
      </w:r>
      <w:r w:rsidRPr="00892DE3">
        <w:lastRenderedPageBreak/>
        <w:t>Guidance</w:t>
      </w:r>
    </w:p>
    <w:p w:rsidR="00080446" w:rsidRPr="00892DE3" w:rsidRDefault="00080446" w:rsidP="00080446">
      <w:pPr>
        <w:pStyle w:val="Guidance"/>
        <w:pBdr>
          <w:bottom w:val="none" w:sz="0" w:space="0" w:color="auto"/>
        </w:pBdr>
      </w:pPr>
      <w:r w:rsidRPr="00892DE3">
        <w:t>General commentary on programs or initiatives that have a significant impact on occupational health and safety incidents between the current and previous reporting period should be explained in the report of operations. Entities are required to explain significant variances between:</w:t>
      </w:r>
    </w:p>
    <w:p w:rsidR="00080446" w:rsidRPr="00892DE3" w:rsidRDefault="00080446" w:rsidP="00587DAE">
      <w:pPr>
        <w:pStyle w:val="Guidancebullet"/>
        <w:numPr>
          <w:ilvl w:val="1"/>
          <w:numId w:val="24"/>
        </w:numPr>
        <w:ind w:left="446" w:hanging="446"/>
      </w:pPr>
      <w:r w:rsidRPr="00892DE3">
        <w:t>the number of reported hazards/incidents for the year;</w:t>
      </w:r>
    </w:p>
    <w:p w:rsidR="00080446" w:rsidRPr="00892DE3" w:rsidRDefault="00080446" w:rsidP="00587DAE">
      <w:pPr>
        <w:pStyle w:val="Guidancebullet"/>
        <w:numPr>
          <w:ilvl w:val="1"/>
          <w:numId w:val="24"/>
        </w:numPr>
        <w:ind w:left="446" w:hanging="446"/>
      </w:pPr>
      <w:r w:rsidRPr="00892DE3">
        <w:t>the number of ‘lost time’ standard claims for the year; and</w:t>
      </w:r>
    </w:p>
    <w:p w:rsidR="00080446" w:rsidRPr="00892DE3" w:rsidRDefault="00080446" w:rsidP="00587DAE">
      <w:pPr>
        <w:pStyle w:val="Guidancebullet"/>
        <w:numPr>
          <w:ilvl w:val="1"/>
          <w:numId w:val="24"/>
        </w:numPr>
        <w:ind w:left="446" w:hanging="446"/>
      </w:pPr>
      <w:r w:rsidRPr="00892DE3">
        <w:t>the average cost per claim for the year, including payments to date plus an estimate of outstanding claim costs as advised by WorkSafe.</w:t>
      </w:r>
    </w:p>
    <w:p w:rsidR="00080446" w:rsidRPr="00892DE3" w:rsidRDefault="00080446" w:rsidP="00080446">
      <w:pPr>
        <w:pStyle w:val="BodyText"/>
      </w:pPr>
    </w:p>
    <w:p w:rsidR="00080446" w:rsidRPr="00892DE3" w:rsidRDefault="00080446" w:rsidP="006D5D42">
      <w:pPr>
        <w:pStyle w:val="BodyText"/>
      </w:pPr>
      <w:r w:rsidRPr="00892DE3">
        <w:br w:type="page"/>
      </w: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6D5D42" w:rsidRPr="00892DE3" w:rsidRDefault="006D5D42" w:rsidP="00080446">
      <w:pPr>
        <w:pStyle w:val="Reference"/>
        <w:rPr>
          <w:b/>
          <w:color w:val="0063A6" w:themeColor="accent1"/>
        </w:rPr>
      </w:pPr>
    </w:p>
    <w:p w:rsidR="00080446" w:rsidRPr="00892DE3" w:rsidRDefault="00080446" w:rsidP="00080446">
      <w:pPr>
        <w:pStyle w:val="Reference"/>
      </w:pPr>
      <w:r w:rsidRPr="00892DE3">
        <w:rPr>
          <w:b/>
          <w:color w:val="0063A6" w:themeColor="accent1"/>
        </w:rPr>
        <w:t>Revised</w:t>
      </w:r>
    </w:p>
    <w:p w:rsidR="00080446" w:rsidRPr="00892DE3" w:rsidRDefault="00080446" w:rsidP="00DA3433">
      <w:pPr>
        <w:pStyle w:val="Heading1nonTOC"/>
      </w:pPr>
      <w:r w:rsidRPr="00892DE3">
        <w:br w:type="column"/>
      </w:r>
      <w:bookmarkStart w:id="42" w:name="_Toc477967496"/>
      <w:bookmarkStart w:id="43" w:name="Report_Section3"/>
      <w:r w:rsidRPr="00892DE3">
        <w:lastRenderedPageBreak/>
        <w:t>Section 3: Workforce data</w:t>
      </w:r>
      <w:bookmarkEnd w:id="42"/>
      <w:bookmarkEnd w:id="43"/>
    </w:p>
    <w:p w:rsidR="00080446" w:rsidRPr="00892DE3" w:rsidRDefault="00080446" w:rsidP="00D22703">
      <w:pPr>
        <w:pStyle w:val="Heading30"/>
      </w:pPr>
      <w:r w:rsidRPr="00892DE3">
        <w:t>Public sector values and employment principles</w:t>
      </w:r>
    </w:p>
    <w:p w:rsidR="00080446" w:rsidRPr="00892DE3" w:rsidRDefault="00080446" w:rsidP="00080446">
      <w:pPr>
        <w:pStyle w:val="BodyText"/>
      </w:pPr>
      <w:r w:rsidRPr="00892DE3">
        <w:t xml:space="preserve">The </w:t>
      </w:r>
      <w:r w:rsidRPr="00892DE3">
        <w:rPr>
          <w:i/>
        </w:rPr>
        <w:t>Public Administration Act 2004</w:t>
      </w:r>
      <w:r w:rsidRPr="00892DE3">
        <w:t xml:space="preserve"> established the Victorian Public Sector Commission (VPSC). The VPSC’s role is to strengthen public sector efficiency, effectiveness and capability, and advocate for public sector professionalism and integrity. </w:t>
      </w:r>
    </w:p>
    <w:p w:rsidR="00080446" w:rsidRPr="00892DE3" w:rsidRDefault="00080446" w:rsidP="00080446">
      <w:pPr>
        <w:pStyle w:val="BodyText"/>
      </w:pPr>
      <w:r w:rsidRPr="00892DE3">
        <w:t xml:space="preserve">The Department introduced policies and practices that are consistent with the VPSC’s employment standards and provide for fair treatment, career opportunities and the early resolution of workplace issues. The Department advised its employees on how to avoid conflicts of interest, how to respond to offers of gifts and how it deals with misconduct. </w:t>
      </w:r>
    </w:p>
    <w:p w:rsidR="00080446" w:rsidRPr="00892DE3" w:rsidRDefault="00080446" w:rsidP="00080446">
      <w:pPr>
        <w:pStyle w:val="Guidanceheading"/>
      </w:pPr>
      <w:r w:rsidRPr="00892DE3">
        <w:t>Guidance – Public sector values and employment principles</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
        <w:pBdr>
          <w:bottom w:val="none" w:sz="0" w:space="0" w:color="auto"/>
        </w:pBdr>
      </w:pPr>
      <w:r w:rsidRPr="00892DE3">
        <w:t xml:space="preserve">The </w:t>
      </w:r>
      <w:r w:rsidRPr="00892DE3">
        <w:rPr>
          <w:i/>
        </w:rPr>
        <w:t>Public Administration Act 2004</w:t>
      </w:r>
      <w:r w:rsidRPr="00892DE3">
        <w:t xml:space="preserve"> enshrines public sector values (s7) and employment principles (s8). This Act establishes the Victorian Public Sector Commission (VPSC). </w:t>
      </w:r>
    </w:p>
    <w:p w:rsidR="00080446" w:rsidRPr="00892DE3" w:rsidRDefault="00080446" w:rsidP="00080446">
      <w:pPr>
        <w:pStyle w:val="Guidance"/>
        <w:pBdr>
          <w:bottom w:val="none" w:sz="0" w:space="0" w:color="auto"/>
        </w:pBdr>
      </w:pPr>
      <w:r w:rsidRPr="00892DE3">
        <w:t xml:space="preserve">The VPSC’s role is to maintain and advocate for public sector professionalism and integrity. </w:t>
      </w:r>
    </w:p>
    <w:p w:rsidR="00080446" w:rsidRPr="00892DE3" w:rsidRDefault="00080446" w:rsidP="00080446">
      <w:pPr>
        <w:pStyle w:val="Guidance"/>
        <w:pBdr>
          <w:bottom w:val="none" w:sz="0" w:space="0" w:color="auto"/>
        </w:pBdr>
      </w:pPr>
      <w:r w:rsidRPr="00892DE3">
        <w:t>To do this the VPSC may:</w:t>
      </w:r>
    </w:p>
    <w:p w:rsidR="00080446" w:rsidRPr="00892DE3" w:rsidRDefault="00080446" w:rsidP="00587DAE">
      <w:pPr>
        <w:pStyle w:val="Guidancebullet"/>
        <w:numPr>
          <w:ilvl w:val="1"/>
          <w:numId w:val="24"/>
        </w:numPr>
        <w:ind w:left="446" w:hanging="446"/>
      </w:pPr>
      <w:r w:rsidRPr="00892DE3">
        <w:t>prepare and issue codes of conduct to promote adherence to public sector values (s61);</w:t>
      </w:r>
    </w:p>
    <w:p w:rsidR="00080446" w:rsidRPr="00892DE3" w:rsidRDefault="00080446" w:rsidP="00587DAE">
      <w:pPr>
        <w:pStyle w:val="Guidancebullet"/>
        <w:numPr>
          <w:ilvl w:val="1"/>
          <w:numId w:val="24"/>
        </w:numPr>
        <w:ind w:left="446" w:hanging="446"/>
      </w:pPr>
      <w:r w:rsidRPr="00892DE3">
        <w:t>establish and issue standards concerning the application of employment principles (s62);</w:t>
      </w:r>
    </w:p>
    <w:p w:rsidR="00080446" w:rsidRPr="00892DE3" w:rsidRDefault="00080446" w:rsidP="00587DAE">
      <w:pPr>
        <w:pStyle w:val="Guidancebullet"/>
        <w:numPr>
          <w:ilvl w:val="1"/>
          <w:numId w:val="24"/>
        </w:numPr>
        <w:ind w:left="446" w:hanging="446"/>
      </w:pPr>
      <w:r w:rsidRPr="00892DE3">
        <w:t>monitor and report to public sector body heads on compliance with the public sector values, codes of conduct, and public sector employment principles and standards (s63); and</w:t>
      </w:r>
    </w:p>
    <w:p w:rsidR="00080446" w:rsidRPr="00892DE3" w:rsidRDefault="00080446" w:rsidP="00587DAE">
      <w:pPr>
        <w:pStyle w:val="Guidancebullet"/>
        <w:numPr>
          <w:ilvl w:val="1"/>
          <w:numId w:val="24"/>
        </w:numPr>
        <w:ind w:left="446" w:hanging="446"/>
      </w:pPr>
      <w:r w:rsidRPr="00892DE3">
        <w:t xml:space="preserve">review employment related actions and make recommendations following those reviews (ss64&amp;65). </w:t>
      </w:r>
    </w:p>
    <w:p w:rsidR="00080446" w:rsidRPr="00892DE3" w:rsidRDefault="00080446" w:rsidP="00080446">
      <w:pPr>
        <w:pStyle w:val="Guidance"/>
      </w:pPr>
      <w:r w:rsidRPr="00892DE3">
        <w:rPr>
          <w:b/>
        </w:rPr>
        <w:t xml:space="preserve">Departments should check for further FRD 22H </w:t>
      </w:r>
      <w:r w:rsidR="006A58CA">
        <w:t xml:space="preserve">(to be issued in June 2017) </w:t>
      </w:r>
      <w:r w:rsidRPr="00892DE3">
        <w:rPr>
          <w:b/>
        </w:rPr>
        <w:t>workforce requirements that may not be illustrated in the Model, and any other information on reporting requirements that may be contained on the Victorian Public Sector Commission website http://vpsc.vic.gov.au/</w:t>
      </w: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4F4882" w:rsidRDefault="004F4882" w:rsidP="00080446">
      <w:pPr>
        <w:pStyle w:val="Reference"/>
        <w:rPr>
          <w:rStyle w:val="SourceReference"/>
        </w:rPr>
      </w:pPr>
      <w:r w:rsidRPr="004F4882">
        <w:rPr>
          <w:rStyle w:val="SourceReference"/>
        </w:rPr>
        <w:lastRenderedPageBreak/>
        <w:t>Source reference</w:t>
      </w: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rPr>
          <w:b/>
        </w:rPr>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29B</w:t>
      </w:r>
    </w:p>
    <w:p w:rsidR="00080446" w:rsidRPr="00892DE3" w:rsidRDefault="00080446" w:rsidP="00080446">
      <w:pPr>
        <w:pStyle w:val="Reference"/>
      </w:pPr>
    </w:p>
    <w:p w:rsidR="00080446" w:rsidRPr="00892DE3" w:rsidRDefault="00080446" w:rsidP="00080446">
      <w:pPr>
        <w:pStyle w:val="Subheading"/>
        <w:spacing w:before="0"/>
        <w:rPr>
          <w:vertAlign w:val="superscript"/>
        </w:rPr>
      </w:pPr>
      <w:r w:rsidRPr="00892DE3">
        <w:br w:type="column"/>
      </w:r>
      <w:r w:rsidRPr="00892DE3">
        <w:lastRenderedPageBreak/>
        <w:t>Comparative workforce data</w:t>
      </w:r>
      <w:r w:rsidR="00D22703" w:rsidRPr="00892DE3">
        <w:t xml:space="preserve"> </w:t>
      </w:r>
    </w:p>
    <w:p w:rsidR="00111FF3" w:rsidRPr="00892DE3" w:rsidRDefault="00111FF3" w:rsidP="00111FF3">
      <w:r w:rsidRPr="00892DE3">
        <w:t xml:space="preserve">The following table discloses the </w:t>
      </w:r>
      <w:r w:rsidR="007626F0" w:rsidRPr="00892DE3">
        <w:t xml:space="preserve">head count and full-time staff equivalent (FTE) of all active public service employees of the Department, employed in the last full pay period in June of the current reporting period, and in the last full pay period in June (2017) of the previous reporting period (2016). </w:t>
      </w:r>
    </w:p>
    <w:p w:rsidR="00493DFE" w:rsidRPr="00892DE3" w:rsidRDefault="00493DFE" w:rsidP="00493DFE"/>
    <w:p w:rsidR="00080446" w:rsidRPr="00892DE3" w:rsidRDefault="00493DFE" w:rsidP="00080446">
      <w:pPr>
        <w:pStyle w:val="Subheading"/>
      </w:pPr>
      <w:r w:rsidRPr="00892DE3">
        <w:t xml:space="preserve">Table </w:t>
      </w:r>
      <w:r w:rsidR="00027A88" w:rsidRPr="00892DE3">
        <w:t>1</w:t>
      </w:r>
      <w:r w:rsidRPr="00892DE3">
        <w:t xml:space="preserve">: </w:t>
      </w:r>
      <w:r w:rsidR="00080446" w:rsidRPr="00892DE3">
        <w:rPr>
          <w:sz w:val="16"/>
          <w:szCs w:val="16"/>
        </w:rPr>
        <w:t>Details of employment levels in June 201</w:t>
      </w:r>
      <w:r w:rsidRPr="00892DE3">
        <w:rPr>
          <w:sz w:val="16"/>
          <w:szCs w:val="16"/>
        </w:rPr>
        <w:t>6</w:t>
      </w:r>
      <w:r w:rsidR="00080446" w:rsidRPr="00892DE3">
        <w:rPr>
          <w:sz w:val="16"/>
          <w:szCs w:val="16"/>
        </w:rPr>
        <w:t xml:space="preserve"> and 201</w:t>
      </w:r>
      <w:r w:rsidRPr="00892DE3">
        <w:rPr>
          <w:sz w:val="16"/>
          <w:szCs w:val="16"/>
        </w:rPr>
        <w:t>7</w:t>
      </w:r>
    </w:p>
    <w:tbl>
      <w:tblPr>
        <w:tblStyle w:val="DTFFinancialTable"/>
        <w:tblW w:w="12641" w:type="dxa"/>
        <w:tblLayout w:type="fixed"/>
        <w:tblCellMar>
          <w:left w:w="43" w:type="dxa"/>
          <w:right w:w="43" w:type="dxa"/>
        </w:tblCellMar>
        <w:tblLook w:val="06A0" w:firstRow="1" w:lastRow="0" w:firstColumn="1" w:lastColumn="0" w:noHBand="1" w:noVBand="1"/>
      </w:tblPr>
      <w:tblGrid>
        <w:gridCol w:w="284"/>
        <w:gridCol w:w="989"/>
        <w:gridCol w:w="940"/>
        <w:gridCol w:w="574"/>
        <w:gridCol w:w="966"/>
        <w:gridCol w:w="952"/>
        <w:gridCol w:w="602"/>
        <w:gridCol w:w="951"/>
        <w:gridCol w:w="546"/>
        <w:gridCol w:w="1092"/>
        <w:gridCol w:w="602"/>
        <w:gridCol w:w="980"/>
        <w:gridCol w:w="924"/>
        <w:gridCol w:w="616"/>
        <w:gridCol w:w="1035"/>
        <w:gridCol w:w="588"/>
      </w:tblGrid>
      <w:tr w:rsidR="00080446" w:rsidRPr="00892DE3" w:rsidTr="004F4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rsidR="00080446" w:rsidRPr="00892DE3" w:rsidRDefault="00080446" w:rsidP="00080446">
            <w:pPr>
              <w:pStyle w:val="TabletextheadingCentred0"/>
              <w:rPr>
                <w:spacing w:val="0"/>
                <w:sz w:val="15"/>
                <w:szCs w:val="15"/>
              </w:rPr>
            </w:pPr>
          </w:p>
        </w:tc>
        <w:tc>
          <w:tcPr>
            <w:tcW w:w="989" w:type="dxa"/>
          </w:tcPr>
          <w:p w:rsidR="00080446" w:rsidRPr="00892DE3" w:rsidRDefault="00080446" w:rsidP="00080446">
            <w:pPr>
              <w:pStyle w:val="TabletextheadingCentred0"/>
              <w:cnfStyle w:val="100000000000" w:firstRow="1" w:lastRow="0" w:firstColumn="0" w:lastColumn="0" w:oddVBand="0" w:evenVBand="0" w:oddHBand="0" w:evenHBand="0" w:firstRowFirstColumn="0" w:firstRowLastColumn="0" w:lastRowFirstColumn="0" w:lastRowLastColumn="0"/>
              <w:rPr>
                <w:spacing w:val="0"/>
                <w:sz w:val="15"/>
                <w:szCs w:val="15"/>
              </w:rPr>
            </w:pPr>
          </w:p>
        </w:tc>
        <w:tc>
          <w:tcPr>
            <w:tcW w:w="5531" w:type="dxa"/>
            <w:gridSpan w:val="7"/>
            <w:tcBorders>
              <w:bottom w:val="single" w:sz="6" w:space="0" w:color="FFFFFF" w:themeColor="background1"/>
            </w:tcBorders>
          </w:tcPr>
          <w:p w:rsidR="00080446" w:rsidRPr="00892DE3" w:rsidRDefault="00080446" w:rsidP="00080446">
            <w:pPr>
              <w:pStyle w:val="TabletextheadingCentred0"/>
              <w:cnfStyle w:val="100000000000" w:firstRow="1"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June 2017</w:t>
            </w:r>
          </w:p>
        </w:tc>
        <w:tc>
          <w:tcPr>
            <w:tcW w:w="5837" w:type="dxa"/>
            <w:gridSpan w:val="7"/>
            <w:tcBorders>
              <w:bottom w:val="nil"/>
            </w:tcBorders>
          </w:tcPr>
          <w:p w:rsidR="00080446" w:rsidRPr="00892DE3" w:rsidRDefault="00080446" w:rsidP="00080446">
            <w:pPr>
              <w:pStyle w:val="TabletextheadingCentred0"/>
              <w:cnfStyle w:val="100000000000" w:firstRow="1"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June 2016</w:t>
            </w:r>
          </w:p>
        </w:tc>
      </w:tr>
      <w:tr w:rsidR="004F4882" w:rsidRPr="00892DE3" w:rsidTr="004F4882">
        <w:tc>
          <w:tcPr>
            <w:cnfStyle w:val="001000000000" w:firstRow="0" w:lastRow="0" w:firstColumn="1" w:lastColumn="0" w:oddVBand="0" w:evenVBand="0" w:oddHBand="0" w:evenHBand="0" w:firstRowFirstColumn="0" w:firstRowLastColumn="0" w:lastRowFirstColumn="0" w:lastRowLastColumn="0"/>
            <w:tcW w:w="284" w:type="dxa"/>
            <w:shd w:val="clear" w:color="auto" w:fill="000000" w:themeFill="text1"/>
          </w:tcPr>
          <w:p w:rsidR="00080446" w:rsidRPr="00892DE3" w:rsidRDefault="00080446" w:rsidP="00080446">
            <w:pPr>
              <w:pStyle w:val="TabletextheadingCentred0"/>
              <w:rPr>
                <w:spacing w:val="0"/>
                <w:sz w:val="15"/>
                <w:szCs w:val="15"/>
              </w:rPr>
            </w:pPr>
          </w:p>
        </w:tc>
        <w:tc>
          <w:tcPr>
            <w:tcW w:w="989" w:type="dxa"/>
            <w:shd w:val="clear" w:color="auto" w:fill="000000" w:themeFill="text1"/>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p>
        </w:tc>
        <w:tc>
          <w:tcPr>
            <w:tcW w:w="1514" w:type="dxa"/>
            <w:gridSpan w:val="2"/>
            <w:tcBorders>
              <w:top w:val="single" w:sz="6" w:space="0" w:color="FFFFFF" w:themeColor="background1"/>
              <w:right w:val="single" w:sz="4" w:space="0" w:color="auto"/>
            </w:tcBorders>
            <w:shd w:val="clear" w:color="auto" w:fill="000000" w:themeFill="text1"/>
            <w:vAlign w:val="bottom"/>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All employees</w:t>
            </w:r>
          </w:p>
        </w:tc>
        <w:tc>
          <w:tcPr>
            <w:tcW w:w="2520" w:type="dxa"/>
            <w:gridSpan w:val="3"/>
            <w:tcBorders>
              <w:top w:val="single" w:sz="6" w:space="0" w:color="FFFFFF" w:themeColor="background1"/>
              <w:left w:val="single" w:sz="4" w:space="0" w:color="auto"/>
              <w:right w:val="single" w:sz="4" w:space="0" w:color="auto"/>
            </w:tcBorders>
            <w:shd w:val="clear" w:color="auto" w:fill="000000" w:themeFill="text1"/>
            <w:vAlign w:val="bottom"/>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Ongoing</w:t>
            </w:r>
          </w:p>
        </w:tc>
        <w:tc>
          <w:tcPr>
            <w:tcW w:w="1497" w:type="dxa"/>
            <w:gridSpan w:val="2"/>
            <w:tcBorders>
              <w:top w:val="single" w:sz="6" w:space="0" w:color="FFFFFF" w:themeColor="background1"/>
              <w:left w:val="single" w:sz="4" w:space="0" w:color="auto"/>
            </w:tcBorders>
            <w:shd w:val="clear" w:color="auto" w:fill="000000" w:themeFill="text1"/>
            <w:vAlign w:val="bottom"/>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 xml:space="preserve">Fixed term </w:t>
            </w:r>
            <w:r w:rsidR="004F4882">
              <w:rPr>
                <w:spacing w:val="0"/>
                <w:sz w:val="15"/>
                <w:szCs w:val="15"/>
              </w:rPr>
              <w:br/>
            </w:r>
            <w:r w:rsidRPr="00892DE3">
              <w:rPr>
                <w:spacing w:val="0"/>
                <w:sz w:val="15"/>
                <w:szCs w:val="15"/>
              </w:rPr>
              <w:t>and casual</w:t>
            </w:r>
          </w:p>
        </w:tc>
        <w:tc>
          <w:tcPr>
            <w:tcW w:w="1694" w:type="dxa"/>
            <w:gridSpan w:val="2"/>
            <w:tcBorders>
              <w:top w:val="nil"/>
            </w:tcBorders>
            <w:shd w:val="clear" w:color="auto" w:fill="000000" w:themeFill="text1"/>
            <w:vAlign w:val="bottom"/>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All employees</w:t>
            </w:r>
          </w:p>
        </w:tc>
        <w:tc>
          <w:tcPr>
            <w:tcW w:w="2520" w:type="dxa"/>
            <w:gridSpan w:val="3"/>
            <w:tcBorders>
              <w:top w:val="nil"/>
            </w:tcBorders>
            <w:shd w:val="clear" w:color="auto" w:fill="000000" w:themeFill="text1"/>
            <w:vAlign w:val="bottom"/>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Ongoing</w:t>
            </w:r>
          </w:p>
        </w:tc>
        <w:tc>
          <w:tcPr>
            <w:tcW w:w="1623" w:type="dxa"/>
            <w:gridSpan w:val="2"/>
            <w:tcBorders>
              <w:top w:val="nil"/>
            </w:tcBorders>
            <w:shd w:val="clear" w:color="auto" w:fill="000000" w:themeFill="text1"/>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 xml:space="preserve">Fixed term </w:t>
            </w:r>
            <w:r w:rsidRPr="00892DE3">
              <w:rPr>
                <w:spacing w:val="0"/>
                <w:sz w:val="15"/>
                <w:szCs w:val="15"/>
              </w:rPr>
              <w:br/>
              <w:t>and casual</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shd w:val="clear" w:color="auto" w:fill="000000" w:themeFill="text1"/>
          </w:tcPr>
          <w:p w:rsidR="00080446" w:rsidRPr="00892DE3" w:rsidRDefault="00080446" w:rsidP="00080446">
            <w:pPr>
              <w:pStyle w:val="Tabletextheading"/>
              <w:rPr>
                <w:spacing w:val="0"/>
                <w:sz w:val="15"/>
                <w:szCs w:val="15"/>
              </w:rPr>
            </w:pPr>
          </w:p>
        </w:tc>
        <w:tc>
          <w:tcPr>
            <w:tcW w:w="989" w:type="dxa"/>
            <w:tcBorders>
              <w:bottom w:val="nil"/>
            </w:tcBorders>
            <w:shd w:val="clear" w:color="auto" w:fill="000000" w:themeFill="text1"/>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p>
        </w:tc>
        <w:tc>
          <w:tcPr>
            <w:tcW w:w="940" w:type="dxa"/>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Number</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574" w:type="dxa"/>
            <w:tcBorders>
              <w:right w:val="single" w:sz="4" w:space="0" w:color="auto"/>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c>
          <w:tcPr>
            <w:tcW w:w="966" w:type="dxa"/>
            <w:tcBorders>
              <w:left w:val="single" w:sz="4" w:space="0" w:color="auto"/>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Full-time</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952" w:type="dxa"/>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Part-time (headcount)</w:t>
            </w:r>
          </w:p>
        </w:tc>
        <w:tc>
          <w:tcPr>
            <w:tcW w:w="602" w:type="dxa"/>
            <w:tcBorders>
              <w:right w:val="single" w:sz="4" w:space="0" w:color="auto"/>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c>
          <w:tcPr>
            <w:tcW w:w="951" w:type="dxa"/>
            <w:tcBorders>
              <w:left w:val="single" w:sz="4" w:space="0" w:color="auto"/>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Number</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546" w:type="dxa"/>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c>
          <w:tcPr>
            <w:tcW w:w="1092"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Number</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602" w:type="dxa"/>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c>
          <w:tcPr>
            <w:tcW w:w="980"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Full-time</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924"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Part-time</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616"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c>
          <w:tcPr>
            <w:tcW w:w="1035"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Number</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588"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tcPr>
          <w:p w:rsidR="00080446" w:rsidRPr="00892DE3" w:rsidRDefault="00080446" w:rsidP="00080446">
            <w:pPr>
              <w:pStyle w:val="Tabletextbold"/>
              <w:spacing w:beforeLines="20" w:before="48"/>
              <w:jc w:val="center"/>
              <w:rPr>
                <w:i/>
                <w:spacing w:val="0"/>
                <w:sz w:val="15"/>
                <w:szCs w:val="15"/>
              </w:rPr>
            </w:pPr>
            <w:r w:rsidRPr="00892DE3">
              <w:rPr>
                <w:spacing w:val="0"/>
                <w:sz w:val="15"/>
                <w:szCs w:val="15"/>
              </w:rPr>
              <w:t>Demographic data</w:t>
            </w:r>
          </w:p>
        </w:tc>
        <w:tc>
          <w:tcPr>
            <w:tcW w:w="989" w:type="dxa"/>
            <w:tcBorders>
              <w:right w:val="single" w:sz="4" w:space="0" w:color="auto"/>
            </w:tcBorders>
          </w:tcPr>
          <w:p w:rsidR="00080446" w:rsidRPr="00892DE3" w:rsidRDefault="00080446"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Gender</w:t>
            </w:r>
          </w:p>
        </w:tc>
        <w:tc>
          <w:tcPr>
            <w:tcW w:w="940" w:type="dxa"/>
            <w:tcBorders>
              <w:left w:val="single" w:sz="4" w:space="0" w:color="auto"/>
            </w:tcBorders>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574" w:type="dxa"/>
            <w:tcBorders>
              <w:right w:val="single" w:sz="4" w:space="0" w:color="auto"/>
            </w:tcBorders>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966" w:type="dxa"/>
            <w:tcBorders>
              <w:left w:val="single" w:sz="4" w:space="0" w:color="auto"/>
            </w:tcBorders>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952" w:type="dxa"/>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602" w:type="dxa"/>
            <w:tcBorders>
              <w:right w:val="single" w:sz="4" w:space="0" w:color="auto"/>
            </w:tcBorders>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951" w:type="dxa"/>
            <w:tcBorders>
              <w:left w:val="single" w:sz="4" w:space="0" w:color="auto"/>
            </w:tcBorders>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546" w:type="dxa"/>
            <w:tcBorders>
              <w:right w:val="single" w:sz="4" w:space="0" w:color="auto"/>
            </w:tcBorders>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1092" w:type="dxa"/>
            <w:tcBorders>
              <w:left w:val="single" w:sz="4" w:space="0" w:color="auto"/>
            </w:tcBorders>
            <w:shd w:val="clear" w:color="auto" w:fill="EBEBEB"/>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602" w:type="dxa"/>
            <w:tcBorders>
              <w:right w:val="single" w:sz="4" w:space="0" w:color="auto"/>
            </w:tcBorders>
            <w:shd w:val="clear" w:color="auto" w:fill="EBEBEB"/>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980" w:type="dxa"/>
            <w:tcBorders>
              <w:left w:val="single" w:sz="4" w:space="0" w:color="auto"/>
            </w:tcBorders>
            <w:shd w:val="clear" w:color="auto" w:fill="EBEBEB"/>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924" w:type="dxa"/>
            <w:shd w:val="clear" w:color="auto" w:fill="EBEBEB"/>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616" w:type="dxa"/>
            <w:tcBorders>
              <w:right w:val="single" w:sz="4" w:space="0" w:color="auto"/>
            </w:tcBorders>
            <w:shd w:val="clear" w:color="auto" w:fill="EBEBEB"/>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1035" w:type="dxa"/>
            <w:tcBorders>
              <w:left w:val="single" w:sz="4" w:space="0" w:color="auto"/>
            </w:tcBorders>
            <w:shd w:val="clear" w:color="auto" w:fill="EBEBEB"/>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588" w:type="dxa"/>
            <w:shd w:val="clear" w:color="auto" w:fill="EBEBEB"/>
          </w:tcPr>
          <w:p w:rsidR="00080446" w:rsidRPr="00892DE3"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080446" w:rsidRPr="00892DE3" w:rsidRDefault="00080446" w:rsidP="00080446">
            <w:pPr>
              <w:rPr>
                <w:spacing w:val="0"/>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Male</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243</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199</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134</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76</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180</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33</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19</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192</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158</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108</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63</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146</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21</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12</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080446" w:rsidRPr="00892DE3" w:rsidRDefault="00080446" w:rsidP="00080446">
            <w:pPr>
              <w:spacing w:beforeLines="20" w:before="48"/>
              <w:ind w:left="0" w:firstLine="0"/>
              <w:jc w:val="center"/>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Female</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321</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277</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212</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93</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267</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16</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10</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240</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197</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133</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89</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186</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18</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11</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080446" w:rsidRPr="00892DE3" w:rsidRDefault="00080446" w:rsidP="00080446">
            <w:pPr>
              <w:spacing w:beforeLines="20" w:before="48"/>
              <w:ind w:left="0" w:firstLine="0"/>
              <w:jc w:val="center"/>
              <w:rPr>
                <w:i/>
                <w:spacing w:val="0"/>
                <w:sz w:val="15"/>
                <w:szCs w:val="15"/>
              </w:rPr>
            </w:pPr>
          </w:p>
        </w:tc>
        <w:tc>
          <w:tcPr>
            <w:tcW w:w="989" w:type="dxa"/>
            <w:tcBorders>
              <w:right w:val="single" w:sz="4" w:space="0" w:color="auto"/>
            </w:tcBorders>
          </w:tcPr>
          <w:p w:rsidR="00080446" w:rsidRPr="00892DE3" w:rsidRDefault="00080446"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Age</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080446" w:rsidRPr="00892DE3" w:rsidRDefault="00080446" w:rsidP="00080446">
            <w:pPr>
              <w:spacing w:beforeLines="20" w:before="48"/>
              <w:ind w:left="0" w:firstLine="0"/>
              <w:jc w:val="center"/>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15-24</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33</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26</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21</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20</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11</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080446" w:rsidRPr="00892DE3" w:rsidRDefault="00080446" w:rsidP="00080446">
            <w:pPr>
              <w:spacing w:beforeLines="20" w:before="48"/>
              <w:ind w:left="0" w:firstLine="0"/>
              <w:jc w:val="center"/>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25-34</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123</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95</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52</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53</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84</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18</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11</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77</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66</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50</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24</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64</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080446" w:rsidRPr="00892DE3" w:rsidRDefault="00080446" w:rsidP="00080446">
            <w:pPr>
              <w:spacing w:beforeLines="20" w:before="48"/>
              <w:ind w:left="0" w:firstLine="0"/>
              <w:jc w:val="center"/>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35-44</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135</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117</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90</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30</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108</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15</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113</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97</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73</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13</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81</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27</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16</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080446" w:rsidRPr="00892DE3" w:rsidRDefault="00080446" w:rsidP="00080446">
            <w:pPr>
              <w:spacing w:beforeLines="20" w:before="48"/>
              <w:ind w:left="0" w:firstLine="0"/>
              <w:jc w:val="center"/>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45-54</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176</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156</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125</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46</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153</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167</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144</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110</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50</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140</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4</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080446" w:rsidRPr="00892DE3" w:rsidRDefault="00080446" w:rsidP="00080446">
            <w:pPr>
              <w:spacing w:beforeLines="20" w:before="48"/>
              <w:ind w:left="0" w:firstLine="0"/>
              <w:jc w:val="center"/>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55-64</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89</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77</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58</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31</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77</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63</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38</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63</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38</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Borders>
              <w:bottom w:val="single" w:sz="6" w:space="0" w:color="auto"/>
            </w:tcBorders>
            <w:textDirection w:val="btLr"/>
          </w:tcPr>
          <w:p w:rsidR="00080446" w:rsidRPr="00892DE3" w:rsidRDefault="00080446" w:rsidP="00080446">
            <w:pPr>
              <w:spacing w:beforeLines="20" w:before="48"/>
              <w:ind w:left="0" w:firstLine="0"/>
              <w:jc w:val="center"/>
              <w:rPr>
                <w:i/>
                <w:spacing w:val="0"/>
                <w:sz w:val="15"/>
                <w:szCs w:val="15"/>
              </w:rPr>
            </w:pPr>
          </w:p>
        </w:tc>
        <w:tc>
          <w:tcPr>
            <w:tcW w:w="989" w:type="dxa"/>
            <w:tcBorders>
              <w:bottom w:val="single" w:sz="6" w:space="0" w:color="auto"/>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65+</w:t>
            </w:r>
          </w:p>
        </w:tc>
        <w:tc>
          <w:tcPr>
            <w:tcW w:w="940" w:type="dxa"/>
            <w:tcBorders>
              <w:left w:val="single" w:sz="4" w:space="0" w:color="auto"/>
              <w:bottom w:val="single" w:sz="6"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8</w:t>
            </w:r>
          </w:p>
        </w:tc>
        <w:tc>
          <w:tcPr>
            <w:tcW w:w="574" w:type="dxa"/>
            <w:tcBorders>
              <w:bottom w:val="single" w:sz="6" w:space="0" w:color="auto"/>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w:t>
            </w:r>
          </w:p>
        </w:tc>
        <w:tc>
          <w:tcPr>
            <w:tcW w:w="966" w:type="dxa"/>
            <w:tcBorders>
              <w:left w:val="single" w:sz="4" w:space="0" w:color="auto"/>
              <w:bottom w:val="single" w:sz="6"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c>
          <w:tcPr>
            <w:tcW w:w="952" w:type="dxa"/>
            <w:tcBorders>
              <w:bottom w:val="single" w:sz="6"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8</w:t>
            </w:r>
          </w:p>
        </w:tc>
        <w:tc>
          <w:tcPr>
            <w:tcW w:w="602" w:type="dxa"/>
            <w:tcBorders>
              <w:bottom w:val="single" w:sz="6" w:space="0" w:color="auto"/>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w:t>
            </w:r>
          </w:p>
        </w:tc>
        <w:tc>
          <w:tcPr>
            <w:tcW w:w="951" w:type="dxa"/>
            <w:tcBorders>
              <w:left w:val="single" w:sz="4" w:space="0" w:color="auto"/>
              <w:bottom w:val="single" w:sz="6"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c>
          <w:tcPr>
            <w:tcW w:w="546" w:type="dxa"/>
            <w:tcBorders>
              <w:bottom w:val="single" w:sz="6" w:space="0" w:color="auto"/>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c>
          <w:tcPr>
            <w:tcW w:w="1092" w:type="dxa"/>
            <w:tcBorders>
              <w:left w:val="single" w:sz="4" w:space="0" w:color="auto"/>
              <w:bottom w:val="single" w:sz="6"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w:t>
            </w:r>
          </w:p>
        </w:tc>
        <w:tc>
          <w:tcPr>
            <w:tcW w:w="602" w:type="dxa"/>
            <w:tcBorders>
              <w:bottom w:val="single" w:sz="6" w:space="0" w:color="auto"/>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4</w:t>
            </w:r>
          </w:p>
        </w:tc>
        <w:tc>
          <w:tcPr>
            <w:tcW w:w="980" w:type="dxa"/>
            <w:tcBorders>
              <w:left w:val="single" w:sz="4" w:space="0" w:color="auto"/>
              <w:bottom w:val="single" w:sz="6"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w:t>
            </w:r>
          </w:p>
        </w:tc>
        <w:tc>
          <w:tcPr>
            <w:tcW w:w="924" w:type="dxa"/>
            <w:tcBorders>
              <w:bottom w:val="single" w:sz="6"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w:t>
            </w:r>
          </w:p>
        </w:tc>
        <w:tc>
          <w:tcPr>
            <w:tcW w:w="616" w:type="dxa"/>
            <w:tcBorders>
              <w:bottom w:val="single" w:sz="6" w:space="0" w:color="auto"/>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w:t>
            </w:r>
          </w:p>
        </w:tc>
        <w:tc>
          <w:tcPr>
            <w:tcW w:w="1035" w:type="dxa"/>
            <w:tcBorders>
              <w:left w:val="single" w:sz="4" w:space="0" w:color="auto"/>
              <w:bottom w:val="single" w:sz="6"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w:t>
            </w:r>
          </w:p>
        </w:tc>
        <w:tc>
          <w:tcPr>
            <w:tcW w:w="588" w:type="dxa"/>
            <w:tcBorders>
              <w:bottom w:val="single" w:sz="6"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val="restart"/>
            <w:tcBorders>
              <w:top w:val="single" w:sz="6" w:space="0" w:color="auto"/>
              <w:bottom w:val="nil"/>
            </w:tcBorders>
            <w:textDirection w:val="btLr"/>
            <w:vAlign w:val="center"/>
          </w:tcPr>
          <w:p w:rsidR="00080446" w:rsidRPr="00892DE3" w:rsidRDefault="00080446" w:rsidP="00080446">
            <w:pPr>
              <w:pStyle w:val="Tabletextbold"/>
              <w:spacing w:beforeLines="20" w:before="48"/>
              <w:jc w:val="center"/>
              <w:rPr>
                <w:i/>
                <w:spacing w:val="0"/>
                <w:sz w:val="15"/>
                <w:szCs w:val="15"/>
              </w:rPr>
            </w:pPr>
            <w:r w:rsidRPr="00892DE3">
              <w:rPr>
                <w:spacing w:val="0"/>
                <w:sz w:val="15"/>
                <w:szCs w:val="15"/>
              </w:rPr>
              <w:t>Classification data</w:t>
            </w:r>
          </w:p>
        </w:tc>
        <w:tc>
          <w:tcPr>
            <w:tcW w:w="989" w:type="dxa"/>
            <w:tcBorders>
              <w:top w:val="single" w:sz="6" w:space="0" w:color="auto"/>
              <w:bottom w:val="nil"/>
              <w:right w:val="single" w:sz="4" w:space="0" w:color="auto"/>
            </w:tcBorders>
          </w:tcPr>
          <w:p w:rsidR="00080446" w:rsidRPr="00892DE3" w:rsidRDefault="00080446"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VPS 1-6 grades</w:t>
            </w:r>
          </w:p>
        </w:tc>
        <w:tc>
          <w:tcPr>
            <w:tcW w:w="940" w:type="dxa"/>
            <w:tcBorders>
              <w:top w:val="single" w:sz="6" w:space="0" w:color="auto"/>
              <w:left w:val="single" w:sz="4" w:space="0" w:color="auto"/>
              <w:bottom w:val="nil"/>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482</w:t>
            </w:r>
          </w:p>
        </w:tc>
        <w:tc>
          <w:tcPr>
            <w:tcW w:w="574" w:type="dxa"/>
            <w:tcBorders>
              <w:top w:val="single" w:sz="6" w:space="0" w:color="auto"/>
              <w:bottom w:val="nil"/>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396</w:t>
            </w:r>
          </w:p>
        </w:tc>
        <w:tc>
          <w:tcPr>
            <w:tcW w:w="966" w:type="dxa"/>
            <w:tcBorders>
              <w:top w:val="single" w:sz="6" w:space="0" w:color="auto"/>
              <w:left w:val="single" w:sz="4" w:space="0" w:color="auto"/>
              <w:bottom w:val="nil"/>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266</w:t>
            </w:r>
          </w:p>
        </w:tc>
        <w:tc>
          <w:tcPr>
            <w:tcW w:w="952" w:type="dxa"/>
            <w:tcBorders>
              <w:top w:val="single" w:sz="6" w:space="0" w:color="auto"/>
              <w:bottom w:val="nil"/>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167</w:t>
            </w:r>
          </w:p>
        </w:tc>
        <w:tc>
          <w:tcPr>
            <w:tcW w:w="602" w:type="dxa"/>
            <w:tcBorders>
              <w:top w:val="single" w:sz="6" w:space="0" w:color="auto"/>
              <w:bottom w:val="nil"/>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368</w:t>
            </w:r>
          </w:p>
        </w:tc>
        <w:tc>
          <w:tcPr>
            <w:tcW w:w="951" w:type="dxa"/>
            <w:tcBorders>
              <w:top w:val="single" w:sz="6" w:space="0" w:color="auto"/>
              <w:left w:val="single" w:sz="4" w:space="0" w:color="auto"/>
              <w:bottom w:val="nil"/>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49</w:t>
            </w:r>
          </w:p>
        </w:tc>
        <w:tc>
          <w:tcPr>
            <w:tcW w:w="546" w:type="dxa"/>
            <w:tcBorders>
              <w:top w:val="single" w:sz="6" w:space="0" w:color="auto"/>
              <w:bottom w:val="nil"/>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28</w:t>
            </w:r>
          </w:p>
        </w:tc>
        <w:tc>
          <w:tcPr>
            <w:tcW w:w="1092" w:type="dxa"/>
            <w:tcBorders>
              <w:top w:val="single" w:sz="6" w:space="0" w:color="auto"/>
              <w:left w:val="single" w:sz="4" w:space="0" w:color="auto"/>
              <w:bottom w:val="nil"/>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354</w:t>
            </w:r>
          </w:p>
        </w:tc>
        <w:tc>
          <w:tcPr>
            <w:tcW w:w="602" w:type="dxa"/>
            <w:tcBorders>
              <w:top w:val="single" w:sz="6" w:space="0" w:color="auto"/>
              <w:bottom w:val="nil"/>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278</w:t>
            </w:r>
          </w:p>
        </w:tc>
        <w:tc>
          <w:tcPr>
            <w:tcW w:w="980" w:type="dxa"/>
            <w:tcBorders>
              <w:top w:val="single" w:sz="6" w:space="0" w:color="auto"/>
              <w:left w:val="single" w:sz="4" w:space="0" w:color="auto"/>
              <w:bottom w:val="nil"/>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168</w:t>
            </w:r>
          </w:p>
        </w:tc>
        <w:tc>
          <w:tcPr>
            <w:tcW w:w="924" w:type="dxa"/>
            <w:tcBorders>
              <w:top w:val="single" w:sz="6" w:space="0" w:color="auto"/>
              <w:bottom w:val="nil"/>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147</w:t>
            </w:r>
          </w:p>
        </w:tc>
        <w:tc>
          <w:tcPr>
            <w:tcW w:w="616" w:type="dxa"/>
            <w:tcBorders>
              <w:top w:val="single" w:sz="6" w:space="0" w:color="auto"/>
              <w:bottom w:val="nil"/>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255</w:t>
            </w:r>
          </w:p>
        </w:tc>
        <w:tc>
          <w:tcPr>
            <w:tcW w:w="1035" w:type="dxa"/>
            <w:tcBorders>
              <w:top w:val="single" w:sz="6" w:space="0" w:color="auto"/>
              <w:left w:val="single" w:sz="4" w:space="0" w:color="auto"/>
              <w:bottom w:val="nil"/>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39</w:t>
            </w:r>
          </w:p>
        </w:tc>
        <w:tc>
          <w:tcPr>
            <w:tcW w:w="588" w:type="dxa"/>
            <w:tcBorders>
              <w:top w:val="single" w:sz="6" w:space="0" w:color="auto"/>
              <w:bottom w:val="nil"/>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23</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Borders>
              <w:top w:val="nil"/>
            </w:tcBorders>
            <w:textDirection w:val="btLr"/>
          </w:tcPr>
          <w:p w:rsidR="00080446" w:rsidRPr="00892DE3" w:rsidRDefault="00080446" w:rsidP="00080446">
            <w:pPr>
              <w:ind w:left="0" w:firstLine="0"/>
              <w:rPr>
                <w:i/>
                <w:spacing w:val="0"/>
                <w:sz w:val="15"/>
                <w:szCs w:val="15"/>
              </w:rPr>
            </w:pPr>
          </w:p>
        </w:tc>
        <w:tc>
          <w:tcPr>
            <w:tcW w:w="989" w:type="dxa"/>
            <w:tcBorders>
              <w:top w:val="nil"/>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VPS 1</w:t>
            </w:r>
          </w:p>
        </w:tc>
        <w:tc>
          <w:tcPr>
            <w:tcW w:w="940" w:type="dxa"/>
            <w:tcBorders>
              <w:top w:val="nil"/>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24</w:t>
            </w:r>
          </w:p>
        </w:tc>
        <w:tc>
          <w:tcPr>
            <w:tcW w:w="574" w:type="dxa"/>
            <w:tcBorders>
              <w:top w:val="nil"/>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20</w:t>
            </w:r>
          </w:p>
        </w:tc>
        <w:tc>
          <w:tcPr>
            <w:tcW w:w="966" w:type="dxa"/>
            <w:tcBorders>
              <w:top w:val="nil"/>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16</w:t>
            </w:r>
          </w:p>
        </w:tc>
        <w:tc>
          <w:tcPr>
            <w:tcW w:w="952" w:type="dxa"/>
            <w:tcBorders>
              <w:top w:val="nil"/>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w:t>
            </w:r>
          </w:p>
        </w:tc>
        <w:tc>
          <w:tcPr>
            <w:tcW w:w="602" w:type="dxa"/>
            <w:tcBorders>
              <w:top w:val="nil"/>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19</w:t>
            </w:r>
          </w:p>
        </w:tc>
        <w:tc>
          <w:tcPr>
            <w:tcW w:w="951" w:type="dxa"/>
            <w:tcBorders>
              <w:top w:val="nil"/>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w:t>
            </w:r>
          </w:p>
        </w:tc>
        <w:tc>
          <w:tcPr>
            <w:tcW w:w="546" w:type="dxa"/>
            <w:tcBorders>
              <w:top w:val="nil"/>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w:t>
            </w:r>
          </w:p>
        </w:tc>
        <w:tc>
          <w:tcPr>
            <w:tcW w:w="1092" w:type="dxa"/>
            <w:tcBorders>
              <w:top w:val="nil"/>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18</w:t>
            </w:r>
          </w:p>
        </w:tc>
        <w:tc>
          <w:tcPr>
            <w:tcW w:w="602" w:type="dxa"/>
            <w:tcBorders>
              <w:top w:val="nil"/>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14</w:t>
            </w:r>
          </w:p>
        </w:tc>
        <w:tc>
          <w:tcPr>
            <w:tcW w:w="980" w:type="dxa"/>
            <w:tcBorders>
              <w:top w:val="nil"/>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w:t>
            </w:r>
          </w:p>
        </w:tc>
        <w:tc>
          <w:tcPr>
            <w:tcW w:w="924" w:type="dxa"/>
            <w:tcBorders>
              <w:top w:val="nil"/>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w:t>
            </w:r>
          </w:p>
        </w:tc>
        <w:tc>
          <w:tcPr>
            <w:tcW w:w="616" w:type="dxa"/>
            <w:tcBorders>
              <w:top w:val="nil"/>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12</w:t>
            </w:r>
          </w:p>
        </w:tc>
        <w:tc>
          <w:tcPr>
            <w:tcW w:w="1035" w:type="dxa"/>
            <w:tcBorders>
              <w:top w:val="nil"/>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4</w:t>
            </w:r>
          </w:p>
        </w:tc>
        <w:tc>
          <w:tcPr>
            <w:tcW w:w="588" w:type="dxa"/>
            <w:tcBorders>
              <w:top w:val="nil"/>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VPS 2</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102</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93</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79</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21</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92</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89</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67</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36</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34</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56</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19</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11</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VPS 3</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138</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112</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73</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50</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103</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15</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97</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78</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50</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39</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74</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8</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4</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VPS 4</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91</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79</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60</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22</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74</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82</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66</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42</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34</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62</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4</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VPS 5</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90</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66</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29</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52</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61</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54</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43</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26</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26</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41</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VPS 6</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37</w:t>
            </w:r>
            <w:r w:rsidR="00D22703" w:rsidRPr="00892DE3">
              <w:rPr>
                <w:rFonts w:asciiTheme="minorHAnsi" w:hAnsiTheme="minorHAnsi" w:cstheme="minorHAnsi"/>
                <w:spacing w:val="0"/>
                <w:szCs w:val="17"/>
              </w:rPr>
              <w:t xml:space="preserve"> </w:t>
            </w:r>
            <w:r w:rsidR="00D22703" w:rsidRPr="00892DE3">
              <w:rPr>
                <w:rFonts w:asciiTheme="minorHAnsi" w:hAnsiTheme="minorHAnsi" w:cstheme="minorHAnsi"/>
                <w:spacing w:val="0"/>
                <w:szCs w:val="17"/>
                <w:vertAlign w:val="superscript"/>
              </w:rPr>
              <w:t>(a)</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26</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17</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19</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11</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7</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14</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10</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5</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9</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10</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892DE3">
              <w:rPr>
                <w:rFonts w:asciiTheme="minorHAnsi" w:hAnsiTheme="minorHAnsi" w:cstheme="minorHAnsi"/>
                <w:spacing w:val="0"/>
                <w:szCs w:val="17"/>
              </w:rPr>
              <w:t>0</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b/>
                <w:i/>
                <w:spacing w:val="0"/>
                <w:sz w:val="15"/>
                <w:szCs w:val="15"/>
              </w:rPr>
            </w:pPr>
          </w:p>
        </w:tc>
        <w:tc>
          <w:tcPr>
            <w:tcW w:w="989" w:type="dxa"/>
            <w:tcBorders>
              <w:right w:val="single" w:sz="4" w:space="0" w:color="auto"/>
            </w:tcBorders>
          </w:tcPr>
          <w:p w:rsidR="00080446" w:rsidRPr="00892DE3" w:rsidRDefault="00080446"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Senior employees</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82</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82</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80</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2</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82</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0</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0</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78</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76</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73</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5</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76</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0</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892DE3">
              <w:rPr>
                <w:rFonts w:asciiTheme="minorHAnsi" w:hAnsiTheme="minorHAnsi" w:cstheme="minorHAnsi"/>
                <w:b/>
                <w:spacing w:val="0"/>
                <w:szCs w:val="17"/>
              </w:rPr>
              <w:t>0</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STS</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2</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2</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2</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2</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2</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2</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2</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2</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PS</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 xml:space="preserve">SMA </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1</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SRA</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right w:val="single" w:sz="4" w:space="0" w:color="auto"/>
            </w:tcBorders>
          </w:tcPr>
          <w:p w:rsidR="00080446" w:rsidRPr="00892DE3" w:rsidRDefault="00080446"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Executives</w:t>
            </w:r>
          </w:p>
        </w:tc>
        <w:tc>
          <w:tcPr>
            <w:tcW w:w="940"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78</w:t>
            </w:r>
          </w:p>
        </w:tc>
        <w:tc>
          <w:tcPr>
            <w:tcW w:w="574"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78</w:t>
            </w:r>
          </w:p>
        </w:tc>
        <w:tc>
          <w:tcPr>
            <w:tcW w:w="966"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76</w:t>
            </w:r>
          </w:p>
        </w:tc>
        <w:tc>
          <w:tcPr>
            <w:tcW w:w="952" w:type="dxa"/>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2</w:t>
            </w:r>
          </w:p>
        </w:tc>
        <w:tc>
          <w:tcPr>
            <w:tcW w:w="602"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78</w:t>
            </w:r>
          </w:p>
        </w:tc>
        <w:tc>
          <w:tcPr>
            <w:tcW w:w="951" w:type="dxa"/>
            <w:tcBorders>
              <w:lef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46" w:type="dxa"/>
            <w:tcBorders>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1092"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74</w:t>
            </w:r>
          </w:p>
        </w:tc>
        <w:tc>
          <w:tcPr>
            <w:tcW w:w="602"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72</w:t>
            </w:r>
          </w:p>
        </w:tc>
        <w:tc>
          <w:tcPr>
            <w:tcW w:w="980"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69</w:t>
            </w:r>
          </w:p>
        </w:tc>
        <w:tc>
          <w:tcPr>
            <w:tcW w:w="924"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5</w:t>
            </w:r>
          </w:p>
        </w:tc>
        <w:tc>
          <w:tcPr>
            <w:tcW w:w="616" w:type="dxa"/>
            <w:tcBorders>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72</w:t>
            </w:r>
          </w:p>
        </w:tc>
        <w:tc>
          <w:tcPr>
            <w:tcW w:w="1035" w:type="dxa"/>
            <w:tcBorders>
              <w:lef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c>
          <w:tcPr>
            <w:tcW w:w="588" w:type="dxa"/>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892DE3">
              <w:rPr>
                <w:rFonts w:asciiTheme="minorHAnsi" w:hAnsiTheme="minorHAnsi" w:cstheme="minorHAnsi"/>
                <w:spacing w:val="0"/>
                <w:szCs w:val="17"/>
              </w:rPr>
              <w:t>0</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i/>
                <w:spacing w:val="0"/>
                <w:sz w:val="15"/>
                <w:szCs w:val="15"/>
              </w:rPr>
            </w:pPr>
          </w:p>
        </w:tc>
        <w:tc>
          <w:tcPr>
            <w:tcW w:w="989" w:type="dxa"/>
            <w:tcBorders>
              <w:bottom w:val="single" w:sz="6" w:space="0" w:color="auto"/>
              <w:right w:val="single" w:sz="4" w:space="0" w:color="auto"/>
            </w:tcBorders>
          </w:tcPr>
          <w:p w:rsidR="00080446" w:rsidRPr="00892DE3" w:rsidRDefault="00080446"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Other</w:t>
            </w:r>
          </w:p>
        </w:tc>
        <w:tc>
          <w:tcPr>
            <w:tcW w:w="940" w:type="dxa"/>
            <w:tcBorders>
              <w:left w:val="single" w:sz="4" w:space="0" w:color="auto"/>
              <w:bottom w:val="single" w:sz="6"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574" w:type="dxa"/>
            <w:tcBorders>
              <w:bottom w:val="single" w:sz="6" w:space="0" w:color="auto"/>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966" w:type="dxa"/>
            <w:tcBorders>
              <w:left w:val="single" w:sz="4" w:space="0" w:color="auto"/>
              <w:bottom w:val="single" w:sz="6"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952" w:type="dxa"/>
            <w:tcBorders>
              <w:bottom w:val="single" w:sz="6"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602" w:type="dxa"/>
            <w:tcBorders>
              <w:bottom w:val="single" w:sz="6" w:space="0" w:color="auto"/>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951" w:type="dxa"/>
            <w:tcBorders>
              <w:left w:val="single" w:sz="4" w:space="0" w:color="auto"/>
              <w:bottom w:val="single" w:sz="6"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546" w:type="dxa"/>
            <w:tcBorders>
              <w:bottom w:val="single" w:sz="6" w:space="0" w:color="auto"/>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1092" w:type="dxa"/>
            <w:tcBorders>
              <w:left w:val="single" w:sz="4" w:space="0" w:color="auto"/>
              <w:bottom w:val="single" w:sz="6"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602" w:type="dxa"/>
            <w:tcBorders>
              <w:bottom w:val="single" w:sz="6" w:space="0" w:color="auto"/>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980" w:type="dxa"/>
            <w:tcBorders>
              <w:left w:val="single" w:sz="4" w:space="0" w:color="auto"/>
              <w:bottom w:val="single" w:sz="6"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924" w:type="dxa"/>
            <w:tcBorders>
              <w:bottom w:val="single" w:sz="6"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616" w:type="dxa"/>
            <w:tcBorders>
              <w:bottom w:val="single" w:sz="6" w:space="0" w:color="auto"/>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1035" w:type="dxa"/>
            <w:tcBorders>
              <w:left w:val="single" w:sz="4" w:space="0" w:color="auto"/>
              <w:bottom w:val="single" w:sz="6"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c>
          <w:tcPr>
            <w:tcW w:w="588" w:type="dxa"/>
            <w:tcBorders>
              <w:bottom w:val="single" w:sz="6"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spacing w:val="0"/>
                <w:szCs w:val="17"/>
              </w:rPr>
              <w:t>0</w:t>
            </w:r>
          </w:p>
        </w:tc>
      </w:tr>
      <w:tr w:rsidR="003C212D" w:rsidRPr="00892DE3" w:rsidTr="004F4882">
        <w:tc>
          <w:tcPr>
            <w:cnfStyle w:val="001000000000" w:firstRow="0" w:lastRow="0" w:firstColumn="1" w:lastColumn="0" w:oddVBand="0" w:evenVBand="0" w:oddHBand="0" w:evenHBand="0" w:firstRowFirstColumn="0" w:firstRowLastColumn="0" w:lastRowFirstColumn="0" w:lastRowLastColumn="0"/>
            <w:tcW w:w="284" w:type="dxa"/>
            <w:vMerge/>
          </w:tcPr>
          <w:p w:rsidR="00080446" w:rsidRPr="00892DE3" w:rsidRDefault="00080446" w:rsidP="00080446">
            <w:pPr>
              <w:ind w:left="0" w:firstLine="0"/>
              <w:rPr>
                <w:b/>
                <w:i/>
                <w:spacing w:val="0"/>
                <w:sz w:val="15"/>
                <w:szCs w:val="15"/>
              </w:rPr>
            </w:pPr>
          </w:p>
        </w:tc>
        <w:tc>
          <w:tcPr>
            <w:tcW w:w="989" w:type="dxa"/>
            <w:tcBorders>
              <w:top w:val="single" w:sz="6" w:space="0" w:color="auto"/>
              <w:bottom w:val="single" w:sz="12" w:space="0" w:color="auto"/>
              <w:right w:val="single" w:sz="4" w:space="0" w:color="auto"/>
            </w:tcBorders>
          </w:tcPr>
          <w:p w:rsidR="00080446" w:rsidRPr="00892DE3" w:rsidRDefault="00080446"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892DE3">
              <w:rPr>
                <w:spacing w:val="0"/>
                <w:sz w:val="15"/>
                <w:szCs w:val="15"/>
              </w:rPr>
              <w:t>Total employees</w:t>
            </w:r>
          </w:p>
        </w:tc>
        <w:tc>
          <w:tcPr>
            <w:tcW w:w="940" w:type="dxa"/>
            <w:tcBorders>
              <w:top w:val="single" w:sz="6" w:space="0" w:color="auto"/>
              <w:left w:val="single" w:sz="4" w:space="0" w:color="auto"/>
              <w:bottom w:val="single" w:sz="12"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564</w:t>
            </w:r>
          </w:p>
        </w:tc>
        <w:tc>
          <w:tcPr>
            <w:tcW w:w="574" w:type="dxa"/>
            <w:tcBorders>
              <w:top w:val="single" w:sz="6" w:space="0" w:color="auto"/>
              <w:bottom w:val="single" w:sz="12" w:space="0" w:color="auto"/>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478</w:t>
            </w:r>
          </w:p>
        </w:tc>
        <w:tc>
          <w:tcPr>
            <w:tcW w:w="966" w:type="dxa"/>
            <w:tcBorders>
              <w:top w:val="single" w:sz="6" w:space="0" w:color="auto"/>
              <w:left w:val="single" w:sz="4" w:space="0" w:color="auto"/>
              <w:bottom w:val="single" w:sz="12"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346</w:t>
            </w:r>
          </w:p>
        </w:tc>
        <w:tc>
          <w:tcPr>
            <w:tcW w:w="952" w:type="dxa"/>
            <w:tcBorders>
              <w:top w:val="single" w:sz="6" w:space="0" w:color="auto"/>
              <w:bottom w:val="single" w:sz="12"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169</w:t>
            </w:r>
          </w:p>
        </w:tc>
        <w:tc>
          <w:tcPr>
            <w:tcW w:w="602" w:type="dxa"/>
            <w:tcBorders>
              <w:top w:val="single" w:sz="6" w:space="0" w:color="auto"/>
              <w:bottom w:val="single" w:sz="12" w:space="0" w:color="auto"/>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450</w:t>
            </w:r>
          </w:p>
        </w:tc>
        <w:tc>
          <w:tcPr>
            <w:tcW w:w="951" w:type="dxa"/>
            <w:tcBorders>
              <w:top w:val="single" w:sz="6" w:space="0" w:color="auto"/>
              <w:left w:val="single" w:sz="4" w:space="0" w:color="auto"/>
              <w:bottom w:val="single" w:sz="12"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49</w:t>
            </w:r>
          </w:p>
        </w:tc>
        <w:tc>
          <w:tcPr>
            <w:tcW w:w="546" w:type="dxa"/>
            <w:tcBorders>
              <w:top w:val="single" w:sz="6" w:space="0" w:color="auto"/>
              <w:bottom w:val="single" w:sz="12" w:space="0" w:color="auto"/>
              <w:right w:val="single" w:sz="4" w:space="0" w:color="auto"/>
            </w:tcBorders>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28</w:t>
            </w:r>
          </w:p>
        </w:tc>
        <w:tc>
          <w:tcPr>
            <w:tcW w:w="1092" w:type="dxa"/>
            <w:tcBorders>
              <w:top w:val="single" w:sz="6" w:space="0" w:color="auto"/>
              <w:left w:val="single" w:sz="4" w:space="0" w:color="auto"/>
              <w:bottom w:val="single" w:sz="12"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432</w:t>
            </w:r>
          </w:p>
        </w:tc>
        <w:tc>
          <w:tcPr>
            <w:tcW w:w="602" w:type="dxa"/>
            <w:tcBorders>
              <w:top w:val="single" w:sz="6" w:space="0" w:color="auto"/>
              <w:bottom w:val="single" w:sz="12" w:space="0" w:color="auto"/>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354</w:t>
            </w:r>
          </w:p>
        </w:tc>
        <w:tc>
          <w:tcPr>
            <w:tcW w:w="980" w:type="dxa"/>
            <w:tcBorders>
              <w:top w:val="single" w:sz="6" w:space="0" w:color="auto"/>
              <w:left w:val="single" w:sz="4" w:space="0" w:color="auto"/>
              <w:bottom w:val="single" w:sz="12"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241</w:t>
            </w:r>
          </w:p>
        </w:tc>
        <w:tc>
          <w:tcPr>
            <w:tcW w:w="924" w:type="dxa"/>
            <w:tcBorders>
              <w:top w:val="single" w:sz="6" w:space="0" w:color="auto"/>
              <w:bottom w:val="single" w:sz="12"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152</w:t>
            </w:r>
          </w:p>
        </w:tc>
        <w:tc>
          <w:tcPr>
            <w:tcW w:w="616" w:type="dxa"/>
            <w:tcBorders>
              <w:top w:val="single" w:sz="6" w:space="0" w:color="auto"/>
              <w:bottom w:val="single" w:sz="12" w:space="0" w:color="auto"/>
              <w:right w:val="single" w:sz="4"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331</w:t>
            </w:r>
          </w:p>
        </w:tc>
        <w:tc>
          <w:tcPr>
            <w:tcW w:w="1035" w:type="dxa"/>
            <w:tcBorders>
              <w:top w:val="single" w:sz="6" w:space="0" w:color="auto"/>
              <w:left w:val="single" w:sz="4" w:space="0" w:color="auto"/>
              <w:bottom w:val="single" w:sz="12"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39</w:t>
            </w:r>
          </w:p>
        </w:tc>
        <w:tc>
          <w:tcPr>
            <w:tcW w:w="588" w:type="dxa"/>
            <w:tcBorders>
              <w:top w:val="single" w:sz="6" w:space="0" w:color="auto"/>
              <w:bottom w:val="single" w:sz="12" w:space="0" w:color="auto"/>
            </w:tcBorders>
            <w:shd w:val="clear" w:color="auto" w:fill="EBEBEB"/>
          </w:tcPr>
          <w:p w:rsidR="00080446" w:rsidRPr="00892DE3"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892DE3">
              <w:rPr>
                <w:rFonts w:asciiTheme="minorHAnsi" w:hAnsiTheme="minorHAnsi" w:cstheme="minorHAnsi"/>
                <w:b/>
                <w:spacing w:val="0"/>
                <w:szCs w:val="17"/>
              </w:rPr>
              <w:t>23</w:t>
            </w:r>
          </w:p>
        </w:tc>
      </w:tr>
    </w:tbl>
    <w:p w:rsidR="00080446" w:rsidRPr="00892DE3" w:rsidRDefault="00080446" w:rsidP="00D22703">
      <w:pPr>
        <w:pStyle w:val="Note"/>
      </w:pPr>
      <w:r w:rsidRPr="00892DE3">
        <w:t>Note:</w:t>
      </w:r>
    </w:p>
    <w:p w:rsidR="00080446" w:rsidRPr="00892DE3" w:rsidRDefault="00122870" w:rsidP="00D22703">
      <w:pPr>
        <w:pStyle w:val="Note"/>
      </w:pPr>
      <w:r w:rsidRPr="00892DE3">
        <w:t>(a)</w:t>
      </w:r>
      <w:r w:rsidR="00D22703" w:rsidRPr="00892DE3">
        <w:tab/>
      </w:r>
      <w:r w:rsidR="00080446" w:rsidRPr="00892DE3">
        <w:t>There are 2 VPS-6 employees acting as executives under long-term acting arrangements.</w:t>
      </w:r>
    </w:p>
    <w:p w:rsidR="00080446" w:rsidRPr="00892DE3" w:rsidRDefault="00080446" w:rsidP="00080446">
      <w:pPr>
        <w:pStyle w:val="BodyText"/>
        <w:sectPr w:rsidR="00080446" w:rsidRPr="00892DE3" w:rsidSect="00080446">
          <w:headerReference w:type="even" r:id="rId62"/>
          <w:headerReference w:type="default" r:id="rId63"/>
          <w:footerReference w:type="even" r:id="rId64"/>
          <w:footerReference w:type="default" r:id="rId65"/>
          <w:pgSz w:w="16838" w:h="11906" w:orient="landscape" w:code="9"/>
          <w:pgMar w:top="1008" w:right="1138" w:bottom="1138" w:left="1138" w:header="619" w:footer="562" w:gutter="0"/>
          <w:cols w:num="2" w:space="360" w:equalWidth="0">
            <w:col w:w="1370" w:space="360"/>
            <w:col w:w="12832"/>
          </w:cols>
          <w:docGrid w:linePitch="360"/>
        </w:sectPr>
      </w:pPr>
    </w:p>
    <w:p w:rsidR="00080446" w:rsidRPr="00892DE3" w:rsidRDefault="00080446" w:rsidP="00080446">
      <w:pPr>
        <w:sectPr w:rsidR="00080446" w:rsidRPr="00892DE3" w:rsidSect="00080446">
          <w:headerReference w:type="even" r:id="rId66"/>
          <w:type w:val="continuous"/>
          <w:pgSz w:w="16838" w:h="11906" w:orient="landscape" w:code="9"/>
          <w:pgMar w:top="1138" w:right="1138" w:bottom="1138" w:left="1008" w:header="619" w:footer="562" w:gutter="0"/>
          <w:cols w:num="2" w:space="360" w:equalWidth="0">
            <w:col w:w="1583" w:space="360"/>
            <w:col w:w="8247"/>
          </w:cols>
          <w:docGrid w:linePitch="360"/>
        </w:sectPr>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29B</w:t>
      </w:r>
    </w:p>
    <w:p w:rsidR="00B131AA" w:rsidRPr="00892DE3" w:rsidRDefault="00080446" w:rsidP="00B131AA">
      <w:r w:rsidRPr="00892DE3">
        <w:br w:type="column"/>
      </w:r>
      <w:r w:rsidR="008E49B9" w:rsidRPr="00892DE3">
        <w:lastRenderedPageBreak/>
        <w:t xml:space="preserve">The following table discloses the </w:t>
      </w:r>
      <w:r w:rsidR="00E61C8D" w:rsidRPr="00892DE3">
        <w:t xml:space="preserve">annualised total salary </w:t>
      </w:r>
      <w:r w:rsidR="008E49B9" w:rsidRPr="00892DE3">
        <w:t xml:space="preserve">for senior employees of the Department, </w:t>
      </w:r>
      <w:r w:rsidR="00111FF3" w:rsidRPr="00892DE3">
        <w:t xml:space="preserve">categorised </w:t>
      </w:r>
      <w:r w:rsidR="00E61C8D" w:rsidRPr="00892DE3">
        <w:t>by classification</w:t>
      </w:r>
      <w:r w:rsidR="008E49B9" w:rsidRPr="00892DE3">
        <w:t xml:space="preserve">. The salary amount is reported </w:t>
      </w:r>
      <w:r w:rsidR="00E61C8D" w:rsidRPr="00892DE3">
        <w:t>as</w:t>
      </w:r>
      <w:r w:rsidR="008E49B9" w:rsidRPr="00892DE3">
        <w:t xml:space="preserve"> the full-time annualised salary.</w:t>
      </w:r>
    </w:p>
    <w:p w:rsidR="00080446" w:rsidRPr="00892DE3" w:rsidRDefault="00493DFE" w:rsidP="00D22703">
      <w:pPr>
        <w:pStyle w:val="TableHeading"/>
        <w:rPr>
          <w:i/>
        </w:rPr>
      </w:pPr>
      <w:r w:rsidRPr="00892DE3">
        <w:t xml:space="preserve">Table 2: </w:t>
      </w:r>
      <w:r w:rsidRPr="00892DE3">
        <w:tab/>
        <w:t>Annualised total salary, by $20 000 bands, for executives and other senior non</w:t>
      </w:r>
      <w:r w:rsidRPr="00892DE3">
        <w:noBreakHyphen/>
        <w:t>executive staff</w:t>
      </w:r>
    </w:p>
    <w:tbl>
      <w:tblPr>
        <w:tblStyle w:val="DTFFinancialTable"/>
        <w:tblW w:w="7912" w:type="dxa"/>
        <w:tblLook w:val="04A0" w:firstRow="1" w:lastRow="0" w:firstColumn="1" w:lastColumn="0" w:noHBand="0" w:noVBand="1"/>
      </w:tblPr>
      <w:tblGrid>
        <w:gridCol w:w="2543"/>
        <w:gridCol w:w="1087"/>
        <w:gridCol w:w="842"/>
        <w:gridCol w:w="844"/>
        <w:gridCol w:w="843"/>
        <w:gridCol w:w="849"/>
        <w:gridCol w:w="904"/>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headingLeft0"/>
            </w:pPr>
            <w:r w:rsidRPr="00892DE3">
              <w:t>Income band (salary)</w:t>
            </w:r>
          </w:p>
        </w:tc>
        <w:tc>
          <w:tcPr>
            <w:tcW w:w="1087"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Executives</w:t>
            </w:r>
          </w:p>
        </w:tc>
        <w:tc>
          <w:tcPr>
            <w:tcW w:w="842"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STS</w:t>
            </w:r>
          </w:p>
        </w:tc>
        <w:tc>
          <w:tcPr>
            <w:tcW w:w="844"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PS</w:t>
            </w:r>
          </w:p>
        </w:tc>
        <w:tc>
          <w:tcPr>
            <w:tcW w:w="843"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SMA</w:t>
            </w:r>
          </w:p>
        </w:tc>
        <w:tc>
          <w:tcPr>
            <w:tcW w:w="849"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SRA</w:t>
            </w:r>
          </w:p>
        </w:tc>
        <w:tc>
          <w:tcPr>
            <w:tcW w:w="904"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Other</w:t>
            </w: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&lt; $160 000</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cstheme="minorHAnsi"/>
                <w:szCs w:val="17"/>
              </w:rPr>
              <w:t>16</w:t>
            </w: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5A588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cstheme="minorHAnsi"/>
                <w:szCs w:val="17"/>
              </w:rPr>
              <w:t>1</w:t>
            </w:r>
            <w:r w:rsidR="00D22703" w:rsidRPr="00892DE3">
              <w:rPr>
                <w:rFonts w:cstheme="minorHAnsi"/>
                <w:szCs w:val="17"/>
              </w:rPr>
              <w:t xml:space="preserve"> </w:t>
            </w: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$160 000 – $179 999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cstheme="minorHAnsi"/>
                <w:szCs w:val="17"/>
              </w:rPr>
              <w:t>25</w:t>
            </w:r>
            <w:r w:rsidR="005A5886" w:rsidRPr="00892DE3">
              <w:rPr>
                <w:rFonts w:cstheme="minorHAnsi"/>
                <w:szCs w:val="17"/>
                <w:vertAlign w:val="superscript"/>
              </w:rPr>
              <w:t>(a)</w:t>
            </w: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$180 000 – $199 999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17</w:t>
            </w: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$200 000 – $219 999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9</w:t>
            </w:r>
          </w:p>
        </w:tc>
        <w:tc>
          <w:tcPr>
            <w:tcW w:w="842" w:type="dxa"/>
          </w:tcPr>
          <w:p w:rsidR="00080446" w:rsidRPr="00892DE3" w:rsidRDefault="00080446" w:rsidP="00D22703">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1</w:t>
            </w:r>
            <w:r w:rsidR="00D22703" w:rsidRPr="00892DE3">
              <w:rPr>
                <w:rFonts w:asciiTheme="minorHAnsi" w:hAnsiTheme="minorHAnsi" w:cstheme="minorHAnsi"/>
                <w:sz w:val="17"/>
                <w:szCs w:val="17"/>
              </w:rPr>
              <w:t xml:space="preserve"> </w:t>
            </w: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$220 000 – $239 999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4</w:t>
            </w: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$240 000 – $259 999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$260 000 – $279 999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$280 000 – $299 999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1</w:t>
            </w: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$300 000 – $319 999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$320 000 – $339 999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3</w:t>
            </w: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$340 000 – $359 999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$360 000 – $379 999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1</w:t>
            </w: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$380 000 – $399 999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$400 000 – $419 999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3</w:t>
            </w: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$420 000 – $439 999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$440 000 – $459 999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$460 000 – $479 999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1</w:t>
            </w: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$480 000 – $499 999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rPr>
                <w:b/>
              </w:rPr>
              <w:t>Total</w:t>
            </w:r>
          </w:p>
        </w:tc>
        <w:tc>
          <w:tcPr>
            <w:tcW w:w="1087"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78</w:t>
            </w:r>
          </w:p>
        </w:tc>
        <w:tc>
          <w:tcPr>
            <w:tcW w:w="842"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2</w:t>
            </w:r>
          </w:p>
        </w:tc>
        <w:tc>
          <w:tcPr>
            <w:tcW w:w="844"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1</w:t>
            </w:r>
          </w:p>
        </w:tc>
        <w:tc>
          <w:tcPr>
            <w:tcW w:w="843"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1</w:t>
            </w:r>
          </w:p>
        </w:tc>
        <w:tc>
          <w:tcPr>
            <w:tcW w:w="849"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0</w:t>
            </w:r>
          </w:p>
        </w:tc>
        <w:tc>
          <w:tcPr>
            <w:tcW w:w="904"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0</w:t>
            </w:r>
          </w:p>
        </w:tc>
      </w:tr>
    </w:tbl>
    <w:p w:rsidR="00394D5F" w:rsidRPr="00892DE3" w:rsidRDefault="00394D5F" w:rsidP="00D22703">
      <w:pPr>
        <w:pStyle w:val="Note"/>
      </w:pPr>
    </w:p>
    <w:p w:rsidR="00080446" w:rsidRPr="00892DE3" w:rsidRDefault="00080446" w:rsidP="00D22703">
      <w:pPr>
        <w:pStyle w:val="Note"/>
      </w:pPr>
      <w:r w:rsidRPr="00892DE3">
        <w:t>Note</w:t>
      </w:r>
      <w:r w:rsidR="005C5F04" w:rsidRPr="00892DE3">
        <w:t>s</w:t>
      </w:r>
      <w:r w:rsidRPr="00892DE3">
        <w:t>:</w:t>
      </w:r>
    </w:p>
    <w:p w:rsidR="00080446" w:rsidRPr="00892DE3" w:rsidRDefault="00080446" w:rsidP="00D22703">
      <w:pPr>
        <w:pStyle w:val="Note"/>
      </w:pPr>
      <w:r w:rsidRPr="00892DE3">
        <w:t>The salaries reported above is for the full financial year, at a 1-FTE rate, and excludes superannuation.</w:t>
      </w:r>
    </w:p>
    <w:p w:rsidR="00080446" w:rsidRPr="00892DE3" w:rsidRDefault="00D22703" w:rsidP="00D22703">
      <w:pPr>
        <w:pStyle w:val="Note"/>
      </w:pPr>
      <w:r w:rsidRPr="00892DE3">
        <w:t>(a)</w:t>
      </w:r>
      <w:r w:rsidRPr="00892DE3">
        <w:tab/>
      </w:r>
      <w:r w:rsidR="00080446" w:rsidRPr="00892DE3">
        <w:t>Th</w:t>
      </w:r>
      <w:r w:rsidR="005A5886" w:rsidRPr="00892DE3">
        <w:t>ere are two</w:t>
      </w:r>
      <w:r w:rsidR="00080446" w:rsidRPr="00892DE3">
        <w:t xml:space="preserve"> employee</w:t>
      </w:r>
      <w:r w:rsidR="005A5886" w:rsidRPr="00892DE3">
        <w:t xml:space="preserve">s </w:t>
      </w:r>
      <w:r w:rsidR="00080446" w:rsidRPr="00892DE3">
        <w:t>employed on a part-time basis at a 0.6 FTE rate</w:t>
      </w:r>
      <w:r w:rsidR="005A5886" w:rsidRPr="00892DE3">
        <w:t xml:space="preserve"> and a 0.8 FTE rate respectively</w:t>
      </w:r>
      <w:r w:rsidR="00080446" w:rsidRPr="00892DE3">
        <w:t xml:space="preserve">. </w:t>
      </w: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lastRenderedPageBreak/>
        <w:t>Guidance – Workforce data staffing trends</w:t>
      </w:r>
    </w:p>
    <w:p w:rsidR="00080446" w:rsidRPr="00892DE3" w:rsidRDefault="00080446" w:rsidP="00080446">
      <w:pPr>
        <w:pStyle w:val="Guidanceheading"/>
        <w:sectPr w:rsidR="00080446" w:rsidRPr="00892DE3" w:rsidSect="009C1D64">
          <w:headerReference w:type="even" r:id="rId67"/>
          <w:headerReference w:type="default" r:id="rId68"/>
          <w:footerReference w:type="even" r:id="rId69"/>
          <w:footerReference w:type="default" r:id="rId70"/>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
        <w:pBdr>
          <w:bottom w:val="none" w:sz="0" w:space="0" w:color="auto"/>
        </w:pBdr>
      </w:pPr>
      <w:r w:rsidRPr="00892DE3">
        <w:br w:type="column"/>
      </w:r>
      <w:r w:rsidRPr="00892DE3">
        <w:rPr>
          <w:b/>
        </w:rPr>
        <w:lastRenderedPageBreak/>
        <w:t>FRD 22H</w:t>
      </w:r>
      <w:r w:rsidRPr="00892DE3">
        <w:t xml:space="preserve"> </w:t>
      </w:r>
      <w:r w:rsidR="006A58CA">
        <w:t xml:space="preserve">(to be issued in June 2017) </w:t>
      </w:r>
      <w:r w:rsidRPr="00892DE3">
        <w:t xml:space="preserve">requires the disclosure of workforce data as per the last payroll period for both the current and previous financial years.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t>FRD 29B</w:t>
      </w:r>
    </w:p>
    <w:p w:rsidR="00080446" w:rsidRPr="00892DE3" w:rsidRDefault="00080446" w:rsidP="00080446">
      <w:pPr>
        <w:pStyle w:val="Reference"/>
      </w:pPr>
    </w:p>
    <w:p w:rsidR="00241F12" w:rsidRPr="00892DE3" w:rsidRDefault="00241F12" w:rsidP="00241F12">
      <w:pPr>
        <w:pStyle w:val="Reference"/>
      </w:pPr>
      <w:r w:rsidRPr="00892DE3">
        <w:rPr>
          <w:b/>
          <w:color w:val="0063A6" w:themeColor="accent1"/>
        </w:rPr>
        <w:t>Revised</w:t>
      </w: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pPr>
    </w:p>
    <w:p w:rsidR="00080446" w:rsidRPr="00892DE3" w:rsidRDefault="00080446" w:rsidP="00080446">
      <w:pPr>
        <w:pStyle w:val="Guidance"/>
        <w:pBdr>
          <w:bottom w:val="none" w:sz="0" w:space="0" w:color="auto"/>
        </w:pBdr>
        <w:spacing w:before="0"/>
      </w:pPr>
      <w:r w:rsidRPr="00892DE3">
        <w:br w:type="column"/>
      </w:r>
      <w:r w:rsidRPr="00892DE3">
        <w:rPr>
          <w:b/>
        </w:rPr>
        <w:lastRenderedPageBreak/>
        <w:t>FRD 29B</w:t>
      </w:r>
      <w:r w:rsidRPr="00892DE3">
        <w:t xml:space="preserve"> </w:t>
      </w:r>
      <w:r w:rsidRPr="00892DE3">
        <w:rPr>
          <w:i/>
        </w:rPr>
        <w:t>Workforce data disclosures in the report of operations</w:t>
      </w:r>
      <w:r w:rsidRPr="00892DE3">
        <w:t xml:space="preserve"> and </w:t>
      </w:r>
      <w:r w:rsidR="002D1B97" w:rsidRPr="00892DE3">
        <w:t>its g</w:t>
      </w:r>
      <w:r w:rsidRPr="00892DE3">
        <w:t xml:space="preserve">uidance </w:t>
      </w:r>
      <w:r w:rsidR="002D1B97" w:rsidRPr="00892DE3">
        <w:t>n</w:t>
      </w:r>
      <w:r w:rsidRPr="00892DE3">
        <w:t xml:space="preserve">ote prescribe the minimum disclosure requirements on the public service employee workforce, including information concerning workforce demographics, classification groups and types of employment for all employees who are employed under Part 3 of the </w:t>
      </w:r>
      <w:r w:rsidRPr="00892DE3">
        <w:rPr>
          <w:i/>
        </w:rPr>
        <w:t>Public Administration Act 2004</w:t>
      </w:r>
      <w:r w:rsidRPr="00892DE3">
        <w:t xml:space="preserve">. This FRD provides comprehensive definitions of ‘active’ employee, classifications and other terms related to workforce data reporting. </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Information on workforce data is to be presented by headcount and the number of full-time equivalents, separated by gender, age and VPS classification levels. The Model provides a suggested table format, but entities have the discretion over how to present the minimum required information and whether to include any additional information. General commentary on programs or initiatives that have a significant impact on employment levels between the current and previous reporting period should be included in the report. Notes are required to explain:</w:t>
      </w:r>
    </w:p>
    <w:p w:rsidR="00080446" w:rsidRPr="00892DE3" w:rsidRDefault="00080446" w:rsidP="00587DAE">
      <w:pPr>
        <w:pStyle w:val="Guidancebullet"/>
        <w:numPr>
          <w:ilvl w:val="1"/>
          <w:numId w:val="24"/>
        </w:numPr>
        <w:pBdr>
          <w:bottom w:val="none" w:sz="0" w:space="0" w:color="auto"/>
        </w:pBdr>
        <w:ind w:left="446" w:hanging="446"/>
      </w:pPr>
      <w:r w:rsidRPr="00892DE3">
        <w:t>inclusions and exclusions in the employee figures;</w:t>
      </w:r>
    </w:p>
    <w:p w:rsidR="00080446" w:rsidRPr="00892DE3" w:rsidRDefault="00080446" w:rsidP="00587DAE">
      <w:pPr>
        <w:pStyle w:val="Guidancebullet"/>
        <w:numPr>
          <w:ilvl w:val="1"/>
          <w:numId w:val="24"/>
        </w:numPr>
        <w:pBdr>
          <w:bottom w:val="none" w:sz="0" w:space="0" w:color="auto"/>
        </w:pBdr>
        <w:ind w:left="446" w:hanging="446"/>
      </w:pPr>
      <w:r w:rsidRPr="00892DE3">
        <w:t>significant rise and fall in the employment numbers during the reporting period due to seasonal factors or machinery of government changes; and</w:t>
      </w:r>
    </w:p>
    <w:p w:rsidR="00080446" w:rsidRPr="00892DE3" w:rsidRDefault="00080446" w:rsidP="00587DAE">
      <w:pPr>
        <w:pStyle w:val="Guidancebullet"/>
        <w:numPr>
          <w:ilvl w:val="1"/>
          <w:numId w:val="24"/>
        </w:numPr>
        <w:pBdr>
          <w:bottom w:val="none" w:sz="0" w:space="0" w:color="auto"/>
        </w:pBdr>
        <w:ind w:left="446" w:hanging="446"/>
      </w:pPr>
      <w:r w:rsidRPr="00892DE3">
        <w:t>any classification categories that are rolled into an ‘other’ category.</w:t>
      </w:r>
    </w:p>
    <w:p w:rsidR="00241F12" w:rsidRPr="00241F12" w:rsidRDefault="00241F12" w:rsidP="00241F12">
      <w:pPr>
        <w:pStyle w:val="Guidanceheading2"/>
        <w:pBdr>
          <w:bottom w:val="none" w:sz="0" w:space="0" w:color="auto"/>
        </w:pBdr>
        <w:ind w:left="0" w:firstLine="0"/>
        <w:rPr>
          <w:b w:val="0"/>
          <w:i w:val="0"/>
        </w:rPr>
      </w:pPr>
      <w:r>
        <w:rPr>
          <w:b w:val="0"/>
          <w:i w:val="0"/>
        </w:rPr>
        <w:t>The disclosure of gender can include non-binary gender descriptors where it is considered appropriate, however consideration should be given to individual privacy and preferences.</w:t>
      </w:r>
    </w:p>
    <w:p w:rsidR="00080446" w:rsidRPr="00892DE3" w:rsidRDefault="00080446" w:rsidP="00080446">
      <w:pPr>
        <w:pStyle w:val="Guidanceheading2"/>
        <w:pBdr>
          <w:bottom w:val="none" w:sz="0" w:space="0" w:color="auto"/>
        </w:pBdr>
        <w:rPr>
          <w:i w:val="0"/>
        </w:rPr>
      </w:pPr>
      <w:r w:rsidRPr="00892DE3">
        <w:rPr>
          <w:i w:val="0"/>
        </w:rPr>
        <w:t>Workforce data disclosure of Authority/Office in a Department’s portfolio</w:t>
      </w:r>
    </w:p>
    <w:p w:rsidR="00080446" w:rsidRPr="00892DE3" w:rsidRDefault="00080446" w:rsidP="00080446">
      <w:pPr>
        <w:pStyle w:val="Guidance"/>
      </w:pPr>
      <w:r w:rsidRPr="00892DE3">
        <w:t>In a Department’s portfolio there may be authorities and offices who employ public service employees independently of a Department secretary. A Department’s annual report must list entities in this category that fall within its portfolio.</w:t>
      </w:r>
    </w:p>
    <w:p w:rsidR="00080446" w:rsidRPr="00892DE3" w:rsidRDefault="00080446" w:rsidP="00080446">
      <w:pPr>
        <w:pStyle w:val="Guidance"/>
      </w:pPr>
      <w:r w:rsidRPr="00892DE3">
        <w:t>In addition, for these entities that do not produce their own annual reports, their employee numbers must be included in the Department’s annual report in a separate table. Where they produce their own annual reports, employee numbers must be included in those annual reports and the Department is required to disclose this fact.</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120"/>
      </w:pPr>
      <w:r w:rsidRPr="00892DE3">
        <w:t>Recommendation 20, PAEC Report 107</w:t>
      </w: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AA770B">
      <w:pPr>
        <w:pStyle w:val="Heading2nonTOC"/>
      </w:pPr>
      <w:r w:rsidRPr="00892DE3">
        <w:br w:type="column"/>
      </w:r>
      <w:r w:rsidRPr="00892DE3">
        <w:lastRenderedPageBreak/>
        <w:t>Workforce inclusion policy</w:t>
      </w:r>
    </w:p>
    <w:p w:rsidR="00080446" w:rsidRPr="00892DE3" w:rsidRDefault="00080446" w:rsidP="00080446">
      <w:pPr>
        <w:pStyle w:val="BodyText"/>
      </w:pPr>
      <w:r w:rsidRPr="00892DE3">
        <w:t>The Department is working towards creating a balanced working environment where equal opportunity and diversity are valued. As part of the workforce inclusion policy, the Department has a 50/50 target on the executives’ gender profile by 2018. The following table outlines the Department’s actual progress against this target in 2016-17.</w:t>
      </w:r>
    </w:p>
    <w:tbl>
      <w:tblPr>
        <w:tblStyle w:val="DTFFinancialTable"/>
        <w:tblW w:w="8165" w:type="dxa"/>
        <w:tblLayout w:type="fixed"/>
        <w:tblCellMar>
          <w:left w:w="43" w:type="dxa"/>
          <w:right w:w="43" w:type="dxa"/>
        </w:tblCellMar>
        <w:tblLook w:val="0620" w:firstRow="1" w:lastRow="0" w:firstColumn="0" w:lastColumn="0" w:noHBand="1" w:noVBand="1"/>
      </w:tblPr>
      <w:tblGrid>
        <w:gridCol w:w="1870"/>
        <w:gridCol w:w="2212"/>
        <w:gridCol w:w="2041"/>
        <w:gridCol w:w="2042"/>
      </w:tblGrid>
      <w:tr w:rsidR="00080446" w:rsidRPr="00892DE3" w:rsidTr="00D22703">
        <w:trPr>
          <w:cnfStyle w:val="100000000000" w:firstRow="1" w:lastRow="0" w:firstColumn="0" w:lastColumn="0" w:oddVBand="0" w:evenVBand="0" w:oddHBand="0" w:evenHBand="0" w:firstRowFirstColumn="0" w:firstRowLastColumn="0" w:lastRowFirstColumn="0" w:lastRowLastColumn="0"/>
          <w:trHeight w:val="313"/>
        </w:trPr>
        <w:tc>
          <w:tcPr>
            <w:tcW w:w="1870" w:type="dxa"/>
            <w:hideMark/>
          </w:tcPr>
          <w:p w:rsidR="00080446" w:rsidRPr="00892DE3" w:rsidRDefault="00080446" w:rsidP="00080446">
            <w:pPr>
              <w:pStyle w:val="Tabletextheadingleft"/>
            </w:pPr>
            <w:r w:rsidRPr="00892DE3">
              <w:t>Workforce inclusion policy initiative</w:t>
            </w:r>
          </w:p>
        </w:tc>
        <w:tc>
          <w:tcPr>
            <w:tcW w:w="2212" w:type="dxa"/>
            <w:hideMark/>
          </w:tcPr>
          <w:p w:rsidR="00080446" w:rsidRPr="00892DE3" w:rsidRDefault="00080446" w:rsidP="00080446">
            <w:pPr>
              <w:pStyle w:val="Tabletextheadingleft"/>
            </w:pPr>
            <w:r w:rsidRPr="00892DE3">
              <w:t>Target</w:t>
            </w:r>
          </w:p>
        </w:tc>
        <w:tc>
          <w:tcPr>
            <w:tcW w:w="2041" w:type="dxa"/>
            <w:hideMark/>
          </w:tcPr>
          <w:p w:rsidR="00080446" w:rsidRPr="00892DE3" w:rsidRDefault="00080446" w:rsidP="00080446">
            <w:pPr>
              <w:pStyle w:val="Tabletextheadingleft"/>
            </w:pPr>
            <w:r w:rsidRPr="00892DE3">
              <w:t>Actual progress in 2016</w:t>
            </w:r>
            <w:r w:rsidRPr="00892DE3">
              <w:noBreakHyphen/>
              <w:t>17</w:t>
            </w:r>
          </w:p>
        </w:tc>
        <w:tc>
          <w:tcPr>
            <w:tcW w:w="2042" w:type="dxa"/>
          </w:tcPr>
          <w:p w:rsidR="00080446" w:rsidRPr="00892DE3" w:rsidRDefault="00080446" w:rsidP="00080446">
            <w:pPr>
              <w:pStyle w:val="Tabletextheadingleft"/>
            </w:pPr>
            <w:r w:rsidRPr="00892DE3">
              <w:t>Actual progress in 2015</w:t>
            </w:r>
            <w:r w:rsidRPr="00892DE3">
              <w:noBreakHyphen/>
              <w:t>16</w:t>
            </w:r>
          </w:p>
        </w:tc>
      </w:tr>
      <w:tr w:rsidR="00080446" w:rsidRPr="00892DE3" w:rsidTr="00D22703">
        <w:trPr>
          <w:trHeight w:val="313"/>
        </w:trPr>
        <w:tc>
          <w:tcPr>
            <w:tcW w:w="1870" w:type="dxa"/>
            <w:hideMark/>
          </w:tcPr>
          <w:p w:rsidR="00080446" w:rsidRPr="00892DE3" w:rsidRDefault="00080446" w:rsidP="00080446">
            <w:pPr>
              <w:pStyle w:val="Tabletext"/>
              <w:ind w:left="0" w:firstLine="0"/>
            </w:pPr>
            <w:r w:rsidRPr="00892DE3">
              <w:t>Gender diversity at executive levels</w:t>
            </w:r>
          </w:p>
        </w:tc>
        <w:tc>
          <w:tcPr>
            <w:tcW w:w="2212" w:type="dxa"/>
            <w:hideMark/>
          </w:tcPr>
          <w:p w:rsidR="00080446" w:rsidRPr="00892DE3" w:rsidRDefault="00080446" w:rsidP="00080446">
            <w:pPr>
              <w:pStyle w:val="Tabletext"/>
            </w:pPr>
            <w:r w:rsidRPr="00892DE3">
              <w:t>Executive Officers:</w:t>
            </w:r>
          </w:p>
          <w:p w:rsidR="00080446" w:rsidRPr="00892DE3" w:rsidRDefault="00080446" w:rsidP="00080446">
            <w:pPr>
              <w:pStyle w:val="Tabletext"/>
              <w:ind w:left="0" w:firstLine="0"/>
            </w:pPr>
            <w:r w:rsidRPr="00892DE3">
              <w:t>50 per cent male; 50 per cent female by 2018</w:t>
            </w:r>
          </w:p>
        </w:tc>
        <w:tc>
          <w:tcPr>
            <w:tcW w:w="2041" w:type="dxa"/>
            <w:hideMark/>
          </w:tcPr>
          <w:p w:rsidR="00080446" w:rsidRPr="00892DE3" w:rsidRDefault="00080446" w:rsidP="00080446">
            <w:pPr>
              <w:pStyle w:val="Tabletext"/>
            </w:pPr>
            <w:r w:rsidRPr="00892DE3">
              <w:t>Executive Officers:</w:t>
            </w:r>
          </w:p>
          <w:p w:rsidR="00080446" w:rsidRPr="00892DE3" w:rsidRDefault="00080446" w:rsidP="00D22703">
            <w:pPr>
              <w:pStyle w:val="Tabletext"/>
              <w:ind w:left="0" w:firstLine="0"/>
            </w:pPr>
            <w:r w:rsidRPr="00892DE3">
              <w:t>60 per cent male; 40</w:t>
            </w:r>
            <w:r w:rsidR="00D22703" w:rsidRPr="00892DE3">
              <w:t> </w:t>
            </w:r>
            <w:r w:rsidRPr="00892DE3">
              <w:t>per cent female</w:t>
            </w:r>
          </w:p>
        </w:tc>
        <w:tc>
          <w:tcPr>
            <w:tcW w:w="2042" w:type="dxa"/>
          </w:tcPr>
          <w:p w:rsidR="00080446" w:rsidRPr="00892DE3" w:rsidRDefault="00080446" w:rsidP="00080446">
            <w:pPr>
              <w:pStyle w:val="Tabletext"/>
            </w:pPr>
            <w:r w:rsidRPr="00892DE3">
              <w:t>Executive Officers:</w:t>
            </w:r>
          </w:p>
          <w:p w:rsidR="00080446" w:rsidRPr="00892DE3" w:rsidDel="002E5D8B" w:rsidRDefault="00080446" w:rsidP="00D22703">
            <w:pPr>
              <w:pStyle w:val="Tabletext"/>
              <w:ind w:left="0" w:firstLine="0"/>
            </w:pPr>
            <w:r w:rsidRPr="00892DE3">
              <w:t>65 per cent male; 35</w:t>
            </w:r>
            <w:r w:rsidR="00D22703" w:rsidRPr="00892DE3">
              <w:t> </w:t>
            </w:r>
            <w:r w:rsidRPr="00892DE3">
              <w:t>percent female</w:t>
            </w:r>
          </w:p>
        </w:tc>
      </w:tr>
    </w:tbl>
    <w:p w:rsidR="00080446" w:rsidRPr="00892DE3" w:rsidRDefault="00080446" w:rsidP="00D22703">
      <w:pPr>
        <w:pStyle w:val="Note"/>
      </w:pPr>
      <w:r w:rsidRPr="00892DE3">
        <w:t xml:space="preserve">Note: </w:t>
      </w:r>
    </w:p>
    <w:p w:rsidR="00080446" w:rsidRPr="00892DE3" w:rsidRDefault="00080446" w:rsidP="00D22703">
      <w:pPr>
        <w:pStyle w:val="Note"/>
      </w:pPr>
      <w:r w:rsidRPr="00892DE3">
        <w:t>[The above workforce inclusion policy initiative is for illustration purpose only.]</w:t>
      </w:r>
    </w:p>
    <w:p w:rsidR="00080446" w:rsidRPr="00892DE3" w:rsidRDefault="00080446" w:rsidP="00080446">
      <w:pPr>
        <w:pStyle w:val="BodyText"/>
      </w:pPr>
    </w:p>
    <w:p w:rsidR="00080446" w:rsidRPr="00892DE3" w:rsidRDefault="00080446" w:rsidP="00080446">
      <w:pPr>
        <w:pStyle w:val="Guidanceheading"/>
      </w:pPr>
      <w:r w:rsidRPr="00892DE3">
        <w:t>Guidance – Workforce inclusion policy</w:t>
      </w:r>
    </w:p>
    <w:p w:rsidR="00080446" w:rsidRPr="00892DE3" w:rsidRDefault="00080446" w:rsidP="00080446">
      <w:pPr>
        <w:pStyle w:val="Guidance"/>
      </w:pPr>
      <w:r w:rsidRPr="00892DE3">
        <w:t>If an entity is working towards a workforce inclusion initiative as part of its workforce inclusion policy, the entity should report on progress towards the targets, and/or provide reasons why the initiative has not been implemented. This is to enable the evaluation of progress of the workforce inclusion policy. The comparative data are also presented to demonstrate the cumulative benefits of the initiative. Entities are encouraged to make comments about longer term progress and illustrate the trend over time.</w:t>
      </w:r>
    </w:p>
    <w:p w:rsidR="00080446" w:rsidRPr="00892DE3" w:rsidRDefault="00080446" w:rsidP="00080446">
      <w:pPr>
        <w:pStyle w:val="BodyText"/>
      </w:pPr>
      <w:r w:rsidRPr="00892DE3">
        <w:br w:type="page"/>
      </w: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pPr>
    </w:p>
    <w:p w:rsidR="00080446" w:rsidRPr="00892DE3" w:rsidRDefault="00080446" w:rsidP="00080446">
      <w:pPr>
        <w:pStyle w:val="Reference"/>
      </w:pPr>
      <w:r w:rsidRPr="00892DE3">
        <w:t>FRD 15D</w:t>
      </w:r>
    </w:p>
    <w:p w:rsidR="00080446" w:rsidRPr="00892DE3" w:rsidRDefault="00080446" w:rsidP="005C5F04">
      <w:pPr>
        <w:pStyle w:val="Heading2nonTOC"/>
      </w:pPr>
      <w:r w:rsidRPr="00892DE3">
        <w:br w:type="column"/>
      </w:r>
      <w:bookmarkStart w:id="44" w:name="_Toc477967497"/>
      <w:r w:rsidRPr="00892DE3">
        <w:lastRenderedPageBreak/>
        <w:t>Executive officer data</w:t>
      </w:r>
      <w:bookmarkEnd w:id="44"/>
    </w:p>
    <w:p w:rsidR="00080446" w:rsidRPr="00892DE3" w:rsidRDefault="00080446" w:rsidP="00080446">
      <w:pPr>
        <w:pStyle w:val="BodyText"/>
      </w:pPr>
      <w:r w:rsidRPr="00892DE3">
        <w:t xml:space="preserve">For a Department, an executive officer (EO) is defined as a person employed as an executive under Part 3 of the </w:t>
      </w:r>
      <w:r w:rsidRPr="00892DE3">
        <w:rPr>
          <w:i/>
        </w:rPr>
        <w:t xml:space="preserve">Public Administration Act 2004 </w:t>
      </w:r>
      <w:r w:rsidRPr="00892DE3">
        <w:t xml:space="preserve">(PAA). For a public body, an EO is defined as an executive under Part 3 of the PAA or a person to whom the Victorian Government’s Policy on Executive Remuneration in Public entities applies. All figures reflect employment levels at the last full pay period in June of the current and corresponding previous reporting year. </w:t>
      </w:r>
    </w:p>
    <w:p w:rsidR="00080446" w:rsidRPr="00892DE3" w:rsidRDefault="00080446" w:rsidP="00080446">
      <w:pPr>
        <w:pStyle w:val="BodyText"/>
      </w:pPr>
      <w:r w:rsidRPr="00892DE3">
        <w:t>The definition of an EO does not include a statutory office holder or an accountable officer.</w:t>
      </w:r>
    </w:p>
    <w:p w:rsidR="00080446" w:rsidRPr="00892DE3" w:rsidRDefault="00080446" w:rsidP="00080446">
      <w:pPr>
        <w:pStyle w:val="BodyText"/>
      </w:pPr>
      <w:r w:rsidRPr="00892DE3">
        <w:t xml:space="preserve">The following tables disclose the EOs of the Department and its portfolio agencies for 30 June 2017: </w:t>
      </w:r>
    </w:p>
    <w:p w:rsidR="00080446" w:rsidRPr="00892DE3" w:rsidRDefault="00080446" w:rsidP="00587DAE">
      <w:pPr>
        <w:pStyle w:val="ListBullet"/>
        <w:keepLines w:val="0"/>
        <w:numPr>
          <w:ilvl w:val="0"/>
          <w:numId w:val="19"/>
        </w:numPr>
        <w:spacing w:before="120" w:after="60"/>
      </w:pPr>
      <w:r w:rsidRPr="00892DE3">
        <w:t>Table 1 discloses the total numbers of EOs for the Department, broken down by gender;</w:t>
      </w:r>
    </w:p>
    <w:p w:rsidR="00080446" w:rsidRPr="00892DE3" w:rsidRDefault="00080446" w:rsidP="00587DAE">
      <w:pPr>
        <w:pStyle w:val="ListBullet"/>
        <w:keepLines w:val="0"/>
        <w:numPr>
          <w:ilvl w:val="0"/>
          <w:numId w:val="19"/>
        </w:numPr>
        <w:spacing w:before="120" w:after="60"/>
      </w:pPr>
      <w:r w:rsidRPr="00892DE3">
        <w:t>Table 2 provides a reconciliation of executive numbers presented between the report of operations and Note 9.</w:t>
      </w:r>
      <w:r w:rsidR="0081558E" w:rsidRPr="00892DE3">
        <w:t>8</w:t>
      </w:r>
      <w:r w:rsidRPr="00892DE3">
        <w:t xml:space="preserve"> ‘Remuneration of executives’ in the financial statements; </w:t>
      </w:r>
    </w:p>
    <w:p w:rsidR="00080446" w:rsidRPr="00892DE3" w:rsidRDefault="00080446" w:rsidP="00587DAE">
      <w:pPr>
        <w:pStyle w:val="ListBullet"/>
        <w:keepLines w:val="0"/>
        <w:numPr>
          <w:ilvl w:val="0"/>
          <w:numId w:val="19"/>
        </w:numPr>
        <w:spacing w:before="120" w:after="60"/>
      </w:pPr>
      <w:r w:rsidRPr="00892DE3">
        <w:t xml:space="preserve">Table 3 provides the total executive numbers for all of the Department’s portfolio agencies; and </w:t>
      </w:r>
    </w:p>
    <w:p w:rsidR="00080446" w:rsidRPr="00892DE3" w:rsidRDefault="00080446" w:rsidP="00587DAE">
      <w:pPr>
        <w:pStyle w:val="ListBullet"/>
        <w:keepLines w:val="0"/>
        <w:numPr>
          <w:ilvl w:val="0"/>
          <w:numId w:val="19"/>
        </w:numPr>
        <w:spacing w:before="120" w:after="60"/>
      </w:pPr>
      <w:r w:rsidRPr="00892DE3">
        <w:t>Tables 1 to 3 also disclose the variations, denoted by ‘var’, between the current and previous reporting periods.</w:t>
      </w:r>
    </w:p>
    <w:p w:rsidR="00080446" w:rsidRPr="00892DE3" w:rsidRDefault="00080446" w:rsidP="00587DAE">
      <w:pPr>
        <w:pStyle w:val="ListBullet"/>
        <w:keepLines w:val="0"/>
        <w:numPr>
          <w:ilvl w:val="0"/>
          <w:numId w:val="19"/>
        </w:numPr>
        <w:spacing w:before="120" w:after="60"/>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pPr>
    </w:p>
    <w:p w:rsidR="00080446" w:rsidRPr="00892DE3" w:rsidRDefault="00080446" w:rsidP="00080446">
      <w:pPr>
        <w:pStyle w:val="Reference"/>
      </w:pPr>
      <w:r w:rsidRPr="00892DE3">
        <w:t>FRD15D</w:t>
      </w: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Reference"/>
      </w:pPr>
      <w:r w:rsidRPr="00892DE3">
        <w:rPr>
          <w:b/>
          <w:color w:val="0063A6" w:themeColor="accent1"/>
        </w:rPr>
        <w:t>Revised</w:t>
      </w:r>
    </w:p>
    <w:p w:rsidR="00080446" w:rsidRPr="00892DE3" w:rsidRDefault="00080446" w:rsidP="00D22703">
      <w:pPr>
        <w:pStyle w:val="TableHeading"/>
      </w:pPr>
      <w:r w:rsidRPr="00892DE3">
        <w:br w:type="column"/>
      </w:r>
      <w:r w:rsidRPr="00892DE3">
        <w:lastRenderedPageBreak/>
        <w:t xml:space="preserve">Table 1: Total number of EOs for the Department, broken down into gender </w:t>
      </w:r>
    </w:p>
    <w:tbl>
      <w:tblPr>
        <w:tblStyle w:val="DTFTable"/>
        <w:tblW w:w="6324" w:type="dxa"/>
        <w:tblLayout w:type="fixed"/>
        <w:tblLook w:val="06E0" w:firstRow="1" w:lastRow="1" w:firstColumn="1" w:lastColumn="0" w:noHBand="1" w:noVBand="1"/>
      </w:tblPr>
      <w:tblGrid>
        <w:gridCol w:w="2146"/>
        <w:gridCol w:w="693"/>
        <w:gridCol w:w="693"/>
        <w:gridCol w:w="693"/>
        <w:gridCol w:w="585"/>
        <w:gridCol w:w="790"/>
        <w:gridCol w:w="724"/>
      </w:tblGrid>
      <w:tr w:rsidR="00080446" w:rsidRPr="00892DE3" w:rsidTr="00D22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rsidR="00080446" w:rsidRPr="00892DE3" w:rsidRDefault="00080446" w:rsidP="00D22703">
            <w:pPr>
              <w:ind w:left="0" w:firstLine="0"/>
            </w:pPr>
          </w:p>
        </w:tc>
        <w:tc>
          <w:tcPr>
            <w:tcW w:w="1386" w:type="dxa"/>
            <w:gridSpan w:val="2"/>
          </w:tcPr>
          <w:p w:rsidR="00080446" w:rsidRPr="00892DE3" w:rsidRDefault="00080446" w:rsidP="00D22703">
            <w:pPr>
              <w:jc w:val="center"/>
              <w:cnfStyle w:val="100000000000" w:firstRow="1" w:lastRow="0" w:firstColumn="0" w:lastColumn="0" w:oddVBand="0" w:evenVBand="0" w:oddHBand="0" w:evenHBand="0" w:firstRowFirstColumn="0" w:firstRowLastColumn="0" w:lastRowFirstColumn="0" w:lastRowLastColumn="0"/>
            </w:pPr>
            <w:r w:rsidRPr="00892DE3">
              <w:t>All</w:t>
            </w:r>
          </w:p>
        </w:tc>
        <w:tc>
          <w:tcPr>
            <w:tcW w:w="1278" w:type="dxa"/>
            <w:gridSpan w:val="2"/>
          </w:tcPr>
          <w:p w:rsidR="00080446" w:rsidRPr="00892DE3" w:rsidRDefault="00080446" w:rsidP="00D22703">
            <w:pPr>
              <w:jc w:val="center"/>
              <w:cnfStyle w:val="100000000000" w:firstRow="1" w:lastRow="0" w:firstColumn="0" w:lastColumn="0" w:oddVBand="0" w:evenVBand="0" w:oddHBand="0" w:evenHBand="0" w:firstRowFirstColumn="0" w:firstRowLastColumn="0" w:lastRowFirstColumn="0" w:lastRowLastColumn="0"/>
            </w:pPr>
            <w:r w:rsidRPr="00892DE3">
              <w:t>Male</w:t>
            </w:r>
          </w:p>
        </w:tc>
        <w:tc>
          <w:tcPr>
            <w:tcW w:w="1514" w:type="dxa"/>
            <w:gridSpan w:val="2"/>
          </w:tcPr>
          <w:p w:rsidR="00080446" w:rsidRPr="00892DE3" w:rsidRDefault="00080446" w:rsidP="00D22703">
            <w:pPr>
              <w:jc w:val="center"/>
              <w:cnfStyle w:val="100000000000" w:firstRow="1" w:lastRow="0" w:firstColumn="0" w:lastColumn="0" w:oddVBand="0" w:evenVBand="0" w:oddHBand="0" w:evenHBand="0" w:firstRowFirstColumn="0" w:firstRowLastColumn="0" w:lastRowFirstColumn="0" w:lastRowLastColumn="0"/>
            </w:pPr>
            <w:r w:rsidRPr="00892DE3">
              <w:t>Female</w:t>
            </w:r>
          </w:p>
        </w:tc>
      </w:tr>
      <w:tr w:rsidR="00080446" w:rsidRPr="00892DE3" w:rsidTr="00D22703">
        <w:tc>
          <w:tcPr>
            <w:cnfStyle w:val="001000000000" w:firstRow="0" w:lastRow="0" w:firstColumn="1" w:lastColumn="0" w:oddVBand="0" w:evenVBand="0" w:oddHBand="0" w:evenHBand="0" w:firstRowFirstColumn="0" w:firstRowLastColumn="0" w:lastRowFirstColumn="0" w:lastRowLastColumn="0"/>
            <w:tcW w:w="2146" w:type="dxa"/>
          </w:tcPr>
          <w:p w:rsidR="00080446" w:rsidRPr="00892DE3" w:rsidRDefault="00080446" w:rsidP="00D22703">
            <w:pPr>
              <w:ind w:left="0" w:firstLine="0"/>
            </w:pPr>
            <w:r w:rsidRPr="00892DE3">
              <w:t>Class</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No.</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Var.</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No.</w:t>
            </w:r>
          </w:p>
        </w:tc>
        <w:tc>
          <w:tcPr>
            <w:tcW w:w="58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Var.</w:t>
            </w:r>
          </w:p>
        </w:tc>
        <w:tc>
          <w:tcPr>
            <w:tcW w:w="790"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No.</w:t>
            </w:r>
          </w:p>
        </w:tc>
        <w:tc>
          <w:tcPr>
            <w:tcW w:w="724"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Var.</w:t>
            </w:r>
          </w:p>
        </w:tc>
      </w:tr>
      <w:tr w:rsidR="00080446" w:rsidRPr="00892DE3" w:rsidTr="00D22703">
        <w:tc>
          <w:tcPr>
            <w:cnfStyle w:val="001000000000" w:firstRow="0" w:lastRow="0" w:firstColumn="1" w:lastColumn="0" w:oddVBand="0" w:evenVBand="0" w:oddHBand="0" w:evenHBand="0" w:firstRowFirstColumn="0" w:firstRowLastColumn="0" w:lastRowFirstColumn="0" w:lastRowLastColumn="0"/>
            <w:tcW w:w="2146" w:type="dxa"/>
          </w:tcPr>
          <w:p w:rsidR="00080446" w:rsidRPr="00892DE3" w:rsidRDefault="00080446" w:rsidP="00D22703">
            <w:pPr>
              <w:ind w:left="0" w:firstLine="0"/>
            </w:pPr>
            <w:r w:rsidRPr="00892DE3">
              <w:t>EO</w:t>
            </w:r>
            <w:r w:rsidRPr="00892DE3">
              <w:noBreakHyphen/>
              <w:t>1</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2</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0</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58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0</w:t>
            </w:r>
          </w:p>
        </w:tc>
        <w:tc>
          <w:tcPr>
            <w:tcW w:w="790"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724"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0</w:t>
            </w:r>
          </w:p>
        </w:tc>
      </w:tr>
      <w:tr w:rsidR="00080446" w:rsidRPr="00892DE3" w:rsidTr="00D22703">
        <w:tc>
          <w:tcPr>
            <w:cnfStyle w:val="001000000000" w:firstRow="0" w:lastRow="0" w:firstColumn="1" w:lastColumn="0" w:oddVBand="0" w:evenVBand="0" w:oddHBand="0" w:evenHBand="0" w:firstRowFirstColumn="0" w:firstRowLastColumn="0" w:lastRowFirstColumn="0" w:lastRowLastColumn="0"/>
            <w:tcW w:w="2146" w:type="dxa"/>
          </w:tcPr>
          <w:p w:rsidR="00080446" w:rsidRPr="00892DE3" w:rsidRDefault="00080446" w:rsidP="00D22703">
            <w:pPr>
              <w:ind w:left="0" w:firstLine="0"/>
            </w:pPr>
            <w:r w:rsidRPr="00892DE3">
              <w:t>EO</w:t>
            </w:r>
            <w:r w:rsidRPr="00892DE3">
              <w:noBreakHyphen/>
              <w:t>2</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22</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14</w:t>
            </w:r>
          </w:p>
        </w:tc>
        <w:tc>
          <w:tcPr>
            <w:tcW w:w="58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790"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8</w:t>
            </w:r>
          </w:p>
        </w:tc>
        <w:tc>
          <w:tcPr>
            <w:tcW w:w="724"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0</w:t>
            </w:r>
          </w:p>
        </w:tc>
      </w:tr>
      <w:tr w:rsidR="00080446" w:rsidRPr="00892DE3" w:rsidTr="00D22703">
        <w:tc>
          <w:tcPr>
            <w:cnfStyle w:val="001000000000" w:firstRow="0" w:lastRow="0" w:firstColumn="1" w:lastColumn="0" w:oddVBand="0" w:evenVBand="0" w:oddHBand="0" w:evenHBand="0" w:firstRowFirstColumn="0" w:firstRowLastColumn="0" w:lastRowFirstColumn="0" w:lastRowLastColumn="0"/>
            <w:tcW w:w="2146" w:type="dxa"/>
          </w:tcPr>
          <w:p w:rsidR="00080446" w:rsidRPr="00892DE3" w:rsidRDefault="00080446" w:rsidP="00D22703">
            <w:pPr>
              <w:ind w:left="0" w:firstLine="0"/>
            </w:pPr>
            <w:r w:rsidRPr="00892DE3">
              <w:t>EO</w:t>
            </w:r>
            <w:r w:rsidRPr="00892DE3">
              <w:noBreakHyphen/>
              <w:t>3</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54</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(3)</w:t>
            </w:r>
          </w:p>
        </w:tc>
        <w:tc>
          <w:tcPr>
            <w:tcW w:w="693"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29</w:t>
            </w:r>
          </w:p>
        </w:tc>
        <w:tc>
          <w:tcPr>
            <w:tcW w:w="58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790"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25</w:t>
            </w:r>
          </w:p>
        </w:tc>
        <w:tc>
          <w:tcPr>
            <w:tcW w:w="724"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(2)</w:t>
            </w:r>
          </w:p>
        </w:tc>
      </w:tr>
      <w:tr w:rsidR="00080446" w:rsidRPr="00892DE3" w:rsidTr="00D2270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rsidR="00080446" w:rsidRPr="00892DE3" w:rsidRDefault="00080446" w:rsidP="00D22703">
            <w:pPr>
              <w:ind w:left="0" w:firstLine="0"/>
            </w:pPr>
            <w:r w:rsidRPr="00892DE3">
              <w:t>Total</w:t>
            </w:r>
          </w:p>
        </w:tc>
        <w:tc>
          <w:tcPr>
            <w:tcW w:w="693"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78</w:t>
            </w:r>
          </w:p>
        </w:tc>
        <w:tc>
          <w:tcPr>
            <w:tcW w:w="693" w:type="dxa"/>
          </w:tcPr>
          <w:p w:rsidR="00080446" w:rsidRPr="00892DE3" w:rsidRDefault="002D2536" w:rsidP="00D22703">
            <w:pPr>
              <w:cnfStyle w:val="010000000000" w:firstRow="0" w:lastRow="1" w:firstColumn="0" w:lastColumn="0" w:oddVBand="0" w:evenVBand="0" w:oddHBand="0" w:evenHBand="0" w:firstRowFirstColumn="0" w:firstRowLastColumn="0" w:lastRowFirstColumn="0" w:lastRowLastColumn="0"/>
            </w:pPr>
            <w:r w:rsidRPr="00892DE3">
              <w:t>4</w:t>
            </w:r>
          </w:p>
        </w:tc>
        <w:tc>
          <w:tcPr>
            <w:tcW w:w="693"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44</w:t>
            </w:r>
          </w:p>
        </w:tc>
        <w:tc>
          <w:tcPr>
            <w:tcW w:w="585"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2</w:t>
            </w:r>
          </w:p>
        </w:tc>
        <w:tc>
          <w:tcPr>
            <w:tcW w:w="790"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34</w:t>
            </w:r>
          </w:p>
        </w:tc>
        <w:tc>
          <w:tcPr>
            <w:tcW w:w="724"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2</w:t>
            </w:r>
          </w:p>
        </w:tc>
      </w:tr>
    </w:tbl>
    <w:p w:rsidR="00080446" w:rsidRPr="00892DE3" w:rsidRDefault="00080446" w:rsidP="00080446">
      <w:pPr>
        <w:pStyle w:val="Note"/>
      </w:pPr>
    </w:p>
    <w:p w:rsidR="00080446" w:rsidRPr="00892DE3" w:rsidRDefault="00080446" w:rsidP="00080446">
      <w:pPr>
        <w:pStyle w:val="BodyText"/>
      </w:pPr>
      <w:r w:rsidRPr="00892DE3">
        <w:t>The number of executives in the Report of Operations is based on the number of executive positions that are occupied at the end of the financial year. Note 9.</w:t>
      </w:r>
      <w:r w:rsidR="0081558E" w:rsidRPr="00892DE3">
        <w:t xml:space="preserve">8 </w:t>
      </w:r>
      <w:r w:rsidRPr="00892DE3">
        <w:t>in the financial statements lists the actual number of EOs and the total remuneration paid to EOs 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rsidR="00080446" w:rsidRPr="00892DE3" w:rsidRDefault="00080446" w:rsidP="00D22703">
      <w:pPr>
        <w:pStyle w:val="TableHeading"/>
      </w:pPr>
      <w:r w:rsidRPr="00892DE3">
        <w:t>Table 2: Reconciliation of executive numbers</w:t>
      </w:r>
    </w:p>
    <w:tbl>
      <w:tblPr>
        <w:tblStyle w:val="DTFTable"/>
        <w:tblW w:w="8143" w:type="dxa"/>
        <w:tblLayout w:type="fixed"/>
        <w:tblLook w:val="0660" w:firstRow="1" w:lastRow="1" w:firstColumn="0" w:lastColumn="0" w:noHBand="1" w:noVBand="1"/>
      </w:tblPr>
      <w:tblGrid>
        <w:gridCol w:w="943"/>
        <w:gridCol w:w="5580"/>
        <w:gridCol w:w="810"/>
        <w:gridCol w:w="810"/>
      </w:tblGrid>
      <w:tr w:rsidR="00080446" w:rsidRPr="00892DE3" w:rsidTr="00D22703">
        <w:trPr>
          <w:cnfStyle w:val="100000000000" w:firstRow="1" w:lastRow="0" w:firstColumn="0" w:lastColumn="0" w:oddVBand="0" w:evenVBand="0" w:oddHBand="0" w:evenHBand="0" w:firstRowFirstColumn="0" w:firstRowLastColumn="0" w:lastRowFirstColumn="0" w:lastRowLastColumn="0"/>
        </w:trPr>
        <w:tc>
          <w:tcPr>
            <w:tcW w:w="943" w:type="dxa"/>
          </w:tcPr>
          <w:p w:rsidR="00080446" w:rsidRPr="00892DE3" w:rsidRDefault="00080446" w:rsidP="00D22703">
            <w:pPr>
              <w:jc w:val="left"/>
              <w:rPr>
                <w:i w:val="0"/>
              </w:rPr>
            </w:pPr>
          </w:p>
        </w:tc>
        <w:tc>
          <w:tcPr>
            <w:tcW w:w="5580" w:type="dxa"/>
          </w:tcPr>
          <w:p w:rsidR="00080446" w:rsidRPr="00892DE3" w:rsidRDefault="00080446" w:rsidP="00D22703">
            <w:pPr>
              <w:jc w:val="left"/>
            </w:pPr>
          </w:p>
        </w:tc>
        <w:tc>
          <w:tcPr>
            <w:tcW w:w="810" w:type="dxa"/>
          </w:tcPr>
          <w:p w:rsidR="00080446" w:rsidRPr="00892DE3" w:rsidRDefault="00080446" w:rsidP="00D22703">
            <w:r w:rsidRPr="00892DE3">
              <w:t>2016</w:t>
            </w:r>
          </w:p>
        </w:tc>
        <w:tc>
          <w:tcPr>
            <w:tcW w:w="810" w:type="dxa"/>
          </w:tcPr>
          <w:p w:rsidR="00080446" w:rsidRPr="00892DE3" w:rsidRDefault="00080446" w:rsidP="00D22703">
            <w:r w:rsidRPr="00892DE3">
              <w:t>2015</w:t>
            </w:r>
          </w:p>
        </w:tc>
      </w:tr>
      <w:tr w:rsidR="00080446" w:rsidRPr="00892DE3" w:rsidTr="00D22703">
        <w:tc>
          <w:tcPr>
            <w:tcW w:w="943" w:type="dxa"/>
          </w:tcPr>
          <w:p w:rsidR="00080446" w:rsidRPr="00892DE3" w:rsidRDefault="00080446" w:rsidP="00D22703">
            <w:pPr>
              <w:jc w:val="left"/>
            </w:pPr>
          </w:p>
        </w:tc>
        <w:tc>
          <w:tcPr>
            <w:tcW w:w="5580" w:type="dxa"/>
          </w:tcPr>
          <w:p w:rsidR="00080446" w:rsidRPr="00892DE3" w:rsidRDefault="00080446" w:rsidP="0081558E">
            <w:pPr>
              <w:jc w:val="left"/>
            </w:pPr>
            <w:r w:rsidRPr="00892DE3">
              <w:t>Executives (Financial Statement Note 9.</w:t>
            </w:r>
            <w:r w:rsidR="0081558E" w:rsidRPr="00892DE3">
              <w:t>8</w:t>
            </w:r>
            <w:r w:rsidRPr="00892DE3">
              <w:t>)</w:t>
            </w:r>
          </w:p>
        </w:tc>
        <w:tc>
          <w:tcPr>
            <w:tcW w:w="810" w:type="dxa"/>
          </w:tcPr>
          <w:p w:rsidR="00080446" w:rsidRPr="00892DE3" w:rsidRDefault="00080446" w:rsidP="00D22703">
            <w:r w:rsidRPr="00892DE3">
              <w:t>79</w:t>
            </w:r>
          </w:p>
        </w:tc>
        <w:tc>
          <w:tcPr>
            <w:tcW w:w="810" w:type="dxa"/>
          </w:tcPr>
          <w:p w:rsidR="00080446" w:rsidRPr="00892DE3" w:rsidRDefault="00080446" w:rsidP="00D22703">
            <w:r w:rsidRPr="00892DE3">
              <w:t>77</w:t>
            </w:r>
          </w:p>
        </w:tc>
      </w:tr>
      <w:tr w:rsidR="00080446" w:rsidRPr="00892DE3" w:rsidTr="00D22703">
        <w:tc>
          <w:tcPr>
            <w:tcW w:w="943" w:type="dxa"/>
          </w:tcPr>
          <w:p w:rsidR="00080446" w:rsidRPr="00892DE3" w:rsidRDefault="00080446" w:rsidP="00D22703">
            <w:pPr>
              <w:jc w:val="left"/>
            </w:pPr>
          </w:p>
        </w:tc>
        <w:tc>
          <w:tcPr>
            <w:tcW w:w="5580" w:type="dxa"/>
          </w:tcPr>
          <w:p w:rsidR="00080446" w:rsidRPr="00892DE3" w:rsidRDefault="00080446" w:rsidP="00D22703">
            <w:pPr>
              <w:jc w:val="left"/>
            </w:pPr>
            <w:r w:rsidRPr="00892DE3">
              <w:t>Accountable Officer (Secretary)</w:t>
            </w:r>
          </w:p>
        </w:tc>
        <w:tc>
          <w:tcPr>
            <w:tcW w:w="810" w:type="dxa"/>
          </w:tcPr>
          <w:p w:rsidR="00080446" w:rsidRPr="00892DE3" w:rsidRDefault="00080446" w:rsidP="00D22703">
            <w:r w:rsidRPr="00892DE3">
              <w:t>1</w:t>
            </w:r>
          </w:p>
        </w:tc>
        <w:tc>
          <w:tcPr>
            <w:tcW w:w="810" w:type="dxa"/>
          </w:tcPr>
          <w:p w:rsidR="00080446" w:rsidRPr="00892DE3" w:rsidRDefault="00080446" w:rsidP="00D22703">
            <w:r w:rsidRPr="00892DE3">
              <w:t>1</w:t>
            </w:r>
          </w:p>
        </w:tc>
      </w:tr>
      <w:tr w:rsidR="00080446" w:rsidRPr="00892DE3" w:rsidTr="00D22703">
        <w:trPr>
          <w:trHeight w:val="80"/>
        </w:trPr>
        <w:tc>
          <w:tcPr>
            <w:tcW w:w="943" w:type="dxa"/>
          </w:tcPr>
          <w:p w:rsidR="00080446" w:rsidRPr="00892DE3" w:rsidRDefault="00080446" w:rsidP="00D22703">
            <w:pPr>
              <w:jc w:val="left"/>
              <w:rPr>
                <w:i/>
              </w:rPr>
            </w:pPr>
            <w:r w:rsidRPr="00892DE3">
              <w:rPr>
                <w:i/>
              </w:rPr>
              <w:t>Less</w:t>
            </w:r>
          </w:p>
        </w:tc>
        <w:tc>
          <w:tcPr>
            <w:tcW w:w="5580" w:type="dxa"/>
          </w:tcPr>
          <w:p w:rsidR="00080446" w:rsidRPr="00892DE3" w:rsidRDefault="00080446" w:rsidP="00D22703">
            <w:pPr>
              <w:jc w:val="left"/>
            </w:pPr>
            <w:r w:rsidRPr="00892DE3">
              <w:t>Separations</w:t>
            </w:r>
          </w:p>
        </w:tc>
        <w:tc>
          <w:tcPr>
            <w:tcW w:w="810" w:type="dxa"/>
          </w:tcPr>
          <w:p w:rsidR="00080446" w:rsidRPr="00892DE3" w:rsidRDefault="00080446" w:rsidP="00D22703">
            <w:r w:rsidRPr="00892DE3">
              <w:t>(2)</w:t>
            </w:r>
          </w:p>
        </w:tc>
        <w:tc>
          <w:tcPr>
            <w:tcW w:w="810" w:type="dxa"/>
          </w:tcPr>
          <w:p w:rsidR="00080446" w:rsidRPr="00892DE3" w:rsidRDefault="00080446" w:rsidP="00D22703">
            <w:r w:rsidRPr="00892DE3">
              <w:t>(4)</w:t>
            </w:r>
          </w:p>
        </w:tc>
      </w:tr>
      <w:tr w:rsidR="00080446" w:rsidRPr="00892DE3" w:rsidTr="00D22703">
        <w:trPr>
          <w:cnfStyle w:val="010000000000" w:firstRow="0" w:lastRow="1" w:firstColumn="0" w:lastColumn="0" w:oddVBand="0" w:evenVBand="0" w:oddHBand="0" w:evenHBand="0" w:firstRowFirstColumn="0" w:firstRowLastColumn="0" w:lastRowFirstColumn="0" w:lastRowLastColumn="0"/>
        </w:trPr>
        <w:tc>
          <w:tcPr>
            <w:tcW w:w="943" w:type="dxa"/>
          </w:tcPr>
          <w:p w:rsidR="00080446" w:rsidRPr="00892DE3" w:rsidRDefault="00080446" w:rsidP="00D22703">
            <w:pPr>
              <w:jc w:val="left"/>
            </w:pPr>
          </w:p>
        </w:tc>
        <w:tc>
          <w:tcPr>
            <w:tcW w:w="5580" w:type="dxa"/>
          </w:tcPr>
          <w:p w:rsidR="00080446" w:rsidRPr="00892DE3" w:rsidRDefault="00080446" w:rsidP="00D22703">
            <w:pPr>
              <w:jc w:val="left"/>
            </w:pPr>
            <w:r w:rsidRPr="00892DE3">
              <w:t>Total executive numbers at 30 June</w:t>
            </w:r>
          </w:p>
        </w:tc>
        <w:tc>
          <w:tcPr>
            <w:tcW w:w="810" w:type="dxa"/>
          </w:tcPr>
          <w:p w:rsidR="00080446" w:rsidRPr="00892DE3" w:rsidRDefault="00080446" w:rsidP="00D22703">
            <w:r w:rsidRPr="00892DE3">
              <w:t>78</w:t>
            </w:r>
          </w:p>
        </w:tc>
        <w:tc>
          <w:tcPr>
            <w:tcW w:w="810" w:type="dxa"/>
          </w:tcPr>
          <w:p w:rsidR="00080446" w:rsidRPr="00892DE3" w:rsidRDefault="00080446" w:rsidP="00D22703">
            <w:r w:rsidRPr="00892DE3">
              <w:t>74</w:t>
            </w:r>
          </w:p>
        </w:tc>
      </w:tr>
    </w:tbl>
    <w:p w:rsidR="00080446" w:rsidRPr="00892DE3" w:rsidRDefault="00080446" w:rsidP="00080446">
      <w:pPr>
        <w:pStyle w:val="BodyText"/>
      </w:pPr>
    </w:p>
    <w:p w:rsidR="00080446" w:rsidRPr="00892DE3" w:rsidRDefault="00080446" w:rsidP="00D22703">
      <w:pPr>
        <w:pStyle w:val="TableHeading"/>
      </w:pPr>
      <w:r w:rsidRPr="00892DE3">
        <w:t>Table 3: Number of EOs for the Department’s portfolio agencies</w:t>
      </w:r>
    </w:p>
    <w:tbl>
      <w:tblPr>
        <w:tblStyle w:val="DTFTable"/>
        <w:tblW w:w="8106" w:type="dxa"/>
        <w:tblLayout w:type="fixed"/>
        <w:tblLook w:val="06E0" w:firstRow="1" w:lastRow="1" w:firstColumn="1" w:lastColumn="0" w:noHBand="1" w:noVBand="1"/>
      </w:tblPr>
      <w:tblGrid>
        <w:gridCol w:w="3733"/>
        <w:gridCol w:w="655"/>
        <w:gridCol w:w="675"/>
        <w:gridCol w:w="425"/>
        <w:gridCol w:w="637"/>
        <w:gridCol w:w="708"/>
        <w:gridCol w:w="567"/>
        <w:gridCol w:w="706"/>
      </w:tblGrid>
      <w:tr w:rsidR="00080446" w:rsidRPr="00892DE3" w:rsidTr="00D227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3" w:type="dxa"/>
          </w:tcPr>
          <w:p w:rsidR="00080446" w:rsidRPr="00892DE3" w:rsidRDefault="00080446" w:rsidP="00D22703">
            <w:pPr>
              <w:ind w:left="0" w:firstLine="0"/>
            </w:pPr>
          </w:p>
        </w:tc>
        <w:tc>
          <w:tcPr>
            <w:tcW w:w="1330" w:type="dxa"/>
            <w:gridSpan w:val="2"/>
          </w:tcPr>
          <w:p w:rsidR="00080446" w:rsidRPr="00892DE3" w:rsidRDefault="00080446" w:rsidP="00D22703">
            <w:pPr>
              <w:jc w:val="center"/>
              <w:cnfStyle w:val="100000000000" w:firstRow="1" w:lastRow="0" w:firstColumn="0" w:lastColumn="0" w:oddVBand="0" w:evenVBand="0" w:oddHBand="0" w:evenHBand="0" w:firstRowFirstColumn="0" w:firstRowLastColumn="0" w:lastRowFirstColumn="0" w:lastRowLastColumn="0"/>
            </w:pPr>
            <w:r w:rsidRPr="00892DE3">
              <w:t>Total</w:t>
            </w:r>
          </w:p>
        </w:tc>
        <w:tc>
          <w:tcPr>
            <w:tcW w:w="425" w:type="dxa"/>
            <w:vMerge w:val="restart"/>
          </w:tcPr>
          <w:p w:rsidR="00080446" w:rsidRPr="00892DE3" w:rsidRDefault="00080446" w:rsidP="00D22703">
            <w:pPr>
              <w:cnfStyle w:val="100000000000" w:firstRow="1" w:lastRow="0" w:firstColumn="0" w:lastColumn="0" w:oddVBand="0" w:evenVBand="0" w:oddHBand="0" w:evenHBand="0" w:firstRowFirstColumn="0" w:firstRowLastColumn="0" w:lastRowFirstColumn="0" w:lastRowLastColumn="0"/>
            </w:pPr>
          </w:p>
        </w:tc>
        <w:tc>
          <w:tcPr>
            <w:tcW w:w="1345" w:type="dxa"/>
            <w:gridSpan w:val="2"/>
          </w:tcPr>
          <w:p w:rsidR="00080446" w:rsidRPr="00892DE3" w:rsidRDefault="00080446" w:rsidP="00D22703">
            <w:pPr>
              <w:jc w:val="center"/>
              <w:cnfStyle w:val="100000000000" w:firstRow="1" w:lastRow="0" w:firstColumn="0" w:lastColumn="0" w:oddVBand="0" w:evenVBand="0" w:oddHBand="0" w:evenHBand="0" w:firstRowFirstColumn="0" w:firstRowLastColumn="0" w:lastRowFirstColumn="0" w:lastRowLastColumn="0"/>
            </w:pPr>
            <w:r w:rsidRPr="00892DE3">
              <w:t>Male</w:t>
            </w:r>
          </w:p>
        </w:tc>
        <w:tc>
          <w:tcPr>
            <w:tcW w:w="1273" w:type="dxa"/>
            <w:gridSpan w:val="2"/>
          </w:tcPr>
          <w:p w:rsidR="00080446" w:rsidRPr="00892DE3" w:rsidRDefault="00080446" w:rsidP="00D22703">
            <w:pPr>
              <w:jc w:val="center"/>
              <w:cnfStyle w:val="100000000000" w:firstRow="1" w:lastRow="0" w:firstColumn="0" w:lastColumn="0" w:oddVBand="0" w:evenVBand="0" w:oddHBand="0" w:evenHBand="0" w:firstRowFirstColumn="0" w:firstRowLastColumn="0" w:lastRowFirstColumn="0" w:lastRowLastColumn="0"/>
            </w:pPr>
            <w:r w:rsidRPr="00892DE3">
              <w:t>Female</w:t>
            </w:r>
          </w:p>
        </w:tc>
      </w:tr>
      <w:tr w:rsidR="00080446" w:rsidRPr="00892DE3" w:rsidTr="00D227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3" w:type="dxa"/>
          </w:tcPr>
          <w:p w:rsidR="00080446" w:rsidRPr="00892DE3" w:rsidRDefault="00080446" w:rsidP="00D22703">
            <w:pPr>
              <w:ind w:left="0" w:firstLine="0"/>
            </w:pPr>
            <w:r w:rsidRPr="00892DE3">
              <w:t>Portfolio agencies</w:t>
            </w:r>
          </w:p>
        </w:tc>
        <w:tc>
          <w:tcPr>
            <w:tcW w:w="655" w:type="dxa"/>
          </w:tcPr>
          <w:p w:rsidR="00080446" w:rsidRPr="00892DE3" w:rsidRDefault="00080446" w:rsidP="00D22703">
            <w:pPr>
              <w:cnfStyle w:val="100000000000" w:firstRow="1" w:lastRow="0" w:firstColumn="0" w:lastColumn="0" w:oddVBand="0" w:evenVBand="0" w:oddHBand="0" w:evenHBand="0" w:firstRowFirstColumn="0" w:firstRowLastColumn="0" w:lastRowFirstColumn="0" w:lastRowLastColumn="0"/>
            </w:pPr>
            <w:r w:rsidRPr="00892DE3">
              <w:t>No.</w:t>
            </w:r>
          </w:p>
        </w:tc>
        <w:tc>
          <w:tcPr>
            <w:tcW w:w="675" w:type="dxa"/>
          </w:tcPr>
          <w:p w:rsidR="00080446" w:rsidRPr="00892DE3" w:rsidRDefault="00080446" w:rsidP="00D22703">
            <w:pPr>
              <w:cnfStyle w:val="100000000000" w:firstRow="1" w:lastRow="0" w:firstColumn="0" w:lastColumn="0" w:oddVBand="0" w:evenVBand="0" w:oddHBand="0" w:evenHBand="0" w:firstRowFirstColumn="0" w:firstRowLastColumn="0" w:lastRowFirstColumn="0" w:lastRowLastColumn="0"/>
            </w:pPr>
            <w:r w:rsidRPr="00892DE3">
              <w:t>Var.</w:t>
            </w:r>
          </w:p>
        </w:tc>
        <w:tc>
          <w:tcPr>
            <w:tcW w:w="425" w:type="dxa"/>
            <w:vMerge/>
          </w:tcPr>
          <w:p w:rsidR="00080446" w:rsidRPr="00892DE3" w:rsidRDefault="00080446" w:rsidP="00D22703">
            <w:pPr>
              <w:cnfStyle w:val="100000000000" w:firstRow="1" w:lastRow="0" w:firstColumn="0" w:lastColumn="0" w:oddVBand="0" w:evenVBand="0" w:oddHBand="0" w:evenHBand="0" w:firstRowFirstColumn="0" w:firstRowLastColumn="0" w:lastRowFirstColumn="0" w:lastRowLastColumn="0"/>
            </w:pPr>
          </w:p>
        </w:tc>
        <w:tc>
          <w:tcPr>
            <w:tcW w:w="637" w:type="dxa"/>
          </w:tcPr>
          <w:p w:rsidR="00080446" w:rsidRPr="00892DE3" w:rsidRDefault="00080446" w:rsidP="00D22703">
            <w:pPr>
              <w:cnfStyle w:val="100000000000" w:firstRow="1" w:lastRow="0" w:firstColumn="0" w:lastColumn="0" w:oddVBand="0" w:evenVBand="0" w:oddHBand="0" w:evenHBand="0" w:firstRowFirstColumn="0" w:firstRowLastColumn="0" w:lastRowFirstColumn="0" w:lastRowLastColumn="0"/>
            </w:pPr>
            <w:r w:rsidRPr="00892DE3">
              <w:t>No.</w:t>
            </w:r>
          </w:p>
        </w:tc>
        <w:tc>
          <w:tcPr>
            <w:tcW w:w="708" w:type="dxa"/>
          </w:tcPr>
          <w:p w:rsidR="00080446" w:rsidRPr="00892DE3" w:rsidRDefault="00080446" w:rsidP="00D22703">
            <w:pPr>
              <w:cnfStyle w:val="100000000000" w:firstRow="1" w:lastRow="0" w:firstColumn="0" w:lastColumn="0" w:oddVBand="0" w:evenVBand="0" w:oddHBand="0" w:evenHBand="0" w:firstRowFirstColumn="0" w:firstRowLastColumn="0" w:lastRowFirstColumn="0" w:lastRowLastColumn="0"/>
            </w:pPr>
            <w:r w:rsidRPr="00892DE3">
              <w:t>Var.</w:t>
            </w:r>
          </w:p>
        </w:tc>
        <w:tc>
          <w:tcPr>
            <w:tcW w:w="567" w:type="dxa"/>
          </w:tcPr>
          <w:p w:rsidR="00080446" w:rsidRPr="00892DE3" w:rsidRDefault="00080446" w:rsidP="00D22703">
            <w:pPr>
              <w:cnfStyle w:val="100000000000" w:firstRow="1" w:lastRow="0" w:firstColumn="0" w:lastColumn="0" w:oddVBand="0" w:evenVBand="0" w:oddHBand="0" w:evenHBand="0" w:firstRowFirstColumn="0" w:firstRowLastColumn="0" w:lastRowFirstColumn="0" w:lastRowLastColumn="0"/>
            </w:pPr>
            <w:r w:rsidRPr="00892DE3">
              <w:t>No.</w:t>
            </w:r>
          </w:p>
        </w:tc>
        <w:tc>
          <w:tcPr>
            <w:tcW w:w="706" w:type="dxa"/>
          </w:tcPr>
          <w:p w:rsidR="00080446" w:rsidRPr="00892DE3" w:rsidRDefault="00080446" w:rsidP="00D22703">
            <w:pPr>
              <w:cnfStyle w:val="100000000000" w:firstRow="1" w:lastRow="0" w:firstColumn="0" w:lastColumn="0" w:oddVBand="0" w:evenVBand="0" w:oddHBand="0" w:evenHBand="0" w:firstRowFirstColumn="0" w:firstRowLastColumn="0" w:lastRowFirstColumn="0" w:lastRowLastColumn="0"/>
            </w:pPr>
            <w:r w:rsidRPr="00892DE3">
              <w:t>Var.</w:t>
            </w:r>
          </w:p>
        </w:tc>
      </w:tr>
      <w:tr w:rsidR="00080446" w:rsidRPr="00892DE3" w:rsidTr="00D22703">
        <w:tc>
          <w:tcPr>
            <w:cnfStyle w:val="001000000000" w:firstRow="0" w:lastRow="0" w:firstColumn="1" w:lastColumn="0" w:oddVBand="0" w:evenVBand="0" w:oddHBand="0" w:evenHBand="0" w:firstRowFirstColumn="0" w:firstRowLastColumn="0" w:lastRowFirstColumn="0" w:lastRowLastColumn="0"/>
            <w:tcW w:w="3733" w:type="dxa"/>
          </w:tcPr>
          <w:p w:rsidR="00080446" w:rsidRPr="00892DE3" w:rsidRDefault="00080446" w:rsidP="00D22703">
            <w:pPr>
              <w:ind w:left="0" w:firstLine="0"/>
            </w:pPr>
            <w:r w:rsidRPr="00892DE3">
              <w:t>Commissioner of New Technology</w:t>
            </w:r>
          </w:p>
        </w:tc>
        <w:tc>
          <w:tcPr>
            <w:tcW w:w="65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9</w:t>
            </w:r>
          </w:p>
        </w:tc>
        <w:tc>
          <w:tcPr>
            <w:tcW w:w="67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(4)</w:t>
            </w:r>
          </w:p>
        </w:tc>
        <w:tc>
          <w:tcPr>
            <w:tcW w:w="42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p>
        </w:tc>
        <w:tc>
          <w:tcPr>
            <w:tcW w:w="637"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9</w:t>
            </w:r>
          </w:p>
        </w:tc>
        <w:tc>
          <w:tcPr>
            <w:tcW w:w="708"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567"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0</w:t>
            </w:r>
          </w:p>
        </w:tc>
        <w:tc>
          <w:tcPr>
            <w:tcW w:w="706"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(3)</w:t>
            </w:r>
          </w:p>
        </w:tc>
      </w:tr>
      <w:tr w:rsidR="00080446" w:rsidRPr="00892DE3" w:rsidTr="00D22703">
        <w:tc>
          <w:tcPr>
            <w:cnfStyle w:val="001000000000" w:firstRow="0" w:lastRow="0" w:firstColumn="1" w:lastColumn="0" w:oddVBand="0" w:evenVBand="0" w:oddHBand="0" w:evenHBand="0" w:firstRowFirstColumn="0" w:firstRowLastColumn="0" w:lastRowFirstColumn="0" w:lastRowLastColumn="0"/>
            <w:tcW w:w="3733" w:type="dxa"/>
          </w:tcPr>
          <w:p w:rsidR="00080446" w:rsidRPr="00892DE3" w:rsidRDefault="00080446" w:rsidP="00D22703">
            <w:pPr>
              <w:ind w:left="0" w:firstLine="0"/>
            </w:pPr>
            <w:r w:rsidRPr="00892DE3">
              <w:t>Innovation Victoria</w:t>
            </w:r>
          </w:p>
        </w:tc>
        <w:tc>
          <w:tcPr>
            <w:tcW w:w="65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2</w:t>
            </w:r>
          </w:p>
        </w:tc>
        <w:tc>
          <w:tcPr>
            <w:tcW w:w="67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2</w:t>
            </w:r>
          </w:p>
        </w:tc>
        <w:tc>
          <w:tcPr>
            <w:tcW w:w="42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p>
        </w:tc>
        <w:tc>
          <w:tcPr>
            <w:tcW w:w="637"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0</w:t>
            </w:r>
          </w:p>
        </w:tc>
        <w:tc>
          <w:tcPr>
            <w:tcW w:w="708"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0</w:t>
            </w:r>
          </w:p>
        </w:tc>
        <w:tc>
          <w:tcPr>
            <w:tcW w:w="567"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2</w:t>
            </w:r>
          </w:p>
        </w:tc>
        <w:tc>
          <w:tcPr>
            <w:tcW w:w="706"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2</w:t>
            </w:r>
          </w:p>
        </w:tc>
      </w:tr>
      <w:tr w:rsidR="00080446" w:rsidRPr="00892DE3" w:rsidTr="00D22703">
        <w:tc>
          <w:tcPr>
            <w:cnfStyle w:val="001000000000" w:firstRow="0" w:lastRow="0" w:firstColumn="1" w:lastColumn="0" w:oddVBand="0" w:evenVBand="0" w:oddHBand="0" w:evenHBand="0" w:firstRowFirstColumn="0" w:firstRowLastColumn="0" w:lastRowFirstColumn="0" w:lastRowLastColumn="0"/>
            <w:tcW w:w="3733" w:type="dxa"/>
          </w:tcPr>
          <w:p w:rsidR="00080446" w:rsidRPr="00892DE3" w:rsidRDefault="00080446" w:rsidP="00D22703">
            <w:pPr>
              <w:ind w:left="0" w:firstLine="0"/>
            </w:pPr>
            <w:r w:rsidRPr="00892DE3">
              <w:t>Regional Computer Teaching</w:t>
            </w:r>
          </w:p>
        </w:tc>
        <w:tc>
          <w:tcPr>
            <w:tcW w:w="65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49</w:t>
            </w:r>
          </w:p>
        </w:tc>
        <w:tc>
          <w:tcPr>
            <w:tcW w:w="67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42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p>
        </w:tc>
        <w:tc>
          <w:tcPr>
            <w:tcW w:w="637"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36</w:t>
            </w:r>
          </w:p>
        </w:tc>
        <w:tc>
          <w:tcPr>
            <w:tcW w:w="708"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0</w:t>
            </w:r>
          </w:p>
        </w:tc>
        <w:tc>
          <w:tcPr>
            <w:tcW w:w="567"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13</w:t>
            </w:r>
          </w:p>
        </w:tc>
        <w:tc>
          <w:tcPr>
            <w:tcW w:w="706"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w:t>
            </w:r>
          </w:p>
        </w:tc>
      </w:tr>
      <w:tr w:rsidR="00080446" w:rsidRPr="00892DE3" w:rsidTr="00D22703">
        <w:tc>
          <w:tcPr>
            <w:cnfStyle w:val="001000000000" w:firstRow="0" w:lastRow="0" w:firstColumn="1" w:lastColumn="0" w:oddVBand="0" w:evenVBand="0" w:oddHBand="0" w:evenHBand="0" w:firstRowFirstColumn="0" w:firstRowLastColumn="0" w:lastRowFirstColumn="0" w:lastRowLastColumn="0"/>
            <w:tcW w:w="3733" w:type="dxa"/>
          </w:tcPr>
          <w:p w:rsidR="00080446" w:rsidRPr="00892DE3" w:rsidRDefault="00080446" w:rsidP="00D22703">
            <w:pPr>
              <w:ind w:left="0" w:firstLine="0"/>
            </w:pPr>
            <w:r w:rsidRPr="00892DE3">
              <w:t>Victorian Technology Commission</w:t>
            </w:r>
          </w:p>
        </w:tc>
        <w:tc>
          <w:tcPr>
            <w:tcW w:w="65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129</w:t>
            </w:r>
          </w:p>
        </w:tc>
        <w:tc>
          <w:tcPr>
            <w:tcW w:w="67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(19)</w:t>
            </w:r>
          </w:p>
        </w:tc>
        <w:tc>
          <w:tcPr>
            <w:tcW w:w="425"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p>
        </w:tc>
        <w:tc>
          <w:tcPr>
            <w:tcW w:w="637"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88</w:t>
            </w:r>
          </w:p>
        </w:tc>
        <w:tc>
          <w:tcPr>
            <w:tcW w:w="708"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(10)</w:t>
            </w:r>
          </w:p>
        </w:tc>
        <w:tc>
          <w:tcPr>
            <w:tcW w:w="567"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41</w:t>
            </w:r>
          </w:p>
        </w:tc>
        <w:tc>
          <w:tcPr>
            <w:tcW w:w="706" w:type="dxa"/>
          </w:tcPr>
          <w:p w:rsidR="00080446" w:rsidRPr="00892DE3" w:rsidRDefault="00080446" w:rsidP="00D22703">
            <w:pPr>
              <w:cnfStyle w:val="000000000000" w:firstRow="0" w:lastRow="0" w:firstColumn="0" w:lastColumn="0" w:oddVBand="0" w:evenVBand="0" w:oddHBand="0" w:evenHBand="0" w:firstRowFirstColumn="0" w:firstRowLastColumn="0" w:lastRowFirstColumn="0" w:lastRowLastColumn="0"/>
            </w:pPr>
            <w:r w:rsidRPr="00892DE3">
              <w:t>(9)</w:t>
            </w:r>
          </w:p>
        </w:tc>
      </w:tr>
      <w:tr w:rsidR="00080446" w:rsidRPr="00892DE3" w:rsidTr="00D2270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3" w:type="dxa"/>
          </w:tcPr>
          <w:p w:rsidR="00080446" w:rsidRPr="00892DE3" w:rsidRDefault="00080446" w:rsidP="00D22703">
            <w:pPr>
              <w:ind w:left="0" w:firstLine="0"/>
            </w:pPr>
            <w:r w:rsidRPr="00892DE3">
              <w:t>Total</w:t>
            </w:r>
          </w:p>
        </w:tc>
        <w:tc>
          <w:tcPr>
            <w:tcW w:w="655"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189</w:t>
            </w:r>
          </w:p>
        </w:tc>
        <w:tc>
          <w:tcPr>
            <w:tcW w:w="675"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(20)</w:t>
            </w:r>
          </w:p>
        </w:tc>
        <w:tc>
          <w:tcPr>
            <w:tcW w:w="425"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p>
        </w:tc>
        <w:tc>
          <w:tcPr>
            <w:tcW w:w="637"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133</w:t>
            </w:r>
          </w:p>
        </w:tc>
        <w:tc>
          <w:tcPr>
            <w:tcW w:w="708"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(11)</w:t>
            </w:r>
          </w:p>
        </w:tc>
        <w:tc>
          <w:tcPr>
            <w:tcW w:w="567"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56</w:t>
            </w:r>
          </w:p>
        </w:tc>
        <w:tc>
          <w:tcPr>
            <w:tcW w:w="706" w:type="dxa"/>
          </w:tcPr>
          <w:p w:rsidR="00080446" w:rsidRPr="00892DE3" w:rsidRDefault="00080446" w:rsidP="00D22703">
            <w:pPr>
              <w:cnfStyle w:val="010000000000" w:firstRow="0" w:lastRow="1" w:firstColumn="0" w:lastColumn="0" w:oddVBand="0" w:evenVBand="0" w:oddHBand="0" w:evenHBand="0" w:firstRowFirstColumn="0" w:firstRowLastColumn="0" w:lastRowFirstColumn="0" w:lastRowLastColumn="0"/>
            </w:pPr>
            <w:r w:rsidRPr="00892DE3">
              <w:t>(9)</w:t>
            </w:r>
          </w:p>
        </w:tc>
      </w:tr>
    </w:tbl>
    <w:p w:rsidR="00D22703" w:rsidRPr="00892DE3" w:rsidRDefault="00D22703" w:rsidP="00080446">
      <w:pPr>
        <w:pStyle w:val="BodyText"/>
      </w:pPr>
    </w:p>
    <w:p w:rsidR="00D22703" w:rsidRPr="00892DE3" w:rsidRDefault="00D22703">
      <w:pPr>
        <w:keepLines w:val="0"/>
      </w:pPr>
      <w:r w:rsidRPr="00892DE3">
        <w:br w:type="page"/>
      </w:r>
    </w:p>
    <w:p w:rsidR="00080446" w:rsidRPr="00892DE3" w:rsidRDefault="00080446" w:rsidP="00080446">
      <w:pPr>
        <w:pStyle w:val="Smallline"/>
      </w:pPr>
      <w:r w:rsidRPr="00892DE3">
        <w:lastRenderedPageBreak/>
        <w:br w:type="column"/>
      </w:r>
    </w:p>
    <w:p w:rsidR="00080446" w:rsidRPr="00892DE3" w:rsidRDefault="00080446" w:rsidP="00080446">
      <w:pPr>
        <w:pStyle w:val="Guidanceheading"/>
      </w:pPr>
      <w:r w:rsidRPr="00892DE3">
        <w:t>Guidance – EO data</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15D</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rPr>
          <w:b/>
          <w:color w:val="0063A6" w:themeColor="accent1"/>
        </w:rPr>
      </w:pPr>
    </w:p>
    <w:p w:rsidR="00241F12" w:rsidRDefault="00241F12" w:rsidP="00080446">
      <w:pPr>
        <w:pStyle w:val="Reference"/>
        <w:rPr>
          <w:b/>
          <w:color w:val="0063A6" w:themeColor="accent1"/>
        </w:rPr>
      </w:pPr>
    </w:p>
    <w:p w:rsidR="00241F12" w:rsidRPr="00892DE3" w:rsidRDefault="00241F12" w:rsidP="00241F12">
      <w:pPr>
        <w:pStyle w:val="Reference"/>
      </w:pPr>
      <w:r w:rsidRPr="00892DE3">
        <w:rPr>
          <w:b/>
          <w:color w:val="0063A6" w:themeColor="accent1"/>
        </w:rPr>
        <w:t>Revised</w:t>
      </w: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pPr>
    </w:p>
    <w:p w:rsidR="00080446" w:rsidRPr="00892DE3" w:rsidRDefault="00080446" w:rsidP="00080446">
      <w:pPr>
        <w:pStyle w:val="Guidance"/>
        <w:pBdr>
          <w:bottom w:val="none" w:sz="0" w:space="0" w:color="auto"/>
        </w:pBdr>
      </w:pPr>
      <w:r w:rsidRPr="00892DE3">
        <w:br w:type="column"/>
      </w:r>
      <w:r w:rsidRPr="00892DE3">
        <w:rPr>
          <w:b/>
        </w:rPr>
        <w:lastRenderedPageBreak/>
        <w:t>FRD 15D</w:t>
      </w:r>
      <w:r w:rsidRPr="00892DE3">
        <w:t xml:space="preserve"> ‘Executive officer disclosures in the report of operations’ by Departments explains the requirements for disclosing EO numbers in annual reports. It states that a Department’s report of operations must disclose the following disaggregated information on EO numbers as per the last pay period for the financial year:</w:t>
      </w:r>
    </w:p>
    <w:p w:rsidR="00080446" w:rsidRPr="00892DE3" w:rsidRDefault="00080446" w:rsidP="00587DAE">
      <w:pPr>
        <w:pStyle w:val="Guidancebullet"/>
        <w:numPr>
          <w:ilvl w:val="1"/>
          <w:numId w:val="24"/>
        </w:numPr>
        <w:pBdr>
          <w:bottom w:val="none" w:sz="0" w:space="0" w:color="auto"/>
        </w:pBdr>
        <w:ind w:left="446" w:hanging="446"/>
      </w:pPr>
      <w:r w:rsidRPr="00892DE3">
        <w:t>disaggregated information on EO numbers including:</w:t>
      </w:r>
    </w:p>
    <w:p w:rsidR="00080446" w:rsidRPr="00892DE3" w:rsidRDefault="00080446" w:rsidP="00080446">
      <w:pPr>
        <w:pStyle w:val="Guidanceindent"/>
        <w:pBdr>
          <w:bottom w:val="none" w:sz="0" w:space="0" w:color="auto"/>
        </w:pBdr>
      </w:pPr>
      <w:r w:rsidRPr="00892DE3">
        <w:tab/>
        <w:t>–</w:t>
      </w:r>
      <w:r w:rsidRPr="00892DE3">
        <w:tab/>
        <w:t>executive classification;</w:t>
      </w:r>
    </w:p>
    <w:p w:rsidR="00080446" w:rsidRPr="00892DE3" w:rsidRDefault="00080446" w:rsidP="00080446">
      <w:pPr>
        <w:pStyle w:val="Guidanceindent"/>
        <w:pBdr>
          <w:bottom w:val="none" w:sz="0" w:space="0" w:color="auto"/>
        </w:pBdr>
      </w:pPr>
      <w:r w:rsidRPr="00892DE3">
        <w:tab/>
        <w:t>–</w:t>
      </w:r>
      <w:r w:rsidRPr="00892DE3">
        <w:tab/>
        <w:t>gender split across classifications; and</w:t>
      </w:r>
    </w:p>
    <w:p w:rsidR="00080446" w:rsidRPr="00892DE3" w:rsidRDefault="00080446" w:rsidP="00080446">
      <w:pPr>
        <w:pStyle w:val="Guidanceindent"/>
        <w:pBdr>
          <w:bottom w:val="none" w:sz="0" w:space="0" w:color="auto"/>
        </w:pBdr>
      </w:pPr>
      <w:r w:rsidRPr="00892DE3">
        <w:tab/>
        <w:t>–</w:t>
      </w:r>
      <w:r w:rsidRPr="00892DE3">
        <w:tab/>
        <w:t>comparison to the previous reporting period.</w:t>
      </w:r>
    </w:p>
    <w:p w:rsidR="00080446" w:rsidRPr="00892DE3" w:rsidRDefault="00080446" w:rsidP="00587DAE">
      <w:pPr>
        <w:pStyle w:val="Guidancebullet"/>
        <w:numPr>
          <w:ilvl w:val="1"/>
          <w:numId w:val="24"/>
        </w:numPr>
        <w:pBdr>
          <w:bottom w:val="none" w:sz="0" w:space="0" w:color="auto"/>
        </w:pBdr>
        <w:ind w:left="446" w:hanging="446"/>
      </w:pPr>
      <w:r w:rsidRPr="00892DE3">
        <w:t>a reconciliation of the EO numbers that appear in the report of operations to those disclosed in the notes in the financial statements for the current and previous reporting periods; and</w:t>
      </w:r>
    </w:p>
    <w:p w:rsidR="00080446" w:rsidRPr="00892DE3" w:rsidRDefault="00080446" w:rsidP="00587DAE">
      <w:pPr>
        <w:pStyle w:val="Guidancebullet"/>
        <w:numPr>
          <w:ilvl w:val="1"/>
          <w:numId w:val="24"/>
        </w:numPr>
        <w:pBdr>
          <w:bottom w:val="none" w:sz="0" w:space="0" w:color="auto"/>
        </w:pBdr>
        <w:ind w:left="446" w:hanging="446"/>
      </w:pPr>
      <w:r w:rsidRPr="00892DE3">
        <w:t>EO numbers for all its portfolio entities.</w:t>
      </w:r>
    </w:p>
    <w:p w:rsidR="00241F12" w:rsidRDefault="00241F12" w:rsidP="00080446">
      <w:pPr>
        <w:pStyle w:val="Guidance"/>
        <w:pBdr>
          <w:bottom w:val="none" w:sz="0" w:space="0" w:color="auto"/>
        </w:pBdr>
      </w:pPr>
      <w:r>
        <w:t>The disclosure of gender can include non-binary gender descriptors where it is considered appropriate, however consideration should be given to individual privacy and preferences.</w:t>
      </w:r>
    </w:p>
    <w:p w:rsidR="00080446" w:rsidRPr="00892DE3" w:rsidRDefault="00080446" w:rsidP="00080446">
      <w:pPr>
        <w:pStyle w:val="Guidance"/>
        <w:pBdr>
          <w:bottom w:val="none" w:sz="0" w:space="0" w:color="auto"/>
        </w:pBdr>
      </w:pPr>
      <w:r w:rsidRPr="00892DE3">
        <w:t>This FRD provides definitions for accountable officers, EOs, and portfolio entities.</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Departments should follow the table format provided in the Model to show their executive numbers. EO numbers should be based on the annualised employee equivalent (AEE). Refer to the definition and calculation of AEE illustrated in the guidance of Note 9.</w:t>
      </w:r>
      <w:r w:rsidR="0081558E" w:rsidRPr="00892DE3">
        <w:t>8</w:t>
      </w:r>
      <w:r w:rsidRPr="00892DE3">
        <w:t xml:space="preserve"> of this Model.</w:t>
      </w:r>
    </w:p>
    <w:p w:rsidR="00080446" w:rsidRPr="00892DE3" w:rsidRDefault="00080446" w:rsidP="00080446">
      <w:pPr>
        <w:pStyle w:val="Guidance"/>
      </w:pPr>
      <w:r w:rsidRPr="00892DE3">
        <w:t xml:space="preserve">Departments are also required to provide a table reconciling EO numbers disclosed in the financial statements with those in the report of operations, showing accountable officers and separations. </w:t>
      </w:r>
    </w:p>
    <w:p w:rsidR="00080446" w:rsidRPr="00892DE3" w:rsidRDefault="00080446" w:rsidP="00080446">
      <w:pPr>
        <w:pStyle w:val="Guidance"/>
      </w:pPr>
      <w:r w:rsidRPr="00892DE3">
        <w:t>The information required in the table showing executive numbers in portfolio agencies of the Department can be sourced from the Government Sector Executive Remuneration Database, maintained by the Victorian Public Sector Commission. The database lists all public authorities and provides relevant information required for the disclosure.</w:t>
      </w:r>
    </w:p>
    <w:p w:rsidR="00080446" w:rsidRPr="00892DE3" w:rsidRDefault="00080446" w:rsidP="00080446">
      <w:pPr>
        <w:pStyle w:val="Note"/>
      </w:pPr>
    </w:p>
    <w:p w:rsidR="00080446" w:rsidRPr="00892DE3" w:rsidRDefault="00DA3433" w:rsidP="00DA3433">
      <w:pPr>
        <w:pStyle w:val="Heading1nonTOC"/>
        <w:pageBreakBefore/>
      </w:pPr>
      <w:bookmarkStart w:id="45" w:name="_Toc477967498"/>
      <w:r w:rsidRPr="00892DE3">
        <w:lastRenderedPageBreak/>
        <w:br w:type="column"/>
      </w:r>
      <w:bookmarkStart w:id="46" w:name="Report_Section4"/>
      <w:r w:rsidR="00080446" w:rsidRPr="00892DE3">
        <w:lastRenderedPageBreak/>
        <w:t>Section 4: Other disclosures</w:t>
      </w:r>
      <w:bookmarkEnd w:id="45"/>
      <w:bookmarkEnd w:id="46"/>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25C</w:t>
      </w: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p>
    <w:p w:rsidR="00080446" w:rsidRPr="00892DE3" w:rsidRDefault="00080446" w:rsidP="00080446">
      <w:pPr>
        <w:pStyle w:val="BodyText"/>
      </w:pPr>
    </w:p>
    <w:p w:rsidR="00DA3433" w:rsidRPr="00892DE3" w:rsidRDefault="00080446" w:rsidP="005C5F04">
      <w:r w:rsidRPr="00892DE3">
        <w:rPr>
          <w:b/>
          <w:color w:val="0063A6" w:themeColor="accent1"/>
          <w:sz w:val="14"/>
          <w:szCs w:val="16"/>
        </w:rPr>
        <w:t>Rev</w:t>
      </w:r>
      <w:r w:rsidRPr="00892DE3">
        <w:rPr>
          <w:rFonts w:eastAsia="Tahoma" w:cs="Arial"/>
          <w:b/>
          <w:iCs/>
          <w:noProof/>
          <w:color w:val="0063A6" w:themeColor="accent1"/>
          <w:sz w:val="14"/>
          <w:szCs w:val="16"/>
          <w:lang w:eastAsia="en-AU"/>
        </w:rPr>
        <w:t>i</w:t>
      </w:r>
      <w:r w:rsidRPr="00892DE3">
        <w:rPr>
          <w:b/>
          <w:color w:val="0063A6" w:themeColor="accent1"/>
          <w:sz w:val="14"/>
          <w:szCs w:val="16"/>
        </w:rPr>
        <w:t>sed</w:t>
      </w:r>
      <w:r w:rsidRPr="00892DE3">
        <w:rPr>
          <w:sz w:val="14"/>
        </w:rPr>
        <w:t xml:space="preserve"> </w:t>
      </w:r>
    </w:p>
    <w:p w:rsidR="002D2536" w:rsidRPr="00892DE3" w:rsidRDefault="00456F4B" w:rsidP="002D2536">
      <w:pPr>
        <w:pStyle w:val="Heading2nonTOC"/>
      </w:pPr>
      <w:r w:rsidRPr="00892DE3">
        <w:lastRenderedPageBreak/>
        <w:t xml:space="preserve">Local Jobs First - </w:t>
      </w:r>
      <w:r w:rsidR="002D2536" w:rsidRPr="00892DE3">
        <w:t>Victorian Industry Participation Policy</w:t>
      </w:r>
    </w:p>
    <w:p w:rsidR="00080446" w:rsidRPr="00892DE3" w:rsidRDefault="00080446" w:rsidP="005C5F04">
      <w:r w:rsidRPr="00892DE3">
        <w:t xml:space="preserve">The </w:t>
      </w:r>
      <w:r w:rsidRPr="00892DE3">
        <w:rPr>
          <w:i/>
        </w:rPr>
        <w:t>Victorian Industry Participation Policy Act 2003</w:t>
      </w:r>
      <w:r w:rsidRPr="00892DE3">
        <w:t xml:space="preserve"> requires Departments and public sector bodies to report on the implementation of the </w:t>
      </w:r>
      <w:r w:rsidR="00456F4B" w:rsidRPr="00892DE3">
        <w:t xml:space="preserve">Local Jobs First - </w:t>
      </w:r>
      <w:r w:rsidRPr="00892DE3">
        <w:t>Victorian Industry Participation Policy (</w:t>
      </w:r>
      <w:r w:rsidR="00456F4B" w:rsidRPr="00892DE3">
        <w:t xml:space="preserve">Local Jobs First - </w:t>
      </w:r>
      <w:r w:rsidRPr="00892DE3">
        <w:t xml:space="preserve">VIPP). Departments and public sector bodies are required to apply </w:t>
      </w:r>
      <w:r w:rsidR="00456F4B" w:rsidRPr="00892DE3">
        <w:t xml:space="preserve">the Local Jobs First - </w:t>
      </w:r>
      <w:r w:rsidRPr="00892DE3">
        <w:t>VIPP in all procurement activities valued at $3 million or more in metropolitan Melbourne and for state-wide projects, or $1 million or more for procurement activities in regional Victoria.</w:t>
      </w:r>
    </w:p>
    <w:p w:rsidR="00080446" w:rsidRPr="00892DE3" w:rsidRDefault="00080446" w:rsidP="00080446">
      <w:pPr>
        <w:pStyle w:val="BodyText"/>
      </w:pPr>
      <w:r w:rsidRPr="00892DE3">
        <w:t xml:space="preserve">During 2016-17, the Department commenced three </w:t>
      </w:r>
      <w:r w:rsidR="00456F4B" w:rsidRPr="00892DE3">
        <w:t xml:space="preserve">Local Jobs First - </w:t>
      </w:r>
      <w:r w:rsidRPr="00892DE3">
        <w:t xml:space="preserve">VIPP applicable </w:t>
      </w:r>
      <w:r w:rsidR="00456F4B" w:rsidRPr="00892DE3">
        <w:t>or</w:t>
      </w:r>
      <w:r w:rsidR="00344039" w:rsidRPr="00892DE3">
        <w:t xml:space="preserve"> Local Industry Development Plan (</w:t>
      </w:r>
      <w:r w:rsidR="00456F4B" w:rsidRPr="00892DE3">
        <w:t>LIDP</w:t>
      </w:r>
      <w:r w:rsidR="00344039" w:rsidRPr="00892DE3">
        <w:t>)</w:t>
      </w:r>
      <w:r w:rsidR="00456F4B" w:rsidRPr="00892DE3">
        <w:t xml:space="preserve"> applicable </w:t>
      </w:r>
      <w:r w:rsidRPr="00892DE3">
        <w:t>procurements totalling $44.16 million. Of those projects, one was located in regional Victoria</w:t>
      </w:r>
      <w:r w:rsidR="00456F4B" w:rsidRPr="00892DE3">
        <w:t>, representing 42 per cent of estimated local content,</w:t>
      </w:r>
      <w:r w:rsidRPr="00892DE3">
        <w:t xml:space="preserve"> and two in metropolitan Melbourne</w:t>
      </w:r>
      <w:r w:rsidR="00456F4B" w:rsidRPr="00892DE3">
        <w:t>, representing 51 per cent of estimated local content</w:t>
      </w:r>
      <w:r w:rsidRPr="00892DE3">
        <w:t xml:space="preserve">. </w:t>
      </w:r>
    </w:p>
    <w:p w:rsidR="00080446" w:rsidRPr="00892DE3" w:rsidRDefault="00080446" w:rsidP="00080446">
      <w:pPr>
        <w:pStyle w:val="BodyText"/>
      </w:pPr>
      <w:r w:rsidRPr="00892DE3">
        <w:t xml:space="preserve">The outcomes expected from the implementation of the </w:t>
      </w:r>
      <w:r w:rsidR="00456F4B" w:rsidRPr="00892DE3">
        <w:t xml:space="preserve">Local Jobs First - </w:t>
      </w:r>
      <w:r w:rsidRPr="00892DE3">
        <w:t>VIPP to these projects where information was provided are as follows:</w:t>
      </w:r>
    </w:p>
    <w:p w:rsidR="00080446" w:rsidRPr="00892DE3" w:rsidRDefault="00080446" w:rsidP="00587DAE">
      <w:pPr>
        <w:pStyle w:val="ListBullet"/>
        <w:keepLines w:val="0"/>
        <w:numPr>
          <w:ilvl w:val="0"/>
          <w:numId w:val="19"/>
        </w:numPr>
        <w:spacing w:before="120" w:after="60"/>
      </w:pPr>
      <w:r w:rsidRPr="00892DE3">
        <w:t>an average of 93 per cent of local content commitment was made;</w:t>
      </w:r>
    </w:p>
    <w:p w:rsidR="00080446" w:rsidRPr="00892DE3" w:rsidRDefault="00080446" w:rsidP="00587DAE">
      <w:pPr>
        <w:pStyle w:val="ListBullet"/>
        <w:keepLines w:val="0"/>
        <w:numPr>
          <w:ilvl w:val="0"/>
          <w:numId w:val="19"/>
        </w:numPr>
        <w:spacing w:before="120" w:after="60"/>
      </w:pPr>
      <w:r w:rsidRPr="00892DE3">
        <w:t>a total of 349 jobs (Annualised Employee Equivalent (AEE)) were committed, including the creation of nine new jobs and the retention of 340 existing jobs (AEE); and</w:t>
      </w:r>
    </w:p>
    <w:p w:rsidR="00080446" w:rsidRPr="00892DE3" w:rsidRDefault="00080446" w:rsidP="00587DAE">
      <w:pPr>
        <w:pStyle w:val="ListBullet"/>
        <w:keepLines w:val="0"/>
        <w:numPr>
          <w:ilvl w:val="0"/>
          <w:numId w:val="19"/>
        </w:numPr>
        <w:spacing w:before="120" w:after="60"/>
      </w:pPr>
      <w:r w:rsidRPr="00892DE3">
        <w:t>a total of six positions for apprentices/trainees were committed, including the creation of three new apprenticeships/traineeships, and the retention of the remaining three existing apprenticeships/traineeships.</w:t>
      </w:r>
    </w:p>
    <w:p w:rsidR="00456F4B" w:rsidRPr="00892DE3" w:rsidRDefault="00080446" w:rsidP="00080446">
      <w:pPr>
        <w:pStyle w:val="BodyText"/>
      </w:pPr>
      <w:r w:rsidRPr="00892DE3">
        <w:t xml:space="preserve">During 2016-17, the Department completed three </w:t>
      </w:r>
      <w:r w:rsidR="00456F4B" w:rsidRPr="00892DE3">
        <w:t xml:space="preserve">Local Jobs First - </w:t>
      </w:r>
      <w:r w:rsidRPr="00892DE3">
        <w:t xml:space="preserve">VIPP applicable projects, collectively valued at about $200 million. </w:t>
      </w:r>
      <w:r w:rsidR="00456F4B" w:rsidRPr="00892DE3">
        <w:t xml:space="preserve">Of these projects, two were located in regional Victoria, representing 25.3 per cent of estimated local content, and one in metropolitan Melbourne representing 63 per cent of estimated local content. </w:t>
      </w:r>
    </w:p>
    <w:p w:rsidR="00080446" w:rsidRPr="00892DE3" w:rsidRDefault="00080446" w:rsidP="00080446">
      <w:pPr>
        <w:pStyle w:val="BodyText"/>
      </w:pPr>
      <w:r w:rsidRPr="00892DE3">
        <w:t xml:space="preserve">The outcomes reported from the implementation of the </w:t>
      </w:r>
      <w:r w:rsidR="00456F4B" w:rsidRPr="00892DE3">
        <w:t xml:space="preserve">policy </w:t>
      </w:r>
      <w:r w:rsidRPr="00892DE3">
        <w:t xml:space="preserve">where information was provided, were as follows: </w:t>
      </w:r>
    </w:p>
    <w:p w:rsidR="00080446" w:rsidRPr="00892DE3" w:rsidRDefault="00080446" w:rsidP="00587DAE">
      <w:pPr>
        <w:pStyle w:val="ListBullet"/>
        <w:keepLines w:val="0"/>
        <w:numPr>
          <w:ilvl w:val="0"/>
          <w:numId w:val="19"/>
        </w:numPr>
        <w:spacing w:before="120" w:after="60"/>
      </w:pPr>
      <w:r w:rsidRPr="00892DE3">
        <w:t>an average of 88.3 per cent of local content outcome was recorded;</w:t>
      </w:r>
    </w:p>
    <w:p w:rsidR="00080446" w:rsidRPr="00892DE3" w:rsidRDefault="00080446" w:rsidP="00587DAE">
      <w:pPr>
        <w:pStyle w:val="ListBullet"/>
        <w:keepLines w:val="0"/>
        <w:numPr>
          <w:ilvl w:val="0"/>
          <w:numId w:val="19"/>
        </w:numPr>
        <w:spacing w:before="120" w:after="60"/>
      </w:pPr>
      <w:r w:rsidRPr="00892DE3">
        <w:t>a total of 77 (AEE) positions were created; and</w:t>
      </w:r>
    </w:p>
    <w:p w:rsidR="00080446" w:rsidRPr="00892DE3" w:rsidRDefault="00080446" w:rsidP="00587DAE">
      <w:pPr>
        <w:pStyle w:val="ListBullet"/>
        <w:keepLines w:val="0"/>
        <w:numPr>
          <w:ilvl w:val="0"/>
          <w:numId w:val="19"/>
        </w:numPr>
        <w:spacing w:before="120" w:after="60"/>
      </w:pPr>
      <w:r w:rsidRPr="00892DE3">
        <w:t>27 new apprenticeships/traineeships were created and 54 existing apprenticeships/traineeships retained.</w:t>
      </w:r>
    </w:p>
    <w:p w:rsidR="00080446" w:rsidRPr="00892DE3" w:rsidRDefault="00080446" w:rsidP="00080446">
      <w:pPr>
        <w:pStyle w:val="BodyText"/>
      </w:pPr>
      <w:r w:rsidRPr="00892DE3">
        <w:t xml:space="preserve">During 2016-17, </w:t>
      </w:r>
      <w:r w:rsidR="00456F4B" w:rsidRPr="00892DE3">
        <w:t xml:space="preserve">there were </w:t>
      </w:r>
      <w:r w:rsidRPr="00892DE3">
        <w:t xml:space="preserve">25 small to medium sized businesses </w:t>
      </w:r>
      <w:r w:rsidR="00456F4B" w:rsidRPr="00892DE3">
        <w:t xml:space="preserve">that </w:t>
      </w:r>
      <w:r w:rsidRPr="00892DE3">
        <w:t>prepared a VIPP Plan</w:t>
      </w:r>
      <w:r w:rsidR="00456F4B" w:rsidRPr="00892DE3">
        <w:t xml:space="preserve"> or LIDP for contracts</w:t>
      </w:r>
      <w:r w:rsidRPr="00892DE3">
        <w:t>, with the remaining prepared by large businesses.</w:t>
      </w:r>
    </w:p>
    <w:p w:rsidR="00456F4B" w:rsidRPr="00892DE3" w:rsidRDefault="00456F4B" w:rsidP="00456F4B">
      <w:pPr>
        <w:pStyle w:val="BodyText"/>
      </w:pPr>
      <w:r w:rsidRPr="00892DE3">
        <w:t xml:space="preserve">During 2016-17, one project, which commenced on or after 1 September, had the minimum formal weighting of 10 per cent applied for local content in the tender evaluation of the VIPP Plan or LIDP.  </w:t>
      </w:r>
    </w:p>
    <w:p w:rsidR="00717B32" w:rsidRPr="00892DE3" w:rsidRDefault="00456F4B" w:rsidP="00717B32">
      <w:r w:rsidRPr="00892DE3">
        <w:t>The Department commenced two contracts with a total of 96 per cent estimated to be of local content to which a VIPP Plan or LIDP was not required, as the procurement activity was local by nature.</w:t>
      </w:r>
    </w:p>
    <w:p w:rsidR="00717B32" w:rsidRPr="00892DE3" w:rsidRDefault="00717B32" w:rsidP="00717B32">
      <w:r w:rsidRPr="00892DE3">
        <w:t>For design contracts or grants provided during 2016-17, a total of three interaction reference numbers were required, which entailed a conversation with the Industry Capability Network (Victoria) Ltd.</w:t>
      </w:r>
    </w:p>
    <w:p w:rsidR="00080446" w:rsidRPr="00892DE3" w:rsidRDefault="00080446" w:rsidP="00080446">
      <w:pPr>
        <w:pStyle w:val="BodyText"/>
      </w:pPr>
    </w:p>
    <w:p w:rsidR="00D25696" w:rsidRPr="00892DE3" w:rsidRDefault="00D25696">
      <w:pPr>
        <w:keepLines w:val="0"/>
        <w:rPr>
          <w:lang w:eastAsia="en-AU"/>
        </w:rPr>
      </w:pPr>
      <w:r w:rsidRPr="00892DE3">
        <w:rPr>
          <w:lang w:eastAsia="en-AU"/>
        </w:rPr>
        <w:br w:type="page"/>
      </w:r>
    </w:p>
    <w:p w:rsidR="00080446" w:rsidRPr="00892DE3" w:rsidRDefault="00080446" w:rsidP="00080446">
      <w:pPr>
        <w:pStyle w:val="BodyText"/>
        <w:rPr>
          <w:lang w:eastAsia="en-AU"/>
        </w:rPr>
      </w:pPr>
    </w:p>
    <w:p w:rsidR="00080446" w:rsidRPr="00892DE3" w:rsidRDefault="00080446" w:rsidP="00080446">
      <w:pPr>
        <w:pStyle w:val="Reference"/>
      </w:pPr>
      <w:r w:rsidRPr="00892DE3">
        <w:t>FRD 25C</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354876" w:rsidRPr="00892DE3" w:rsidRDefault="00354876" w:rsidP="00080446">
      <w:pPr>
        <w:pStyle w:val="Reference"/>
        <w:rPr>
          <w:b/>
          <w:color w:val="0063A6" w:themeColor="accent1"/>
        </w:rPr>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pP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 xml:space="preserve">Guidance – Implementation of the </w:t>
      </w:r>
      <w:r w:rsidR="00E85DBE" w:rsidRPr="00892DE3">
        <w:t xml:space="preserve">Local Jobs First - </w:t>
      </w:r>
      <w:r w:rsidRPr="00892DE3">
        <w:t>Victorian Industry Participation Policy</w:t>
      </w:r>
    </w:p>
    <w:p w:rsidR="00080446" w:rsidRPr="00892DE3" w:rsidRDefault="00080446" w:rsidP="00080446">
      <w:pPr>
        <w:pStyle w:val="Guidanceheading1"/>
      </w:pPr>
      <w:r w:rsidRPr="00892DE3">
        <w:t xml:space="preserve">Reporting on all contracts except those related to grants provided </w:t>
      </w:r>
    </w:p>
    <w:p w:rsidR="00080446" w:rsidRPr="00892DE3" w:rsidRDefault="00080446" w:rsidP="00080446">
      <w:pPr>
        <w:pStyle w:val="Guidance"/>
        <w:pBdr>
          <w:bottom w:val="none" w:sz="0" w:space="0" w:color="auto"/>
        </w:pBdr>
      </w:pPr>
      <w:r w:rsidRPr="00892DE3">
        <w:t xml:space="preserve">The report of operations should contain the following information if applicable for contracts </w:t>
      </w:r>
      <w:r w:rsidRPr="00892DE3">
        <w:rPr>
          <w:b/>
        </w:rPr>
        <w:t>commenced and/or completed</w:t>
      </w:r>
      <w:r w:rsidRPr="00892DE3">
        <w:t xml:space="preserve"> to which the </w:t>
      </w:r>
      <w:r w:rsidR="00E85DBE" w:rsidRPr="00892DE3">
        <w:t xml:space="preserve">Local Jobs First - </w:t>
      </w:r>
      <w:r w:rsidRPr="00892DE3">
        <w:t>VIPP applied in the reporting period:</w:t>
      </w:r>
    </w:p>
    <w:p w:rsidR="00080446" w:rsidRPr="00892DE3" w:rsidRDefault="00080446" w:rsidP="00587DAE">
      <w:pPr>
        <w:pStyle w:val="Guidancebullet"/>
        <w:numPr>
          <w:ilvl w:val="1"/>
          <w:numId w:val="24"/>
        </w:numPr>
        <w:pBdr>
          <w:bottom w:val="none" w:sz="0" w:space="0" w:color="auto"/>
        </w:pBdr>
        <w:ind w:left="446" w:hanging="446"/>
      </w:pPr>
      <w:r w:rsidRPr="00892DE3">
        <w:t xml:space="preserve">During [insert current financial year], this Department commenced and/or completed [insert figure] contracts totalling $[insert figure] to which a VIPP Plan </w:t>
      </w:r>
      <w:r w:rsidR="00E85DBE" w:rsidRPr="00892DE3">
        <w:t xml:space="preserve">or Local Industry Development Plan (LIDP) </w:t>
      </w:r>
      <w:r w:rsidRPr="00892DE3">
        <w:t>was required.</w:t>
      </w:r>
    </w:p>
    <w:p w:rsidR="00080446" w:rsidRPr="00892DE3" w:rsidRDefault="00080446" w:rsidP="00587DAE">
      <w:pPr>
        <w:pStyle w:val="Guidancebullet"/>
        <w:numPr>
          <w:ilvl w:val="1"/>
          <w:numId w:val="24"/>
        </w:numPr>
        <w:pBdr>
          <w:bottom w:val="none" w:sz="0" w:space="0" w:color="auto"/>
        </w:pBdr>
        <w:ind w:left="446" w:hanging="446"/>
      </w:pPr>
      <w:r w:rsidRPr="00892DE3">
        <w:t xml:space="preserve">During [insert current financial year], this Department commenced [insert figure] contracts with a total of [insert figure] per cent estimated to be of local content to which a VIPP Plan </w:t>
      </w:r>
      <w:r w:rsidR="00E85DBE" w:rsidRPr="00892DE3">
        <w:t xml:space="preserve">or LIDP </w:t>
      </w:r>
      <w:r w:rsidRPr="00892DE3">
        <w:t>was not required as the procurement activity was local by nature.</w:t>
      </w:r>
    </w:p>
    <w:p w:rsidR="00080446" w:rsidRPr="00892DE3" w:rsidRDefault="00080446" w:rsidP="00587DAE">
      <w:pPr>
        <w:pStyle w:val="Guidancebullet"/>
        <w:numPr>
          <w:ilvl w:val="1"/>
          <w:numId w:val="24"/>
        </w:numPr>
        <w:pBdr>
          <w:bottom w:val="none" w:sz="0" w:space="0" w:color="auto"/>
        </w:pBdr>
        <w:ind w:left="446" w:hanging="446"/>
      </w:pPr>
      <w:r w:rsidRPr="00892DE3">
        <w:t>During [insert current financial year], this Department commenced [insert figure] contracts with a total of [insert figure] per cent estimated to be of local content to which a VIPP Plan was not required as the procurement activity was international by nature.</w:t>
      </w:r>
    </w:p>
    <w:p w:rsidR="00080446" w:rsidRPr="00892DE3" w:rsidRDefault="00080446" w:rsidP="00587DAE">
      <w:pPr>
        <w:pStyle w:val="Guidancebullet"/>
        <w:numPr>
          <w:ilvl w:val="1"/>
          <w:numId w:val="24"/>
        </w:numPr>
        <w:pBdr>
          <w:bottom w:val="none" w:sz="0" w:space="0" w:color="auto"/>
        </w:pBdr>
        <w:ind w:left="446" w:hanging="446"/>
      </w:pPr>
      <w:r w:rsidRPr="00892DE3">
        <w:t>During [insert current financial year], [insert figure] small to medium sized businesses prepared a VIPP Plan.</w:t>
      </w:r>
    </w:p>
    <w:p w:rsidR="00080446" w:rsidRPr="00892DE3" w:rsidRDefault="00080446" w:rsidP="00587DAE">
      <w:pPr>
        <w:pStyle w:val="Guidancebullet"/>
        <w:numPr>
          <w:ilvl w:val="1"/>
          <w:numId w:val="24"/>
        </w:numPr>
        <w:pBdr>
          <w:bottom w:val="none" w:sz="0" w:space="0" w:color="auto"/>
        </w:pBdr>
        <w:ind w:left="446" w:hanging="446"/>
      </w:pPr>
      <w:r w:rsidRPr="00892DE3">
        <w:t>During [insert current financial year], [insert figure] contracts commenced and/or completed, to which a VIPP Plan was required, occurred in metropolitan Melbourne, representing [insert figure] per cent of estimated local content.</w:t>
      </w:r>
    </w:p>
    <w:p w:rsidR="00080446" w:rsidRPr="00892DE3" w:rsidRDefault="00080446" w:rsidP="00587DAE">
      <w:pPr>
        <w:pStyle w:val="Guidancebullet"/>
        <w:numPr>
          <w:ilvl w:val="1"/>
          <w:numId w:val="24"/>
        </w:numPr>
        <w:pBdr>
          <w:bottom w:val="none" w:sz="0" w:space="0" w:color="auto"/>
        </w:pBdr>
        <w:ind w:left="446" w:hanging="446"/>
      </w:pPr>
      <w:r w:rsidRPr="00892DE3">
        <w:t>During [insert current financial year], [insert figure] contracts commenced and/or completed, to which a VIPP Plan was required, occurred in regional Victoria, representing [insert figure] per cent of estimated local content.</w:t>
      </w:r>
    </w:p>
    <w:p w:rsidR="00080446" w:rsidRPr="00892DE3" w:rsidRDefault="00080446" w:rsidP="00587DAE">
      <w:pPr>
        <w:pStyle w:val="Guidancebullet"/>
        <w:numPr>
          <w:ilvl w:val="1"/>
          <w:numId w:val="24"/>
        </w:numPr>
        <w:pBdr>
          <w:bottom w:val="none" w:sz="0" w:space="0" w:color="auto"/>
        </w:pBdr>
        <w:ind w:left="446" w:hanging="446"/>
      </w:pPr>
      <w:r w:rsidRPr="00892DE3">
        <w:t xml:space="preserve">The total VIPP Plan </w:t>
      </w:r>
      <w:r w:rsidR="00E85DBE" w:rsidRPr="00892DE3">
        <w:t xml:space="preserve">or LIDP </w:t>
      </w:r>
      <w:r w:rsidRPr="00892DE3">
        <w:t>commitments achieved as a result of contracts commenced include:</w:t>
      </w:r>
    </w:p>
    <w:p w:rsidR="00080446" w:rsidRPr="00892DE3" w:rsidRDefault="00080446" w:rsidP="00080446">
      <w:pPr>
        <w:pStyle w:val="Guidanceindent2"/>
      </w:pPr>
      <w:r w:rsidRPr="00892DE3">
        <w:tab/>
        <w:t>–</w:t>
      </w:r>
      <w:r w:rsidRPr="00892DE3">
        <w:tab/>
        <w:t>local content of [insert figure] per cent of the total value of the contracts;</w:t>
      </w:r>
    </w:p>
    <w:p w:rsidR="00080446" w:rsidRPr="00892DE3" w:rsidRDefault="00080446" w:rsidP="00080446">
      <w:pPr>
        <w:pStyle w:val="Guidanceindent2"/>
      </w:pPr>
      <w:r w:rsidRPr="00892DE3">
        <w:tab/>
        <w:t>–</w:t>
      </w:r>
      <w:r w:rsidRPr="00892DE3">
        <w:tab/>
        <w:t>[insert figure] new jobs and [insert figure] retained jobs (AEE). (Refer to the definition and calculation of AEE illustrated in the guidance of Note 9.1.1 of this Model);</w:t>
      </w:r>
    </w:p>
    <w:p w:rsidR="00080446" w:rsidRPr="00892DE3" w:rsidRDefault="00080446" w:rsidP="00080446">
      <w:pPr>
        <w:pStyle w:val="Guidanceindent2"/>
      </w:pPr>
      <w:r w:rsidRPr="00892DE3">
        <w:tab/>
        <w:t>–</w:t>
      </w:r>
      <w:r w:rsidRPr="00892DE3">
        <w:tab/>
        <w:t>[insert figure] new apprenticeships/traineeships and [insert figure] retained apprenticeships/traineeships; and</w:t>
      </w:r>
    </w:p>
    <w:p w:rsidR="00080446" w:rsidRPr="00892DE3" w:rsidRDefault="00080446" w:rsidP="00587DAE">
      <w:pPr>
        <w:pStyle w:val="Guidancebullet"/>
        <w:numPr>
          <w:ilvl w:val="1"/>
          <w:numId w:val="24"/>
        </w:numPr>
        <w:pBdr>
          <w:bottom w:val="none" w:sz="0" w:space="0" w:color="auto"/>
        </w:pBdr>
        <w:ind w:left="446" w:hanging="446"/>
      </w:pPr>
      <w:r w:rsidRPr="00892DE3">
        <w:t xml:space="preserve">The total VIPP Plan </w:t>
      </w:r>
      <w:r w:rsidR="00E85DBE" w:rsidRPr="00892DE3">
        <w:t xml:space="preserve">or LIDP </w:t>
      </w:r>
      <w:r w:rsidRPr="00892DE3">
        <w:t xml:space="preserve">commitments achieved as a result of contracts completed include: </w:t>
      </w:r>
    </w:p>
    <w:p w:rsidR="00080446" w:rsidRPr="00892DE3" w:rsidRDefault="00080446" w:rsidP="00080446">
      <w:pPr>
        <w:pStyle w:val="Guidanceindent2"/>
      </w:pPr>
      <w:r w:rsidRPr="00892DE3">
        <w:tab/>
        <w:t>–</w:t>
      </w:r>
      <w:r w:rsidRPr="00892DE3">
        <w:tab/>
        <w:t>local content of [insert figure] percentage of the total value of the contracts;</w:t>
      </w:r>
    </w:p>
    <w:p w:rsidR="00080446" w:rsidRPr="00892DE3" w:rsidRDefault="00080446" w:rsidP="00080446">
      <w:pPr>
        <w:pStyle w:val="Guidanceindent2"/>
      </w:pPr>
      <w:r w:rsidRPr="00892DE3">
        <w:tab/>
        <w:t>–</w:t>
      </w:r>
      <w:r w:rsidRPr="00892DE3">
        <w:tab/>
        <w:t>[insert figure] new jobs and [insert figure] retained jobs (AEE). (Refer to the definition and calculation of AEE illustrated in the guidance of Note 9.1.1 of this Model);</w:t>
      </w:r>
      <w:r w:rsidR="00E85DBE" w:rsidRPr="00892DE3">
        <w:t xml:space="preserve"> and</w:t>
      </w:r>
    </w:p>
    <w:p w:rsidR="00080446" w:rsidRPr="00892DE3" w:rsidRDefault="00080446" w:rsidP="00080446">
      <w:pPr>
        <w:pStyle w:val="Guidanceindent2"/>
      </w:pPr>
      <w:r w:rsidRPr="00892DE3">
        <w:tab/>
        <w:t>–</w:t>
      </w:r>
      <w:r w:rsidRPr="00892DE3">
        <w:tab/>
        <w:t>[insert figure] new apprenticeships/traineeships and [insert figure] retained apprenticeships/traineeships</w:t>
      </w:r>
      <w:r w:rsidR="00E85DBE" w:rsidRPr="00892DE3">
        <w:t>.</w:t>
      </w:r>
    </w:p>
    <w:p w:rsidR="00E85DBE" w:rsidRPr="00892DE3" w:rsidRDefault="00304C6D" w:rsidP="00304C6D">
      <w:pPr>
        <w:pStyle w:val="Guidancebullet"/>
        <w:numPr>
          <w:ilvl w:val="1"/>
          <w:numId w:val="24"/>
        </w:numPr>
        <w:pBdr>
          <w:bottom w:val="none" w:sz="0" w:space="0" w:color="auto"/>
        </w:pBdr>
        <w:ind w:left="446" w:hanging="446"/>
      </w:pPr>
      <w:r w:rsidRPr="00892DE3">
        <w:t>During [insert current financial year], [insert figure] contracts which commenced on or after 1 September, had the minimum formal weighting of 10 per cent applied for local content in the tender evaluation of the VIPP Plan or LIDP.</w:t>
      </w:r>
    </w:p>
    <w:p w:rsidR="00080446" w:rsidRPr="00892DE3" w:rsidRDefault="00080446" w:rsidP="00304C6D">
      <w:pPr>
        <w:pStyle w:val="Guidanceheading1"/>
      </w:pPr>
      <w:r w:rsidRPr="00892DE3">
        <w:t xml:space="preserve">Reporting on grants provided or design contracts </w:t>
      </w:r>
    </w:p>
    <w:p w:rsidR="00080446" w:rsidRPr="00892DE3" w:rsidRDefault="00080446" w:rsidP="00080446">
      <w:pPr>
        <w:pStyle w:val="Guidance"/>
      </w:pPr>
      <w:r w:rsidRPr="00892DE3">
        <w:t>The report of operations should contain the following information related to grants provided or design contracts to which an Interaction Reference Number was required:</w:t>
      </w:r>
    </w:p>
    <w:p w:rsidR="00080446" w:rsidRPr="00892DE3" w:rsidRDefault="00080446" w:rsidP="00587DAE">
      <w:pPr>
        <w:pStyle w:val="Guidancebullet"/>
        <w:numPr>
          <w:ilvl w:val="1"/>
          <w:numId w:val="24"/>
        </w:numPr>
        <w:ind w:left="446" w:hanging="446"/>
      </w:pPr>
      <w:r w:rsidRPr="00892DE3">
        <w:t xml:space="preserve">For design contracts or grants provided in the reporting period, a total of [insert figure] Interaction Reference Numbers were required, which entailed a conversation with the Industry Capability Network (Victoria) Ltd. </w:t>
      </w:r>
    </w:p>
    <w:p w:rsidR="00080446" w:rsidRPr="00892DE3" w:rsidRDefault="00080446" w:rsidP="00587DAE">
      <w:pPr>
        <w:pStyle w:val="Guidancebullet"/>
        <w:numPr>
          <w:ilvl w:val="1"/>
          <w:numId w:val="24"/>
        </w:numPr>
        <w:ind w:left="446" w:hanging="446"/>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120"/>
      </w:pPr>
      <w:r w:rsidRPr="00892DE3">
        <w:t>FRD 22H Recommendation 50, PAEC Report 118</w:t>
      </w:r>
    </w:p>
    <w:p w:rsidR="00080446" w:rsidRPr="00892DE3" w:rsidRDefault="00080446" w:rsidP="00AA770B">
      <w:pPr>
        <w:pStyle w:val="Heading2nonTOC"/>
      </w:pPr>
      <w:r w:rsidRPr="00892DE3">
        <w:br w:type="column"/>
      </w:r>
      <w:r w:rsidRPr="00892DE3">
        <w:lastRenderedPageBreak/>
        <w:t>Government advertising expenditure</w:t>
      </w:r>
    </w:p>
    <w:p w:rsidR="00A26EF7" w:rsidRPr="00892DE3" w:rsidRDefault="00A26EF7" w:rsidP="00A26EF7">
      <w:r w:rsidRPr="00892DE3">
        <w:t xml:space="preserve">In 2016-17, there were three government advertising campaigns with total media </w:t>
      </w:r>
      <w:r w:rsidR="00DF5E55" w:rsidRPr="00892DE3">
        <w:t>spend of $100 </w:t>
      </w:r>
      <w:r w:rsidRPr="00892DE3">
        <w:t xml:space="preserve">000 or greater (exclusive of GST). The details of each campaign are outlined below. </w:t>
      </w:r>
    </w:p>
    <w:p w:rsidR="00080446" w:rsidRPr="00892DE3" w:rsidRDefault="00080446" w:rsidP="005C5F04">
      <w:pPr>
        <w:pStyle w:val="TableHeading"/>
        <w:tabs>
          <w:tab w:val="clear" w:pos="9639"/>
          <w:tab w:val="right" w:pos="8222"/>
        </w:tabs>
        <w:ind w:left="0" w:firstLine="0"/>
      </w:pPr>
      <w:r w:rsidRPr="00892DE3">
        <w:t xml:space="preserve">Details of government advertising expenditure </w:t>
      </w:r>
      <w:r w:rsidR="005C5F04" w:rsidRPr="00892DE3">
        <w:br/>
      </w:r>
      <w:r w:rsidRPr="00892DE3">
        <w:t>(campaigns with a media spend of $100 000 or greater)</w:t>
      </w:r>
      <w:r w:rsidRPr="00892DE3">
        <w:tab/>
      </w:r>
      <w:r w:rsidRPr="00892DE3">
        <w:rPr>
          <w:rFonts w:ascii="Arial Bold" w:hAnsi="Arial Bold"/>
        </w:rPr>
        <w:t>($ thousand)</w:t>
      </w:r>
    </w:p>
    <w:tbl>
      <w:tblPr>
        <w:tblStyle w:val="DTFFinancialTable"/>
        <w:tblW w:w="8228" w:type="dxa"/>
        <w:tblLayout w:type="fixed"/>
        <w:tblCellMar>
          <w:left w:w="43" w:type="dxa"/>
          <w:right w:w="43" w:type="dxa"/>
        </w:tblCellMar>
        <w:tblLook w:val="0620" w:firstRow="1" w:lastRow="0" w:firstColumn="0" w:lastColumn="0" w:noHBand="1" w:noVBand="1"/>
      </w:tblPr>
      <w:tblGrid>
        <w:gridCol w:w="871"/>
        <w:gridCol w:w="1338"/>
        <w:gridCol w:w="795"/>
        <w:gridCol w:w="895"/>
        <w:gridCol w:w="999"/>
        <w:gridCol w:w="945"/>
        <w:gridCol w:w="918"/>
        <w:gridCol w:w="927"/>
        <w:gridCol w:w="540"/>
      </w:tblGrid>
      <w:tr w:rsidR="00080446" w:rsidRPr="00892DE3" w:rsidTr="00080446">
        <w:trPr>
          <w:cnfStyle w:val="100000000000" w:firstRow="1" w:lastRow="0" w:firstColumn="0" w:lastColumn="0" w:oddVBand="0" w:evenVBand="0" w:oddHBand="0" w:evenHBand="0" w:firstRowFirstColumn="0" w:firstRowLastColumn="0" w:lastRowFirstColumn="0" w:lastRowLastColumn="0"/>
          <w:trHeight w:val="283"/>
        </w:trPr>
        <w:tc>
          <w:tcPr>
            <w:tcW w:w="871" w:type="dxa"/>
          </w:tcPr>
          <w:p w:rsidR="00080446" w:rsidRPr="00892DE3" w:rsidRDefault="00080446" w:rsidP="00080446">
            <w:pPr>
              <w:pStyle w:val="BodyText"/>
              <w:spacing w:before="0" w:after="0"/>
              <w:jc w:val="center"/>
            </w:pPr>
          </w:p>
        </w:tc>
        <w:tc>
          <w:tcPr>
            <w:tcW w:w="1338" w:type="dxa"/>
          </w:tcPr>
          <w:p w:rsidR="00080446" w:rsidRPr="00892DE3" w:rsidRDefault="00080446" w:rsidP="00080446">
            <w:pPr>
              <w:pStyle w:val="BodyText"/>
              <w:spacing w:before="0" w:after="0"/>
              <w:jc w:val="center"/>
            </w:pPr>
          </w:p>
        </w:tc>
        <w:tc>
          <w:tcPr>
            <w:tcW w:w="795" w:type="dxa"/>
          </w:tcPr>
          <w:p w:rsidR="00080446" w:rsidRPr="00892DE3" w:rsidRDefault="00080446" w:rsidP="00080446">
            <w:pPr>
              <w:pStyle w:val="BodyText"/>
              <w:spacing w:before="0" w:after="0"/>
              <w:jc w:val="center"/>
            </w:pPr>
          </w:p>
        </w:tc>
        <w:tc>
          <w:tcPr>
            <w:tcW w:w="4684" w:type="dxa"/>
            <w:gridSpan w:val="5"/>
          </w:tcPr>
          <w:p w:rsidR="00080446" w:rsidRPr="00892DE3" w:rsidRDefault="00080446" w:rsidP="00080446">
            <w:pPr>
              <w:pStyle w:val="TabletextheadingCentred0"/>
            </w:pPr>
            <w:r w:rsidRPr="00892DE3">
              <w:rPr>
                <w:sz w:val="14"/>
              </w:rPr>
              <w:t>2016</w:t>
            </w:r>
            <w:r w:rsidRPr="00892DE3">
              <w:rPr>
                <w:sz w:val="14"/>
              </w:rPr>
              <w:noBreakHyphen/>
              <w:t>17</w:t>
            </w:r>
          </w:p>
        </w:tc>
        <w:tc>
          <w:tcPr>
            <w:tcW w:w="540" w:type="dxa"/>
          </w:tcPr>
          <w:p w:rsidR="00080446" w:rsidRPr="00892DE3" w:rsidRDefault="00080446" w:rsidP="00080446">
            <w:pPr>
              <w:pStyle w:val="BodyText"/>
              <w:spacing w:before="0" w:after="0"/>
              <w:jc w:val="center"/>
            </w:pPr>
          </w:p>
        </w:tc>
      </w:tr>
      <w:tr w:rsidR="00080446" w:rsidRPr="00892DE3" w:rsidTr="005C5F04">
        <w:trPr>
          <w:trHeight w:val="482"/>
        </w:trPr>
        <w:tc>
          <w:tcPr>
            <w:tcW w:w="871" w:type="dxa"/>
            <w:shd w:val="clear" w:color="auto" w:fill="000000" w:themeFill="text1"/>
            <w:vAlign w:val="bottom"/>
            <w:hideMark/>
          </w:tcPr>
          <w:p w:rsidR="00080446" w:rsidRPr="00892DE3" w:rsidRDefault="00080446" w:rsidP="00080446">
            <w:pPr>
              <w:pStyle w:val="Tabletextheadingleft"/>
              <w:rPr>
                <w:sz w:val="14"/>
                <w:szCs w:val="14"/>
              </w:rPr>
            </w:pPr>
            <w:r w:rsidRPr="00892DE3">
              <w:rPr>
                <w:sz w:val="14"/>
                <w:szCs w:val="14"/>
              </w:rPr>
              <w:t>Name of campaign</w:t>
            </w:r>
          </w:p>
        </w:tc>
        <w:tc>
          <w:tcPr>
            <w:tcW w:w="1338" w:type="dxa"/>
            <w:shd w:val="clear" w:color="auto" w:fill="000000" w:themeFill="text1"/>
            <w:vAlign w:val="bottom"/>
            <w:hideMark/>
          </w:tcPr>
          <w:p w:rsidR="00080446" w:rsidRPr="00892DE3" w:rsidRDefault="00080446" w:rsidP="00080446">
            <w:pPr>
              <w:pStyle w:val="Tabletextheadingleft"/>
              <w:rPr>
                <w:sz w:val="14"/>
                <w:szCs w:val="14"/>
              </w:rPr>
            </w:pPr>
            <w:r w:rsidRPr="00892DE3">
              <w:rPr>
                <w:sz w:val="14"/>
                <w:szCs w:val="14"/>
              </w:rPr>
              <w:t>Campaign summary</w:t>
            </w:r>
          </w:p>
        </w:tc>
        <w:tc>
          <w:tcPr>
            <w:tcW w:w="795" w:type="dxa"/>
            <w:shd w:val="clear" w:color="auto" w:fill="000000" w:themeFill="text1"/>
            <w:vAlign w:val="bottom"/>
            <w:hideMark/>
          </w:tcPr>
          <w:p w:rsidR="00080446" w:rsidRPr="00892DE3" w:rsidRDefault="00080446" w:rsidP="005C5F04">
            <w:pPr>
              <w:pStyle w:val="Tabletextheadingleft"/>
              <w:jc w:val="center"/>
              <w:rPr>
                <w:sz w:val="14"/>
                <w:szCs w:val="14"/>
              </w:rPr>
            </w:pPr>
            <w:r w:rsidRPr="00892DE3">
              <w:rPr>
                <w:sz w:val="14"/>
                <w:szCs w:val="14"/>
              </w:rPr>
              <w:t>Start/</w:t>
            </w:r>
            <w:r w:rsidRPr="00892DE3">
              <w:rPr>
                <w:sz w:val="14"/>
                <w:szCs w:val="14"/>
              </w:rPr>
              <w:br/>
              <w:t>end date</w:t>
            </w:r>
          </w:p>
        </w:tc>
        <w:tc>
          <w:tcPr>
            <w:tcW w:w="895" w:type="dxa"/>
            <w:shd w:val="clear" w:color="auto" w:fill="000000" w:themeFill="text1"/>
            <w:vAlign w:val="bottom"/>
            <w:hideMark/>
          </w:tcPr>
          <w:p w:rsidR="00080446" w:rsidRPr="00892DE3" w:rsidRDefault="00080446" w:rsidP="00080446">
            <w:pPr>
              <w:pStyle w:val="Tabletextheadingright"/>
              <w:rPr>
                <w:sz w:val="14"/>
                <w:szCs w:val="14"/>
              </w:rPr>
            </w:pPr>
            <w:r w:rsidRPr="00892DE3">
              <w:rPr>
                <w:sz w:val="14"/>
                <w:szCs w:val="14"/>
              </w:rPr>
              <w:t>Advertising (media) expenditure</w:t>
            </w:r>
            <w:r w:rsidRPr="00892DE3">
              <w:rPr>
                <w:sz w:val="14"/>
                <w:szCs w:val="14"/>
              </w:rPr>
              <w:br/>
              <w:t xml:space="preserve">(excl. GST) </w:t>
            </w:r>
          </w:p>
        </w:tc>
        <w:tc>
          <w:tcPr>
            <w:tcW w:w="999" w:type="dxa"/>
            <w:shd w:val="clear" w:color="auto" w:fill="000000" w:themeFill="text1"/>
            <w:vAlign w:val="bottom"/>
            <w:hideMark/>
          </w:tcPr>
          <w:p w:rsidR="00080446" w:rsidRPr="00892DE3" w:rsidRDefault="00080446" w:rsidP="00080446">
            <w:pPr>
              <w:pStyle w:val="Tabletextheadingright"/>
              <w:rPr>
                <w:sz w:val="14"/>
                <w:szCs w:val="14"/>
              </w:rPr>
            </w:pPr>
            <w:r w:rsidRPr="00892DE3">
              <w:rPr>
                <w:sz w:val="14"/>
                <w:szCs w:val="14"/>
              </w:rPr>
              <w:t>Creative and campaign development expenditure (excl. GST)</w:t>
            </w:r>
          </w:p>
        </w:tc>
        <w:tc>
          <w:tcPr>
            <w:tcW w:w="945" w:type="dxa"/>
            <w:shd w:val="clear" w:color="auto" w:fill="000000" w:themeFill="text1"/>
            <w:vAlign w:val="bottom"/>
            <w:hideMark/>
          </w:tcPr>
          <w:p w:rsidR="00080446" w:rsidRPr="00892DE3" w:rsidRDefault="00080446" w:rsidP="00080446">
            <w:pPr>
              <w:pStyle w:val="Tabletextheadingright"/>
              <w:rPr>
                <w:sz w:val="14"/>
                <w:szCs w:val="14"/>
              </w:rPr>
            </w:pPr>
            <w:r w:rsidRPr="00892DE3">
              <w:rPr>
                <w:sz w:val="14"/>
                <w:szCs w:val="14"/>
              </w:rPr>
              <w:t xml:space="preserve">Research and evaluation expenditure (excl. GST) </w:t>
            </w:r>
          </w:p>
        </w:tc>
        <w:tc>
          <w:tcPr>
            <w:tcW w:w="918" w:type="dxa"/>
            <w:shd w:val="clear" w:color="auto" w:fill="000000" w:themeFill="text1"/>
            <w:vAlign w:val="bottom"/>
            <w:hideMark/>
          </w:tcPr>
          <w:p w:rsidR="00080446" w:rsidRPr="00892DE3" w:rsidRDefault="00080446" w:rsidP="00080446">
            <w:pPr>
              <w:pStyle w:val="Tabletextheadingright"/>
              <w:rPr>
                <w:sz w:val="14"/>
                <w:szCs w:val="14"/>
              </w:rPr>
            </w:pPr>
            <w:r w:rsidRPr="00892DE3">
              <w:rPr>
                <w:sz w:val="14"/>
                <w:szCs w:val="14"/>
              </w:rPr>
              <w:t>Print and collateral expenditure (excl. GST)</w:t>
            </w:r>
          </w:p>
        </w:tc>
        <w:tc>
          <w:tcPr>
            <w:tcW w:w="927" w:type="dxa"/>
            <w:shd w:val="clear" w:color="auto" w:fill="000000" w:themeFill="text1"/>
            <w:vAlign w:val="bottom"/>
            <w:hideMark/>
          </w:tcPr>
          <w:p w:rsidR="00080446" w:rsidRPr="00892DE3" w:rsidRDefault="00080446" w:rsidP="00080446">
            <w:pPr>
              <w:pStyle w:val="Tabletextheadingright"/>
              <w:rPr>
                <w:sz w:val="14"/>
                <w:szCs w:val="14"/>
              </w:rPr>
            </w:pPr>
            <w:r w:rsidRPr="00892DE3">
              <w:rPr>
                <w:sz w:val="14"/>
                <w:szCs w:val="14"/>
              </w:rPr>
              <w:t xml:space="preserve">Other campaign expenditure (excl. GST) </w:t>
            </w:r>
          </w:p>
        </w:tc>
        <w:tc>
          <w:tcPr>
            <w:tcW w:w="540" w:type="dxa"/>
            <w:shd w:val="clear" w:color="auto" w:fill="000000" w:themeFill="text1"/>
            <w:vAlign w:val="bottom"/>
          </w:tcPr>
          <w:p w:rsidR="00080446" w:rsidRPr="00892DE3" w:rsidRDefault="00080446" w:rsidP="00080446">
            <w:pPr>
              <w:pStyle w:val="Tabletextheadingright"/>
              <w:rPr>
                <w:sz w:val="14"/>
                <w:szCs w:val="14"/>
              </w:rPr>
            </w:pPr>
            <w:r w:rsidRPr="00892DE3">
              <w:rPr>
                <w:sz w:val="14"/>
                <w:szCs w:val="14"/>
              </w:rPr>
              <w:t>Total</w:t>
            </w:r>
          </w:p>
        </w:tc>
      </w:tr>
      <w:tr w:rsidR="00080446" w:rsidRPr="00892DE3" w:rsidTr="00080446">
        <w:trPr>
          <w:trHeight w:val="352"/>
        </w:trPr>
        <w:tc>
          <w:tcPr>
            <w:tcW w:w="871" w:type="dxa"/>
          </w:tcPr>
          <w:p w:rsidR="00080446" w:rsidRPr="00892DE3" w:rsidRDefault="00080446" w:rsidP="00080446">
            <w:pPr>
              <w:pStyle w:val="Tabletext"/>
              <w:ind w:left="0" w:firstLine="0"/>
              <w:rPr>
                <w:sz w:val="14"/>
                <w:szCs w:val="14"/>
              </w:rPr>
            </w:pPr>
            <w:r w:rsidRPr="00892DE3">
              <w:rPr>
                <w:sz w:val="14"/>
                <w:szCs w:val="14"/>
              </w:rPr>
              <w:t>Online Safety</w:t>
            </w:r>
          </w:p>
        </w:tc>
        <w:tc>
          <w:tcPr>
            <w:tcW w:w="1338" w:type="dxa"/>
          </w:tcPr>
          <w:p w:rsidR="00080446" w:rsidRPr="00892DE3" w:rsidRDefault="00080446" w:rsidP="00080446">
            <w:pPr>
              <w:pStyle w:val="Tabletext"/>
              <w:ind w:left="0" w:firstLine="0"/>
              <w:rPr>
                <w:sz w:val="14"/>
                <w:szCs w:val="14"/>
              </w:rPr>
            </w:pPr>
            <w:r w:rsidRPr="00892DE3">
              <w:rPr>
                <w:sz w:val="14"/>
                <w:szCs w:val="14"/>
              </w:rPr>
              <w:t>To ensure Victorian users remain safe online, the Department launched a six month campaign aimed at informing and educating Victorians on how to stay safe online.</w:t>
            </w:r>
          </w:p>
        </w:tc>
        <w:tc>
          <w:tcPr>
            <w:tcW w:w="795" w:type="dxa"/>
          </w:tcPr>
          <w:p w:rsidR="00080446" w:rsidRPr="00892DE3" w:rsidRDefault="00080446" w:rsidP="005C5F04">
            <w:pPr>
              <w:pStyle w:val="Tabletext"/>
              <w:ind w:left="0" w:firstLine="0"/>
              <w:jc w:val="center"/>
              <w:rPr>
                <w:sz w:val="14"/>
                <w:szCs w:val="14"/>
              </w:rPr>
            </w:pPr>
            <w:r w:rsidRPr="00892DE3">
              <w:rPr>
                <w:sz w:val="14"/>
                <w:szCs w:val="14"/>
              </w:rPr>
              <w:t>Aug 2016 – Jan 2017</w:t>
            </w:r>
          </w:p>
        </w:tc>
        <w:tc>
          <w:tcPr>
            <w:tcW w:w="895" w:type="dxa"/>
          </w:tcPr>
          <w:p w:rsidR="00080446" w:rsidRPr="00892DE3" w:rsidRDefault="00080446" w:rsidP="00080446">
            <w:pPr>
              <w:pStyle w:val="Tabletextright"/>
              <w:rPr>
                <w:sz w:val="14"/>
                <w:szCs w:val="14"/>
              </w:rPr>
            </w:pPr>
            <w:r w:rsidRPr="00892DE3">
              <w:rPr>
                <w:sz w:val="14"/>
                <w:szCs w:val="14"/>
              </w:rPr>
              <w:t>1 250</w:t>
            </w:r>
          </w:p>
        </w:tc>
        <w:tc>
          <w:tcPr>
            <w:tcW w:w="999" w:type="dxa"/>
          </w:tcPr>
          <w:p w:rsidR="00080446" w:rsidRPr="00892DE3" w:rsidRDefault="00080446" w:rsidP="00080446">
            <w:pPr>
              <w:pStyle w:val="Tabletextright"/>
              <w:rPr>
                <w:sz w:val="14"/>
                <w:szCs w:val="14"/>
              </w:rPr>
            </w:pPr>
            <w:r w:rsidRPr="00892DE3">
              <w:rPr>
                <w:sz w:val="14"/>
                <w:szCs w:val="14"/>
              </w:rPr>
              <w:t>40</w:t>
            </w:r>
          </w:p>
        </w:tc>
        <w:tc>
          <w:tcPr>
            <w:tcW w:w="945" w:type="dxa"/>
          </w:tcPr>
          <w:p w:rsidR="00080446" w:rsidRPr="00892DE3" w:rsidRDefault="00080446" w:rsidP="00080446">
            <w:pPr>
              <w:pStyle w:val="Tabletextright"/>
              <w:rPr>
                <w:sz w:val="14"/>
                <w:szCs w:val="14"/>
              </w:rPr>
            </w:pPr>
            <w:r w:rsidRPr="00892DE3">
              <w:rPr>
                <w:sz w:val="14"/>
                <w:szCs w:val="14"/>
              </w:rPr>
              <w:t>15</w:t>
            </w:r>
          </w:p>
        </w:tc>
        <w:tc>
          <w:tcPr>
            <w:tcW w:w="918" w:type="dxa"/>
          </w:tcPr>
          <w:p w:rsidR="00080446" w:rsidRPr="00892DE3" w:rsidRDefault="00080446" w:rsidP="00080446">
            <w:pPr>
              <w:pStyle w:val="Tabletextright"/>
              <w:rPr>
                <w:sz w:val="14"/>
                <w:szCs w:val="14"/>
              </w:rPr>
            </w:pPr>
            <w:r w:rsidRPr="00892DE3">
              <w:rPr>
                <w:sz w:val="14"/>
                <w:szCs w:val="14"/>
              </w:rPr>
              <w:t>65</w:t>
            </w:r>
          </w:p>
        </w:tc>
        <w:tc>
          <w:tcPr>
            <w:tcW w:w="927" w:type="dxa"/>
          </w:tcPr>
          <w:p w:rsidR="00080446" w:rsidRPr="00892DE3" w:rsidRDefault="00080446" w:rsidP="00080446">
            <w:pPr>
              <w:pStyle w:val="Tabletextright"/>
              <w:rPr>
                <w:sz w:val="14"/>
                <w:szCs w:val="14"/>
              </w:rPr>
            </w:pPr>
            <w:r w:rsidRPr="00892DE3">
              <w:rPr>
                <w:sz w:val="14"/>
                <w:szCs w:val="14"/>
              </w:rPr>
              <w:t>0</w:t>
            </w:r>
          </w:p>
        </w:tc>
        <w:tc>
          <w:tcPr>
            <w:tcW w:w="540" w:type="dxa"/>
          </w:tcPr>
          <w:p w:rsidR="00080446" w:rsidRPr="00892DE3" w:rsidRDefault="00080446" w:rsidP="00080446">
            <w:pPr>
              <w:pStyle w:val="Tabletextright"/>
              <w:rPr>
                <w:sz w:val="14"/>
                <w:szCs w:val="14"/>
              </w:rPr>
            </w:pPr>
            <w:r w:rsidRPr="00892DE3">
              <w:rPr>
                <w:sz w:val="14"/>
                <w:szCs w:val="14"/>
              </w:rPr>
              <w:t>1 370</w:t>
            </w:r>
          </w:p>
        </w:tc>
      </w:tr>
      <w:tr w:rsidR="00080446" w:rsidRPr="00892DE3" w:rsidTr="00080446">
        <w:trPr>
          <w:trHeight w:val="2267"/>
        </w:trPr>
        <w:tc>
          <w:tcPr>
            <w:tcW w:w="871" w:type="dxa"/>
          </w:tcPr>
          <w:p w:rsidR="00080446" w:rsidRPr="00892DE3" w:rsidRDefault="00080446" w:rsidP="00080446">
            <w:pPr>
              <w:pStyle w:val="Tabletext"/>
              <w:ind w:left="0" w:firstLine="0"/>
              <w:rPr>
                <w:sz w:val="14"/>
                <w:szCs w:val="14"/>
              </w:rPr>
            </w:pPr>
            <w:r w:rsidRPr="00892DE3">
              <w:rPr>
                <w:sz w:val="14"/>
                <w:szCs w:val="14"/>
              </w:rPr>
              <w:t>E</w:t>
            </w:r>
            <w:r w:rsidRPr="00892DE3">
              <w:rPr>
                <w:sz w:val="14"/>
                <w:szCs w:val="14"/>
              </w:rPr>
              <w:noBreakHyphen/>
              <w:t>recycling</w:t>
            </w:r>
          </w:p>
        </w:tc>
        <w:tc>
          <w:tcPr>
            <w:tcW w:w="1338" w:type="dxa"/>
          </w:tcPr>
          <w:p w:rsidR="00080446" w:rsidRPr="00892DE3" w:rsidRDefault="00080446" w:rsidP="00080446">
            <w:pPr>
              <w:pStyle w:val="Tabletext"/>
              <w:ind w:left="0" w:firstLine="0"/>
              <w:rPr>
                <w:sz w:val="14"/>
                <w:szCs w:val="14"/>
              </w:rPr>
            </w:pPr>
            <w:r w:rsidRPr="00892DE3">
              <w:rPr>
                <w:sz w:val="14"/>
                <w:szCs w:val="14"/>
              </w:rPr>
              <w:t>The Department is committed to setting the standard for responsible recycling of electronic equipment. A six month campaign has been initiated to educate companies on how to responsibly dispose of electronic waste.</w:t>
            </w:r>
          </w:p>
        </w:tc>
        <w:tc>
          <w:tcPr>
            <w:tcW w:w="795" w:type="dxa"/>
          </w:tcPr>
          <w:p w:rsidR="00080446" w:rsidRPr="00892DE3" w:rsidRDefault="00080446" w:rsidP="005C5F04">
            <w:pPr>
              <w:pStyle w:val="Tabletext"/>
              <w:ind w:left="0" w:firstLine="0"/>
              <w:jc w:val="center"/>
              <w:rPr>
                <w:sz w:val="14"/>
                <w:szCs w:val="14"/>
              </w:rPr>
            </w:pPr>
            <w:r w:rsidRPr="00892DE3">
              <w:rPr>
                <w:sz w:val="14"/>
                <w:szCs w:val="14"/>
              </w:rPr>
              <w:t>Oct 2016 – Mar 2017</w:t>
            </w:r>
          </w:p>
        </w:tc>
        <w:tc>
          <w:tcPr>
            <w:tcW w:w="895" w:type="dxa"/>
          </w:tcPr>
          <w:p w:rsidR="00080446" w:rsidRPr="00892DE3" w:rsidRDefault="00080446" w:rsidP="00080446">
            <w:pPr>
              <w:pStyle w:val="Tabletextright"/>
              <w:rPr>
                <w:sz w:val="14"/>
                <w:szCs w:val="14"/>
              </w:rPr>
            </w:pPr>
            <w:r w:rsidRPr="00892DE3">
              <w:rPr>
                <w:sz w:val="14"/>
                <w:szCs w:val="14"/>
              </w:rPr>
              <w:t>620</w:t>
            </w:r>
          </w:p>
        </w:tc>
        <w:tc>
          <w:tcPr>
            <w:tcW w:w="999" w:type="dxa"/>
          </w:tcPr>
          <w:p w:rsidR="00080446" w:rsidRPr="00892DE3" w:rsidRDefault="00080446" w:rsidP="00080446">
            <w:pPr>
              <w:pStyle w:val="Tabletextright"/>
              <w:rPr>
                <w:sz w:val="14"/>
                <w:szCs w:val="14"/>
              </w:rPr>
            </w:pPr>
            <w:r w:rsidRPr="00892DE3">
              <w:rPr>
                <w:sz w:val="14"/>
                <w:szCs w:val="14"/>
              </w:rPr>
              <w:t>15</w:t>
            </w:r>
          </w:p>
        </w:tc>
        <w:tc>
          <w:tcPr>
            <w:tcW w:w="945" w:type="dxa"/>
          </w:tcPr>
          <w:p w:rsidR="00080446" w:rsidRPr="00892DE3" w:rsidRDefault="00080446" w:rsidP="00080446">
            <w:pPr>
              <w:pStyle w:val="Tabletextright"/>
              <w:rPr>
                <w:sz w:val="14"/>
                <w:szCs w:val="14"/>
              </w:rPr>
            </w:pPr>
            <w:r w:rsidRPr="00892DE3">
              <w:rPr>
                <w:sz w:val="14"/>
                <w:szCs w:val="14"/>
              </w:rPr>
              <w:t>32</w:t>
            </w:r>
          </w:p>
        </w:tc>
        <w:tc>
          <w:tcPr>
            <w:tcW w:w="918" w:type="dxa"/>
          </w:tcPr>
          <w:p w:rsidR="00080446" w:rsidRPr="00892DE3" w:rsidRDefault="00080446" w:rsidP="00080446">
            <w:pPr>
              <w:pStyle w:val="Tabletextright"/>
              <w:rPr>
                <w:sz w:val="14"/>
                <w:szCs w:val="14"/>
              </w:rPr>
            </w:pPr>
            <w:r w:rsidRPr="00892DE3">
              <w:rPr>
                <w:sz w:val="14"/>
                <w:szCs w:val="14"/>
              </w:rPr>
              <w:t>12</w:t>
            </w:r>
          </w:p>
        </w:tc>
        <w:tc>
          <w:tcPr>
            <w:tcW w:w="927" w:type="dxa"/>
          </w:tcPr>
          <w:p w:rsidR="00080446" w:rsidRPr="00892DE3" w:rsidRDefault="00080446" w:rsidP="00080446">
            <w:pPr>
              <w:pStyle w:val="Tabletextright"/>
              <w:rPr>
                <w:sz w:val="14"/>
                <w:szCs w:val="14"/>
              </w:rPr>
            </w:pPr>
            <w:r w:rsidRPr="00892DE3">
              <w:rPr>
                <w:sz w:val="14"/>
                <w:szCs w:val="14"/>
              </w:rPr>
              <w:t>8</w:t>
            </w:r>
          </w:p>
        </w:tc>
        <w:tc>
          <w:tcPr>
            <w:tcW w:w="540" w:type="dxa"/>
          </w:tcPr>
          <w:p w:rsidR="00080446" w:rsidRPr="00892DE3" w:rsidRDefault="00080446" w:rsidP="00080446">
            <w:pPr>
              <w:pStyle w:val="Tabletextright"/>
              <w:rPr>
                <w:sz w:val="14"/>
                <w:szCs w:val="14"/>
              </w:rPr>
            </w:pPr>
            <w:r w:rsidRPr="00892DE3">
              <w:rPr>
                <w:sz w:val="14"/>
                <w:szCs w:val="14"/>
              </w:rPr>
              <w:t>687</w:t>
            </w:r>
          </w:p>
        </w:tc>
      </w:tr>
      <w:tr w:rsidR="00080446" w:rsidRPr="00892DE3" w:rsidTr="00080446">
        <w:trPr>
          <w:trHeight w:val="1469"/>
        </w:trPr>
        <w:tc>
          <w:tcPr>
            <w:tcW w:w="871" w:type="dxa"/>
          </w:tcPr>
          <w:p w:rsidR="00080446" w:rsidRPr="00892DE3" w:rsidRDefault="00080446" w:rsidP="00080446">
            <w:pPr>
              <w:pStyle w:val="Tabletext"/>
              <w:ind w:left="0" w:firstLine="0"/>
              <w:rPr>
                <w:sz w:val="14"/>
                <w:szCs w:val="14"/>
              </w:rPr>
            </w:pPr>
            <w:r w:rsidRPr="00892DE3">
              <w:rPr>
                <w:sz w:val="14"/>
                <w:szCs w:val="14"/>
              </w:rPr>
              <w:t>Senior Citizens Computer Literacy Campaign</w:t>
            </w:r>
          </w:p>
        </w:tc>
        <w:tc>
          <w:tcPr>
            <w:tcW w:w="1338" w:type="dxa"/>
          </w:tcPr>
          <w:p w:rsidR="00080446" w:rsidRPr="00892DE3" w:rsidRDefault="00080446" w:rsidP="00080446">
            <w:pPr>
              <w:pStyle w:val="Tabletext"/>
              <w:ind w:left="0" w:firstLine="0"/>
              <w:rPr>
                <w:sz w:val="14"/>
                <w:szCs w:val="14"/>
              </w:rPr>
            </w:pPr>
            <w:r w:rsidRPr="00892DE3">
              <w:rPr>
                <w:sz w:val="14"/>
                <w:szCs w:val="14"/>
              </w:rPr>
              <w:t>The Department launched a three month campaign promoting short courses for senior citizens to assist in developing basic IT skills.</w:t>
            </w:r>
          </w:p>
        </w:tc>
        <w:tc>
          <w:tcPr>
            <w:tcW w:w="795" w:type="dxa"/>
          </w:tcPr>
          <w:p w:rsidR="00080446" w:rsidRPr="00892DE3" w:rsidRDefault="00080446" w:rsidP="005C5F04">
            <w:pPr>
              <w:pStyle w:val="Tabletext"/>
              <w:ind w:left="0" w:firstLine="0"/>
              <w:jc w:val="center"/>
              <w:rPr>
                <w:sz w:val="14"/>
                <w:szCs w:val="14"/>
              </w:rPr>
            </w:pPr>
            <w:r w:rsidRPr="00892DE3">
              <w:rPr>
                <w:sz w:val="14"/>
                <w:szCs w:val="14"/>
              </w:rPr>
              <w:t>Jan 2017 – Mar 2017</w:t>
            </w:r>
          </w:p>
        </w:tc>
        <w:tc>
          <w:tcPr>
            <w:tcW w:w="895" w:type="dxa"/>
          </w:tcPr>
          <w:p w:rsidR="00080446" w:rsidRPr="00892DE3" w:rsidRDefault="00080446" w:rsidP="00080446">
            <w:pPr>
              <w:pStyle w:val="Tabletextright"/>
              <w:rPr>
                <w:sz w:val="14"/>
                <w:szCs w:val="14"/>
              </w:rPr>
            </w:pPr>
            <w:r w:rsidRPr="00892DE3">
              <w:rPr>
                <w:sz w:val="14"/>
                <w:szCs w:val="14"/>
              </w:rPr>
              <w:t>500</w:t>
            </w:r>
          </w:p>
        </w:tc>
        <w:tc>
          <w:tcPr>
            <w:tcW w:w="999" w:type="dxa"/>
          </w:tcPr>
          <w:p w:rsidR="00080446" w:rsidRPr="00892DE3" w:rsidRDefault="00080446" w:rsidP="00080446">
            <w:pPr>
              <w:pStyle w:val="Tabletextright"/>
              <w:rPr>
                <w:sz w:val="14"/>
                <w:szCs w:val="14"/>
              </w:rPr>
            </w:pPr>
            <w:r w:rsidRPr="00892DE3">
              <w:rPr>
                <w:sz w:val="14"/>
                <w:szCs w:val="14"/>
              </w:rPr>
              <w:t>10</w:t>
            </w:r>
          </w:p>
        </w:tc>
        <w:tc>
          <w:tcPr>
            <w:tcW w:w="945" w:type="dxa"/>
          </w:tcPr>
          <w:p w:rsidR="00080446" w:rsidRPr="00892DE3" w:rsidRDefault="00080446" w:rsidP="00080446">
            <w:pPr>
              <w:pStyle w:val="Tabletextright"/>
              <w:rPr>
                <w:sz w:val="14"/>
                <w:szCs w:val="14"/>
              </w:rPr>
            </w:pPr>
            <w:r w:rsidRPr="00892DE3">
              <w:rPr>
                <w:sz w:val="14"/>
                <w:szCs w:val="14"/>
              </w:rPr>
              <w:t>40</w:t>
            </w:r>
          </w:p>
        </w:tc>
        <w:tc>
          <w:tcPr>
            <w:tcW w:w="918" w:type="dxa"/>
          </w:tcPr>
          <w:p w:rsidR="00080446" w:rsidRPr="00892DE3" w:rsidRDefault="00080446" w:rsidP="00080446">
            <w:pPr>
              <w:pStyle w:val="Tabletextright"/>
              <w:rPr>
                <w:sz w:val="14"/>
                <w:szCs w:val="14"/>
              </w:rPr>
            </w:pPr>
            <w:r w:rsidRPr="00892DE3">
              <w:rPr>
                <w:sz w:val="14"/>
                <w:szCs w:val="14"/>
              </w:rPr>
              <w:t>50</w:t>
            </w:r>
          </w:p>
        </w:tc>
        <w:tc>
          <w:tcPr>
            <w:tcW w:w="927" w:type="dxa"/>
          </w:tcPr>
          <w:p w:rsidR="00080446" w:rsidRPr="00892DE3" w:rsidRDefault="00080446" w:rsidP="00080446">
            <w:pPr>
              <w:pStyle w:val="Tabletextright"/>
              <w:rPr>
                <w:sz w:val="14"/>
                <w:szCs w:val="14"/>
              </w:rPr>
            </w:pPr>
            <w:r w:rsidRPr="00892DE3">
              <w:rPr>
                <w:sz w:val="14"/>
                <w:szCs w:val="14"/>
              </w:rPr>
              <w:t>10</w:t>
            </w:r>
          </w:p>
        </w:tc>
        <w:tc>
          <w:tcPr>
            <w:tcW w:w="540" w:type="dxa"/>
          </w:tcPr>
          <w:p w:rsidR="00080446" w:rsidRPr="00892DE3" w:rsidRDefault="00080446" w:rsidP="00080446">
            <w:pPr>
              <w:pStyle w:val="Tabletextright"/>
              <w:rPr>
                <w:sz w:val="14"/>
                <w:szCs w:val="14"/>
              </w:rPr>
            </w:pPr>
            <w:r w:rsidRPr="00892DE3">
              <w:rPr>
                <w:sz w:val="14"/>
                <w:szCs w:val="14"/>
              </w:rPr>
              <w:t>610</w:t>
            </w:r>
          </w:p>
        </w:tc>
      </w:tr>
    </w:tbl>
    <w:p w:rsidR="00080446" w:rsidRPr="00892DE3" w:rsidRDefault="00080446" w:rsidP="00080446">
      <w:pPr>
        <w:pStyle w:val="BodyText"/>
      </w:pPr>
    </w:p>
    <w:p w:rsidR="00080446" w:rsidRPr="00892DE3" w:rsidRDefault="00080446" w:rsidP="00080446">
      <w:pPr>
        <w:pStyle w:val="BodyText"/>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spacing w:before="120"/>
      </w:pPr>
    </w:p>
    <w:p w:rsidR="00080446" w:rsidRPr="00892DE3" w:rsidRDefault="00080446" w:rsidP="00080446">
      <w:pPr>
        <w:pStyle w:val="Reference"/>
      </w:pPr>
      <w:r w:rsidRPr="00892DE3">
        <w:t>FRD 22H</w:t>
      </w: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Guidance – Government advertising expenditure</w:t>
      </w:r>
    </w:p>
    <w:p w:rsidR="00080446" w:rsidRPr="00892DE3" w:rsidRDefault="00080446" w:rsidP="00080446">
      <w:pPr>
        <w:pStyle w:val="Guidance"/>
        <w:pBdr>
          <w:bottom w:val="none" w:sz="0" w:space="0" w:color="auto"/>
        </w:pBdr>
      </w:pPr>
      <w:r w:rsidRPr="00892DE3">
        <w:t>In accordance with paragraph 6.16 of FRD 22H</w:t>
      </w:r>
      <w:r w:rsidR="006A58CA">
        <w:t xml:space="preserve"> (to be issued in June 2017)</w:t>
      </w:r>
      <w:r w:rsidRPr="00892DE3">
        <w:t xml:space="preserve">, for each government advertising campaign with </w:t>
      </w:r>
      <w:r w:rsidRPr="00892DE3">
        <w:rPr>
          <w:b/>
        </w:rPr>
        <w:t>total</w:t>
      </w:r>
      <w:r w:rsidRPr="00892DE3">
        <w:t xml:space="preserve"> media buy of $100 000 or greater (exclusive of GST), an entity should include a schedule listing the following: </w:t>
      </w:r>
    </w:p>
    <w:p w:rsidR="00080446" w:rsidRPr="00892DE3" w:rsidRDefault="00080446" w:rsidP="00080446">
      <w:pPr>
        <w:pStyle w:val="Guidanceindent"/>
        <w:pBdr>
          <w:bottom w:val="none" w:sz="0" w:space="0" w:color="auto"/>
        </w:pBdr>
      </w:pPr>
      <w:r w:rsidRPr="00892DE3">
        <w:t>(a)</w:t>
      </w:r>
      <w:r w:rsidRPr="00892DE3">
        <w:tab/>
        <w:t>name of advertising campaign;</w:t>
      </w:r>
    </w:p>
    <w:p w:rsidR="00080446" w:rsidRPr="00892DE3" w:rsidRDefault="00080446" w:rsidP="00080446">
      <w:pPr>
        <w:pStyle w:val="Guidanceindent"/>
        <w:pBdr>
          <w:bottom w:val="none" w:sz="0" w:space="0" w:color="auto"/>
        </w:pBdr>
      </w:pPr>
      <w:r w:rsidRPr="00892DE3">
        <w:t>(b)</w:t>
      </w:r>
      <w:r w:rsidRPr="00892DE3">
        <w:tab/>
        <w:t>start and end date of campaign;</w:t>
      </w:r>
    </w:p>
    <w:p w:rsidR="00080446" w:rsidRPr="00892DE3" w:rsidRDefault="00080446" w:rsidP="00080446">
      <w:pPr>
        <w:pStyle w:val="Guidanceindent"/>
        <w:pBdr>
          <w:bottom w:val="none" w:sz="0" w:space="0" w:color="auto"/>
        </w:pBdr>
      </w:pPr>
      <w:r w:rsidRPr="00892DE3">
        <w:t>(c)</w:t>
      </w:r>
      <w:r w:rsidRPr="00892DE3">
        <w:tab/>
        <w:t>campaign summary; and</w:t>
      </w:r>
    </w:p>
    <w:p w:rsidR="00080446" w:rsidRPr="00892DE3" w:rsidRDefault="00080446" w:rsidP="00080446">
      <w:pPr>
        <w:pStyle w:val="Guidanceindent"/>
        <w:pBdr>
          <w:bottom w:val="none" w:sz="0" w:space="0" w:color="auto"/>
        </w:pBdr>
      </w:pPr>
      <w:r w:rsidRPr="00892DE3">
        <w:t>(d)</w:t>
      </w:r>
      <w:r w:rsidRPr="00892DE3">
        <w:tab/>
        <w:t>details of campaign expenditure for the reporting period (exclusive of GST) including:</w:t>
      </w:r>
    </w:p>
    <w:p w:rsidR="00080446" w:rsidRPr="00892DE3" w:rsidRDefault="00080446" w:rsidP="00080446">
      <w:pPr>
        <w:pStyle w:val="Guidanceindent2"/>
      </w:pPr>
      <w:r w:rsidRPr="00892DE3">
        <w:tab/>
        <w:t>–</w:t>
      </w:r>
      <w:r w:rsidRPr="00892DE3">
        <w:tab/>
        <w:t xml:space="preserve">advertising (media); </w:t>
      </w:r>
    </w:p>
    <w:p w:rsidR="00080446" w:rsidRPr="00892DE3" w:rsidRDefault="00080446" w:rsidP="00080446">
      <w:pPr>
        <w:pStyle w:val="Guidanceindent2"/>
      </w:pPr>
      <w:r w:rsidRPr="00892DE3">
        <w:tab/>
        <w:t>–</w:t>
      </w:r>
      <w:r w:rsidRPr="00892DE3">
        <w:tab/>
        <w:t xml:space="preserve">creative and campaign development; </w:t>
      </w:r>
    </w:p>
    <w:p w:rsidR="00080446" w:rsidRPr="00892DE3" w:rsidRDefault="00080446" w:rsidP="00080446">
      <w:pPr>
        <w:pStyle w:val="Guidanceindent2"/>
      </w:pPr>
      <w:r w:rsidRPr="00892DE3">
        <w:tab/>
        <w:t>–</w:t>
      </w:r>
      <w:r w:rsidRPr="00892DE3">
        <w:tab/>
        <w:t xml:space="preserve">research and evaluation; </w:t>
      </w:r>
    </w:p>
    <w:p w:rsidR="00080446" w:rsidRPr="00892DE3" w:rsidRDefault="00080446" w:rsidP="00080446">
      <w:pPr>
        <w:pStyle w:val="Guidanceindent2"/>
      </w:pPr>
      <w:r w:rsidRPr="00892DE3">
        <w:tab/>
        <w:t>–</w:t>
      </w:r>
      <w:r w:rsidRPr="00892DE3">
        <w:tab/>
        <w:t xml:space="preserve">print and collateral; and </w:t>
      </w:r>
    </w:p>
    <w:p w:rsidR="00080446" w:rsidRPr="00892DE3" w:rsidRDefault="00080446" w:rsidP="00080446">
      <w:pPr>
        <w:pStyle w:val="Guidanceindent2"/>
      </w:pPr>
      <w:r w:rsidRPr="00892DE3">
        <w:tab/>
        <w:t>–</w:t>
      </w:r>
      <w:r w:rsidRPr="00892DE3">
        <w:tab/>
        <w:t>other campaign costs.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Recommendation 49, PAEC Report 118</w:t>
      </w:r>
    </w:p>
    <w:p w:rsidR="00080446" w:rsidRPr="00892DE3" w:rsidRDefault="00080446" w:rsidP="00080446">
      <w:pPr>
        <w:pStyle w:val="Guidanceheading1"/>
      </w:pPr>
      <w:r w:rsidRPr="00892DE3">
        <w:br w:type="column"/>
      </w:r>
      <w:r w:rsidRPr="00892DE3">
        <w:lastRenderedPageBreak/>
        <w:t>Nil report statement</w:t>
      </w:r>
    </w:p>
    <w:p w:rsidR="00080446" w:rsidRPr="00892DE3" w:rsidRDefault="00080446" w:rsidP="00080446">
      <w:pPr>
        <w:pStyle w:val="Guidance"/>
      </w:pPr>
      <w:r w:rsidRPr="00892DE3">
        <w:t>An explicit statement of ‘nil reports’ is required where the relevant activities or circumstances do not trigger the disclosure threshold of $100 000 on government advertising expenditure.</w:t>
      </w:r>
    </w:p>
    <w:p w:rsidR="00080446" w:rsidRPr="00892DE3" w:rsidRDefault="00080446" w:rsidP="00080446">
      <w:pPr>
        <w:pBdr>
          <w:bottom w:val="single" w:sz="4" w:space="1" w:color="0072CE"/>
        </w:pBdr>
        <w:rPr>
          <w:b/>
        </w:r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120"/>
      </w:pPr>
      <w:r w:rsidRPr="00892DE3">
        <w:t>FRD 22H</w:t>
      </w:r>
    </w:p>
    <w:p w:rsidR="00080446" w:rsidRPr="00892DE3" w:rsidRDefault="00080446" w:rsidP="00080446">
      <w:pPr>
        <w:pStyle w:val="Reference"/>
      </w:pPr>
      <w:r w:rsidRPr="00892DE3">
        <w:t>Recommendation 71, PAEC Report 87</w:t>
      </w:r>
    </w:p>
    <w:p w:rsidR="00080446" w:rsidRPr="00892DE3" w:rsidRDefault="00080446" w:rsidP="005C5F04">
      <w:pPr>
        <w:pStyle w:val="Heading2nonTOC"/>
      </w:pPr>
      <w:r w:rsidRPr="00892DE3">
        <w:br w:type="column"/>
      </w:r>
      <w:bookmarkStart w:id="47" w:name="_Toc477967499"/>
      <w:r w:rsidRPr="00892DE3">
        <w:lastRenderedPageBreak/>
        <w:t>Consultancy expenditure</w:t>
      </w:r>
      <w:bookmarkEnd w:id="47"/>
    </w:p>
    <w:p w:rsidR="00080446" w:rsidRPr="00892DE3" w:rsidRDefault="00080446" w:rsidP="00D22703">
      <w:pPr>
        <w:pStyle w:val="Heading30"/>
      </w:pPr>
      <w:r w:rsidRPr="00892DE3">
        <w:t>Details of consultancies (valued at $10 000 or greater)</w:t>
      </w:r>
    </w:p>
    <w:p w:rsidR="00080446" w:rsidRPr="00892DE3" w:rsidRDefault="00080446" w:rsidP="00080446">
      <w:r w:rsidRPr="00892DE3">
        <w:t xml:space="preserve">In 2016-17, there were three consultancies where the total fees payable to the consultants were $10 000 or greater. The total expenditure incurred during 2016-17 in relation to these consultancies is $1.65 million (excluding GST). Details of individual consultancies are outlined below </w:t>
      </w:r>
      <w:r w:rsidRPr="00892DE3">
        <w:rPr>
          <w:color w:val="0072CE" w:themeColor="accent4"/>
        </w:rPr>
        <w:t>[insert website address if the entity chooses to report detailed disclosure online]</w:t>
      </w:r>
      <w:r w:rsidRPr="00892DE3">
        <w:t xml:space="preserve">. </w:t>
      </w:r>
    </w:p>
    <w:p w:rsidR="00080446" w:rsidRPr="00892DE3" w:rsidRDefault="00080446" w:rsidP="00080446">
      <w:pPr>
        <w:pStyle w:val="Tableunits0"/>
      </w:pPr>
      <w:r w:rsidRPr="00892DE3">
        <w:t>($ thousand)</w:t>
      </w:r>
    </w:p>
    <w:tbl>
      <w:tblPr>
        <w:tblStyle w:val="DTFFinancialTable"/>
        <w:tblW w:w="8231" w:type="dxa"/>
        <w:tblLayout w:type="fixed"/>
        <w:tblCellMar>
          <w:left w:w="43" w:type="dxa"/>
          <w:right w:w="43" w:type="dxa"/>
        </w:tblCellMar>
        <w:tblLook w:val="0660" w:firstRow="1" w:lastRow="1" w:firstColumn="0" w:lastColumn="0" w:noHBand="1" w:noVBand="1"/>
      </w:tblPr>
      <w:tblGrid>
        <w:gridCol w:w="1213"/>
        <w:gridCol w:w="1637"/>
        <w:gridCol w:w="1134"/>
        <w:gridCol w:w="1134"/>
        <w:gridCol w:w="982"/>
        <w:gridCol w:w="1051"/>
        <w:gridCol w:w="1080"/>
      </w:tblGrid>
      <w:tr w:rsidR="00080446" w:rsidRPr="00892DE3" w:rsidTr="00080446">
        <w:trPr>
          <w:cnfStyle w:val="100000000000" w:firstRow="1" w:lastRow="0" w:firstColumn="0" w:lastColumn="0" w:oddVBand="0" w:evenVBand="0" w:oddHBand="0" w:evenHBand="0" w:firstRowFirstColumn="0" w:firstRowLastColumn="0" w:lastRowFirstColumn="0" w:lastRowLastColumn="0"/>
          <w:trHeight w:val="482"/>
        </w:trPr>
        <w:tc>
          <w:tcPr>
            <w:tcW w:w="1213" w:type="dxa"/>
          </w:tcPr>
          <w:p w:rsidR="00080446" w:rsidRPr="00892DE3" w:rsidRDefault="00080446" w:rsidP="00080446">
            <w:pPr>
              <w:pStyle w:val="Tabletextheadingleft"/>
            </w:pPr>
            <w:r w:rsidRPr="00892DE3">
              <w:t>Consultant</w:t>
            </w:r>
          </w:p>
        </w:tc>
        <w:tc>
          <w:tcPr>
            <w:tcW w:w="1637" w:type="dxa"/>
          </w:tcPr>
          <w:p w:rsidR="00080446" w:rsidRPr="00892DE3" w:rsidRDefault="00080446" w:rsidP="00080446">
            <w:pPr>
              <w:pStyle w:val="Tabletextheadingleft"/>
            </w:pPr>
            <w:r w:rsidRPr="00892DE3">
              <w:t xml:space="preserve">Purpose of </w:t>
            </w:r>
            <w:r w:rsidRPr="00892DE3">
              <w:br/>
              <w:t>consultancy</w:t>
            </w:r>
          </w:p>
        </w:tc>
        <w:tc>
          <w:tcPr>
            <w:tcW w:w="1134" w:type="dxa"/>
          </w:tcPr>
          <w:p w:rsidR="00080446" w:rsidRPr="00892DE3" w:rsidRDefault="00080446" w:rsidP="00080446">
            <w:pPr>
              <w:pStyle w:val="Tabletextheadingcentred"/>
            </w:pPr>
            <w:r w:rsidRPr="00892DE3">
              <w:t>Start date</w:t>
            </w:r>
          </w:p>
        </w:tc>
        <w:tc>
          <w:tcPr>
            <w:tcW w:w="1134" w:type="dxa"/>
          </w:tcPr>
          <w:p w:rsidR="00080446" w:rsidRPr="00892DE3" w:rsidRDefault="00080446" w:rsidP="00080446">
            <w:pPr>
              <w:pStyle w:val="Tabletextheadingcentred"/>
            </w:pPr>
            <w:r w:rsidRPr="00892DE3">
              <w:t>End date</w:t>
            </w:r>
          </w:p>
        </w:tc>
        <w:tc>
          <w:tcPr>
            <w:tcW w:w="982" w:type="dxa"/>
          </w:tcPr>
          <w:p w:rsidR="00080446" w:rsidRPr="00892DE3" w:rsidRDefault="00080446" w:rsidP="00080446">
            <w:pPr>
              <w:pStyle w:val="Tabletextheadingright"/>
            </w:pPr>
            <w:r w:rsidRPr="00892DE3">
              <w:t>Total approved project fee (excl. GST)</w:t>
            </w:r>
          </w:p>
        </w:tc>
        <w:tc>
          <w:tcPr>
            <w:tcW w:w="1051" w:type="dxa"/>
          </w:tcPr>
          <w:p w:rsidR="00080446" w:rsidRPr="00892DE3" w:rsidRDefault="00080446" w:rsidP="00080446">
            <w:pPr>
              <w:pStyle w:val="Tabletextheadingright"/>
            </w:pPr>
            <w:r w:rsidRPr="00892DE3">
              <w:t>Expenditure 2016</w:t>
            </w:r>
            <w:r w:rsidRPr="00892DE3">
              <w:noBreakHyphen/>
              <w:t>17 (excl. GST)</w:t>
            </w:r>
          </w:p>
        </w:tc>
        <w:tc>
          <w:tcPr>
            <w:tcW w:w="1080" w:type="dxa"/>
          </w:tcPr>
          <w:p w:rsidR="00080446" w:rsidRPr="00892DE3" w:rsidRDefault="00080446" w:rsidP="00080446">
            <w:pPr>
              <w:pStyle w:val="Tabletextheadingright"/>
            </w:pPr>
            <w:r w:rsidRPr="00892DE3">
              <w:t>Future expenditure (excl. GST)</w:t>
            </w:r>
          </w:p>
        </w:tc>
      </w:tr>
      <w:tr w:rsidR="00080446" w:rsidRPr="00892DE3" w:rsidTr="00080446">
        <w:trPr>
          <w:trHeight w:val="361"/>
        </w:trPr>
        <w:tc>
          <w:tcPr>
            <w:tcW w:w="1213" w:type="dxa"/>
          </w:tcPr>
          <w:p w:rsidR="00080446" w:rsidRPr="00892DE3" w:rsidRDefault="00080446" w:rsidP="00080446">
            <w:pPr>
              <w:pStyle w:val="Tabletext"/>
              <w:ind w:left="0" w:firstLine="0"/>
            </w:pPr>
            <w:r w:rsidRPr="00892DE3">
              <w:t>Reedy Consultants</w:t>
            </w:r>
          </w:p>
        </w:tc>
        <w:tc>
          <w:tcPr>
            <w:tcW w:w="1637" w:type="dxa"/>
          </w:tcPr>
          <w:p w:rsidR="00080446" w:rsidRPr="00892DE3" w:rsidRDefault="00080446" w:rsidP="00080446">
            <w:pPr>
              <w:pStyle w:val="Tabletext"/>
              <w:ind w:left="0" w:firstLine="0"/>
            </w:pPr>
            <w:r w:rsidRPr="00892DE3">
              <w:t>Undertake community satisfaction measurement surveys</w:t>
            </w:r>
          </w:p>
        </w:tc>
        <w:tc>
          <w:tcPr>
            <w:tcW w:w="1134" w:type="dxa"/>
          </w:tcPr>
          <w:p w:rsidR="00080446" w:rsidRPr="00892DE3" w:rsidRDefault="00080446" w:rsidP="00080446">
            <w:pPr>
              <w:pStyle w:val="Tabletextcentred"/>
              <w:ind w:left="0" w:firstLine="0"/>
            </w:pPr>
            <w:r w:rsidRPr="00892DE3">
              <w:t>1 Feb 2017</w:t>
            </w:r>
          </w:p>
        </w:tc>
        <w:tc>
          <w:tcPr>
            <w:tcW w:w="1134" w:type="dxa"/>
          </w:tcPr>
          <w:p w:rsidR="00080446" w:rsidRPr="00892DE3" w:rsidRDefault="00080446" w:rsidP="00080446">
            <w:pPr>
              <w:pStyle w:val="Tabletextcentred"/>
            </w:pPr>
            <w:r w:rsidRPr="00892DE3">
              <w:t>1 Apr 2018</w:t>
            </w:r>
          </w:p>
        </w:tc>
        <w:tc>
          <w:tcPr>
            <w:tcW w:w="982" w:type="dxa"/>
          </w:tcPr>
          <w:p w:rsidR="00080446" w:rsidRPr="00892DE3" w:rsidRDefault="00080446" w:rsidP="00080446">
            <w:pPr>
              <w:pStyle w:val="Tabletextright"/>
            </w:pPr>
            <w:r w:rsidRPr="00892DE3">
              <w:t>$1 200</w:t>
            </w:r>
          </w:p>
        </w:tc>
        <w:tc>
          <w:tcPr>
            <w:tcW w:w="1051" w:type="dxa"/>
          </w:tcPr>
          <w:p w:rsidR="00080446" w:rsidRPr="00892DE3" w:rsidRDefault="00080446" w:rsidP="00080446">
            <w:pPr>
              <w:pStyle w:val="Tabletextright"/>
            </w:pPr>
            <w:r w:rsidRPr="00892DE3">
              <w:t>$500</w:t>
            </w:r>
          </w:p>
        </w:tc>
        <w:tc>
          <w:tcPr>
            <w:tcW w:w="1080" w:type="dxa"/>
          </w:tcPr>
          <w:p w:rsidR="00080446" w:rsidRPr="00892DE3" w:rsidRDefault="00080446" w:rsidP="00080446">
            <w:pPr>
              <w:pStyle w:val="Tabletextright"/>
            </w:pPr>
            <w:r w:rsidRPr="00892DE3">
              <w:t>$700</w:t>
            </w:r>
          </w:p>
        </w:tc>
      </w:tr>
      <w:tr w:rsidR="00080446" w:rsidRPr="00892DE3" w:rsidTr="00080446">
        <w:trPr>
          <w:trHeight w:val="74"/>
        </w:trPr>
        <w:tc>
          <w:tcPr>
            <w:tcW w:w="1213" w:type="dxa"/>
          </w:tcPr>
          <w:p w:rsidR="00080446" w:rsidRPr="00892DE3" w:rsidRDefault="00080446" w:rsidP="00080446">
            <w:pPr>
              <w:pStyle w:val="Tabletext"/>
              <w:ind w:left="0" w:firstLine="0"/>
            </w:pPr>
            <w:r w:rsidRPr="00892DE3">
              <w:t xml:space="preserve">GMPK </w:t>
            </w:r>
          </w:p>
        </w:tc>
        <w:tc>
          <w:tcPr>
            <w:tcW w:w="1637" w:type="dxa"/>
          </w:tcPr>
          <w:p w:rsidR="00080446" w:rsidRPr="00892DE3" w:rsidRDefault="00080446" w:rsidP="00080446">
            <w:pPr>
              <w:pStyle w:val="Tabletext"/>
              <w:ind w:left="0" w:firstLine="0"/>
            </w:pPr>
            <w:r w:rsidRPr="00892DE3">
              <w:t>Advice on internal control functions</w:t>
            </w:r>
          </w:p>
        </w:tc>
        <w:tc>
          <w:tcPr>
            <w:tcW w:w="1134" w:type="dxa"/>
          </w:tcPr>
          <w:p w:rsidR="00080446" w:rsidRPr="00892DE3" w:rsidRDefault="00080446" w:rsidP="00080446">
            <w:pPr>
              <w:pStyle w:val="Tabletextcentred"/>
              <w:ind w:left="0" w:firstLine="0"/>
            </w:pPr>
            <w:r w:rsidRPr="00892DE3">
              <w:t>6 Nov 2016</w:t>
            </w:r>
          </w:p>
        </w:tc>
        <w:tc>
          <w:tcPr>
            <w:tcW w:w="1134" w:type="dxa"/>
          </w:tcPr>
          <w:p w:rsidR="00080446" w:rsidRPr="00892DE3" w:rsidRDefault="00080446" w:rsidP="00080446">
            <w:pPr>
              <w:pStyle w:val="Tabletextcentred"/>
            </w:pPr>
            <w:r w:rsidRPr="00892DE3">
              <w:t>21 Jan 2017</w:t>
            </w:r>
          </w:p>
        </w:tc>
        <w:tc>
          <w:tcPr>
            <w:tcW w:w="982" w:type="dxa"/>
          </w:tcPr>
          <w:p w:rsidR="00080446" w:rsidRPr="00892DE3" w:rsidRDefault="00080446" w:rsidP="00080446">
            <w:pPr>
              <w:pStyle w:val="Tabletextright"/>
            </w:pPr>
            <w:r w:rsidRPr="00892DE3">
              <w:t>$650</w:t>
            </w:r>
          </w:p>
        </w:tc>
        <w:tc>
          <w:tcPr>
            <w:tcW w:w="1051" w:type="dxa"/>
          </w:tcPr>
          <w:p w:rsidR="00080446" w:rsidRPr="00892DE3" w:rsidRDefault="00080446" w:rsidP="00080446">
            <w:pPr>
              <w:pStyle w:val="Tabletextright"/>
            </w:pPr>
            <w:r w:rsidRPr="00892DE3">
              <w:t>$650</w:t>
            </w:r>
          </w:p>
        </w:tc>
        <w:tc>
          <w:tcPr>
            <w:tcW w:w="1080" w:type="dxa"/>
          </w:tcPr>
          <w:p w:rsidR="00080446" w:rsidRPr="00892DE3" w:rsidRDefault="00080446" w:rsidP="00080446">
            <w:pPr>
              <w:pStyle w:val="Tabletextright"/>
            </w:pPr>
            <w:r w:rsidRPr="00892DE3">
              <w:t>nil</w:t>
            </w:r>
          </w:p>
        </w:tc>
      </w:tr>
      <w:tr w:rsidR="00080446" w:rsidRPr="00892DE3" w:rsidTr="00080446">
        <w:trPr>
          <w:cnfStyle w:val="010000000000" w:firstRow="0" w:lastRow="1" w:firstColumn="0" w:lastColumn="0" w:oddVBand="0" w:evenVBand="0" w:oddHBand="0" w:evenHBand="0" w:firstRowFirstColumn="0" w:firstRowLastColumn="0" w:lastRowFirstColumn="0" w:lastRowLastColumn="0"/>
          <w:trHeight w:val="279"/>
        </w:trPr>
        <w:tc>
          <w:tcPr>
            <w:tcW w:w="1213" w:type="dxa"/>
          </w:tcPr>
          <w:p w:rsidR="00080446" w:rsidRPr="00892DE3" w:rsidRDefault="00080446" w:rsidP="00080446">
            <w:pPr>
              <w:pStyle w:val="Tabletext"/>
              <w:ind w:left="0" w:firstLine="0"/>
            </w:pPr>
            <w:r w:rsidRPr="00892DE3">
              <w:t>Morecroft and Crawford</w:t>
            </w:r>
          </w:p>
        </w:tc>
        <w:tc>
          <w:tcPr>
            <w:tcW w:w="1637" w:type="dxa"/>
          </w:tcPr>
          <w:p w:rsidR="00080446" w:rsidRPr="00892DE3" w:rsidRDefault="00080446" w:rsidP="00080446">
            <w:pPr>
              <w:pStyle w:val="Tabletext"/>
              <w:ind w:left="0" w:firstLine="0"/>
            </w:pPr>
            <w:r w:rsidRPr="00892DE3">
              <w:t>Legal advisory services</w:t>
            </w:r>
          </w:p>
        </w:tc>
        <w:tc>
          <w:tcPr>
            <w:tcW w:w="1134" w:type="dxa"/>
          </w:tcPr>
          <w:p w:rsidR="00080446" w:rsidRPr="00892DE3" w:rsidRDefault="00080446" w:rsidP="00080446">
            <w:pPr>
              <w:pStyle w:val="Tabletextcentred"/>
              <w:ind w:left="0" w:firstLine="0"/>
            </w:pPr>
            <w:r w:rsidRPr="00892DE3">
              <w:t>5 May 2016</w:t>
            </w:r>
          </w:p>
        </w:tc>
        <w:tc>
          <w:tcPr>
            <w:tcW w:w="1134" w:type="dxa"/>
          </w:tcPr>
          <w:p w:rsidR="00080446" w:rsidRPr="00892DE3" w:rsidRDefault="00080446" w:rsidP="00080446">
            <w:pPr>
              <w:pStyle w:val="Tabletextcentred"/>
            </w:pPr>
            <w:r w:rsidRPr="00892DE3">
              <w:t>30 Sep 2016</w:t>
            </w:r>
          </w:p>
        </w:tc>
        <w:tc>
          <w:tcPr>
            <w:tcW w:w="982" w:type="dxa"/>
          </w:tcPr>
          <w:p w:rsidR="00080446" w:rsidRPr="00892DE3" w:rsidRDefault="00080446" w:rsidP="00080446">
            <w:pPr>
              <w:pStyle w:val="Tabletextright"/>
            </w:pPr>
            <w:r w:rsidRPr="00892DE3">
              <w:t>$500</w:t>
            </w:r>
          </w:p>
        </w:tc>
        <w:tc>
          <w:tcPr>
            <w:tcW w:w="1051" w:type="dxa"/>
          </w:tcPr>
          <w:p w:rsidR="00080446" w:rsidRPr="00892DE3" w:rsidRDefault="00080446" w:rsidP="00080446">
            <w:pPr>
              <w:pStyle w:val="Tabletextright"/>
            </w:pPr>
            <w:r w:rsidRPr="00892DE3">
              <w:t>$500</w:t>
            </w:r>
          </w:p>
        </w:tc>
        <w:tc>
          <w:tcPr>
            <w:tcW w:w="1080" w:type="dxa"/>
          </w:tcPr>
          <w:p w:rsidR="00080446" w:rsidRPr="00892DE3" w:rsidRDefault="00080446" w:rsidP="00080446">
            <w:pPr>
              <w:pStyle w:val="Tabletextright"/>
            </w:pPr>
            <w:r w:rsidRPr="00892DE3">
              <w:t>nil</w:t>
            </w:r>
          </w:p>
        </w:tc>
      </w:tr>
    </w:tbl>
    <w:p w:rsidR="00080446" w:rsidRPr="00892DE3" w:rsidRDefault="00080446" w:rsidP="00080446">
      <w:pPr>
        <w:pStyle w:val="Note"/>
      </w:pPr>
      <w:r w:rsidRPr="00892DE3">
        <w:rPr>
          <w:color w:val="0072CE" w:themeColor="accent4"/>
        </w:rPr>
        <w:t xml:space="preserve">Note: [The disclosure </w:t>
      </w:r>
      <w:r w:rsidRPr="00892DE3">
        <w:rPr>
          <w:color w:val="0063A6" w:themeColor="accent1"/>
        </w:rPr>
        <w:t>on ‘start date’ and ‘end date’ of a consultancy is not a mandatory requirement of FRD 22</w:t>
      </w:r>
      <w:r w:rsidR="006D5D42" w:rsidRPr="00892DE3">
        <w:rPr>
          <w:color w:val="0063A6" w:themeColor="accent1"/>
        </w:rPr>
        <w:t>H</w:t>
      </w:r>
      <w:r w:rsidRPr="00892DE3">
        <w:rPr>
          <w:color w:val="0063A6" w:themeColor="accent1"/>
        </w:rPr>
        <w:t>.]</w:t>
      </w:r>
    </w:p>
    <w:p w:rsidR="006D5D42" w:rsidRPr="00892DE3" w:rsidRDefault="006D5D42" w:rsidP="006D5D42">
      <w:pPr>
        <w:pStyle w:val="Heading3unnumbered"/>
      </w:pPr>
      <w:r w:rsidRPr="00892DE3">
        <w:t>Details of consultancies under $10 000</w:t>
      </w:r>
    </w:p>
    <w:p w:rsidR="006D5D42" w:rsidRPr="00892DE3" w:rsidRDefault="006D5D42" w:rsidP="006D5D42">
      <w:r w:rsidRPr="00892DE3">
        <w:t xml:space="preserve">In 2016-17, there were 147 consultancies engaged during the year, where the total fees payable to the individual consultancies was less than $10 000. The total expenditure incurred during 2016-17 in relation to these consultancies was $1.3 million (excl. GST). </w:t>
      </w:r>
    </w:p>
    <w:p w:rsidR="006D5D42" w:rsidRPr="00892DE3" w:rsidRDefault="006D5D42" w:rsidP="00080446">
      <w:pPr>
        <w:pStyle w:val="BodyText"/>
        <w:sectPr w:rsidR="006D5D42"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Note"/>
      </w:pPr>
      <w:r w:rsidRPr="00892DE3">
        <w:br w:type="column"/>
      </w:r>
    </w:p>
    <w:p w:rsidR="00080446" w:rsidRPr="00892DE3" w:rsidRDefault="00080446" w:rsidP="00080446">
      <w:pPr>
        <w:pStyle w:val="Guidanceheading"/>
      </w:pPr>
      <w:r w:rsidRPr="00892DE3">
        <w:t>Guidance – Consultancy expenditure disclosure</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For the purposes of the requirements of FRD 22H</w:t>
      </w:r>
      <w:r w:rsidR="006A58CA">
        <w:t xml:space="preserve"> (to be issued in June 2017)</w:t>
      </w:r>
      <w:r w:rsidRPr="00892DE3">
        <w:t xml:space="preserve">: </w:t>
      </w:r>
    </w:p>
    <w:p w:rsidR="00080446" w:rsidRPr="00892DE3" w:rsidRDefault="00080446" w:rsidP="00080446">
      <w:pPr>
        <w:pStyle w:val="Guidanceindent"/>
        <w:pBdr>
          <w:bottom w:val="none" w:sz="0" w:space="0" w:color="auto"/>
        </w:pBdr>
      </w:pPr>
      <w:r w:rsidRPr="00892DE3">
        <w:t>(a)</w:t>
      </w:r>
      <w:r w:rsidRPr="00892DE3">
        <w:tab/>
        <w:t>A consultant is a particular type of contractor that is engaged primarily to perform a discrete task for an entity that facilitates decision making through:</w:t>
      </w:r>
    </w:p>
    <w:p w:rsidR="00080446" w:rsidRPr="00892DE3" w:rsidRDefault="00080446" w:rsidP="00080446">
      <w:pPr>
        <w:pStyle w:val="Guidanceindent2"/>
      </w:pPr>
      <w:r w:rsidRPr="00892DE3">
        <w:tab/>
        <w:t>(i)</w:t>
      </w:r>
      <w:r w:rsidRPr="00892DE3">
        <w:tab/>
        <w:t xml:space="preserve">provision of expert analysis and advice; and/or </w:t>
      </w:r>
    </w:p>
    <w:p w:rsidR="00080446" w:rsidRPr="00892DE3" w:rsidRDefault="00080446" w:rsidP="00080446">
      <w:pPr>
        <w:pStyle w:val="Guidanceindent2"/>
      </w:pPr>
      <w:r w:rsidRPr="00892DE3">
        <w:tab/>
        <w:t>(ii)</w:t>
      </w:r>
      <w:r w:rsidRPr="00892DE3">
        <w:tab/>
        <w:t xml:space="preserve">development of a written report or other intellectual output. </w:t>
      </w:r>
    </w:p>
    <w:p w:rsidR="00080446" w:rsidRPr="00892DE3" w:rsidRDefault="00080446" w:rsidP="00080446">
      <w:pPr>
        <w:pStyle w:val="Guidanceindent"/>
        <w:pBdr>
          <w:bottom w:val="none" w:sz="0" w:space="0" w:color="auto"/>
        </w:pBdr>
      </w:pPr>
      <w:r w:rsidRPr="00892DE3">
        <w:t>(b)</w:t>
      </w:r>
      <w:r w:rsidRPr="00892DE3">
        <w:tab/>
        <w:t>A contractor is an individual or organisation that is formally engaged to provide works or services for or on behalf of an entity. This definition does not apply to casual, fixed term or temporary employees directly employed by the entity.</w:t>
      </w:r>
    </w:p>
    <w:p w:rsidR="00080446" w:rsidRPr="00892DE3" w:rsidRDefault="00080446" w:rsidP="00080446">
      <w:pPr>
        <w:pStyle w:val="Guidance"/>
        <w:pBdr>
          <w:bottom w:val="none" w:sz="0" w:space="0" w:color="auto"/>
        </w:pBdr>
      </w:pPr>
      <w:r w:rsidRPr="00892DE3">
        <w:t>Refer to FRD 22H for the detailed disclosure requirements on consultancy expenditure. Examples of ‘consultants’ and ‘contractors’ are also available on the Guidance Note to FRD 22H accessible at: www.dtf.vic.gov.au/Publications/Government-Financial-Management-publications/Financial-Reporting-Policy/Financial-reporting-directions-and-guidance</w:t>
      </w:r>
    </w:p>
    <w:p w:rsidR="00080446" w:rsidRPr="00892DE3" w:rsidRDefault="00080446" w:rsidP="00080446">
      <w:pPr>
        <w:pStyle w:val="Guidanceheading2"/>
        <w:pBdr>
          <w:bottom w:val="none" w:sz="0" w:space="0" w:color="auto"/>
        </w:pBdr>
      </w:pPr>
      <w:r w:rsidRPr="00892DE3">
        <w:t>Disclosure in machinery of government changes</w:t>
      </w:r>
    </w:p>
    <w:p w:rsidR="00080446" w:rsidRPr="00892DE3" w:rsidRDefault="00080446" w:rsidP="00080446">
      <w:pPr>
        <w:pStyle w:val="Guidance"/>
      </w:pPr>
      <w:r w:rsidRPr="00892DE3">
        <w:t xml:space="preserve">The objective of the disclosure is to provide additional transparency over the actual spending and engagements of contractors and consultants by the Department, which may not specifically tie to the individual outputs of the Department. As a result, the reporting of consultants expenditure in the event of machinery of government change should be made over the same period as the financial statements.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120"/>
      </w:pPr>
      <w:r w:rsidRPr="00892DE3">
        <w:t>FRD 22H</w:t>
      </w: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spacing w:before="120"/>
      </w:pPr>
    </w:p>
    <w:p w:rsidR="00080446" w:rsidRPr="00892DE3" w:rsidRDefault="00080446" w:rsidP="005C5F04">
      <w:pPr>
        <w:pStyle w:val="Heading2nonTOC"/>
      </w:pPr>
      <w:r w:rsidRPr="00892DE3">
        <w:br w:type="column"/>
      </w:r>
      <w:bookmarkStart w:id="48" w:name="_Toc477967500"/>
      <w:r w:rsidRPr="00892DE3">
        <w:lastRenderedPageBreak/>
        <w:t>Information and communication technology expenditure</w:t>
      </w:r>
      <w:bookmarkEnd w:id="48"/>
    </w:p>
    <w:p w:rsidR="00080446" w:rsidRPr="00892DE3" w:rsidRDefault="00080446" w:rsidP="00D22703">
      <w:pPr>
        <w:pStyle w:val="Heading30"/>
      </w:pPr>
      <w:r w:rsidRPr="00892DE3">
        <w:t>Details of information and communication technology (ICT) expenditure</w:t>
      </w:r>
    </w:p>
    <w:p w:rsidR="00080446" w:rsidRPr="00892DE3" w:rsidRDefault="00080446" w:rsidP="00080446">
      <w:pPr>
        <w:pStyle w:val="BodyText"/>
      </w:pPr>
      <w:r w:rsidRPr="00892DE3">
        <w:t xml:space="preserve">For the 2016-17 reporting period, the Department had a total ICT expenditure of $100 000, with the details shown below. </w:t>
      </w:r>
    </w:p>
    <w:p w:rsidR="00080446" w:rsidRPr="00892DE3" w:rsidRDefault="00080446" w:rsidP="00A0673E">
      <w:pPr>
        <w:pStyle w:val="TableUnits"/>
      </w:pPr>
      <w:r w:rsidRPr="00892DE3">
        <w:t>($ thousand)</w:t>
      </w:r>
    </w:p>
    <w:tbl>
      <w:tblPr>
        <w:tblStyle w:val="DTFTable"/>
        <w:tblW w:w="8129" w:type="dxa"/>
        <w:tblLayout w:type="fixed"/>
        <w:tblLook w:val="06E0" w:firstRow="1" w:lastRow="1" w:firstColumn="1" w:lastColumn="0" w:noHBand="1" w:noVBand="1"/>
      </w:tblPr>
      <w:tblGrid>
        <w:gridCol w:w="2028"/>
        <w:gridCol w:w="2691"/>
        <w:gridCol w:w="1610"/>
        <w:gridCol w:w="1800"/>
      </w:tblGrid>
      <w:tr w:rsidR="00080446" w:rsidRPr="00892DE3" w:rsidTr="00A067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8" w:type="dxa"/>
          </w:tcPr>
          <w:p w:rsidR="00080446" w:rsidRPr="00892DE3" w:rsidRDefault="00080446" w:rsidP="00A0673E">
            <w:pPr>
              <w:ind w:left="0" w:firstLine="0"/>
            </w:pPr>
            <w:r w:rsidRPr="00892DE3">
              <w:t>All operational ICT expenditure</w:t>
            </w:r>
          </w:p>
        </w:tc>
        <w:tc>
          <w:tcPr>
            <w:tcW w:w="6101" w:type="dxa"/>
            <w:gridSpan w:val="3"/>
          </w:tcPr>
          <w:p w:rsidR="00080446" w:rsidRPr="00892DE3" w:rsidRDefault="00080446" w:rsidP="00A0673E">
            <w:pPr>
              <w:jc w:val="center"/>
              <w:cnfStyle w:val="100000000000" w:firstRow="1" w:lastRow="0" w:firstColumn="0" w:lastColumn="0" w:oddVBand="0" w:evenVBand="0" w:oddHBand="0" w:evenHBand="0" w:firstRowFirstColumn="0" w:firstRowLastColumn="0" w:lastRowFirstColumn="0" w:lastRowLastColumn="0"/>
            </w:pPr>
            <w:r w:rsidRPr="00892DE3">
              <w:t>ICT expenditure related to projects to create or enhance ICT capabilities</w:t>
            </w:r>
          </w:p>
        </w:tc>
      </w:tr>
      <w:tr w:rsidR="00080446" w:rsidRPr="00892DE3" w:rsidTr="00A067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8" w:type="dxa"/>
          </w:tcPr>
          <w:p w:rsidR="00080446" w:rsidRPr="00892DE3" w:rsidRDefault="00080446" w:rsidP="00A0673E">
            <w:pPr>
              <w:ind w:left="0" w:firstLine="0"/>
            </w:pPr>
            <w:r w:rsidRPr="00892DE3">
              <w:t>Business As Usual (BAU) ICT expenditure</w:t>
            </w:r>
          </w:p>
        </w:tc>
        <w:tc>
          <w:tcPr>
            <w:tcW w:w="2691"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t>Business As Usual (non</w:t>
            </w:r>
            <w:r w:rsidRPr="00892DE3">
              <w:noBreakHyphen/>
              <w:t>BAU) ICT expenditure</w:t>
            </w:r>
          </w:p>
        </w:tc>
        <w:tc>
          <w:tcPr>
            <w:tcW w:w="1610"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Operational expenditure</w:t>
            </w:r>
          </w:p>
        </w:tc>
        <w:tc>
          <w:tcPr>
            <w:tcW w:w="1800"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 xml:space="preserve">Capital </w:t>
            </w:r>
            <w:r w:rsidR="00A0673E" w:rsidRPr="00892DE3">
              <w:br/>
            </w:r>
            <w:r w:rsidRPr="00892DE3">
              <w:t>expenditure</w:t>
            </w:r>
          </w:p>
        </w:tc>
      </w:tr>
      <w:tr w:rsidR="00080446" w:rsidRPr="00892DE3" w:rsidTr="00A0673E">
        <w:tc>
          <w:tcPr>
            <w:cnfStyle w:val="001000000000" w:firstRow="0" w:lastRow="0" w:firstColumn="1" w:lastColumn="0" w:oddVBand="0" w:evenVBand="0" w:oddHBand="0" w:evenHBand="0" w:firstRowFirstColumn="0" w:firstRowLastColumn="0" w:lastRowFirstColumn="0" w:lastRowLastColumn="0"/>
            <w:tcW w:w="2028" w:type="dxa"/>
          </w:tcPr>
          <w:p w:rsidR="00080446" w:rsidRPr="00892DE3" w:rsidRDefault="00080446" w:rsidP="00A0673E">
            <w:pPr>
              <w:ind w:left="0" w:firstLine="0"/>
            </w:pPr>
            <w:r w:rsidRPr="00892DE3">
              <w:t>(Total)</w:t>
            </w:r>
          </w:p>
        </w:tc>
        <w:tc>
          <w:tcPr>
            <w:tcW w:w="2691"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(Total = Operational expenditure and capital expenditure)</w:t>
            </w:r>
          </w:p>
        </w:tc>
        <w:tc>
          <w:tcPr>
            <w:tcW w:w="161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180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r>
      <w:tr w:rsidR="00080446" w:rsidRPr="00892DE3" w:rsidTr="00A067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rsidR="00080446" w:rsidRPr="00892DE3" w:rsidRDefault="00080446" w:rsidP="00A0673E">
            <w:pPr>
              <w:ind w:left="0" w:firstLine="0"/>
            </w:pPr>
            <w:r w:rsidRPr="00892DE3">
              <w:t>60</w:t>
            </w:r>
          </w:p>
        </w:tc>
        <w:tc>
          <w:tcPr>
            <w:tcW w:w="2691" w:type="dxa"/>
          </w:tcPr>
          <w:p w:rsidR="00080446" w:rsidRPr="00892DE3" w:rsidRDefault="00080446" w:rsidP="00A0673E">
            <w:pPr>
              <w:cnfStyle w:val="010000000000" w:firstRow="0" w:lastRow="1" w:firstColumn="0" w:lastColumn="0" w:oddVBand="0" w:evenVBand="0" w:oddHBand="0" w:evenHBand="0" w:firstRowFirstColumn="0" w:firstRowLastColumn="0" w:lastRowFirstColumn="0" w:lastRowLastColumn="0"/>
            </w:pPr>
            <w:r w:rsidRPr="00892DE3">
              <w:t>40</w:t>
            </w:r>
          </w:p>
        </w:tc>
        <w:tc>
          <w:tcPr>
            <w:tcW w:w="1610" w:type="dxa"/>
          </w:tcPr>
          <w:p w:rsidR="00080446" w:rsidRPr="00892DE3" w:rsidRDefault="00080446" w:rsidP="00A0673E">
            <w:pPr>
              <w:cnfStyle w:val="010000000000" w:firstRow="0" w:lastRow="1" w:firstColumn="0" w:lastColumn="0" w:oddVBand="0" w:evenVBand="0" w:oddHBand="0" w:evenHBand="0" w:firstRowFirstColumn="0" w:firstRowLastColumn="0" w:lastRowFirstColumn="0" w:lastRowLastColumn="0"/>
            </w:pPr>
            <w:r w:rsidRPr="00892DE3">
              <w:t>30</w:t>
            </w:r>
          </w:p>
        </w:tc>
        <w:tc>
          <w:tcPr>
            <w:tcW w:w="1800" w:type="dxa"/>
          </w:tcPr>
          <w:p w:rsidR="00080446" w:rsidRPr="00892DE3" w:rsidRDefault="00080446" w:rsidP="00A0673E">
            <w:pPr>
              <w:cnfStyle w:val="010000000000" w:firstRow="0" w:lastRow="1" w:firstColumn="0" w:lastColumn="0" w:oddVBand="0" w:evenVBand="0" w:oddHBand="0" w:evenHBand="0" w:firstRowFirstColumn="0" w:firstRowLastColumn="0" w:lastRowFirstColumn="0" w:lastRowLastColumn="0"/>
            </w:pPr>
            <w:r w:rsidRPr="00892DE3">
              <w:t>10</w:t>
            </w:r>
          </w:p>
        </w:tc>
      </w:tr>
    </w:tbl>
    <w:p w:rsidR="00080446" w:rsidRPr="00892DE3" w:rsidRDefault="00080446" w:rsidP="00080446">
      <w:pPr>
        <w:pStyle w:val="BodyText"/>
      </w:pPr>
    </w:p>
    <w:p w:rsidR="00080446" w:rsidRPr="00892DE3" w:rsidRDefault="00080446" w:rsidP="00080446">
      <w:pPr>
        <w:pStyle w:val="BodyText"/>
      </w:pPr>
      <w:r w:rsidRPr="00892DE3">
        <w:t>ICT expenditure refers to the Department’s costs in providing business enabling ICT services within the current reporting period. It comprises Business As Usual (BAU) ICT expenditure and Non-Business As Usual (Non-BAU) ICT expenditure. Non-BAU ICT expenditure relates to extending or enhancing the Department’s current ICT capabilities. BAU ICT expenditure is all remaining ICT expenditure which primarily relates to ongoing activities to operate and maintain the current ICT capability.</w:t>
      </w:r>
    </w:p>
    <w:p w:rsidR="00080446" w:rsidRPr="00892DE3" w:rsidRDefault="00080446" w:rsidP="00080446">
      <w:pPr>
        <w:pStyle w:val="Guidanceheading"/>
      </w:pPr>
      <w:r w:rsidRPr="00892DE3">
        <w:t xml:space="preserve">Guidance – ICT expenditure </w:t>
      </w:r>
    </w:p>
    <w:p w:rsidR="00080446" w:rsidRPr="00892DE3" w:rsidRDefault="00080446" w:rsidP="00080446">
      <w:pPr>
        <w:pStyle w:val="Guidanceheading"/>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pPr>
    </w:p>
    <w:p w:rsidR="00080446" w:rsidRPr="00892DE3" w:rsidRDefault="00080446" w:rsidP="00080446">
      <w:pPr>
        <w:pStyle w:val="Guidanceheading1"/>
      </w:pPr>
      <w:r w:rsidRPr="00892DE3">
        <w:br w:type="column"/>
      </w:r>
      <w:r w:rsidRPr="00892DE3">
        <w:lastRenderedPageBreak/>
        <w:t>Guidance</w:t>
      </w:r>
    </w:p>
    <w:p w:rsidR="00080446" w:rsidRPr="00892DE3" w:rsidRDefault="00080446" w:rsidP="00080446">
      <w:pPr>
        <w:pStyle w:val="Guidance"/>
        <w:pBdr>
          <w:bottom w:val="none" w:sz="0" w:space="0" w:color="auto"/>
        </w:pBdr>
      </w:pPr>
      <w:r w:rsidRPr="00892DE3">
        <w:t>In accordance with paragraph 6.17 of FRD 22H</w:t>
      </w:r>
      <w:r w:rsidR="006A58CA">
        <w:t xml:space="preserve"> (to be issued in June 2017)</w:t>
      </w:r>
      <w:r w:rsidRPr="00892DE3">
        <w:t xml:space="preserve">, an entity should disclose the following: </w:t>
      </w:r>
    </w:p>
    <w:p w:rsidR="00080446" w:rsidRPr="00892DE3" w:rsidRDefault="00080446" w:rsidP="00080446">
      <w:pPr>
        <w:pStyle w:val="Guidanceindent"/>
        <w:pBdr>
          <w:bottom w:val="none" w:sz="0" w:space="0" w:color="auto"/>
        </w:pBdr>
      </w:pPr>
      <w:r w:rsidRPr="00892DE3">
        <w:t>(a)</w:t>
      </w:r>
      <w:r w:rsidRPr="00892DE3">
        <w:tab/>
        <w:t>total entity ICT Business As Usual (BAU) expenditure for the full 12 month reporting period; and</w:t>
      </w:r>
    </w:p>
    <w:p w:rsidR="00080446" w:rsidRPr="00892DE3" w:rsidRDefault="00080446" w:rsidP="00080446">
      <w:pPr>
        <w:pStyle w:val="Guidanceindent"/>
        <w:pBdr>
          <w:bottom w:val="none" w:sz="0" w:space="0" w:color="auto"/>
        </w:pBdr>
      </w:pPr>
      <w:r w:rsidRPr="00892DE3">
        <w:t>(b)</w:t>
      </w:r>
      <w:r w:rsidRPr="00892DE3">
        <w:tab/>
        <w:t>total entity ICT Non BAU expenditure for the full 12 month reporting period; and provide a breakdown for:</w:t>
      </w:r>
    </w:p>
    <w:p w:rsidR="00080446" w:rsidRPr="00892DE3" w:rsidRDefault="00080446" w:rsidP="00080446">
      <w:pPr>
        <w:pStyle w:val="Guidanceindent2"/>
      </w:pPr>
      <w:r w:rsidRPr="00892DE3">
        <w:tab/>
        <w:t>(i)</w:t>
      </w:r>
      <w:r w:rsidRPr="00892DE3">
        <w:tab/>
        <w:t xml:space="preserve">Operational expenditure (OPEX); i.e. the expenditure is charged against operational funding; and </w:t>
      </w:r>
    </w:p>
    <w:p w:rsidR="00080446" w:rsidRPr="00892DE3" w:rsidRDefault="00080446" w:rsidP="00080446">
      <w:pPr>
        <w:pStyle w:val="Guidanceindent2"/>
      </w:pPr>
      <w:r w:rsidRPr="00892DE3">
        <w:tab/>
        <w:t>(ii)</w:t>
      </w:r>
      <w:r w:rsidRPr="00892DE3">
        <w:tab/>
        <w:t xml:space="preserve">Capital Expenditure (CAPEX), i.e. the expenditure is charged against capital funding. </w:t>
      </w:r>
    </w:p>
    <w:p w:rsidR="00080446" w:rsidRPr="00892DE3" w:rsidRDefault="00080446" w:rsidP="00080446">
      <w:pPr>
        <w:pStyle w:val="Guidance"/>
        <w:pBdr>
          <w:bottom w:val="none" w:sz="0" w:space="0" w:color="auto"/>
        </w:pBdr>
      </w:pPr>
      <w:r w:rsidRPr="00892DE3">
        <w:rPr>
          <w:b/>
        </w:rPr>
        <w:t>ICT expenditure:</w:t>
      </w:r>
      <w:r w:rsidRPr="00892DE3">
        <w:t xml:space="preserve"> an agency’s costs in providing business enabling ICT services and consists of the following cost elements:</w:t>
      </w:r>
    </w:p>
    <w:p w:rsidR="00080446" w:rsidRPr="00892DE3" w:rsidRDefault="00080446" w:rsidP="00587DAE">
      <w:pPr>
        <w:pStyle w:val="Guidancebullet"/>
        <w:numPr>
          <w:ilvl w:val="1"/>
          <w:numId w:val="24"/>
        </w:numPr>
        <w:pBdr>
          <w:bottom w:val="none" w:sz="0" w:space="0" w:color="auto"/>
        </w:pBdr>
        <w:ind w:left="446" w:hanging="446"/>
      </w:pPr>
      <w:r w:rsidRPr="00892DE3">
        <w:t>operating (including depreciation and impairment) and capital expenditure;</w:t>
      </w:r>
    </w:p>
    <w:p w:rsidR="00080446" w:rsidRPr="00892DE3" w:rsidRDefault="00080446" w:rsidP="00587DAE">
      <w:pPr>
        <w:pStyle w:val="Guidancebullet"/>
        <w:numPr>
          <w:ilvl w:val="1"/>
          <w:numId w:val="24"/>
        </w:numPr>
        <w:pBdr>
          <w:bottom w:val="none" w:sz="0" w:space="0" w:color="auto"/>
        </w:pBdr>
        <w:ind w:left="446" w:hanging="446"/>
      </w:pPr>
      <w:r w:rsidRPr="00892DE3">
        <w:t>ICT services – internally and externally sourced;</w:t>
      </w:r>
    </w:p>
    <w:p w:rsidR="00080446" w:rsidRPr="00892DE3" w:rsidRDefault="00080446" w:rsidP="00587DAE">
      <w:pPr>
        <w:pStyle w:val="Guidancebullet"/>
        <w:numPr>
          <w:ilvl w:val="1"/>
          <w:numId w:val="24"/>
        </w:numPr>
        <w:pBdr>
          <w:bottom w:val="none" w:sz="0" w:space="0" w:color="auto"/>
        </w:pBdr>
        <w:ind w:left="446" w:hanging="446"/>
      </w:pPr>
      <w:r w:rsidRPr="00892DE3">
        <w:t>cost in providing ICT services (including personnel and facilities) across the agency, whether funded through a central ICT budget or through other budgets; and</w:t>
      </w:r>
    </w:p>
    <w:p w:rsidR="00080446" w:rsidRPr="00892DE3" w:rsidRDefault="00080446" w:rsidP="00587DAE">
      <w:pPr>
        <w:pStyle w:val="Guidancebullet"/>
        <w:numPr>
          <w:ilvl w:val="1"/>
          <w:numId w:val="24"/>
        </w:numPr>
        <w:pBdr>
          <w:bottom w:val="none" w:sz="0" w:space="0" w:color="auto"/>
        </w:pBdr>
        <w:ind w:left="446" w:hanging="446"/>
      </w:pPr>
      <w:r w:rsidRPr="00892DE3">
        <w:t>cost in providing ICT services to other organisations.</w:t>
      </w:r>
    </w:p>
    <w:p w:rsidR="00080446" w:rsidRPr="00892DE3" w:rsidRDefault="00080446" w:rsidP="00080446">
      <w:pPr>
        <w:pStyle w:val="Guidance"/>
        <w:pBdr>
          <w:bottom w:val="none" w:sz="0" w:space="0" w:color="auto"/>
        </w:pBdr>
      </w:pPr>
      <w:r w:rsidRPr="00892DE3">
        <w:t>Total ICT expenditure = ICT BAU expenditure + ICT Non-BAU expenditure.</w:t>
      </w:r>
    </w:p>
    <w:p w:rsidR="00080446" w:rsidRPr="00892DE3" w:rsidRDefault="00080446" w:rsidP="00080446">
      <w:pPr>
        <w:pStyle w:val="Guidance"/>
        <w:pBdr>
          <w:bottom w:val="none" w:sz="0" w:space="0" w:color="auto"/>
        </w:pBdr>
      </w:pPr>
      <w:r w:rsidRPr="00892DE3">
        <w:rPr>
          <w:b/>
        </w:rPr>
        <w:t>Non-Business As Usual (Non BAU):</w:t>
      </w:r>
      <w:r w:rsidRPr="00892DE3">
        <w:t xml:space="preserve"> non-BAU ICT expenditure is a subset of ICT expenditure that relates to extending or enhancing current ICT capabilities and are usually run as projects.</w:t>
      </w:r>
    </w:p>
    <w:p w:rsidR="00080446" w:rsidRPr="00892DE3" w:rsidRDefault="00080446" w:rsidP="00080446">
      <w:pPr>
        <w:pStyle w:val="Guidance"/>
        <w:pBdr>
          <w:bottom w:val="none" w:sz="0" w:space="0" w:color="auto"/>
        </w:pBdr>
      </w:pPr>
      <w:r w:rsidRPr="00892DE3">
        <w:t xml:space="preserve">This includes expenditure incurred for a project to build enhancements to an existing ICT system or to implement a new ICT system or solution. </w:t>
      </w:r>
    </w:p>
    <w:p w:rsidR="00080446" w:rsidRPr="00892DE3" w:rsidRDefault="00080446" w:rsidP="00080446">
      <w:pPr>
        <w:pStyle w:val="Guidance"/>
        <w:pBdr>
          <w:bottom w:val="none" w:sz="0" w:space="0" w:color="auto"/>
        </w:pBdr>
      </w:pPr>
      <w:r w:rsidRPr="00892DE3">
        <w:rPr>
          <w:b/>
        </w:rPr>
        <w:t>Business As Usual (BAU):</w:t>
      </w:r>
      <w:r w:rsidRPr="00892DE3">
        <w:t xml:space="preserve"> all remaining ICT expenditure is considered BAU ICT expenditure and typically relates to ongoing activities to operate and maintain the current ICT capability.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12B</w:t>
      </w:r>
    </w:p>
    <w:p w:rsidR="00080446" w:rsidRPr="00892DE3" w:rsidRDefault="00080446" w:rsidP="00080446">
      <w:pPr>
        <w:pStyle w:val="Guidance"/>
        <w:pBdr>
          <w:bottom w:val="none" w:sz="0" w:space="0" w:color="auto"/>
        </w:pBdr>
        <w:spacing w:before="0"/>
      </w:pPr>
      <w:r w:rsidRPr="00892DE3">
        <w:br w:type="column"/>
      </w:r>
      <w:r w:rsidRPr="00892DE3">
        <w:lastRenderedPageBreak/>
        <w:t xml:space="preserve">This includes ongoing operational expenditure incurred for any ICT services or systems, such as depreciation expenses, repairs and maintenance costs. </w:t>
      </w:r>
    </w:p>
    <w:p w:rsidR="00080446" w:rsidRPr="00892DE3" w:rsidRDefault="00080446" w:rsidP="00080446">
      <w:pPr>
        <w:pStyle w:val="Guidance"/>
        <w:pBdr>
          <w:bottom w:val="none" w:sz="0" w:space="0" w:color="auto"/>
        </w:pBdr>
      </w:pPr>
      <w:r w:rsidRPr="00892DE3">
        <w:t>Further detail is available from the ICT Reporting Standard and ICT Expenditure Reporting Guideline, found at www.enterprisesolutions.vic.gov.au by searching for ICT expenditure.</w:t>
      </w:r>
    </w:p>
    <w:p w:rsidR="00080446" w:rsidRPr="00892DE3" w:rsidRDefault="00080446" w:rsidP="00080446">
      <w:pPr>
        <w:pStyle w:val="Guidanceheading1"/>
      </w:pPr>
      <w:r w:rsidRPr="00892DE3">
        <w:t>Nil report statement</w:t>
      </w:r>
    </w:p>
    <w:p w:rsidR="00080446" w:rsidRPr="00892DE3" w:rsidRDefault="00080446" w:rsidP="00080446">
      <w:pPr>
        <w:pStyle w:val="Guidance"/>
      </w:pPr>
      <w:r w:rsidRPr="00892DE3">
        <w:t>An explicit statement of ‘nil reports’ is required where the relevant activities or circumstances do not result in any spending.</w:t>
      </w:r>
    </w:p>
    <w:p w:rsidR="006D5D42" w:rsidRPr="00892DE3" w:rsidRDefault="006D5D42" w:rsidP="00080446">
      <w:pPr>
        <w:pStyle w:val="Reference"/>
        <w:rPr>
          <w:b/>
          <w:color w:val="0063A6" w:themeColor="accent1"/>
        </w:rPr>
      </w:pPr>
    </w:p>
    <w:p w:rsidR="006D5D42" w:rsidRPr="00892DE3" w:rsidRDefault="006D5D42" w:rsidP="00080446">
      <w:pPr>
        <w:pStyle w:val="Reference"/>
        <w:rPr>
          <w:b/>
          <w:color w:val="0063A6" w:themeColor="accent1"/>
        </w:rPr>
      </w:pPr>
    </w:p>
    <w:p w:rsidR="006D5D42" w:rsidRPr="00892DE3" w:rsidRDefault="006D5D42" w:rsidP="00080446">
      <w:pPr>
        <w:pStyle w:val="Reference"/>
        <w:rPr>
          <w:b/>
          <w:color w:val="0063A6" w:themeColor="accent1"/>
        </w:rPr>
      </w:pPr>
    </w:p>
    <w:p w:rsidR="006D5D42" w:rsidRPr="00892DE3" w:rsidRDefault="006D5D42" w:rsidP="00080446">
      <w:pPr>
        <w:pStyle w:val="Reference"/>
        <w:rPr>
          <w:b/>
          <w:color w:val="0063A6" w:themeColor="accent1"/>
        </w:rPr>
      </w:pPr>
    </w:p>
    <w:p w:rsidR="006D5D42" w:rsidRPr="00892DE3" w:rsidRDefault="006D5D42" w:rsidP="00080446">
      <w:pPr>
        <w:pStyle w:val="Reference"/>
        <w:rPr>
          <w:b/>
          <w:color w:val="0063A6" w:themeColor="accent1"/>
        </w:rPr>
      </w:pPr>
    </w:p>
    <w:p w:rsidR="006D5D42" w:rsidRPr="00892DE3" w:rsidRDefault="006D5D42" w:rsidP="00080446">
      <w:pPr>
        <w:pStyle w:val="Reference"/>
        <w:rPr>
          <w:b/>
          <w:color w:val="0063A6" w:themeColor="accent1"/>
        </w:rPr>
      </w:pPr>
    </w:p>
    <w:p w:rsidR="00080446" w:rsidRPr="00892DE3" w:rsidRDefault="00080446" w:rsidP="00080446">
      <w:pPr>
        <w:pStyle w:val="Reference"/>
      </w:pPr>
      <w:r w:rsidRPr="00892DE3">
        <w:rPr>
          <w:b/>
          <w:color w:val="0063A6" w:themeColor="accent1"/>
        </w:rPr>
        <w:t>Revised</w:t>
      </w:r>
    </w:p>
    <w:p w:rsidR="00080446" w:rsidRPr="00892DE3" w:rsidRDefault="00080446" w:rsidP="005C5F04">
      <w:pPr>
        <w:pStyle w:val="Heading2nonTOC"/>
      </w:pPr>
      <w:r w:rsidRPr="00892DE3">
        <w:br w:type="column"/>
      </w:r>
      <w:bookmarkStart w:id="49" w:name="_Toc477967501"/>
      <w:r w:rsidRPr="00892DE3">
        <w:lastRenderedPageBreak/>
        <w:t>Disclosure of major contracts</w:t>
      </w:r>
      <w:bookmarkEnd w:id="49"/>
    </w:p>
    <w:p w:rsidR="00080446" w:rsidRPr="00892DE3" w:rsidRDefault="00080446" w:rsidP="00080446">
      <w:pPr>
        <w:pStyle w:val="BodyText"/>
      </w:pPr>
      <w:r w:rsidRPr="00892DE3">
        <w:t>With the exception of the contract referred to below, the Department has disclosed, in accordance with the requirements of government policy and accompanying guidelines, all contracts greater than $10 million in value entered into during the year ended 30 June 2016. Details of contracts that have been disclosed in the Victorian Government contracts publishing system can be viewed at: www.procurement.vic.gov.au.</w:t>
      </w:r>
    </w:p>
    <w:p w:rsidR="00080446" w:rsidRPr="00892DE3" w:rsidRDefault="00080446" w:rsidP="00080446">
      <w:pPr>
        <w:pStyle w:val="BodyText"/>
      </w:pPr>
      <w:r w:rsidRPr="00892DE3">
        <w:t xml:space="preserve">Contractual details have not been disclosed for contracts where disclosure is exempted under the </w:t>
      </w:r>
      <w:r w:rsidRPr="00892DE3">
        <w:rPr>
          <w:i/>
        </w:rPr>
        <w:t>Freedom of Information Act 1982</w:t>
      </w:r>
      <w:r w:rsidRPr="00892DE3">
        <w:t xml:space="preserve"> and/or government guidelines.</w:t>
      </w:r>
    </w:p>
    <w:p w:rsidR="00080446" w:rsidRPr="00892DE3" w:rsidRDefault="00080446" w:rsidP="00080446">
      <w:pPr>
        <w:pStyle w:val="BodyText"/>
      </w:pPr>
      <w:r w:rsidRPr="00892DE3">
        <w:t>The contractual details with MNO People Solutions for staff recruitment and training has not been disclosed as at 30 June 2017 but will be posted on the department’s website on 1 October 2017.</w:t>
      </w:r>
    </w:p>
    <w:p w:rsidR="00080446" w:rsidRPr="00892DE3" w:rsidRDefault="00080446" w:rsidP="00080446">
      <w:pPr>
        <w:pStyle w:val="Guidanceheading"/>
      </w:pPr>
      <w:r w:rsidRPr="00892DE3">
        <w:t>Guidance – Disclosure of major contracts</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12B</w:t>
      </w:r>
    </w:p>
    <w:p w:rsidR="00080446" w:rsidRPr="00892DE3" w:rsidRDefault="00080446" w:rsidP="00080446">
      <w:pPr>
        <w:pStyle w:val="Guidance"/>
        <w:pBdr>
          <w:bottom w:val="none" w:sz="0" w:space="0" w:color="auto"/>
        </w:pBdr>
      </w:pPr>
      <w:r w:rsidRPr="00892DE3">
        <w:br w:type="column"/>
      </w:r>
      <w:r w:rsidRPr="00892DE3">
        <w:rPr>
          <w:b/>
        </w:rPr>
        <w:lastRenderedPageBreak/>
        <w:t>FRD 12B</w:t>
      </w:r>
      <w:r w:rsidRPr="00892DE3">
        <w:t xml:space="preserve"> ‘Disclosure of major contracts’ requires that for contracts greater than $10 million, a Department’s annual report must include a statement by the accountable officer advising that:</w:t>
      </w:r>
    </w:p>
    <w:p w:rsidR="00080446" w:rsidRPr="00892DE3" w:rsidRDefault="00080446" w:rsidP="00587DAE">
      <w:pPr>
        <w:pStyle w:val="Guidancebullet"/>
        <w:numPr>
          <w:ilvl w:val="1"/>
          <w:numId w:val="24"/>
        </w:numPr>
        <w:pBdr>
          <w:bottom w:val="none" w:sz="0" w:space="0" w:color="auto"/>
        </w:pBdr>
        <w:ind w:left="446" w:hanging="446"/>
      </w:pPr>
      <w:r w:rsidRPr="00892DE3">
        <w:t xml:space="preserve">contracts entered into during the reporting period have been disclosed in part or in full, except for certain material that falls within one or more of the criteria contained in Part IV of the </w:t>
      </w:r>
      <w:r w:rsidRPr="00892DE3">
        <w:rPr>
          <w:i/>
        </w:rPr>
        <w:t>Freedom of Information Act 1982</w:t>
      </w:r>
      <w:r w:rsidRPr="00892DE3">
        <w:t>;</w:t>
      </w:r>
    </w:p>
    <w:p w:rsidR="00080446" w:rsidRPr="00892DE3" w:rsidRDefault="00080446" w:rsidP="00587DAE">
      <w:pPr>
        <w:pStyle w:val="Guidancebullet"/>
        <w:numPr>
          <w:ilvl w:val="1"/>
          <w:numId w:val="24"/>
        </w:numPr>
        <w:pBdr>
          <w:bottom w:val="none" w:sz="0" w:space="0" w:color="auto"/>
        </w:pBdr>
        <w:ind w:left="446" w:hanging="446"/>
      </w:pPr>
      <w:r w:rsidRPr="00892DE3">
        <w:t>brief details of the contractors and the purpose of contracts that have not been disclosed, and the date when it will be disclosed; and</w:t>
      </w:r>
    </w:p>
    <w:p w:rsidR="00080446" w:rsidRPr="00892DE3" w:rsidRDefault="00080446" w:rsidP="00587DAE">
      <w:pPr>
        <w:pStyle w:val="Guidancebullet"/>
        <w:numPr>
          <w:ilvl w:val="1"/>
          <w:numId w:val="24"/>
        </w:numPr>
        <w:pBdr>
          <w:bottom w:val="none" w:sz="0" w:space="0" w:color="auto"/>
        </w:pBdr>
        <w:ind w:left="446" w:hanging="446"/>
      </w:pPr>
      <w:r w:rsidRPr="00892DE3">
        <w:t>where the details of contracts that have been disclosed are publicly available.</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In complying with these requirements, the accountable officer should have regard to the following documents and other relevant material:</w:t>
      </w:r>
    </w:p>
    <w:p w:rsidR="00080446" w:rsidRPr="00892DE3" w:rsidRDefault="00080446" w:rsidP="00587DAE">
      <w:pPr>
        <w:pStyle w:val="Guidancebullet"/>
        <w:numPr>
          <w:ilvl w:val="1"/>
          <w:numId w:val="24"/>
        </w:numPr>
        <w:ind w:left="446" w:hanging="446"/>
      </w:pPr>
      <w:r w:rsidRPr="00892DE3">
        <w:t xml:space="preserve">Ensuring openness and probity in Victorian Government contracts: A policy statement (11 October 2000); </w:t>
      </w:r>
    </w:p>
    <w:p w:rsidR="00080446" w:rsidRPr="00892DE3" w:rsidRDefault="00080446" w:rsidP="00587DAE">
      <w:pPr>
        <w:pStyle w:val="Guidancebullet"/>
        <w:numPr>
          <w:ilvl w:val="1"/>
          <w:numId w:val="24"/>
        </w:numPr>
        <w:ind w:left="446" w:hanging="446"/>
      </w:pPr>
      <w:r w:rsidRPr="00892DE3">
        <w:t>Ensuring openness and probity in Victorian Government contracts: Implementation guidelines; and</w:t>
      </w:r>
    </w:p>
    <w:p w:rsidR="00080446" w:rsidRPr="00892DE3" w:rsidRDefault="00080446" w:rsidP="00587DAE">
      <w:pPr>
        <w:pStyle w:val="Guidancebullet"/>
        <w:numPr>
          <w:ilvl w:val="1"/>
          <w:numId w:val="24"/>
        </w:numPr>
        <w:ind w:left="446" w:hanging="446"/>
      </w:pPr>
      <w:r w:rsidRPr="00892DE3">
        <w:t>guidelines issued by the Victorian Government Purchasing Board.</w:t>
      </w:r>
    </w:p>
    <w:p w:rsidR="00080446" w:rsidRPr="00892DE3" w:rsidRDefault="00080446" w:rsidP="00080446">
      <w:pPr>
        <w:pStyle w:val="Guidance"/>
      </w:pPr>
      <w:r w:rsidRPr="00892DE3">
        <w:t xml:space="preserve">The mandated disclosure above is a minimum requirement. The policy requires that all other public sector entities document their policies on disclosure, having regard to the Government’s policy on openness and probity. </w:t>
      </w:r>
    </w:p>
    <w:p w:rsidR="00080446" w:rsidRPr="00892DE3" w:rsidRDefault="00080446" w:rsidP="00080446">
      <w:pPr>
        <w:pStyle w:val="BodyText"/>
      </w:pPr>
      <w:r w:rsidRPr="00892DE3">
        <w:br w:type="page"/>
      </w: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Reference"/>
      </w:pPr>
      <w:r w:rsidRPr="00892DE3">
        <w:t>FRD 22H</w:t>
      </w:r>
    </w:p>
    <w:p w:rsidR="00080446" w:rsidRPr="00892DE3" w:rsidRDefault="00080446" w:rsidP="005C5F04">
      <w:pPr>
        <w:pStyle w:val="Heading2nonTOC"/>
      </w:pPr>
      <w:r w:rsidRPr="00892DE3">
        <w:br w:type="column"/>
      </w:r>
      <w:bookmarkStart w:id="50" w:name="_Toc477967502"/>
      <w:r w:rsidRPr="00892DE3">
        <w:lastRenderedPageBreak/>
        <w:t>Freedom of information</w:t>
      </w:r>
      <w:bookmarkEnd w:id="50"/>
    </w:p>
    <w:p w:rsidR="00080446" w:rsidRPr="00892DE3" w:rsidRDefault="00080446" w:rsidP="00080446">
      <w:pPr>
        <w:pStyle w:val="BodyText"/>
      </w:pPr>
      <w:r w:rsidRPr="00892DE3">
        <w:t xml:space="preserve">The </w:t>
      </w:r>
      <w:r w:rsidRPr="00892DE3">
        <w:rPr>
          <w:i/>
        </w:rPr>
        <w:t>Freedom of Information Act 1982</w:t>
      </w:r>
      <w:r w:rsidRPr="00892DE3">
        <w:t xml:space="preserve"> allows the public a right of access to documents held by the Department. For the 12 months ending 30 June 2017, the Department received 26 applications. Of these requests, six were from Members of Parliament and the remainder were from the general public. Of the total requests received by the Department, the majority were acceded to, but three went to internal review by the Freedom of Information Commissioner with none progressing to the appeal stage.</w:t>
      </w:r>
    </w:p>
    <w:p w:rsidR="00080446" w:rsidRPr="00892DE3" w:rsidRDefault="00080446" w:rsidP="00A0673E">
      <w:pPr>
        <w:pStyle w:val="Heading30"/>
      </w:pPr>
      <w:r w:rsidRPr="00892DE3">
        <w:t>Making a request</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BodyText"/>
      </w:pPr>
      <w:r w:rsidRPr="00892DE3">
        <w:br w:type="column"/>
      </w:r>
      <w:r w:rsidRPr="00892DE3">
        <w:lastRenderedPageBreak/>
        <w:t xml:space="preserve">Access to documents may be obtained through written request to the Freedom of Information Manager, as detailed in s17 of the </w:t>
      </w:r>
      <w:r w:rsidRPr="00892DE3">
        <w:rPr>
          <w:i/>
        </w:rPr>
        <w:t>Freedom of Information Act 1982</w:t>
      </w:r>
      <w:r w:rsidRPr="00892DE3">
        <w:t>. In summary, the requirements for making a request are:</w:t>
      </w:r>
    </w:p>
    <w:p w:rsidR="00080446" w:rsidRPr="00892DE3" w:rsidRDefault="00080446" w:rsidP="00587DAE">
      <w:pPr>
        <w:pStyle w:val="ListBullet"/>
        <w:keepLines w:val="0"/>
        <w:numPr>
          <w:ilvl w:val="0"/>
          <w:numId w:val="19"/>
        </w:numPr>
        <w:spacing w:before="120" w:after="60"/>
      </w:pPr>
      <w:r w:rsidRPr="00892DE3">
        <w:t>it should be in writing;</w:t>
      </w:r>
    </w:p>
    <w:p w:rsidR="00080446" w:rsidRPr="00892DE3" w:rsidRDefault="00080446" w:rsidP="00587DAE">
      <w:pPr>
        <w:pStyle w:val="ListBullet"/>
        <w:keepLines w:val="0"/>
        <w:numPr>
          <w:ilvl w:val="0"/>
          <w:numId w:val="19"/>
        </w:numPr>
        <w:spacing w:before="120" w:after="60"/>
      </w:pPr>
      <w:r w:rsidRPr="00892DE3">
        <w:t>it should identify as clearly as possible which document is being requested; and</w:t>
      </w:r>
    </w:p>
    <w:p w:rsidR="00080446" w:rsidRPr="00892DE3" w:rsidRDefault="00080446" w:rsidP="00587DAE">
      <w:pPr>
        <w:pStyle w:val="ListBullet"/>
        <w:keepLines w:val="0"/>
        <w:numPr>
          <w:ilvl w:val="0"/>
          <w:numId w:val="19"/>
        </w:numPr>
        <w:spacing w:before="120" w:after="60"/>
      </w:pPr>
      <w:r w:rsidRPr="00892DE3">
        <w:t>it should be accompanied by the appropriate application fee (the fee may be waived in certain circumstances).</w:t>
      </w:r>
    </w:p>
    <w:p w:rsidR="00080446" w:rsidRPr="00892DE3" w:rsidRDefault="00080446" w:rsidP="00080446">
      <w:pPr>
        <w:pStyle w:val="BodyText"/>
      </w:pPr>
      <w:r w:rsidRPr="00892DE3">
        <w:t>Requests for documents in the possession of the Department of Technology should be addressed to:</w:t>
      </w:r>
    </w:p>
    <w:p w:rsidR="00080446" w:rsidRPr="00892DE3" w:rsidRDefault="00080446" w:rsidP="00080446">
      <w:pPr>
        <w:pStyle w:val="BodyTextIndent"/>
      </w:pPr>
      <w:r w:rsidRPr="00892DE3">
        <w:t>Freedom of Information Manager</w:t>
      </w:r>
      <w:r w:rsidRPr="00892DE3">
        <w:br/>
        <w:t>Department of Technology</w:t>
      </w:r>
      <w:r w:rsidRPr="00892DE3">
        <w:br/>
        <w:t>1 Victoria Place</w:t>
      </w:r>
      <w:r w:rsidRPr="00892DE3">
        <w:br/>
        <w:t>Melbourne VIC 3000</w:t>
      </w:r>
    </w:p>
    <w:p w:rsidR="00080446" w:rsidRPr="00892DE3" w:rsidRDefault="00080446" w:rsidP="00080446">
      <w:pPr>
        <w:pStyle w:val="BodyText"/>
        <w:rPr>
          <w:rStyle w:val="Hyperlink"/>
        </w:rPr>
      </w:pPr>
      <w:r w:rsidRPr="00892DE3">
        <w:t>Requests can also be lodged online at www.foi.vic.gov.au</w:t>
      </w:r>
    </w:p>
    <w:p w:rsidR="00080446" w:rsidRPr="00892DE3" w:rsidRDefault="00080446" w:rsidP="00080446">
      <w:pPr>
        <w:pStyle w:val="BodyText"/>
      </w:pPr>
      <w:r w:rsidRPr="00892DE3">
        <w:t xml:space="preserve">Access charges may also apply once documents have been processed and a decision on access is made for example, photocopying and search and retrieval charges. </w:t>
      </w:r>
    </w:p>
    <w:p w:rsidR="00080446" w:rsidRPr="00892DE3" w:rsidRDefault="00080446" w:rsidP="00080446">
      <w:pPr>
        <w:pStyle w:val="BodyText"/>
      </w:pPr>
      <w:r w:rsidRPr="00892DE3">
        <w:t>Further information regarding freedom of information (FOI) can be found at www.foi.vic.gov.au</w:t>
      </w:r>
    </w:p>
    <w:p w:rsidR="00080446" w:rsidRPr="00892DE3" w:rsidRDefault="00080446" w:rsidP="00080446">
      <w:pPr>
        <w:pStyle w:val="Guidanceheading"/>
      </w:pPr>
      <w:r w:rsidRPr="00892DE3">
        <w:t>Guidance – Freedom of Information</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
        <w:pBdr>
          <w:bottom w:val="none" w:sz="0" w:space="0" w:color="auto"/>
        </w:pBdr>
      </w:pPr>
      <w:r w:rsidRPr="00892DE3">
        <w:br w:type="column"/>
      </w:r>
      <w:r w:rsidRPr="00892DE3">
        <w:rPr>
          <w:b/>
        </w:rPr>
        <w:lastRenderedPageBreak/>
        <w:t>FRD 22H</w:t>
      </w:r>
      <w:r w:rsidR="006A58CA">
        <w:rPr>
          <w:b/>
        </w:rPr>
        <w:t xml:space="preserve"> </w:t>
      </w:r>
      <w:r w:rsidR="006A58CA">
        <w:t xml:space="preserve">(to be issued in June 2017) </w:t>
      </w:r>
      <w:r w:rsidRPr="00892DE3">
        <w:t xml:space="preserve">states that a Department’s annual report should include a ‘summary of the application and operation of the </w:t>
      </w:r>
      <w:r w:rsidRPr="00892DE3">
        <w:rPr>
          <w:i/>
        </w:rPr>
        <w:t>Freedom of Information Act 1982</w:t>
      </w:r>
      <w:r w:rsidRPr="00892DE3">
        <w:t xml:space="preserve"> (the Act)’. </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This section should provide the reader with context of how the Act operates and the Department’s application of the requirements under the Act, including:</w:t>
      </w:r>
    </w:p>
    <w:p w:rsidR="00080446" w:rsidRPr="00892DE3" w:rsidRDefault="00080446" w:rsidP="00587DAE">
      <w:pPr>
        <w:pStyle w:val="Guidancebullet"/>
        <w:numPr>
          <w:ilvl w:val="1"/>
          <w:numId w:val="24"/>
        </w:numPr>
        <w:ind w:left="446" w:hanging="446"/>
      </w:pPr>
      <w:r w:rsidRPr="00892DE3">
        <w:t>a description of what types of requests are handled by the Department and what are outside its scope (e.g. requests for information belonging to a portfolio agency);</w:t>
      </w:r>
    </w:p>
    <w:p w:rsidR="00080446" w:rsidRPr="00892DE3" w:rsidRDefault="00080446" w:rsidP="00587DAE">
      <w:pPr>
        <w:pStyle w:val="Guidancebullet"/>
        <w:numPr>
          <w:ilvl w:val="1"/>
          <w:numId w:val="24"/>
        </w:numPr>
        <w:ind w:left="446" w:hanging="446"/>
      </w:pPr>
      <w:r w:rsidRPr="00892DE3">
        <w:t>guidance on how a member of the public can make an FOI request, what format it should be in and any costs associated with making the request;</w:t>
      </w:r>
    </w:p>
    <w:p w:rsidR="00080446" w:rsidRPr="00892DE3" w:rsidRDefault="00080446" w:rsidP="00587DAE">
      <w:pPr>
        <w:pStyle w:val="Guidancebullet"/>
        <w:numPr>
          <w:ilvl w:val="1"/>
          <w:numId w:val="24"/>
        </w:numPr>
        <w:ind w:left="446" w:hanging="446"/>
      </w:pPr>
      <w:r w:rsidRPr="00892DE3">
        <w:t>contact details for the Department’s FOI officer(s);</w:t>
      </w:r>
    </w:p>
    <w:p w:rsidR="00080446" w:rsidRPr="00892DE3" w:rsidRDefault="00080446" w:rsidP="00587DAE">
      <w:pPr>
        <w:pStyle w:val="Guidancebullet"/>
        <w:numPr>
          <w:ilvl w:val="1"/>
          <w:numId w:val="24"/>
        </w:numPr>
        <w:ind w:left="446" w:hanging="446"/>
      </w:pPr>
      <w:r w:rsidRPr="00892DE3">
        <w:t>details of how the Act has been applied for the reporting period, including the entity’s application of the publication requirements prescribed in s7(4) of the Act.</w:t>
      </w:r>
    </w:p>
    <w:p w:rsidR="00080446" w:rsidRPr="00892DE3" w:rsidRDefault="00080446" w:rsidP="00587DAE">
      <w:pPr>
        <w:pStyle w:val="Guidancebullet"/>
        <w:numPr>
          <w:ilvl w:val="1"/>
          <w:numId w:val="24"/>
        </w:numPr>
        <w:ind w:left="446" w:hanging="446"/>
      </w:pPr>
      <w:r w:rsidRPr="00892DE3">
        <w:t>a summary of the types of requesters (e.g. ‘six were from Members of Parliament and the remainder were from the general public’) and the outcome of the requests, in brief detail (e.g. ‘the majority were acceded to’); and</w:t>
      </w:r>
    </w:p>
    <w:p w:rsidR="00080446" w:rsidRPr="00892DE3" w:rsidRDefault="00080446" w:rsidP="00587DAE">
      <w:pPr>
        <w:pStyle w:val="Guidancebullet"/>
        <w:numPr>
          <w:ilvl w:val="1"/>
          <w:numId w:val="24"/>
        </w:numPr>
        <w:ind w:left="446" w:hanging="446"/>
      </w:pPr>
      <w:r w:rsidRPr="00892DE3">
        <w:t>further information on where readers may find out more information about FOI may also be included (FOI website, FOI Act etc.).</w:t>
      </w:r>
    </w:p>
    <w:p w:rsidR="00080446" w:rsidRPr="00892DE3" w:rsidRDefault="00080446" w:rsidP="00080446">
      <w:pPr>
        <w:pStyle w:val="Guidance"/>
      </w:pPr>
      <w:r w:rsidRPr="00892DE3">
        <w:t xml:space="preserve">Please note that entities should refer to the FOI Act for the detailed requirements. The Model </w:t>
      </w:r>
      <w:r w:rsidRPr="00892DE3">
        <w:rPr>
          <w:b/>
        </w:rPr>
        <w:t>should not be used as a substitute for the actual legislation or specific requirements</w:t>
      </w:r>
      <w:r w:rsidRPr="00892DE3">
        <w:t>.</w:t>
      </w:r>
    </w:p>
    <w:p w:rsidR="00080446" w:rsidRPr="00892DE3" w:rsidRDefault="00080446" w:rsidP="00080446">
      <w:pPr>
        <w:pStyle w:val="BodyText"/>
      </w:pPr>
      <w:r w:rsidRPr="00892DE3">
        <w:br w:type="page"/>
      </w: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5C5F04">
      <w:pPr>
        <w:pStyle w:val="Heading2nonTOC"/>
      </w:pPr>
      <w:r w:rsidRPr="00892DE3">
        <w:br w:type="column"/>
      </w:r>
      <w:bookmarkStart w:id="51" w:name="_Toc477967503"/>
      <w:r w:rsidRPr="00892DE3">
        <w:lastRenderedPageBreak/>
        <w:t xml:space="preserve">Compliance with the </w:t>
      </w:r>
      <w:r w:rsidRPr="00892DE3">
        <w:rPr>
          <w:i/>
        </w:rPr>
        <w:t>Building Act 1993</w:t>
      </w:r>
      <w:bookmarkEnd w:id="51"/>
    </w:p>
    <w:p w:rsidR="00080446" w:rsidRPr="00892DE3" w:rsidRDefault="00080446" w:rsidP="00A0673E">
      <w:pPr>
        <w:spacing w:after="120"/>
      </w:pPr>
      <w:r w:rsidRPr="00892DE3">
        <w:t xml:space="preserve">The Department does not own or control any government buildings and consequently is exempt from notifying its compliance with the building and maintenance provisions of the </w:t>
      </w:r>
      <w:r w:rsidRPr="00892DE3">
        <w:rPr>
          <w:i/>
        </w:rPr>
        <w:t>Building Act 1993</w:t>
      </w:r>
      <w:r w:rsidRPr="00892DE3">
        <w:t xml:space="preserve"> </w:t>
      </w:r>
      <w:r w:rsidRPr="00892DE3">
        <w:rPr>
          <w:color w:val="0072CE" w:themeColor="accent4"/>
        </w:rPr>
        <w:t>[for publicly owned buildings controlled by the Department]</w:t>
      </w:r>
      <w:r w:rsidRPr="00892DE3">
        <w:t>.</w:t>
      </w:r>
    </w:p>
    <w:p w:rsidR="00080446" w:rsidRPr="00892DE3" w:rsidRDefault="00080446" w:rsidP="00080446">
      <w:pPr>
        <w:pStyle w:val="Guidanceheading"/>
      </w:pPr>
      <w:r w:rsidRPr="00892DE3">
        <w:t xml:space="preserve">Guidance – Compliance with the </w:t>
      </w:r>
      <w:r w:rsidRPr="00892DE3">
        <w:rPr>
          <w:i/>
        </w:rPr>
        <w:t>Building Act 1993</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
        <w:pBdr>
          <w:bottom w:val="none" w:sz="0" w:space="0" w:color="auto"/>
        </w:pBdr>
      </w:pPr>
      <w:r w:rsidRPr="00892DE3">
        <w:t>FRD 22H</w:t>
      </w:r>
      <w:r w:rsidR="006A58CA">
        <w:t xml:space="preserve"> (to be issued in June 2017)</w:t>
      </w:r>
      <w:r w:rsidRPr="00892DE3">
        <w:t xml:space="preserve"> states that a Department’s annual report must include a ‘statement on compliance with the building and maintenance provisions’ of the </w:t>
      </w:r>
      <w:r w:rsidRPr="00892DE3">
        <w:rPr>
          <w:i/>
        </w:rPr>
        <w:t>Building Act 1993</w:t>
      </w:r>
      <w:r w:rsidRPr="00892DE3">
        <w:t>.</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 xml:space="preserve">If your Department or entity does not own or control any government buildings, you still need to include a statement to that effect, identifying that it is exempt from notifying its compliance with the building and maintenance provisions of the Act. </w:t>
      </w:r>
    </w:p>
    <w:p w:rsidR="00080446" w:rsidRPr="00892DE3" w:rsidRDefault="00080446" w:rsidP="00080446">
      <w:pPr>
        <w:pStyle w:val="Guidance"/>
        <w:pBdr>
          <w:bottom w:val="none" w:sz="0" w:space="0" w:color="auto"/>
        </w:pBdr>
      </w:pPr>
      <w:r w:rsidRPr="00892DE3">
        <w:t>Where a Department does own or control buildings, it should disclose the following:</w:t>
      </w:r>
    </w:p>
    <w:p w:rsidR="00080446" w:rsidRPr="00892DE3" w:rsidRDefault="00080446" w:rsidP="00587DAE">
      <w:pPr>
        <w:pStyle w:val="Guidancebullet"/>
        <w:numPr>
          <w:ilvl w:val="1"/>
          <w:numId w:val="24"/>
        </w:numPr>
        <w:ind w:left="446" w:hanging="446"/>
      </w:pPr>
      <w:r w:rsidRPr="00892DE3">
        <w:t>mechanisms to ensure that buildings conform with the building standards;</w:t>
      </w:r>
    </w:p>
    <w:p w:rsidR="00080446" w:rsidRPr="00892DE3" w:rsidRDefault="00080446" w:rsidP="00587DAE">
      <w:pPr>
        <w:pStyle w:val="Guidancebullet"/>
        <w:numPr>
          <w:ilvl w:val="1"/>
          <w:numId w:val="24"/>
        </w:numPr>
        <w:ind w:left="446" w:hanging="446"/>
      </w:pPr>
      <w:r w:rsidRPr="00892DE3">
        <w:t>major works projects (greater than $50 000);</w:t>
      </w:r>
    </w:p>
    <w:p w:rsidR="00080446" w:rsidRPr="00892DE3" w:rsidRDefault="00080446" w:rsidP="00587DAE">
      <w:pPr>
        <w:pStyle w:val="Guidancebullet"/>
        <w:numPr>
          <w:ilvl w:val="1"/>
          <w:numId w:val="24"/>
        </w:numPr>
        <w:ind w:left="446" w:hanging="446"/>
      </w:pPr>
      <w:r w:rsidRPr="00892DE3">
        <w:t>number of building permits, occupancy permits or certificate of final inspection issued in relation to buildings owned by the department or entity;</w:t>
      </w:r>
    </w:p>
    <w:p w:rsidR="00080446" w:rsidRPr="00892DE3" w:rsidRDefault="00080446" w:rsidP="00587DAE">
      <w:pPr>
        <w:pStyle w:val="Guidancebullet"/>
        <w:numPr>
          <w:ilvl w:val="1"/>
          <w:numId w:val="24"/>
        </w:numPr>
        <w:ind w:left="446" w:hanging="446"/>
      </w:pPr>
      <w:r w:rsidRPr="00892DE3">
        <w:t>mechanisms for inspection, reporting, scheduling and carrying out of maintenance works on existing buildings;</w:t>
      </w:r>
    </w:p>
    <w:p w:rsidR="00080446" w:rsidRPr="00892DE3" w:rsidRDefault="00080446" w:rsidP="00587DAE">
      <w:pPr>
        <w:pStyle w:val="Guidancebullet"/>
        <w:numPr>
          <w:ilvl w:val="1"/>
          <w:numId w:val="24"/>
        </w:numPr>
        <w:ind w:left="446" w:hanging="446"/>
      </w:pPr>
      <w:r w:rsidRPr="00892DE3">
        <w:t>number of emergency orders and building orders issued in relation to buildings; and</w:t>
      </w:r>
    </w:p>
    <w:p w:rsidR="00080446" w:rsidRPr="00892DE3" w:rsidRDefault="00080446" w:rsidP="00587DAE">
      <w:pPr>
        <w:pStyle w:val="Guidancebullet"/>
        <w:numPr>
          <w:ilvl w:val="1"/>
          <w:numId w:val="24"/>
        </w:numPr>
        <w:ind w:left="446" w:hanging="446"/>
      </w:pPr>
      <w:r w:rsidRPr="00892DE3">
        <w:t>number of buildings that have been brought into conformity with building standards during the reporting period.</w:t>
      </w:r>
    </w:p>
    <w:p w:rsidR="00080446" w:rsidRPr="00892DE3" w:rsidRDefault="00080446" w:rsidP="00080446">
      <w:pPr>
        <w:pStyle w:val="BodyText"/>
      </w:pPr>
    </w:p>
    <w:p w:rsidR="00080446" w:rsidRPr="00892DE3" w:rsidRDefault="00080446" w:rsidP="005C5F04">
      <w:pPr>
        <w:pStyle w:val="Heading2nonTOC"/>
      </w:pPr>
      <w:bookmarkStart w:id="52" w:name="_Toc477967504"/>
      <w:r w:rsidRPr="00892DE3">
        <w:t>National Competition Policy</w:t>
      </w:r>
      <w:bookmarkEnd w:id="52"/>
    </w:p>
    <w:p w:rsidR="00080446" w:rsidRPr="00892DE3" w:rsidRDefault="00080446" w:rsidP="00A0673E">
      <w:r w:rsidRPr="00892DE3">
        <w:t>Under the National Competition Policy (NCP), the guiding legislative principle is that legislation, including future legislative proposals, should not restrict competition unless it can be demonstrated that:</w:t>
      </w:r>
    </w:p>
    <w:p w:rsidR="00080446" w:rsidRPr="00892DE3" w:rsidRDefault="00080446" w:rsidP="00587DAE">
      <w:pPr>
        <w:pStyle w:val="ListBullet"/>
        <w:keepLines w:val="0"/>
        <w:numPr>
          <w:ilvl w:val="0"/>
          <w:numId w:val="19"/>
        </w:numPr>
        <w:spacing w:before="120" w:after="60"/>
      </w:pPr>
      <w:r w:rsidRPr="00892DE3">
        <w:t>the benefits of the restriction to the community as a whole outweigh the costs; and</w:t>
      </w:r>
    </w:p>
    <w:p w:rsidR="00080446" w:rsidRPr="00892DE3" w:rsidRDefault="00080446" w:rsidP="00587DAE">
      <w:pPr>
        <w:pStyle w:val="ListBullet"/>
        <w:keepLines w:val="0"/>
        <w:numPr>
          <w:ilvl w:val="0"/>
          <w:numId w:val="19"/>
        </w:numPr>
        <w:spacing w:before="120" w:after="60"/>
      </w:pPr>
      <w:r w:rsidRPr="00892DE3">
        <w:t>the objectives of the legislation can only be achieved by restricting competition.</w:t>
      </w:r>
    </w:p>
    <w:p w:rsidR="00080446" w:rsidRPr="00892DE3" w:rsidRDefault="00080446" w:rsidP="00080446">
      <w:pPr>
        <w:pStyle w:val="BodyText"/>
      </w:pPr>
      <w:r w:rsidRPr="00892DE3">
        <w:t>The Department continues to comply with the requirements of the NCP.</w:t>
      </w:r>
    </w:p>
    <w:p w:rsidR="00080446" w:rsidRPr="00892DE3" w:rsidRDefault="00080446" w:rsidP="00080446">
      <w:pPr>
        <w:pStyle w:val="BodyText"/>
      </w:pPr>
      <w:r w:rsidRPr="00892DE3">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completion between public and private businesses and provides government businesses with a tool to enhance decisions on resource allocation. This policy does not override other policy objectives of government and focuses on efficiency in the provision of service.</w:t>
      </w:r>
    </w:p>
    <w:p w:rsidR="00080446" w:rsidRPr="00892DE3" w:rsidRDefault="005D658B" w:rsidP="00080446">
      <w:pPr>
        <w:pStyle w:val="BodyText"/>
      </w:pPr>
      <w:r w:rsidRPr="00892DE3">
        <w:t>T</w:t>
      </w:r>
      <w:r w:rsidR="00080446" w:rsidRPr="00892DE3">
        <w:t>he Department is working to ensure that Victoria fulfils its requirements on competitive neutrality reporting for technological based businesses against the enhanced principles as required under the Competition and Infrastructure Reform Agreement.</w:t>
      </w:r>
    </w:p>
    <w:p w:rsidR="00080446" w:rsidRPr="00892DE3" w:rsidRDefault="00080446" w:rsidP="00080446">
      <w:pPr>
        <w:pStyle w:val="BodyText"/>
      </w:pPr>
      <w:r w:rsidRPr="00892DE3">
        <w:br w:type="page"/>
      </w:r>
    </w:p>
    <w:p w:rsidR="00080446" w:rsidRPr="00892DE3" w:rsidRDefault="00080446" w:rsidP="00080446">
      <w:pPr>
        <w:pStyle w:val="Smallline"/>
      </w:pPr>
      <w:r w:rsidRPr="00892DE3">
        <w:lastRenderedPageBreak/>
        <w:br w:type="column"/>
      </w:r>
    </w:p>
    <w:p w:rsidR="00080446" w:rsidRPr="00892DE3" w:rsidRDefault="00080446" w:rsidP="00080446">
      <w:pPr>
        <w:pStyle w:val="Guidanceheading"/>
      </w:pPr>
      <w:r w:rsidRPr="00892DE3">
        <w:t>Guidance – National Competition Policy</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t>FRD 22H</w:t>
      </w:r>
    </w:p>
    <w:p w:rsidR="00080446" w:rsidRPr="00892DE3" w:rsidRDefault="00080446" w:rsidP="00080446">
      <w:pPr>
        <w:pStyle w:val="Reference"/>
      </w:pPr>
    </w:p>
    <w:p w:rsidR="00080446" w:rsidRPr="00892DE3" w:rsidRDefault="00080446" w:rsidP="00A0673E">
      <w:pPr>
        <w:pStyle w:val="Reference"/>
      </w:pPr>
    </w:p>
    <w:p w:rsidR="00080446" w:rsidRPr="00892DE3" w:rsidRDefault="00080446" w:rsidP="00A0673E">
      <w:pPr>
        <w:pStyle w:val="Reference"/>
      </w:pPr>
    </w:p>
    <w:p w:rsidR="00080446" w:rsidRPr="00892DE3" w:rsidRDefault="00080446" w:rsidP="00A0673E">
      <w:pPr>
        <w:pStyle w:val="Reference"/>
      </w:pPr>
    </w:p>
    <w:p w:rsidR="00080446" w:rsidRPr="00892DE3" w:rsidRDefault="00080446" w:rsidP="00A0673E">
      <w:pPr>
        <w:pStyle w:val="Reference"/>
        <w:rPr>
          <w:b/>
        </w:rPr>
      </w:pPr>
    </w:p>
    <w:p w:rsidR="00080446" w:rsidRPr="00892DE3" w:rsidRDefault="00080446" w:rsidP="00A0673E">
      <w:pPr>
        <w:pStyle w:val="Reference"/>
        <w:rPr>
          <w:b/>
        </w:rPr>
      </w:pPr>
    </w:p>
    <w:p w:rsidR="00080446" w:rsidRPr="00892DE3" w:rsidRDefault="00080446" w:rsidP="00A0673E">
      <w:pPr>
        <w:pStyle w:val="Reference"/>
        <w:rPr>
          <w:b/>
        </w:rPr>
      </w:pPr>
    </w:p>
    <w:p w:rsidR="00080446" w:rsidRPr="00892DE3" w:rsidRDefault="00080446" w:rsidP="00A0673E">
      <w:pPr>
        <w:pStyle w:val="Reference"/>
        <w:rPr>
          <w:b/>
        </w:rPr>
      </w:pPr>
    </w:p>
    <w:p w:rsidR="00080446" w:rsidRPr="00892DE3" w:rsidRDefault="00080446" w:rsidP="00A0673E">
      <w:pPr>
        <w:pStyle w:val="Reference"/>
        <w:rPr>
          <w:b/>
        </w:rPr>
      </w:pPr>
    </w:p>
    <w:p w:rsidR="00080446" w:rsidRPr="00892DE3" w:rsidRDefault="00080446" w:rsidP="00A0673E">
      <w:pPr>
        <w:pStyle w:val="Reference"/>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Guidance"/>
        <w:pBdr>
          <w:bottom w:val="none" w:sz="0" w:space="0" w:color="auto"/>
        </w:pBdr>
      </w:pPr>
      <w:r w:rsidRPr="00892DE3">
        <w:br w:type="column"/>
      </w:r>
      <w:r w:rsidRPr="00892DE3">
        <w:rPr>
          <w:b/>
        </w:rPr>
        <w:lastRenderedPageBreak/>
        <w:t>FRD 22H</w:t>
      </w:r>
      <w:r w:rsidRPr="00892DE3">
        <w:t xml:space="preserve"> </w:t>
      </w:r>
      <w:r w:rsidR="006A58CA">
        <w:t xml:space="preserve">(to be issued in June 2017) </w:t>
      </w:r>
      <w:r w:rsidRPr="00892DE3">
        <w:t xml:space="preserve">states that a Department’s annual report must include a ‘statement to the extent applicable, on the implementation and compliance with </w:t>
      </w:r>
      <w:r w:rsidR="005D658B" w:rsidRPr="00892DE3">
        <w:t>National Competition Policy (</w:t>
      </w:r>
      <w:r w:rsidRPr="00892DE3">
        <w:t>NCP</w:t>
      </w:r>
      <w:r w:rsidR="005D658B" w:rsidRPr="00892DE3">
        <w:t>)</w:t>
      </w:r>
      <w:r w:rsidRPr="00892DE3">
        <w:t>, including compliance with the requirements of the policy statement</w:t>
      </w:r>
      <w:r w:rsidR="005D658B" w:rsidRPr="00892DE3">
        <w:t>,</w:t>
      </w:r>
      <w:r w:rsidRPr="00892DE3">
        <w:t xml:space="preserve"> </w:t>
      </w:r>
      <w:r w:rsidR="005D658B" w:rsidRPr="00892DE3">
        <w:rPr>
          <w:i/>
        </w:rPr>
        <w:t xml:space="preserve">Competitive Neutrality Policy  </w:t>
      </w:r>
      <w:r w:rsidRPr="00892DE3">
        <w:rPr>
          <w:i/>
        </w:rPr>
        <w:t>Victoria</w:t>
      </w:r>
      <w:r w:rsidRPr="00892DE3">
        <w:t xml:space="preserve"> and any subsequent reforms’. </w:t>
      </w:r>
    </w:p>
    <w:p w:rsidR="00080446" w:rsidRPr="00892DE3" w:rsidRDefault="00080446" w:rsidP="00080446">
      <w:pPr>
        <w:pStyle w:val="Guidanceheading1"/>
      </w:pPr>
      <w:r w:rsidRPr="00892DE3">
        <w:t xml:space="preserve">Guidance </w:t>
      </w:r>
    </w:p>
    <w:p w:rsidR="00080446" w:rsidRPr="00892DE3" w:rsidRDefault="00080446" w:rsidP="00080446">
      <w:pPr>
        <w:pStyle w:val="Guidanceheading1"/>
        <w:rPr>
          <w:b w:val="0"/>
        </w:rPr>
      </w:pPr>
      <w:r w:rsidRPr="00892DE3">
        <w:rPr>
          <w:b w:val="0"/>
        </w:rPr>
        <w:t xml:space="preserve">The Victorian Government requires that an assessment of proposed or legislation or regulation against the NCP requirements to be included in Legislative Impact Assessments (LIA), which are prepared for primary legislation, and Regulatory Impact Statements (RIS), which are prepared for regulations and other instruments. </w:t>
      </w:r>
    </w:p>
    <w:p w:rsidR="00080446" w:rsidRPr="00892DE3" w:rsidRDefault="00080446" w:rsidP="00080446">
      <w:pPr>
        <w:pStyle w:val="Guidance"/>
      </w:pPr>
      <w:r w:rsidRPr="00892DE3">
        <w:t xml:space="preserve">Departments may wish to include some background information in this section, outlining the basis upon which NCP was implemented and where relevant, subsequent reviews as part of the National Reform Agenda, most notably the preparation of LIA and RIS. </w:t>
      </w:r>
    </w:p>
    <w:p w:rsidR="00080446" w:rsidRPr="00892DE3" w:rsidRDefault="00080446" w:rsidP="00080446">
      <w:pPr>
        <w:pStyle w:val="Guidance"/>
      </w:pPr>
      <w:r w:rsidRPr="00892DE3">
        <w:t xml:space="preserve">This section should also include details of compliance with competitive neutrality policy and background information on the application of competitive neutrality to the extent that this has altered since the previous year. Where a CNP complaint has been made against a </w:t>
      </w:r>
      <w:r w:rsidR="00C82374" w:rsidRPr="00892DE3">
        <w:t>department</w:t>
      </w:r>
      <w:r w:rsidRPr="00892DE3">
        <w:t xml:space="preserve">, this section should also include a brief description of the complaint, the results of any investigation and steps taken to comply with the CNP. </w:t>
      </w:r>
    </w:p>
    <w:p w:rsidR="00080446" w:rsidRPr="00892DE3" w:rsidRDefault="00080446" w:rsidP="00080446">
      <w:pPr>
        <w:pStyle w:val="Guidance"/>
      </w:pPr>
      <w:r w:rsidRPr="00892DE3">
        <w:t>Further information on CNP is available from the Office of the Commissioner for Better Regulation: www.betterregulation.vic.gov.</w:t>
      </w:r>
      <w:r w:rsidR="00C82374" w:rsidRPr="00892DE3">
        <w:t>au</w:t>
      </w:r>
    </w:p>
    <w:p w:rsidR="00080446" w:rsidRPr="00892DE3" w:rsidRDefault="00080446" w:rsidP="00AA770B">
      <w:pPr>
        <w:pStyle w:val="Heading2nonTOC"/>
      </w:pPr>
      <w:r w:rsidRPr="00892DE3">
        <w:t xml:space="preserve">Compliance with the </w:t>
      </w:r>
      <w:r w:rsidRPr="00892DE3">
        <w:rPr>
          <w:i/>
        </w:rPr>
        <w:t>Protected Disclosure Act 2012</w:t>
      </w:r>
      <w:r w:rsidRPr="00892DE3">
        <w:t xml:space="preserve"> </w:t>
      </w:r>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BodyText"/>
      </w:pPr>
      <w:r w:rsidRPr="00892DE3">
        <w:br w:type="column"/>
      </w:r>
      <w:r w:rsidRPr="00892DE3">
        <w:lastRenderedPageBreak/>
        <w:t xml:space="preserve">The </w:t>
      </w:r>
      <w:r w:rsidRPr="00892DE3">
        <w:rPr>
          <w:i/>
        </w:rPr>
        <w:t>Protected Disclosure Act 2012</w:t>
      </w:r>
      <w:r w:rsidRPr="00892DE3">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rsidR="00080446" w:rsidRPr="00892DE3" w:rsidRDefault="00080446" w:rsidP="00080446">
      <w:pPr>
        <w:pStyle w:val="BodyText"/>
      </w:pPr>
      <w:r w:rsidRPr="00892DE3">
        <w:t xml:space="preserve">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w:t>
      </w:r>
    </w:p>
    <w:p w:rsidR="00080446" w:rsidRPr="00892DE3" w:rsidRDefault="00080446" w:rsidP="00080446">
      <w:pPr>
        <w:pStyle w:val="BodyText"/>
      </w:pPr>
      <w:r w:rsidRPr="00892DE3">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rsidR="00080446" w:rsidRPr="00892DE3" w:rsidRDefault="00080446" w:rsidP="00A0673E">
      <w:pPr>
        <w:pStyle w:val="Heading30"/>
      </w:pPr>
      <w:r w:rsidRPr="00892DE3">
        <w:t>Reporting procedures</w:t>
      </w:r>
    </w:p>
    <w:p w:rsidR="00080446" w:rsidRPr="00892DE3" w:rsidRDefault="00080446" w:rsidP="00080446">
      <w:pPr>
        <w:pStyle w:val="BodyText"/>
      </w:pPr>
      <w:r w:rsidRPr="00892DE3">
        <w:t>Disclosures of improper conduct or detrimental action by the Department or any of its employees may be made to any of the following Department personnel:</w:t>
      </w:r>
    </w:p>
    <w:p w:rsidR="00080446" w:rsidRPr="00892DE3" w:rsidRDefault="00080446" w:rsidP="00587DAE">
      <w:pPr>
        <w:pStyle w:val="ListBullet"/>
        <w:keepLines w:val="0"/>
        <w:numPr>
          <w:ilvl w:val="0"/>
          <w:numId w:val="19"/>
        </w:numPr>
        <w:spacing w:before="120" w:after="60"/>
      </w:pPr>
      <w:r w:rsidRPr="00892DE3">
        <w:t>Secretary of the Department;</w:t>
      </w:r>
    </w:p>
    <w:p w:rsidR="00080446" w:rsidRPr="00892DE3" w:rsidRDefault="00080446" w:rsidP="00587DAE">
      <w:pPr>
        <w:pStyle w:val="ListBullet"/>
        <w:keepLines w:val="0"/>
        <w:numPr>
          <w:ilvl w:val="0"/>
          <w:numId w:val="19"/>
        </w:numPr>
        <w:spacing w:before="120" w:after="60"/>
      </w:pPr>
      <w:r w:rsidRPr="00892DE3">
        <w:t>Protected Disclosure Coordinator or Protected Disclosure Officer;</w:t>
      </w:r>
    </w:p>
    <w:p w:rsidR="00080446" w:rsidRPr="00892DE3" w:rsidRDefault="00080446" w:rsidP="00587DAE">
      <w:pPr>
        <w:pStyle w:val="ListBullet"/>
        <w:keepLines w:val="0"/>
        <w:numPr>
          <w:ilvl w:val="0"/>
          <w:numId w:val="19"/>
        </w:numPr>
        <w:spacing w:before="120" w:after="60"/>
      </w:pPr>
      <w:r w:rsidRPr="00892DE3">
        <w:t xml:space="preserve">manager or supervisor of the disclosure; or </w:t>
      </w:r>
    </w:p>
    <w:p w:rsidR="00080446" w:rsidRPr="00892DE3" w:rsidRDefault="00080446" w:rsidP="00587DAE">
      <w:pPr>
        <w:pStyle w:val="ListBullet"/>
        <w:keepLines w:val="0"/>
        <w:numPr>
          <w:ilvl w:val="0"/>
          <w:numId w:val="19"/>
        </w:numPr>
        <w:spacing w:before="120" w:after="60"/>
      </w:pPr>
      <w:r w:rsidRPr="00892DE3">
        <w:t xml:space="preserve">manager or supervisor of the person who is the subject of the disclosure. </w:t>
      </w:r>
    </w:p>
    <w:p w:rsidR="00080446" w:rsidRPr="00892DE3" w:rsidRDefault="00080446" w:rsidP="00587DAE">
      <w:pPr>
        <w:pStyle w:val="ListBullet"/>
        <w:keepLines w:val="0"/>
        <w:numPr>
          <w:ilvl w:val="0"/>
          <w:numId w:val="19"/>
        </w:numPr>
        <w:spacing w:before="120" w:after="60"/>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w:t>
      </w:r>
      <w:r w:rsidR="00C42E5E" w:rsidRPr="00892DE3">
        <w:t>H</w:t>
      </w:r>
    </w:p>
    <w:p w:rsidR="00080446" w:rsidRPr="00892DE3" w:rsidRDefault="00080446" w:rsidP="00080446">
      <w:pPr>
        <w:pStyle w:val="BodyText"/>
      </w:pPr>
      <w:r w:rsidRPr="00892DE3">
        <w:br w:type="column"/>
      </w:r>
      <w:r w:rsidRPr="00892DE3">
        <w:lastRenderedPageBreak/>
        <w:t>Alternatively, disclosures may also be made directly to the Independent Broad based Anti</w:t>
      </w:r>
      <w:r w:rsidRPr="00892DE3">
        <w:noBreakHyphen/>
        <w:t>corruption Commission:</w:t>
      </w:r>
    </w:p>
    <w:p w:rsidR="00080446" w:rsidRPr="00892DE3" w:rsidRDefault="00080446" w:rsidP="00080446">
      <w:pPr>
        <w:pStyle w:val="BodyTextIndent"/>
        <w:rPr>
          <w:color w:val="0072CE" w:themeColor="accent4"/>
        </w:rPr>
      </w:pPr>
      <w:r w:rsidRPr="00892DE3">
        <w:t>Level 1, North Tower, 459 Collins Street</w:t>
      </w:r>
      <w:r w:rsidRPr="00892DE3">
        <w:br/>
        <w:t>Melbourne, VIC 3000</w:t>
      </w:r>
      <w:r w:rsidRPr="00892DE3">
        <w:br/>
        <w:t>Phone: 1300 735 135</w:t>
      </w:r>
      <w:r w:rsidRPr="00892DE3">
        <w:br/>
        <w:t>Internet:</w:t>
      </w:r>
      <w:r w:rsidRPr="00892DE3">
        <w:rPr>
          <w:rStyle w:val="Hyperlink"/>
        </w:rPr>
        <w:t xml:space="preserve"> </w:t>
      </w:r>
      <w:r w:rsidRPr="00892DE3">
        <w:t>www.ibac.vic.gov.au</w:t>
      </w:r>
      <w:r w:rsidRPr="00892DE3">
        <w:br/>
        <w:t xml:space="preserve">Email: </w:t>
      </w:r>
      <w:r w:rsidRPr="00892DE3">
        <w:rPr>
          <w:color w:val="0072CE" w:themeColor="accent4"/>
        </w:rPr>
        <w:t>[see the website above for the secure email disclosure process, which also provides for anonymous disclosures.]</w:t>
      </w:r>
    </w:p>
    <w:p w:rsidR="00A0673E" w:rsidRPr="00892DE3" w:rsidRDefault="00A0673E">
      <w:pPr>
        <w:keepLines w:val="0"/>
        <w:rPr>
          <w:color w:val="0072CE" w:themeColor="accent4"/>
        </w:rPr>
      </w:pPr>
      <w:r w:rsidRPr="00892DE3">
        <w:rPr>
          <w:color w:val="0072CE" w:themeColor="accent4"/>
        </w:rPr>
        <w:br w:type="page"/>
      </w:r>
    </w:p>
    <w:p w:rsidR="00080446" w:rsidRPr="00892DE3" w:rsidRDefault="00A0673E" w:rsidP="00A0673E">
      <w:pPr>
        <w:pStyle w:val="Heading30"/>
      </w:pPr>
      <w:r w:rsidRPr="00892DE3">
        <w:lastRenderedPageBreak/>
        <w:br w:type="column"/>
      </w:r>
      <w:r w:rsidR="00080446" w:rsidRPr="00892DE3">
        <w:lastRenderedPageBreak/>
        <w:t>Further information</w:t>
      </w:r>
    </w:p>
    <w:p w:rsidR="00080446" w:rsidRPr="00892DE3" w:rsidRDefault="00080446" w:rsidP="00080446">
      <w:pPr>
        <w:pStyle w:val="BodyText"/>
      </w:pPr>
      <w:r w:rsidRPr="00892DE3">
        <w:t xml:space="preserve">The Protected Disclosure Policy and Procedures, which outline the system for reporting disclosures of improper conduct or detrimental action by the Department or any of its employees and/or officers, are available on the Department’s website. </w:t>
      </w:r>
    </w:p>
    <w:p w:rsidR="00080446" w:rsidRPr="00892DE3" w:rsidRDefault="00080446" w:rsidP="00080446">
      <w:pPr>
        <w:pStyle w:val="Subheading"/>
      </w:pPr>
      <w:r w:rsidRPr="00892DE3">
        <w:t xml:space="preserve">Disclosures under the </w:t>
      </w:r>
      <w:r w:rsidRPr="00892DE3">
        <w:rPr>
          <w:i/>
        </w:rPr>
        <w:t>Protected Disclosure Act 2012</w:t>
      </w:r>
    </w:p>
    <w:tbl>
      <w:tblPr>
        <w:tblStyle w:val="DTFTable"/>
        <w:tblW w:w="8152" w:type="dxa"/>
        <w:tblLayout w:type="fixed"/>
        <w:tblLook w:val="0620" w:firstRow="1" w:lastRow="0" w:firstColumn="0" w:lastColumn="0" w:noHBand="1" w:noVBand="1"/>
      </w:tblPr>
      <w:tblGrid>
        <w:gridCol w:w="6393"/>
        <w:gridCol w:w="882"/>
        <w:gridCol w:w="877"/>
      </w:tblGrid>
      <w:tr w:rsidR="00080446" w:rsidRPr="00892DE3" w:rsidTr="005C5F04">
        <w:trPr>
          <w:cnfStyle w:val="100000000000" w:firstRow="1" w:lastRow="0" w:firstColumn="0" w:lastColumn="0" w:oddVBand="0" w:evenVBand="0" w:oddHBand="0" w:evenHBand="0" w:firstRowFirstColumn="0" w:firstRowLastColumn="0" w:lastRowFirstColumn="0" w:lastRowLastColumn="0"/>
          <w:trHeight w:val="123"/>
          <w:tblHeader/>
        </w:trPr>
        <w:tc>
          <w:tcPr>
            <w:tcW w:w="6393" w:type="dxa"/>
          </w:tcPr>
          <w:p w:rsidR="00080446" w:rsidRPr="00892DE3" w:rsidRDefault="00080446" w:rsidP="00A0673E"/>
        </w:tc>
        <w:tc>
          <w:tcPr>
            <w:tcW w:w="882" w:type="dxa"/>
          </w:tcPr>
          <w:p w:rsidR="00080446" w:rsidRPr="00892DE3" w:rsidRDefault="00080446" w:rsidP="00A0673E">
            <w:r w:rsidRPr="00892DE3">
              <w:t>2016</w:t>
            </w:r>
            <w:r w:rsidRPr="00892DE3">
              <w:noBreakHyphen/>
              <w:t xml:space="preserve">17 </w:t>
            </w:r>
          </w:p>
        </w:tc>
        <w:tc>
          <w:tcPr>
            <w:tcW w:w="877" w:type="dxa"/>
          </w:tcPr>
          <w:p w:rsidR="00080446" w:rsidRPr="00892DE3" w:rsidRDefault="00080446" w:rsidP="00A0673E">
            <w:r w:rsidRPr="00892DE3">
              <w:t>2015</w:t>
            </w:r>
            <w:r w:rsidRPr="00892DE3">
              <w:noBreakHyphen/>
              <w:t xml:space="preserve">16 </w:t>
            </w:r>
          </w:p>
        </w:tc>
      </w:tr>
      <w:tr w:rsidR="00080446" w:rsidRPr="00892DE3" w:rsidTr="005C5F04">
        <w:trPr>
          <w:cnfStyle w:val="100000000000" w:firstRow="1" w:lastRow="0" w:firstColumn="0" w:lastColumn="0" w:oddVBand="0" w:evenVBand="0" w:oddHBand="0" w:evenHBand="0" w:firstRowFirstColumn="0" w:firstRowLastColumn="0" w:lastRowFirstColumn="0" w:lastRowLastColumn="0"/>
          <w:trHeight w:val="80"/>
          <w:tblHeader/>
        </w:trPr>
        <w:tc>
          <w:tcPr>
            <w:tcW w:w="6393" w:type="dxa"/>
          </w:tcPr>
          <w:p w:rsidR="00080446" w:rsidRPr="00892DE3" w:rsidRDefault="00080446" w:rsidP="00A0673E"/>
        </w:tc>
        <w:tc>
          <w:tcPr>
            <w:tcW w:w="882" w:type="dxa"/>
          </w:tcPr>
          <w:p w:rsidR="00080446" w:rsidRPr="00892DE3" w:rsidRDefault="00080446" w:rsidP="00A0673E">
            <w:r w:rsidRPr="00892DE3">
              <w:t>number</w:t>
            </w:r>
          </w:p>
        </w:tc>
        <w:tc>
          <w:tcPr>
            <w:tcW w:w="877" w:type="dxa"/>
          </w:tcPr>
          <w:p w:rsidR="00080446" w:rsidRPr="00892DE3" w:rsidRDefault="00080446" w:rsidP="00A0673E">
            <w:r w:rsidRPr="00892DE3">
              <w:t>number</w:t>
            </w:r>
          </w:p>
        </w:tc>
      </w:tr>
      <w:tr w:rsidR="00080446" w:rsidRPr="00892DE3" w:rsidTr="005C5F04">
        <w:trPr>
          <w:trHeight w:val="185"/>
        </w:trPr>
        <w:tc>
          <w:tcPr>
            <w:tcW w:w="6393" w:type="dxa"/>
          </w:tcPr>
          <w:p w:rsidR="00080446" w:rsidRPr="00892DE3" w:rsidRDefault="00080446" w:rsidP="00A0673E">
            <w:pPr>
              <w:jc w:val="left"/>
            </w:pPr>
            <w:r w:rsidRPr="00892DE3">
              <w:t>The number of disclosures made by an individual to the Department and notified to the Independent Broad</w:t>
            </w:r>
            <w:r w:rsidRPr="00892DE3">
              <w:noBreakHyphen/>
              <w:t>based Anti</w:t>
            </w:r>
            <w:r w:rsidRPr="00892DE3">
              <w:noBreakHyphen/>
              <w:t xml:space="preserve">corruption Commission </w:t>
            </w:r>
          </w:p>
        </w:tc>
        <w:tc>
          <w:tcPr>
            <w:tcW w:w="882" w:type="dxa"/>
          </w:tcPr>
          <w:p w:rsidR="00080446" w:rsidRPr="00892DE3" w:rsidRDefault="00080446" w:rsidP="00A0673E"/>
        </w:tc>
        <w:tc>
          <w:tcPr>
            <w:tcW w:w="877" w:type="dxa"/>
          </w:tcPr>
          <w:p w:rsidR="00080446" w:rsidRPr="00892DE3" w:rsidRDefault="00080446" w:rsidP="00A0673E"/>
        </w:tc>
      </w:tr>
      <w:tr w:rsidR="00080446" w:rsidRPr="00892DE3" w:rsidTr="00A0673E">
        <w:trPr>
          <w:trHeight w:val="183"/>
        </w:trPr>
        <w:tc>
          <w:tcPr>
            <w:tcW w:w="6393" w:type="dxa"/>
          </w:tcPr>
          <w:p w:rsidR="00080446" w:rsidRPr="00892DE3" w:rsidRDefault="00080446" w:rsidP="00A0673E">
            <w:pPr>
              <w:jc w:val="left"/>
            </w:pPr>
            <w:r w:rsidRPr="00892DE3">
              <w:t>Assessable disclosures</w:t>
            </w:r>
          </w:p>
        </w:tc>
        <w:tc>
          <w:tcPr>
            <w:tcW w:w="882" w:type="dxa"/>
          </w:tcPr>
          <w:p w:rsidR="00080446" w:rsidRPr="00892DE3" w:rsidRDefault="00080446" w:rsidP="00A0673E">
            <w:r w:rsidRPr="00892DE3">
              <w:t>0</w:t>
            </w:r>
          </w:p>
        </w:tc>
        <w:tc>
          <w:tcPr>
            <w:tcW w:w="877" w:type="dxa"/>
          </w:tcPr>
          <w:p w:rsidR="00080446" w:rsidRPr="00892DE3" w:rsidRDefault="00A0673E" w:rsidP="00A0673E">
            <w:r w:rsidRPr="00892DE3">
              <w:t>n.a.</w:t>
            </w:r>
          </w:p>
        </w:tc>
      </w:tr>
    </w:tbl>
    <w:p w:rsidR="00080446" w:rsidRPr="00892DE3" w:rsidRDefault="00080446" w:rsidP="00080446">
      <w:pPr>
        <w:pStyle w:val="Note"/>
      </w:pPr>
    </w:p>
    <w:p w:rsidR="00080446" w:rsidRPr="00892DE3" w:rsidRDefault="00080446" w:rsidP="00080446">
      <w:pPr>
        <w:pStyle w:val="Guidanceheading"/>
      </w:pPr>
      <w:r w:rsidRPr="00892DE3">
        <w:t xml:space="preserve">Guidance – Compliance with </w:t>
      </w:r>
      <w:r w:rsidRPr="00892DE3">
        <w:rPr>
          <w:i/>
        </w:rPr>
        <w:t>Protected Disclosure Act 2012</w:t>
      </w:r>
      <w:r w:rsidRPr="00892DE3">
        <w:t xml:space="preserve"> </w:t>
      </w:r>
      <w:r w:rsidR="005C5F04" w:rsidRPr="00892DE3">
        <w:br/>
      </w:r>
      <w:r w:rsidRPr="00892DE3">
        <w:t xml:space="preserve">(formerly the </w:t>
      </w:r>
      <w:r w:rsidRPr="00892DE3">
        <w:rPr>
          <w:i/>
        </w:rPr>
        <w:t>Whistleblowers Protection Act 2001</w:t>
      </w:r>
      <w:r w:rsidRPr="00892DE3">
        <w:t>)</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
        <w:pBdr>
          <w:bottom w:val="none" w:sz="0" w:space="0" w:color="auto"/>
        </w:pBdr>
      </w:pPr>
      <w:r w:rsidRPr="00892DE3">
        <w:br w:type="column"/>
      </w:r>
      <w:r w:rsidRPr="00892DE3">
        <w:rPr>
          <w:b/>
        </w:rPr>
        <w:lastRenderedPageBreak/>
        <w:t>FRD 22H</w:t>
      </w:r>
      <w:r w:rsidRPr="00892DE3">
        <w:t xml:space="preserve"> </w:t>
      </w:r>
      <w:r w:rsidR="006A58CA">
        <w:t xml:space="preserve">(to be issued in June 2017) </w:t>
      </w:r>
      <w:r w:rsidRPr="00892DE3">
        <w:t xml:space="preserve">states that a Department’s annual report should include a ‘summary of the application and operation of the </w:t>
      </w:r>
      <w:r w:rsidRPr="00892DE3">
        <w:rPr>
          <w:i/>
        </w:rPr>
        <w:t>Protected Disclosure Act 2012</w:t>
      </w:r>
      <w:r w:rsidRPr="00892DE3">
        <w:t xml:space="preserve"> (the Act), including disclosures required by the Act’.</w:t>
      </w:r>
    </w:p>
    <w:p w:rsidR="00080446" w:rsidRPr="00892DE3" w:rsidRDefault="00080446" w:rsidP="00080446">
      <w:pPr>
        <w:pStyle w:val="Guidance"/>
        <w:pBdr>
          <w:bottom w:val="none" w:sz="0" w:space="0" w:color="auto"/>
        </w:pBdr>
      </w:pPr>
      <w:r w:rsidRPr="00892DE3">
        <w:t>The Act</w:t>
      </w:r>
      <w:r w:rsidRPr="00892DE3">
        <w:rPr>
          <w:i/>
        </w:rPr>
        <w:t xml:space="preserve"> </w:t>
      </w:r>
      <w:r w:rsidRPr="00892DE3">
        <w:t xml:space="preserve">commenced operation on 10 February 2013 and replaced the former </w:t>
      </w:r>
      <w:r w:rsidRPr="00892DE3">
        <w:rPr>
          <w:i/>
        </w:rPr>
        <w:t>Whistleblowers Protection Act 2001</w:t>
      </w:r>
      <w:r w:rsidRPr="00892DE3">
        <w:t xml:space="preserve">. </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Similar to the former legislation, the applicable of the current Act</w:t>
      </w:r>
      <w:r w:rsidRPr="00892DE3">
        <w:rPr>
          <w:i/>
        </w:rPr>
        <w:t xml:space="preserve"> </w:t>
      </w:r>
      <w:r w:rsidRPr="00892DE3">
        <w:t xml:space="preserve">may be presented in a table format. </w:t>
      </w:r>
    </w:p>
    <w:p w:rsidR="00080446" w:rsidRPr="00892DE3" w:rsidRDefault="00080446" w:rsidP="00080446">
      <w:pPr>
        <w:pStyle w:val="Guidance"/>
      </w:pPr>
      <w:r w:rsidRPr="00892DE3">
        <w:t xml:space="preserve">Illustration under the Act has been prepared for Departments only, </w:t>
      </w:r>
      <w:r w:rsidRPr="00892DE3">
        <w:rPr>
          <w:b/>
        </w:rPr>
        <w:t>and agencies should seek their own advice regarding reporting requirements that may apply to them</w:t>
      </w:r>
      <w:r w:rsidRPr="00892DE3">
        <w:t>.</w:t>
      </w:r>
    </w:p>
    <w:p w:rsidR="00080446" w:rsidRPr="00892DE3" w:rsidRDefault="00080446" w:rsidP="00080446">
      <w:pPr>
        <w:pStyle w:val="Guidance"/>
      </w:pPr>
      <w:r w:rsidRPr="00892DE3">
        <w:t>The application could be supported by a short message from a Department’s Secretary outlining the Department’s commitment to the aims and objectives of both Acts and its own process for applying the Acts.</w:t>
      </w:r>
    </w:p>
    <w:p w:rsidR="00080446" w:rsidRPr="00892DE3" w:rsidRDefault="00080446" w:rsidP="005C5F04">
      <w:pPr>
        <w:pStyle w:val="Heading2nonTOC"/>
      </w:pPr>
      <w:bookmarkStart w:id="53" w:name="_Toc477967505"/>
      <w:r w:rsidRPr="00892DE3">
        <w:t xml:space="preserve">Compliance with the </w:t>
      </w:r>
      <w:r w:rsidRPr="00892DE3">
        <w:rPr>
          <w:i/>
        </w:rPr>
        <w:t>Carers Recognition Act 2012</w:t>
      </w:r>
      <w:bookmarkEnd w:id="53"/>
    </w:p>
    <w:p w:rsidR="00080446" w:rsidRPr="00892DE3" w:rsidRDefault="00080446" w:rsidP="00080446">
      <w:pPr>
        <w:pStyle w:val="BodyText"/>
      </w:pPr>
      <w:r w:rsidRPr="00892DE3">
        <w:t xml:space="preserve">The Department has taken all practical measures to comply with its obligations under the Act. These include </w:t>
      </w:r>
      <w:r w:rsidRPr="00892DE3">
        <w:rPr>
          <w:color w:val="0072CE" w:themeColor="accent4"/>
        </w:rPr>
        <w:t>[insert or remove whatever is applicable]</w:t>
      </w:r>
      <w:r w:rsidRPr="00892DE3">
        <w:t>:</w:t>
      </w:r>
    </w:p>
    <w:p w:rsidR="00080446" w:rsidRPr="00892DE3" w:rsidRDefault="00080446" w:rsidP="00587DAE">
      <w:pPr>
        <w:pStyle w:val="ListBullet"/>
        <w:keepLines w:val="0"/>
        <w:numPr>
          <w:ilvl w:val="0"/>
          <w:numId w:val="19"/>
        </w:numPr>
        <w:spacing w:before="120" w:after="60"/>
      </w:pPr>
      <w:r w:rsidRPr="00892DE3">
        <w:t xml:space="preserve">promoting the principles of the Act to people in care relationships who receive our services and to the wider community [e.g. distributing printed material about the Act at community events or service points; providing links to state government resource materials on our website; providing digital and/or printed information about the Act to our partner organisations]; and/or </w:t>
      </w:r>
    </w:p>
    <w:p w:rsidR="00080446" w:rsidRPr="00892DE3" w:rsidRDefault="00080446" w:rsidP="00587DAE">
      <w:pPr>
        <w:pStyle w:val="ListBullet"/>
        <w:keepLines w:val="0"/>
        <w:numPr>
          <w:ilvl w:val="0"/>
          <w:numId w:val="19"/>
        </w:numPr>
        <w:spacing w:before="120" w:after="60"/>
      </w:pPr>
      <w:r w:rsidRPr="00892DE3">
        <w:t>ensuring our staff have an awareness and understanding of the care relationship principles set out in the Act [e.g. developing and implementing a staff awareness strategy about the principles in the Act and what they mean for staff; induction and training programs offered by the organisation include discussion of the Act and the statement of principles therein]; and/or</w:t>
      </w:r>
    </w:p>
    <w:p w:rsidR="00080446" w:rsidRPr="00892DE3" w:rsidRDefault="00080446" w:rsidP="00587DAE">
      <w:pPr>
        <w:pStyle w:val="ListBullet"/>
        <w:keepLines w:val="0"/>
        <w:numPr>
          <w:ilvl w:val="0"/>
          <w:numId w:val="19"/>
        </w:numPr>
        <w:spacing w:before="120" w:after="60"/>
      </w:pPr>
      <w:r w:rsidRPr="00892DE3">
        <w:t>considering the care relationships principles set out in the Act when setting policies and providing services [e.g. reviewing our employment policies such as flexible working arrangements and leave provisions to ensure that these comply with the statement of principles in the Act; developing a satisfaction survey for distribution at assessment and review meetings between workers, carers and those receiving care].</w:t>
      </w:r>
    </w:p>
    <w:p w:rsidR="00DA3433" w:rsidRPr="00892DE3" w:rsidRDefault="00DA3433">
      <w:pPr>
        <w:keepLines w:val="0"/>
        <w:rPr>
          <w:rFonts w:asciiTheme="majorHAnsi" w:eastAsiaTheme="majorEastAsia" w:hAnsiTheme="majorHAnsi" w:cstheme="majorBidi"/>
          <w:b/>
          <w:spacing w:val="-2"/>
          <w:sz w:val="24"/>
          <w:szCs w:val="26"/>
        </w:rPr>
      </w:pPr>
      <w:bookmarkStart w:id="54" w:name="_Toc477967506"/>
      <w:r w:rsidRPr="00892DE3">
        <w:br w:type="page"/>
      </w:r>
    </w:p>
    <w:p w:rsidR="00080446" w:rsidRPr="00892DE3" w:rsidRDefault="00DA3433" w:rsidP="005C5F04">
      <w:pPr>
        <w:pStyle w:val="Heading2nonTOC"/>
      </w:pPr>
      <w:r w:rsidRPr="00892DE3">
        <w:lastRenderedPageBreak/>
        <w:br w:type="column"/>
      </w:r>
      <w:r w:rsidR="00080446" w:rsidRPr="00892DE3">
        <w:lastRenderedPageBreak/>
        <w:t xml:space="preserve">Compliance with </w:t>
      </w:r>
      <w:r w:rsidR="00080446" w:rsidRPr="00892DE3">
        <w:rPr>
          <w:i/>
        </w:rPr>
        <w:t>Technology Act 1991</w:t>
      </w:r>
      <w:bookmarkEnd w:id="54"/>
    </w:p>
    <w:p w:rsidR="00080446" w:rsidRPr="00892DE3" w:rsidRDefault="00080446" w:rsidP="00080446">
      <w:pPr>
        <w:pStyle w:val="BodyText"/>
      </w:pPr>
      <w:r w:rsidRPr="00892DE3">
        <w:t xml:space="preserve">Under section 4(a) of the </w:t>
      </w:r>
      <w:r w:rsidRPr="00892DE3">
        <w:rPr>
          <w:i/>
        </w:rPr>
        <w:t>Technology Act 1991</w:t>
      </w:r>
      <w:r w:rsidRPr="00892DE3">
        <w:t xml:space="preserve"> </w:t>
      </w:r>
      <w:r w:rsidRPr="00892DE3">
        <w:rPr>
          <w:color w:val="0072CE" w:themeColor="accent4"/>
        </w:rPr>
        <w:t>[fictitious act]</w:t>
      </w:r>
      <w:r w:rsidRPr="00892DE3">
        <w:t>, the Minister of Technology is required to ensure a continuous assessment of technology research programs in relation to the use of animal tissues. As per section 16(c) of the Act, the following disclosures were made in respect of research activities undertaken in 2016-17:</w:t>
      </w:r>
    </w:p>
    <w:p w:rsidR="00080446" w:rsidRPr="00892DE3" w:rsidRDefault="00080446" w:rsidP="00587DAE">
      <w:pPr>
        <w:pStyle w:val="ListBullet"/>
        <w:keepLines w:val="0"/>
        <w:numPr>
          <w:ilvl w:val="0"/>
          <w:numId w:val="19"/>
        </w:numPr>
        <w:spacing w:before="120" w:after="60"/>
      </w:pPr>
      <w:r w:rsidRPr="00892DE3">
        <w:t>the technology research register indicates that 42 research programs during the financial year involve the use of animal tissues;</w:t>
      </w:r>
    </w:p>
    <w:p w:rsidR="00080446" w:rsidRPr="00892DE3" w:rsidRDefault="00080446" w:rsidP="00DA3433">
      <w:pPr>
        <w:pStyle w:val="ListBullet"/>
      </w:pPr>
      <w:r w:rsidRPr="00892DE3">
        <w:t>three out of the 42 research programs were completed during the year; and</w:t>
      </w:r>
    </w:p>
    <w:p w:rsidR="00DA3433" w:rsidRPr="00892DE3" w:rsidRDefault="00080446" w:rsidP="00DA3433">
      <w:pPr>
        <w:pStyle w:val="ListBullet"/>
      </w:pPr>
      <w:r w:rsidRPr="00892DE3">
        <w:t xml:space="preserve">no new research programs involving the use of animal tissues commenced. </w:t>
      </w:r>
    </w:p>
    <w:p w:rsidR="00DA3433" w:rsidRPr="00892DE3" w:rsidRDefault="00DA3433" w:rsidP="00080446">
      <w:pPr>
        <w:pStyle w:val="Smallline"/>
      </w:pPr>
    </w:p>
    <w:p w:rsidR="00080446" w:rsidRPr="00892DE3" w:rsidRDefault="00080446" w:rsidP="00080446">
      <w:pPr>
        <w:pStyle w:val="Smallline"/>
      </w:pPr>
    </w:p>
    <w:p w:rsidR="00080446" w:rsidRPr="00892DE3" w:rsidRDefault="00080446" w:rsidP="00DA3433">
      <w:pPr>
        <w:pStyle w:val="Guidanceheading"/>
        <w:keepNext w:val="0"/>
      </w:pPr>
      <w:r w:rsidRPr="00892DE3">
        <w:t>Guidance – Compliance with other legislation</w:t>
      </w:r>
    </w:p>
    <w:p w:rsidR="00080446" w:rsidRPr="00892DE3" w:rsidRDefault="00080446" w:rsidP="00080446">
      <w:pPr>
        <w:pStyle w:val="Guidanceheading1"/>
      </w:pPr>
      <w:r w:rsidRPr="00892DE3">
        <w:t>Legislative and documented references</w:t>
      </w:r>
    </w:p>
    <w:p w:rsidR="0049155E" w:rsidRPr="00892DE3" w:rsidRDefault="00080446" w:rsidP="00080446">
      <w:pPr>
        <w:pStyle w:val="Guidance"/>
        <w:pBdr>
          <w:bottom w:val="none" w:sz="0" w:space="0" w:color="auto"/>
        </w:pBdr>
      </w:pPr>
      <w:r w:rsidRPr="00892DE3">
        <w:t>There may be other legislative disclosures that entities are required to disclose that are not covered by the Model</w:t>
      </w:r>
      <w:r w:rsidR="00EB1E0D" w:rsidRPr="00892DE3">
        <w:t>.</w:t>
      </w:r>
      <w:r w:rsidRPr="00892DE3">
        <w:t xml:space="preserve"> </w:t>
      </w:r>
      <w:r w:rsidR="00EB1E0D" w:rsidRPr="00892DE3">
        <w:t>F</w:t>
      </w:r>
      <w:r w:rsidRPr="00892DE3">
        <w:t>or example</w:t>
      </w:r>
      <w:r w:rsidR="00EB1E0D" w:rsidRPr="00892DE3">
        <w:t>,</w:t>
      </w:r>
      <w:r w:rsidRPr="00892DE3">
        <w:t xml:space="preserve"> the </w:t>
      </w:r>
      <w:r w:rsidRPr="00892DE3">
        <w:rPr>
          <w:i/>
        </w:rPr>
        <w:t>Disability Act 2006</w:t>
      </w:r>
      <w:r w:rsidR="00EB1E0D" w:rsidRPr="00892DE3">
        <w:t xml:space="preserve"> requires all agencies to prepare a disability action plan in their annual report (s38)</w:t>
      </w:r>
      <w:r w:rsidR="0049155E" w:rsidRPr="00892DE3">
        <w:t>,</w:t>
      </w:r>
      <w:r w:rsidR="00EB1E0D" w:rsidRPr="00892DE3">
        <w:t xml:space="preserve"> which focuses on</w:t>
      </w:r>
      <w:r w:rsidR="0049155E" w:rsidRPr="00892DE3">
        <w:t xml:space="preserve">: </w:t>
      </w:r>
    </w:p>
    <w:p w:rsidR="0049155E" w:rsidRPr="00892DE3" w:rsidRDefault="00EB1E0D" w:rsidP="0052741D">
      <w:pPr>
        <w:pStyle w:val="Guidance"/>
        <w:numPr>
          <w:ilvl w:val="0"/>
          <w:numId w:val="47"/>
        </w:numPr>
        <w:pBdr>
          <w:bottom w:val="none" w:sz="0" w:space="0" w:color="auto"/>
        </w:pBdr>
      </w:pPr>
      <w:r w:rsidRPr="00892DE3">
        <w:t>removing barriers for people with a disability from taking part in the agency</w:t>
      </w:r>
      <w:r w:rsidR="0049155E" w:rsidRPr="00892DE3">
        <w:t>’s activities (e.g. using the agency’s goods, services and facilities and from gaining and keeping employment);</w:t>
      </w:r>
      <w:r w:rsidRPr="00892DE3">
        <w:t xml:space="preserve"> and </w:t>
      </w:r>
    </w:p>
    <w:p w:rsidR="0049155E" w:rsidRPr="00892DE3" w:rsidRDefault="00EB1E0D" w:rsidP="0052741D">
      <w:pPr>
        <w:pStyle w:val="Guidance"/>
        <w:numPr>
          <w:ilvl w:val="0"/>
          <w:numId w:val="47"/>
        </w:numPr>
        <w:pBdr>
          <w:bottom w:val="none" w:sz="0" w:space="0" w:color="auto"/>
        </w:pBdr>
      </w:pPr>
      <w:r w:rsidRPr="00892DE3">
        <w:t>changing existing practices that may result in discrimination</w:t>
      </w:r>
      <w:r w:rsidR="0049155E" w:rsidRPr="00892DE3">
        <w:t xml:space="preserve"> against people with a disability</w:t>
      </w:r>
      <w:r w:rsidRPr="00892DE3">
        <w:t xml:space="preserve">. </w:t>
      </w:r>
    </w:p>
    <w:p w:rsidR="00080446" w:rsidRPr="00892DE3" w:rsidRDefault="00EB1E0D" w:rsidP="0049155E">
      <w:pPr>
        <w:pStyle w:val="Guidance"/>
        <w:pBdr>
          <w:bottom w:val="none" w:sz="0" w:space="0" w:color="auto"/>
        </w:pBdr>
      </w:pPr>
      <w:r w:rsidRPr="00892DE3">
        <w:t xml:space="preserve">Compliance with this legislation could take the format of a summary of achievements for the financial year in relation to the four areas of disability action planning under this Act. </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 xml:space="preserve">You may wish to include some background information in this section, outlining the basis upon which the legislation was implemented. </w:t>
      </w:r>
    </w:p>
    <w:p w:rsidR="00080446" w:rsidRPr="00892DE3" w:rsidRDefault="00080446" w:rsidP="00080446">
      <w:pPr>
        <w:pStyle w:val="Guidance"/>
      </w:pPr>
      <w:r w:rsidRPr="00892DE3">
        <w:t>This section should include details of compliance with the relevant Act and any reporting required as outlined in the Act.</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120"/>
      </w:pPr>
      <w:r w:rsidRPr="00892DE3">
        <w:t>FRD 24C</w:t>
      </w:r>
    </w:p>
    <w:p w:rsidR="00080446" w:rsidRPr="00892DE3" w:rsidRDefault="00080446" w:rsidP="005C5F04">
      <w:pPr>
        <w:pStyle w:val="Heading2nonTOC"/>
      </w:pPr>
      <w:r w:rsidRPr="00892DE3">
        <w:br w:type="column"/>
      </w:r>
      <w:bookmarkStart w:id="55" w:name="_Toc477967507"/>
      <w:r w:rsidRPr="00892DE3">
        <w:lastRenderedPageBreak/>
        <w:t>Office based environmental impacts</w:t>
      </w:r>
      <w:bookmarkEnd w:id="55"/>
    </w:p>
    <w:p w:rsidR="00080446" w:rsidRPr="00892DE3" w:rsidRDefault="00080446" w:rsidP="00080446">
      <w:pPr>
        <w:pStyle w:val="Guidancenoborder"/>
      </w:pPr>
      <w:r w:rsidRPr="00892DE3">
        <w:t>[It is important that you read the commentary for this section (on page 6</w:t>
      </w:r>
      <w:r w:rsidR="00B50EAC" w:rsidRPr="00892DE3">
        <w:t>2</w:t>
      </w:r>
      <w:r w:rsidRPr="00892DE3">
        <w:t>) before making the disclosure below.]</w:t>
      </w:r>
    </w:p>
    <w:p w:rsidR="00080446" w:rsidRPr="00892DE3" w:rsidRDefault="00080446" w:rsidP="00080446">
      <w:pPr>
        <w:pStyle w:val="BodyText"/>
      </w:pPr>
      <w:r w:rsidRPr="00892DE3">
        <w:t xml:space="preserve">The Department of Technology’s Environment Management System (EMS) was set up to meet government requirements and to reduce the Department’s impact on the environment. The initial focus has been on the Department’s office based activities in the areas of energy and paper consumption, transportation to and during work, waste generation, water consumption, and green procurement. The program is independently audited each year by an environmental auditor appointed under the </w:t>
      </w:r>
      <w:r w:rsidRPr="00892DE3">
        <w:rPr>
          <w:i/>
        </w:rPr>
        <w:t>Environment Protection Act 1970</w:t>
      </w:r>
      <w:r w:rsidRPr="00892DE3">
        <w:t>.</w:t>
      </w:r>
    </w:p>
    <w:p w:rsidR="00080446" w:rsidRPr="00892DE3" w:rsidRDefault="00080446" w:rsidP="00080446">
      <w:pPr>
        <w:pStyle w:val="BodyText"/>
      </w:pPr>
      <w:r w:rsidRPr="00892DE3">
        <w:t>The EMS objectives include:</w:t>
      </w:r>
    </w:p>
    <w:p w:rsidR="00080446" w:rsidRPr="00892DE3" w:rsidRDefault="00080446" w:rsidP="00587DAE">
      <w:pPr>
        <w:pStyle w:val="ListBullet"/>
        <w:keepLines w:val="0"/>
        <w:numPr>
          <w:ilvl w:val="0"/>
          <w:numId w:val="19"/>
        </w:numPr>
        <w:spacing w:before="120" w:after="60"/>
      </w:pPr>
      <w:r w:rsidRPr="00892DE3">
        <w:t>reducing the amount of waste, and maximising the amount reused and recycled;</w:t>
      </w:r>
    </w:p>
    <w:p w:rsidR="00080446" w:rsidRPr="00892DE3" w:rsidRDefault="00080446" w:rsidP="00587DAE">
      <w:pPr>
        <w:pStyle w:val="ListBullet"/>
        <w:keepLines w:val="0"/>
        <w:numPr>
          <w:ilvl w:val="0"/>
          <w:numId w:val="19"/>
        </w:numPr>
        <w:spacing w:before="120" w:after="60"/>
      </w:pPr>
      <w:r w:rsidRPr="00892DE3">
        <w:t>purchasing green power;</w:t>
      </w:r>
    </w:p>
    <w:p w:rsidR="00080446" w:rsidRPr="00892DE3" w:rsidRDefault="00080446" w:rsidP="00587DAE">
      <w:pPr>
        <w:pStyle w:val="ListBullet"/>
        <w:keepLines w:val="0"/>
        <w:numPr>
          <w:ilvl w:val="0"/>
          <w:numId w:val="19"/>
        </w:numPr>
        <w:spacing w:before="120" w:after="60"/>
      </w:pPr>
      <w:r w:rsidRPr="00892DE3">
        <w:t>separating office waste into reusable, recyclable, compost and true waste parts;</w:t>
      </w:r>
    </w:p>
    <w:p w:rsidR="00080446" w:rsidRPr="00892DE3" w:rsidRDefault="00080446" w:rsidP="00587DAE">
      <w:pPr>
        <w:pStyle w:val="ListBullet"/>
        <w:keepLines w:val="0"/>
        <w:numPr>
          <w:ilvl w:val="0"/>
          <w:numId w:val="19"/>
        </w:numPr>
        <w:spacing w:before="120" w:after="60"/>
      </w:pPr>
      <w:r w:rsidRPr="00892DE3">
        <w:t>reducing passenger vehicle fleet emissions;</w:t>
      </w:r>
    </w:p>
    <w:p w:rsidR="00080446" w:rsidRPr="00892DE3" w:rsidRDefault="00080446" w:rsidP="00587DAE">
      <w:pPr>
        <w:pStyle w:val="ListBullet"/>
        <w:keepLines w:val="0"/>
        <w:numPr>
          <w:ilvl w:val="0"/>
          <w:numId w:val="19"/>
        </w:numPr>
        <w:spacing w:before="120" w:after="60"/>
      </w:pPr>
      <w:r w:rsidRPr="00892DE3">
        <w:t>ensuring new capital works incorporate environmental sustainability principles;</w:t>
      </w:r>
    </w:p>
    <w:p w:rsidR="00080446" w:rsidRPr="00892DE3" w:rsidRDefault="00080446" w:rsidP="00587DAE">
      <w:pPr>
        <w:pStyle w:val="ListBullet"/>
        <w:keepLines w:val="0"/>
        <w:numPr>
          <w:ilvl w:val="0"/>
          <w:numId w:val="19"/>
        </w:numPr>
        <w:spacing w:before="120" w:after="60"/>
      </w:pPr>
      <w:r w:rsidRPr="00892DE3">
        <w:t>making environmentally sound purchasing decisions for capital items and consumables;</w:t>
      </w:r>
    </w:p>
    <w:p w:rsidR="00080446" w:rsidRPr="00892DE3" w:rsidRDefault="00080446" w:rsidP="00587DAE">
      <w:pPr>
        <w:pStyle w:val="ListBullet"/>
        <w:keepLines w:val="0"/>
        <w:numPr>
          <w:ilvl w:val="0"/>
          <w:numId w:val="19"/>
        </w:numPr>
        <w:spacing w:before="120" w:after="60"/>
      </w:pPr>
      <w:r w:rsidRPr="00892DE3">
        <w:t xml:space="preserve">adopting an environmental management system based on ISO14001; </w:t>
      </w:r>
    </w:p>
    <w:p w:rsidR="00080446" w:rsidRPr="00892DE3" w:rsidRDefault="00080446" w:rsidP="00587DAE">
      <w:pPr>
        <w:pStyle w:val="ListBullet"/>
        <w:keepLines w:val="0"/>
        <w:numPr>
          <w:ilvl w:val="0"/>
          <w:numId w:val="19"/>
        </w:numPr>
        <w:spacing w:before="120" w:after="60"/>
      </w:pPr>
      <w:r w:rsidRPr="00892DE3">
        <w:t>communicating environmental performance through regular reporting; and</w:t>
      </w:r>
    </w:p>
    <w:p w:rsidR="00080446" w:rsidRPr="00892DE3" w:rsidRDefault="00080446" w:rsidP="00587DAE">
      <w:pPr>
        <w:pStyle w:val="ListBullet"/>
        <w:keepLines w:val="0"/>
        <w:numPr>
          <w:ilvl w:val="0"/>
          <w:numId w:val="19"/>
        </w:numPr>
        <w:spacing w:before="120" w:after="60"/>
      </w:pPr>
      <w:r w:rsidRPr="00892DE3">
        <w:t>encouraging staff to reduce environmental impacts.</w:t>
      </w:r>
    </w:p>
    <w:p w:rsidR="00080446" w:rsidRPr="00892DE3" w:rsidRDefault="00080446" w:rsidP="00080446">
      <w:pPr>
        <w:pStyle w:val="BodyText"/>
      </w:pPr>
      <w:r w:rsidRPr="00892DE3">
        <w:t xml:space="preserve">Following machinery of government changes, the </w:t>
      </w:r>
      <w:r w:rsidRPr="00892DE3">
        <w:rPr>
          <w:i/>
        </w:rPr>
        <w:t>Research and Development of Biological Technology</w:t>
      </w:r>
      <w:r w:rsidRPr="00892DE3">
        <w:t xml:space="preserve"> output was transferred to Department of Natural Resources and the </w:t>
      </w:r>
      <w:r w:rsidRPr="00892DE3">
        <w:rPr>
          <w:i/>
        </w:rPr>
        <w:t>New Technology Administration</w:t>
      </w:r>
      <w:r w:rsidRPr="00892DE3">
        <w:t xml:space="preserve"> output was received from the Department of Cabinet Administration. Environmental data relevant to the transferred and received outputs will be reported by the respective transferee. </w:t>
      </w:r>
    </w:p>
    <w:p w:rsidR="00080446" w:rsidRPr="00892DE3" w:rsidRDefault="00080446" w:rsidP="00A0673E">
      <w:pPr>
        <w:pStyle w:val="Heading30"/>
      </w:pPr>
      <w:r w:rsidRPr="00892DE3">
        <w:br w:type="column"/>
      </w:r>
      <w:r w:rsidR="00DA3433" w:rsidRPr="00892DE3">
        <w:lastRenderedPageBreak/>
        <w:br w:type="column"/>
      </w:r>
      <w:r w:rsidRPr="00892DE3">
        <w:lastRenderedPageBreak/>
        <w:t>Eco Office Challenge</w:t>
      </w:r>
    </w:p>
    <w:p w:rsidR="00080446" w:rsidRPr="00892DE3" w:rsidRDefault="00080446" w:rsidP="00080446">
      <w:pPr>
        <w:pStyle w:val="BodyText"/>
      </w:pPr>
      <w:r w:rsidRPr="00892DE3">
        <w:t>The Department uses the Eco Office Challenge to inspire departmental staff to continually improve performance in cutting energy, water and paper use, and reducing waste to landfill. A group of about 100 staff, called ‘eco office champions’, help develop, implement and refine a range of initiatives aimed at changing staff behaviour. Each month, the champions focus on a new topic to promote to staff, encouraging changes in behaviour to limit environmental impacts.</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Note"/>
      </w:pPr>
    </w:p>
    <w:p w:rsidR="00080446" w:rsidRPr="00892DE3" w:rsidRDefault="00080446" w:rsidP="00080446">
      <w:pPr>
        <w:pStyle w:val="Smallline"/>
      </w:pPr>
    </w:p>
    <w:p w:rsidR="00080446" w:rsidRPr="00892DE3" w:rsidRDefault="00080446" w:rsidP="00080446">
      <w:pPr>
        <w:pStyle w:val="Reference"/>
      </w:pPr>
      <w:r w:rsidRPr="00892DE3">
        <w:t>FRD 24C</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rPr>
          <w:b/>
          <w:color w:val="0063A6" w:themeColor="accent1"/>
        </w:rPr>
        <w:t>Revised</w:t>
      </w:r>
    </w:p>
    <w:p w:rsidR="00080446" w:rsidRPr="00892DE3" w:rsidRDefault="00080446" w:rsidP="00A0673E">
      <w:pPr>
        <w:pStyle w:val="Heading30"/>
      </w:pPr>
      <w:r w:rsidRPr="00892DE3">
        <w:br w:type="column"/>
      </w:r>
      <w:r w:rsidRPr="00892DE3">
        <w:lastRenderedPageBreak/>
        <w:t>Energy</w:t>
      </w:r>
    </w:p>
    <w:p w:rsidR="00080446" w:rsidRPr="00892DE3" w:rsidRDefault="00080446" w:rsidP="00080446">
      <w:pPr>
        <w:pStyle w:val="BodyText"/>
      </w:pPr>
      <w:r w:rsidRPr="00892DE3">
        <w:t xml:space="preserve">The Department consumes energy for a number of different uses including: office facilities (50 per cent); research and development facilities (20 per cent) and other uses such as </w:t>
      </w:r>
      <w:r w:rsidRPr="00892DE3">
        <w:rPr>
          <w:color w:val="0072CE" w:themeColor="accent4"/>
        </w:rPr>
        <w:t>[describe]</w:t>
      </w:r>
      <w:r w:rsidRPr="00892DE3">
        <w:t>.</w:t>
      </w:r>
    </w:p>
    <w:p w:rsidR="00080446" w:rsidRPr="00892DE3" w:rsidRDefault="00080446" w:rsidP="00080446">
      <w:pPr>
        <w:pStyle w:val="BodyText"/>
      </w:pPr>
      <w:r w:rsidRPr="00892DE3">
        <w:t>The data represented below was collected through energy retailer billing information and represents 80 per cent of sites and 95 per cent of full-time equivalent (FTE) staff. The Department is continuing to develop systems to more comprehensively collect data, particularly for non-office facilities.</w:t>
      </w:r>
    </w:p>
    <w:tbl>
      <w:tblPr>
        <w:tblStyle w:val="DTFTable"/>
        <w:tblW w:w="8233" w:type="dxa"/>
        <w:tblLayout w:type="fixed"/>
        <w:tblLook w:val="06A0" w:firstRow="1" w:lastRow="0" w:firstColumn="1" w:lastColumn="0" w:noHBand="1" w:noVBand="1"/>
      </w:tblPr>
      <w:tblGrid>
        <w:gridCol w:w="1886"/>
        <w:gridCol w:w="7"/>
        <w:gridCol w:w="1030"/>
        <w:gridCol w:w="750"/>
        <w:gridCol w:w="709"/>
        <w:gridCol w:w="709"/>
        <w:gridCol w:w="1045"/>
        <w:gridCol w:w="709"/>
        <w:gridCol w:w="709"/>
        <w:gridCol w:w="679"/>
      </w:tblGrid>
      <w:tr w:rsidR="00080446" w:rsidRPr="00892DE3" w:rsidTr="00184F13">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1886" w:type="dxa"/>
          </w:tcPr>
          <w:p w:rsidR="00080446" w:rsidRPr="00892DE3" w:rsidRDefault="00080446" w:rsidP="00A0673E">
            <w:pPr>
              <w:ind w:left="0" w:firstLine="0"/>
            </w:pPr>
          </w:p>
        </w:tc>
        <w:tc>
          <w:tcPr>
            <w:tcW w:w="3205" w:type="dxa"/>
            <w:gridSpan w:val="5"/>
            <w:tcBorders>
              <w:bottom w:val="single" w:sz="6" w:space="0" w:color="FFFFFF" w:themeColor="background1"/>
            </w:tcBorders>
          </w:tcPr>
          <w:p w:rsidR="00080446" w:rsidRPr="00892DE3" w:rsidRDefault="00080446" w:rsidP="00A0673E">
            <w:pPr>
              <w:jc w:val="center"/>
              <w:cnfStyle w:val="100000000000" w:firstRow="1" w:lastRow="0" w:firstColumn="0" w:lastColumn="0" w:oddVBand="0" w:evenVBand="0" w:oddHBand="0" w:evenHBand="0" w:firstRowFirstColumn="0" w:firstRowLastColumn="0" w:lastRowFirstColumn="0" w:lastRowLastColumn="0"/>
              <w:rPr>
                <w:b/>
              </w:rPr>
            </w:pPr>
            <w:r w:rsidRPr="00892DE3">
              <w:rPr>
                <w:b/>
              </w:rPr>
              <w:t>2016</w:t>
            </w:r>
            <w:r w:rsidRPr="00892DE3">
              <w:rPr>
                <w:b/>
              </w:rPr>
              <w:noBreakHyphen/>
              <w:t>17</w:t>
            </w:r>
          </w:p>
        </w:tc>
        <w:tc>
          <w:tcPr>
            <w:tcW w:w="3142" w:type="dxa"/>
            <w:gridSpan w:val="4"/>
            <w:tcBorders>
              <w:bottom w:val="nil"/>
            </w:tcBorders>
          </w:tcPr>
          <w:p w:rsidR="00080446" w:rsidRPr="00892DE3" w:rsidRDefault="00080446" w:rsidP="00A0673E">
            <w:pPr>
              <w:jc w:val="center"/>
              <w:cnfStyle w:val="100000000000" w:firstRow="1" w:lastRow="0" w:firstColumn="0" w:lastColumn="0" w:oddVBand="0" w:evenVBand="0" w:oddHBand="0" w:evenHBand="0" w:firstRowFirstColumn="0" w:firstRowLastColumn="0" w:lastRowFirstColumn="0" w:lastRowLastColumn="0"/>
            </w:pPr>
            <w:r w:rsidRPr="00892DE3">
              <w:rPr>
                <w:b/>
              </w:rPr>
              <w:t>2015</w:t>
            </w:r>
            <w:r w:rsidRPr="00892DE3">
              <w:rPr>
                <w:b/>
              </w:rPr>
              <w:noBreakHyphen/>
              <w:t>16</w:t>
            </w:r>
          </w:p>
        </w:tc>
      </w:tr>
      <w:tr w:rsidR="00080446" w:rsidRPr="00892DE3" w:rsidTr="00184F13">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1886" w:type="dxa"/>
          </w:tcPr>
          <w:p w:rsidR="00080446" w:rsidRPr="00892DE3" w:rsidRDefault="00080446" w:rsidP="00A0673E">
            <w:pPr>
              <w:ind w:left="0" w:firstLine="0"/>
            </w:pPr>
            <w:r w:rsidRPr="00892DE3">
              <w:t>Indicator</w:t>
            </w:r>
          </w:p>
        </w:tc>
        <w:tc>
          <w:tcPr>
            <w:tcW w:w="1037" w:type="dxa"/>
            <w:gridSpan w:val="2"/>
            <w:tcBorders>
              <w:top w:val="single" w:sz="6" w:space="0" w:color="FFFFFF" w:themeColor="background1"/>
              <w:bottom w:val="nil"/>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Electricity</w:t>
            </w:r>
          </w:p>
        </w:tc>
        <w:tc>
          <w:tcPr>
            <w:tcW w:w="750" w:type="dxa"/>
            <w:tcBorders>
              <w:top w:val="single" w:sz="6" w:space="0" w:color="FFFFFF" w:themeColor="background1"/>
              <w:bottom w:val="nil"/>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Natural gas</w:t>
            </w:r>
          </w:p>
        </w:tc>
        <w:tc>
          <w:tcPr>
            <w:tcW w:w="709" w:type="dxa"/>
            <w:tcBorders>
              <w:top w:val="single" w:sz="6" w:space="0" w:color="FFFFFF" w:themeColor="background1"/>
              <w:bottom w:val="nil"/>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Green power</w:t>
            </w:r>
          </w:p>
        </w:tc>
        <w:tc>
          <w:tcPr>
            <w:tcW w:w="709" w:type="dxa"/>
            <w:tcBorders>
              <w:top w:val="single" w:sz="6" w:space="0" w:color="FFFFFF" w:themeColor="background1"/>
              <w:bottom w:val="nil"/>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rPr>
                <w:b/>
              </w:rPr>
            </w:pPr>
            <w:r w:rsidRPr="00892DE3">
              <w:rPr>
                <w:b/>
              </w:rPr>
              <w:t>Total</w:t>
            </w:r>
          </w:p>
        </w:tc>
        <w:tc>
          <w:tcPr>
            <w:tcW w:w="1045" w:type="dxa"/>
            <w:tcBorders>
              <w:top w:val="nil"/>
              <w:bottom w:val="nil"/>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br/>
              <w:t>Electricity</w:t>
            </w:r>
          </w:p>
        </w:tc>
        <w:tc>
          <w:tcPr>
            <w:tcW w:w="709" w:type="dxa"/>
            <w:tcBorders>
              <w:top w:val="nil"/>
              <w:bottom w:val="nil"/>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Natural gas</w:t>
            </w:r>
          </w:p>
        </w:tc>
        <w:tc>
          <w:tcPr>
            <w:tcW w:w="709" w:type="dxa"/>
            <w:tcBorders>
              <w:top w:val="nil"/>
              <w:bottom w:val="nil"/>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Green power</w:t>
            </w:r>
          </w:p>
        </w:tc>
        <w:tc>
          <w:tcPr>
            <w:tcW w:w="679" w:type="dxa"/>
            <w:tcBorders>
              <w:top w:val="nil"/>
              <w:bottom w:val="nil"/>
            </w:tcBorders>
          </w:tcPr>
          <w:p w:rsidR="00080446" w:rsidRPr="006F1D22" w:rsidRDefault="00080446" w:rsidP="00A0673E">
            <w:pPr>
              <w:cnfStyle w:val="100000000000" w:firstRow="1" w:lastRow="0" w:firstColumn="0" w:lastColumn="0" w:oddVBand="0" w:evenVBand="0" w:oddHBand="0" w:evenHBand="0" w:firstRowFirstColumn="0" w:firstRowLastColumn="0" w:lastRowFirstColumn="0" w:lastRowLastColumn="0"/>
              <w:rPr>
                <w:b/>
              </w:rPr>
            </w:pPr>
            <w:r w:rsidRPr="006F1D22">
              <w:rPr>
                <w:b/>
              </w:rPr>
              <w:t>Total</w:t>
            </w:r>
          </w:p>
        </w:tc>
      </w:tr>
      <w:tr w:rsidR="00080446" w:rsidRPr="00892DE3" w:rsidTr="00184F13">
        <w:trPr>
          <w:trHeight w:val="538"/>
        </w:trPr>
        <w:tc>
          <w:tcPr>
            <w:cnfStyle w:val="001000000000" w:firstRow="0" w:lastRow="0" w:firstColumn="1" w:lastColumn="0" w:oddVBand="0" w:evenVBand="0" w:oddHBand="0" w:evenHBand="0" w:firstRowFirstColumn="0" w:firstRowLastColumn="0" w:lastRowFirstColumn="0" w:lastRowLastColumn="0"/>
            <w:tcW w:w="1886" w:type="dxa"/>
          </w:tcPr>
          <w:p w:rsidR="00080446" w:rsidRPr="00892DE3" w:rsidRDefault="00080446" w:rsidP="00A0673E">
            <w:pPr>
              <w:ind w:left="0" w:firstLine="0"/>
            </w:pPr>
            <w:r w:rsidRPr="00892DE3">
              <w:t>Total energy usage segmented by primary source (MJ)</w:t>
            </w:r>
          </w:p>
        </w:tc>
        <w:tc>
          <w:tcPr>
            <w:tcW w:w="1037" w:type="dxa"/>
            <w:gridSpan w:val="2"/>
            <w:tcBorders>
              <w:top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10 032</w:t>
            </w:r>
          </w:p>
        </w:tc>
        <w:tc>
          <w:tcPr>
            <w:tcW w:w="750" w:type="dxa"/>
            <w:tcBorders>
              <w:top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5 034</w:t>
            </w:r>
          </w:p>
        </w:tc>
        <w:tc>
          <w:tcPr>
            <w:tcW w:w="709" w:type="dxa"/>
            <w:tcBorders>
              <w:top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5 160</w:t>
            </w:r>
          </w:p>
        </w:tc>
        <w:tc>
          <w:tcPr>
            <w:tcW w:w="709" w:type="dxa"/>
            <w:tcBorders>
              <w:top w:val="nil"/>
              <w:bottom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20 226</w:t>
            </w:r>
          </w:p>
        </w:tc>
        <w:tc>
          <w:tcPr>
            <w:tcW w:w="1045" w:type="dxa"/>
            <w:tcBorders>
              <w:top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10 532</w:t>
            </w:r>
          </w:p>
        </w:tc>
        <w:tc>
          <w:tcPr>
            <w:tcW w:w="709" w:type="dxa"/>
            <w:tcBorders>
              <w:top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5 334</w:t>
            </w:r>
          </w:p>
        </w:tc>
        <w:tc>
          <w:tcPr>
            <w:tcW w:w="709" w:type="dxa"/>
            <w:tcBorders>
              <w:top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3 160</w:t>
            </w:r>
          </w:p>
        </w:tc>
        <w:tc>
          <w:tcPr>
            <w:tcW w:w="679" w:type="dxa"/>
            <w:tcBorders>
              <w:top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19 026</w:t>
            </w:r>
          </w:p>
        </w:tc>
      </w:tr>
      <w:tr w:rsidR="00080446" w:rsidRPr="00892DE3" w:rsidTr="00184F13">
        <w:trPr>
          <w:trHeight w:val="717"/>
        </w:trPr>
        <w:tc>
          <w:tcPr>
            <w:cnfStyle w:val="001000000000" w:firstRow="0" w:lastRow="0" w:firstColumn="1" w:lastColumn="0" w:oddVBand="0" w:evenVBand="0" w:oddHBand="0" w:evenHBand="0" w:firstRowFirstColumn="0" w:firstRowLastColumn="0" w:lastRowFirstColumn="0" w:lastRowLastColumn="0"/>
            <w:tcW w:w="1886" w:type="dxa"/>
          </w:tcPr>
          <w:p w:rsidR="00080446" w:rsidRPr="00892DE3" w:rsidRDefault="00080446" w:rsidP="00A0673E">
            <w:pPr>
              <w:ind w:left="0" w:firstLine="0"/>
            </w:pPr>
            <w:r w:rsidRPr="00892DE3">
              <w:t>Greenhouse gas emissions associated with energy use, segmented by primary source and offsets (t CO</w:t>
            </w:r>
            <w:r w:rsidRPr="00892DE3">
              <w:rPr>
                <w:vertAlign w:val="subscript"/>
              </w:rPr>
              <w:t>2</w:t>
            </w:r>
            <w:r w:rsidRPr="00892DE3">
              <w:t xml:space="preserve"> e)</w:t>
            </w:r>
          </w:p>
        </w:tc>
        <w:tc>
          <w:tcPr>
            <w:tcW w:w="1037" w:type="dxa"/>
            <w:gridSpan w:val="2"/>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1 022</w:t>
            </w:r>
          </w:p>
        </w:tc>
        <w:tc>
          <w:tcPr>
            <w:tcW w:w="750" w:type="dxa"/>
            <w:tcBorders>
              <w:bottom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350</w:t>
            </w:r>
          </w:p>
        </w:tc>
        <w:tc>
          <w:tcPr>
            <w:tcW w:w="709" w:type="dxa"/>
            <w:tcBorders>
              <w:bottom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w:t>
            </w:r>
          </w:p>
        </w:tc>
        <w:tc>
          <w:tcPr>
            <w:tcW w:w="709" w:type="dxa"/>
            <w:tcBorders>
              <w:bottom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1 372</w:t>
            </w:r>
          </w:p>
        </w:tc>
        <w:tc>
          <w:tcPr>
            <w:tcW w:w="1045"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1 222</w:t>
            </w:r>
          </w:p>
        </w:tc>
        <w:tc>
          <w:tcPr>
            <w:tcW w:w="709" w:type="dxa"/>
            <w:tcBorders>
              <w:bottom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380</w:t>
            </w:r>
          </w:p>
        </w:tc>
        <w:tc>
          <w:tcPr>
            <w:tcW w:w="709" w:type="dxa"/>
            <w:tcBorders>
              <w:bottom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w:t>
            </w:r>
          </w:p>
        </w:tc>
        <w:tc>
          <w:tcPr>
            <w:tcW w:w="679"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1 602</w:t>
            </w:r>
          </w:p>
        </w:tc>
      </w:tr>
      <w:tr w:rsidR="00080446" w:rsidRPr="00892DE3" w:rsidTr="00184F13">
        <w:trPr>
          <w:trHeight w:val="380"/>
        </w:trPr>
        <w:tc>
          <w:tcPr>
            <w:cnfStyle w:val="001000000000" w:firstRow="0" w:lastRow="0" w:firstColumn="1" w:lastColumn="0" w:oddVBand="0" w:evenVBand="0" w:oddHBand="0" w:evenHBand="0" w:firstRowFirstColumn="0" w:firstRowLastColumn="0" w:lastRowFirstColumn="0" w:lastRowLastColumn="0"/>
            <w:tcW w:w="1886" w:type="dxa"/>
          </w:tcPr>
          <w:p w:rsidR="00080446" w:rsidRPr="00892DE3" w:rsidRDefault="00080446" w:rsidP="00A0673E">
            <w:pPr>
              <w:ind w:left="0" w:firstLine="0"/>
            </w:pPr>
            <w:r w:rsidRPr="00892DE3">
              <w:t>Percentage of electricity purchased as green power</w:t>
            </w:r>
          </w:p>
        </w:tc>
        <w:tc>
          <w:tcPr>
            <w:tcW w:w="1037" w:type="dxa"/>
            <w:gridSpan w:val="2"/>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20</w:t>
            </w:r>
          </w:p>
        </w:tc>
        <w:tc>
          <w:tcPr>
            <w:tcW w:w="750" w:type="dxa"/>
            <w:tcBorders>
              <w:bottom w:val="nil"/>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709" w:type="dxa"/>
            <w:tcBorders>
              <w:bottom w:val="nil"/>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709" w:type="dxa"/>
            <w:tcBorders>
              <w:bottom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20</w:t>
            </w:r>
          </w:p>
        </w:tc>
        <w:tc>
          <w:tcPr>
            <w:tcW w:w="1045"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30</w:t>
            </w:r>
          </w:p>
        </w:tc>
        <w:tc>
          <w:tcPr>
            <w:tcW w:w="709" w:type="dxa"/>
            <w:tcBorders>
              <w:bottom w:val="nil"/>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709" w:type="dxa"/>
            <w:tcBorders>
              <w:bottom w:val="nil"/>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679"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30</w:t>
            </w:r>
          </w:p>
        </w:tc>
      </w:tr>
      <w:tr w:rsidR="00080446" w:rsidRPr="00892DE3" w:rsidTr="00184F13">
        <w:trPr>
          <w:trHeight w:val="380"/>
        </w:trPr>
        <w:tc>
          <w:tcPr>
            <w:cnfStyle w:val="001000000000" w:firstRow="0" w:lastRow="0" w:firstColumn="1" w:lastColumn="0" w:oddVBand="0" w:evenVBand="0" w:oddHBand="0" w:evenHBand="0" w:firstRowFirstColumn="0" w:firstRowLastColumn="0" w:lastRowFirstColumn="0" w:lastRowLastColumn="0"/>
            <w:tcW w:w="1886" w:type="dxa"/>
          </w:tcPr>
          <w:p w:rsidR="00080446" w:rsidRPr="00892DE3" w:rsidRDefault="00080446" w:rsidP="00A0673E">
            <w:pPr>
              <w:ind w:left="0" w:firstLine="0"/>
            </w:pPr>
            <w:r w:rsidRPr="00892DE3">
              <w:t>Units of energy used per FTE (MJ/FTE)</w:t>
            </w:r>
          </w:p>
        </w:tc>
        <w:tc>
          <w:tcPr>
            <w:tcW w:w="1037" w:type="dxa"/>
            <w:gridSpan w:val="2"/>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89</w:t>
            </w:r>
          </w:p>
        </w:tc>
        <w:tc>
          <w:tcPr>
            <w:tcW w:w="750" w:type="dxa"/>
            <w:tcBorders>
              <w:bottom w:val="nil"/>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709" w:type="dxa"/>
            <w:tcBorders>
              <w:bottom w:val="nil"/>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709" w:type="dxa"/>
            <w:tcBorders>
              <w:bottom w:val="nil"/>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89</w:t>
            </w:r>
          </w:p>
        </w:tc>
        <w:tc>
          <w:tcPr>
            <w:tcW w:w="1045"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68</w:t>
            </w:r>
          </w:p>
        </w:tc>
        <w:tc>
          <w:tcPr>
            <w:tcW w:w="709" w:type="dxa"/>
            <w:tcBorders>
              <w:bottom w:val="nil"/>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709" w:type="dxa"/>
            <w:tcBorders>
              <w:bottom w:val="nil"/>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679"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68</w:t>
            </w:r>
          </w:p>
        </w:tc>
      </w:tr>
      <w:tr w:rsidR="00080446" w:rsidRPr="00892DE3" w:rsidTr="00A0673E">
        <w:trPr>
          <w:trHeight w:val="380"/>
        </w:trPr>
        <w:tc>
          <w:tcPr>
            <w:cnfStyle w:val="001000000000" w:firstRow="0" w:lastRow="0" w:firstColumn="1" w:lastColumn="0" w:oddVBand="0" w:evenVBand="0" w:oddHBand="0" w:evenHBand="0" w:firstRowFirstColumn="0" w:firstRowLastColumn="0" w:lastRowFirstColumn="0" w:lastRowLastColumn="0"/>
            <w:tcW w:w="1886" w:type="dxa"/>
            <w:tcBorders>
              <w:bottom w:val="single" w:sz="6" w:space="0" w:color="auto"/>
            </w:tcBorders>
          </w:tcPr>
          <w:p w:rsidR="00080446" w:rsidRPr="00892DE3" w:rsidRDefault="00080446" w:rsidP="00A0673E">
            <w:pPr>
              <w:ind w:left="0" w:firstLine="0"/>
            </w:pPr>
            <w:r w:rsidRPr="00892DE3">
              <w:t>Units of energy used per unit of office area (MJ/m</w:t>
            </w:r>
            <w:r w:rsidRPr="00892DE3">
              <w:rPr>
                <w:vertAlign w:val="superscript"/>
              </w:rPr>
              <w:t>2</w:t>
            </w:r>
            <w:r w:rsidRPr="00892DE3">
              <w:t>)</w:t>
            </w:r>
          </w:p>
        </w:tc>
        <w:tc>
          <w:tcPr>
            <w:tcW w:w="1037" w:type="dxa"/>
            <w:gridSpan w:val="2"/>
            <w:tcBorders>
              <w:bottom w:val="single" w:sz="6" w:space="0" w:color="auto"/>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175</w:t>
            </w:r>
          </w:p>
        </w:tc>
        <w:tc>
          <w:tcPr>
            <w:tcW w:w="750" w:type="dxa"/>
            <w:tcBorders>
              <w:bottom w:val="single" w:sz="6" w:space="0" w:color="auto"/>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709" w:type="dxa"/>
            <w:tcBorders>
              <w:bottom w:val="single" w:sz="6" w:space="0" w:color="auto"/>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709" w:type="dxa"/>
            <w:tcBorders>
              <w:bottom w:val="single" w:sz="6" w:space="0" w:color="auto"/>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175</w:t>
            </w:r>
          </w:p>
        </w:tc>
        <w:tc>
          <w:tcPr>
            <w:tcW w:w="1045" w:type="dxa"/>
            <w:tcBorders>
              <w:bottom w:val="single" w:sz="6" w:space="0" w:color="auto"/>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150</w:t>
            </w:r>
          </w:p>
        </w:tc>
        <w:tc>
          <w:tcPr>
            <w:tcW w:w="709" w:type="dxa"/>
            <w:tcBorders>
              <w:bottom w:val="single" w:sz="6" w:space="0" w:color="auto"/>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709" w:type="dxa"/>
            <w:tcBorders>
              <w:bottom w:val="single" w:sz="6" w:space="0" w:color="auto"/>
            </w:tcBorders>
            <w:shd w:val="clear" w:color="auto" w:fill="EBEBEB"/>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679" w:type="dxa"/>
            <w:tcBorders>
              <w:bottom w:val="single" w:sz="6" w:space="0" w:color="auto"/>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150</w:t>
            </w:r>
          </w:p>
        </w:tc>
      </w:tr>
      <w:tr w:rsidR="00080446" w:rsidRPr="00892DE3" w:rsidTr="00A0673E">
        <w:trPr>
          <w:trHeight w:val="224"/>
        </w:trPr>
        <w:tc>
          <w:tcPr>
            <w:cnfStyle w:val="001000000000" w:firstRow="0" w:lastRow="0" w:firstColumn="1" w:lastColumn="0" w:oddVBand="0" w:evenVBand="0" w:oddHBand="0" w:evenHBand="0" w:firstRowFirstColumn="0" w:firstRowLastColumn="0" w:lastRowFirstColumn="0" w:lastRowLastColumn="0"/>
            <w:tcW w:w="8233" w:type="dxa"/>
            <w:gridSpan w:val="10"/>
            <w:tcBorders>
              <w:top w:val="single" w:sz="6" w:space="0" w:color="auto"/>
              <w:bottom w:val="nil"/>
            </w:tcBorders>
          </w:tcPr>
          <w:p w:rsidR="00080446" w:rsidRPr="00892DE3" w:rsidRDefault="00080446" w:rsidP="00A0673E">
            <w:pPr>
              <w:ind w:left="0" w:firstLine="0"/>
              <w:rPr>
                <w:b/>
              </w:rPr>
            </w:pPr>
            <w:r w:rsidRPr="00892DE3">
              <w:rPr>
                <w:b/>
              </w:rPr>
              <w:t>Actions undertaken</w:t>
            </w:r>
          </w:p>
        </w:tc>
      </w:tr>
      <w:tr w:rsidR="00080446" w:rsidRPr="00892DE3" w:rsidTr="00A0673E">
        <w:trPr>
          <w:trHeight w:val="213"/>
        </w:trPr>
        <w:tc>
          <w:tcPr>
            <w:cnfStyle w:val="001000000000" w:firstRow="0" w:lastRow="0" w:firstColumn="1" w:lastColumn="0" w:oddVBand="0" w:evenVBand="0" w:oddHBand="0" w:evenHBand="0" w:firstRowFirstColumn="0" w:firstRowLastColumn="0" w:lastRowFirstColumn="0" w:lastRowLastColumn="0"/>
            <w:tcW w:w="1893" w:type="dxa"/>
            <w:gridSpan w:val="2"/>
            <w:tcBorders>
              <w:top w:val="nil"/>
            </w:tcBorders>
          </w:tcPr>
          <w:p w:rsidR="00080446" w:rsidRPr="00892DE3" w:rsidRDefault="00080446" w:rsidP="00A0673E">
            <w:pPr>
              <w:ind w:left="0" w:firstLine="0"/>
            </w:pPr>
            <w:r w:rsidRPr="00892DE3">
              <w:t>Delamping</w:t>
            </w:r>
          </w:p>
        </w:tc>
        <w:tc>
          <w:tcPr>
            <w:tcW w:w="6340" w:type="dxa"/>
            <w:gridSpan w:val="8"/>
            <w:tcBorders>
              <w:top w:val="nil"/>
            </w:tcBorders>
          </w:tcPr>
          <w:p w:rsidR="00080446" w:rsidRPr="00892DE3" w:rsidRDefault="00080446" w:rsidP="00A0673E">
            <w:pPr>
              <w:jc w:val="left"/>
              <w:cnfStyle w:val="000000000000" w:firstRow="0" w:lastRow="0" w:firstColumn="0" w:lastColumn="0" w:oddVBand="0" w:evenVBand="0" w:oddHBand="0" w:evenHBand="0" w:firstRowFirstColumn="0" w:firstRowLastColumn="0" w:lastRowFirstColumn="0" w:lastRowLastColumn="0"/>
            </w:pPr>
            <w:r w:rsidRPr="00892DE3">
              <w:t>Delamping occurred throughout 95 per cent of sites across the state</w:t>
            </w:r>
          </w:p>
        </w:tc>
      </w:tr>
      <w:tr w:rsidR="00080446" w:rsidRPr="00892DE3" w:rsidTr="00A0673E">
        <w:trPr>
          <w:trHeight w:val="224"/>
        </w:trPr>
        <w:tc>
          <w:tcPr>
            <w:cnfStyle w:val="001000000000" w:firstRow="0" w:lastRow="0" w:firstColumn="1" w:lastColumn="0" w:oddVBand="0" w:evenVBand="0" w:oddHBand="0" w:evenHBand="0" w:firstRowFirstColumn="0" w:firstRowLastColumn="0" w:lastRowFirstColumn="0" w:lastRowLastColumn="0"/>
            <w:tcW w:w="1893" w:type="dxa"/>
            <w:gridSpan w:val="2"/>
          </w:tcPr>
          <w:p w:rsidR="00080446" w:rsidRPr="00892DE3" w:rsidRDefault="00080446" w:rsidP="00A0673E">
            <w:pPr>
              <w:ind w:left="0" w:firstLine="0"/>
            </w:pPr>
            <w:r w:rsidRPr="00892DE3">
              <w:t>Implementation</w:t>
            </w:r>
          </w:p>
        </w:tc>
        <w:tc>
          <w:tcPr>
            <w:tcW w:w="6340" w:type="dxa"/>
            <w:gridSpan w:val="8"/>
          </w:tcPr>
          <w:p w:rsidR="00080446" w:rsidRPr="00892DE3" w:rsidRDefault="00080446" w:rsidP="00A0673E">
            <w:pPr>
              <w:jc w:val="left"/>
              <w:cnfStyle w:val="000000000000" w:firstRow="0" w:lastRow="0" w:firstColumn="0" w:lastColumn="0" w:oddVBand="0" w:evenVBand="0" w:oddHBand="0" w:evenHBand="0" w:firstRowFirstColumn="0" w:firstRowLastColumn="0" w:lastRowFirstColumn="0" w:lastRowLastColumn="0"/>
            </w:pPr>
            <w:r w:rsidRPr="00892DE3">
              <w:t>All opportunities with paybacks less than four years implemented</w:t>
            </w:r>
          </w:p>
        </w:tc>
      </w:tr>
    </w:tbl>
    <w:p w:rsidR="00080446" w:rsidRPr="00892DE3" w:rsidRDefault="00080446" w:rsidP="00080446">
      <w:pPr>
        <w:pStyle w:val="Smallline"/>
      </w:pPr>
    </w:p>
    <w:p w:rsidR="00080446" w:rsidRPr="00892DE3" w:rsidRDefault="00080446" w:rsidP="00DA3433">
      <w:pPr>
        <w:pStyle w:val="Heading4"/>
      </w:pPr>
      <w:bookmarkStart w:id="56" w:name="_Toc477967508"/>
      <w:r w:rsidRPr="00892DE3">
        <w:t>Targets</w:t>
      </w:r>
      <w:bookmarkEnd w:id="56"/>
    </w:p>
    <w:p w:rsidR="00080446" w:rsidRPr="00892DE3" w:rsidRDefault="00080446" w:rsidP="00080446">
      <w:pPr>
        <w:pStyle w:val="BodyText"/>
      </w:pPr>
      <w:r w:rsidRPr="00892DE3">
        <w:t>The following targets have been set for 2016-17:</w:t>
      </w:r>
    </w:p>
    <w:p w:rsidR="00080446" w:rsidRPr="00892DE3" w:rsidRDefault="00080446" w:rsidP="00587DAE">
      <w:pPr>
        <w:pStyle w:val="ListBullet"/>
        <w:keepLines w:val="0"/>
        <w:numPr>
          <w:ilvl w:val="0"/>
          <w:numId w:val="19"/>
        </w:numPr>
        <w:spacing w:before="120" w:after="60"/>
      </w:pPr>
      <w:r w:rsidRPr="00892DE3">
        <w:t>5 per cent energy intensity reduction, measured as MJ/m2, from 2015-16 values by 30 June 2017; and</w:t>
      </w:r>
    </w:p>
    <w:p w:rsidR="00080446" w:rsidRPr="00892DE3" w:rsidRDefault="00080446" w:rsidP="00587DAE">
      <w:pPr>
        <w:pStyle w:val="ListBullet"/>
        <w:keepLines w:val="0"/>
        <w:numPr>
          <w:ilvl w:val="0"/>
          <w:numId w:val="19"/>
        </w:numPr>
        <w:spacing w:before="120" w:after="60"/>
      </w:pPr>
      <w:r w:rsidRPr="00892DE3">
        <w:t xml:space="preserve">purchase 25 per cent green power, as percentage of total electricity consumption, by 30 June 2017. </w:t>
      </w:r>
    </w:p>
    <w:p w:rsidR="00080446" w:rsidRPr="00892DE3" w:rsidRDefault="00080446" w:rsidP="00DA3433">
      <w:pPr>
        <w:pStyle w:val="Heading4"/>
      </w:pPr>
      <w:bookmarkStart w:id="57" w:name="_Toc477967509"/>
      <w:r w:rsidRPr="00892DE3">
        <w:t>Explanatory notes</w:t>
      </w:r>
      <w:bookmarkEnd w:id="57"/>
    </w:p>
    <w:p w:rsidR="00080446" w:rsidRPr="00892DE3" w:rsidRDefault="00080446" w:rsidP="00080446">
      <w:pPr>
        <w:pStyle w:val="BodyText"/>
      </w:pPr>
      <w:r w:rsidRPr="00892DE3">
        <w:t>The increase in total energy usage from 2015-16 to 2016-17 has occurred because the Department is now reporting data for an additional seven research facilities.</w:t>
      </w:r>
    </w:p>
    <w:p w:rsidR="00080446" w:rsidRPr="00892DE3" w:rsidRDefault="00080446" w:rsidP="00080446">
      <w:pPr>
        <w:pStyle w:val="BodyText"/>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Reference"/>
      </w:pPr>
      <w:r w:rsidRPr="00892DE3">
        <w:t>FRD 24C</w:t>
      </w:r>
    </w:p>
    <w:p w:rsidR="00080446" w:rsidRPr="00892DE3" w:rsidRDefault="00080446" w:rsidP="00A0673E">
      <w:pPr>
        <w:pStyle w:val="Heading30"/>
      </w:pPr>
      <w:r w:rsidRPr="00892DE3">
        <w:br w:type="column"/>
      </w:r>
      <w:r w:rsidRPr="00892DE3">
        <w:lastRenderedPageBreak/>
        <w:t>Waste</w:t>
      </w:r>
    </w:p>
    <w:p w:rsidR="00080446" w:rsidRPr="00892DE3" w:rsidRDefault="00080446" w:rsidP="00080446">
      <w:pPr>
        <w:pStyle w:val="BodyText"/>
      </w:pPr>
      <w:r w:rsidRPr="00892DE3">
        <w:t xml:space="preserve">The waste generated by processes within the Department is divided into three general classes – landfill, compost and recycling. </w:t>
      </w:r>
    </w:p>
    <w:p w:rsidR="00080446" w:rsidRPr="00892DE3" w:rsidRDefault="00080446" w:rsidP="00080446">
      <w:pPr>
        <w:pStyle w:val="BodyText"/>
      </w:pPr>
      <w:r w:rsidRPr="00892DE3">
        <w:t xml:space="preserve">The </w:t>
      </w:r>
      <w:r w:rsidRPr="00892DE3">
        <w:rPr>
          <w:i/>
        </w:rPr>
        <w:t>aWay With Waste</w:t>
      </w:r>
      <w:r w:rsidRPr="00892DE3">
        <w:t xml:space="preserve"> system was made available to a slightly greater proportion of departmental staff in 2016-17, with most regional sites now covered. This program facilitates the easy segregation of waste materials for recycling, composting or landfill in the Department’s offices.</w:t>
      </w:r>
    </w:p>
    <w:p w:rsidR="00080446" w:rsidRPr="00892DE3" w:rsidRDefault="00080446" w:rsidP="00080446">
      <w:pPr>
        <w:pStyle w:val="BodyText"/>
      </w:pPr>
      <w:r w:rsidRPr="00892DE3">
        <w:br w:type="page"/>
      </w: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BodyText"/>
      </w:pPr>
      <w:r w:rsidRPr="00892DE3">
        <w:br w:type="column"/>
      </w:r>
      <w:r w:rsidRPr="00892DE3">
        <w:lastRenderedPageBreak/>
        <w:t>The data presented below is derived from four waste audits that were each over five days and conducted at two sites accommodating over 30 per cent of employees.</w:t>
      </w:r>
    </w:p>
    <w:tbl>
      <w:tblPr>
        <w:tblStyle w:val="DTFTable"/>
        <w:tblW w:w="8106" w:type="dxa"/>
        <w:tblLayout w:type="fixed"/>
        <w:tblLook w:val="06A0" w:firstRow="1" w:lastRow="0" w:firstColumn="1" w:lastColumn="0" w:noHBand="1" w:noVBand="1"/>
      </w:tblPr>
      <w:tblGrid>
        <w:gridCol w:w="1257"/>
        <w:gridCol w:w="615"/>
        <w:gridCol w:w="57"/>
        <w:gridCol w:w="1138"/>
        <w:gridCol w:w="840"/>
        <w:gridCol w:w="738"/>
        <w:gridCol w:w="686"/>
        <w:gridCol w:w="1109"/>
        <w:gridCol w:w="896"/>
        <w:gridCol w:w="770"/>
      </w:tblGrid>
      <w:tr w:rsidR="00080446" w:rsidRPr="00892DE3" w:rsidTr="000C4727">
        <w:trPr>
          <w:cnfStyle w:val="100000000000" w:firstRow="1" w:lastRow="0" w:firstColumn="0" w:lastColumn="0" w:oddVBand="0" w:evenVBand="0" w:oddHBand="0" w:evenHBand="0" w:firstRowFirstColumn="0" w:firstRowLastColumn="0" w:lastRowFirstColumn="0" w:lastRowLastColumn="0"/>
          <w:trHeight w:val="82"/>
          <w:tblHeader/>
        </w:trPr>
        <w:tc>
          <w:tcPr>
            <w:cnfStyle w:val="001000000000" w:firstRow="0" w:lastRow="0" w:firstColumn="1" w:lastColumn="0" w:oddVBand="0" w:evenVBand="0" w:oddHBand="0" w:evenHBand="0" w:firstRowFirstColumn="0" w:firstRowLastColumn="0" w:lastRowFirstColumn="0" w:lastRowLastColumn="0"/>
            <w:tcW w:w="1257" w:type="dxa"/>
          </w:tcPr>
          <w:p w:rsidR="00080446" w:rsidRPr="00892DE3" w:rsidRDefault="00080446" w:rsidP="00A0673E">
            <w:pPr>
              <w:ind w:left="0" w:firstLine="0"/>
            </w:pPr>
          </w:p>
        </w:tc>
        <w:tc>
          <w:tcPr>
            <w:tcW w:w="3388" w:type="dxa"/>
            <w:gridSpan w:val="5"/>
            <w:tcBorders>
              <w:bottom w:val="single" w:sz="6" w:space="0" w:color="FFFFFF" w:themeColor="background1"/>
            </w:tcBorders>
          </w:tcPr>
          <w:p w:rsidR="00080446" w:rsidRPr="00892DE3" w:rsidRDefault="00080446" w:rsidP="00A0673E">
            <w:pPr>
              <w:jc w:val="center"/>
              <w:cnfStyle w:val="100000000000" w:firstRow="1" w:lastRow="0" w:firstColumn="0" w:lastColumn="0" w:oddVBand="0" w:evenVBand="0" w:oddHBand="0" w:evenHBand="0" w:firstRowFirstColumn="0" w:firstRowLastColumn="0" w:lastRowFirstColumn="0" w:lastRowLastColumn="0"/>
            </w:pPr>
            <w:r w:rsidRPr="00892DE3">
              <w:t>2016</w:t>
            </w:r>
            <w:r w:rsidRPr="00892DE3">
              <w:noBreakHyphen/>
              <w:t>17</w:t>
            </w:r>
          </w:p>
        </w:tc>
        <w:tc>
          <w:tcPr>
            <w:tcW w:w="3461" w:type="dxa"/>
            <w:gridSpan w:val="4"/>
          </w:tcPr>
          <w:p w:rsidR="00080446" w:rsidRPr="00892DE3" w:rsidRDefault="00080446" w:rsidP="00A0673E">
            <w:pPr>
              <w:jc w:val="center"/>
              <w:cnfStyle w:val="100000000000" w:firstRow="1" w:lastRow="0" w:firstColumn="0" w:lastColumn="0" w:oddVBand="0" w:evenVBand="0" w:oddHBand="0" w:evenHBand="0" w:firstRowFirstColumn="0" w:firstRowLastColumn="0" w:lastRowFirstColumn="0" w:lastRowLastColumn="0"/>
            </w:pPr>
            <w:r w:rsidRPr="00892DE3">
              <w:t>2015</w:t>
            </w:r>
            <w:r w:rsidRPr="00892DE3">
              <w:noBreakHyphen/>
              <w:t>16</w:t>
            </w:r>
          </w:p>
        </w:tc>
      </w:tr>
      <w:tr w:rsidR="00080446" w:rsidRPr="00892DE3" w:rsidTr="000C472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1257" w:type="dxa"/>
          </w:tcPr>
          <w:p w:rsidR="00080446" w:rsidRPr="00892DE3" w:rsidRDefault="00080446" w:rsidP="00A0673E">
            <w:pPr>
              <w:ind w:left="0" w:firstLine="0"/>
            </w:pPr>
            <w:r w:rsidRPr="00892DE3">
              <w:t>Indicator</w:t>
            </w:r>
          </w:p>
        </w:tc>
        <w:tc>
          <w:tcPr>
            <w:tcW w:w="672" w:type="dxa"/>
            <w:gridSpan w:val="2"/>
            <w:tcBorders>
              <w:top w:val="single" w:sz="6" w:space="0" w:color="FFFFFF" w:themeColor="background1"/>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Landfill</w:t>
            </w:r>
          </w:p>
        </w:tc>
        <w:tc>
          <w:tcPr>
            <w:tcW w:w="1138" w:type="dxa"/>
            <w:tcBorders>
              <w:top w:val="single" w:sz="6" w:space="0" w:color="FFFFFF" w:themeColor="background1"/>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Commingled recycling</w:t>
            </w:r>
          </w:p>
        </w:tc>
        <w:tc>
          <w:tcPr>
            <w:tcW w:w="840" w:type="dxa"/>
            <w:tcBorders>
              <w:top w:val="single" w:sz="6" w:space="0" w:color="FFFFFF" w:themeColor="background1"/>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Compost</w:t>
            </w:r>
          </w:p>
        </w:tc>
        <w:tc>
          <w:tcPr>
            <w:tcW w:w="738" w:type="dxa"/>
            <w:tcBorders>
              <w:top w:val="single" w:sz="6" w:space="0" w:color="FFFFFF" w:themeColor="background1"/>
            </w:tcBorders>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rPr>
                <w:b/>
              </w:rPr>
            </w:pPr>
            <w:r w:rsidRPr="00892DE3">
              <w:rPr>
                <w:b/>
              </w:rPr>
              <w:t>Total</w:t>
            </w:r>
          </w:p>
        </w:tc>
        <w:tc>
          <w:tcPr>
            <w:tcW w:w="686"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Landfill</w:t>
            </w:r>
          </w:p>
        </w:tc>
        <w:tc>
          <w:tcPr>
            <w:tcW w:w="1109"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Commingled recycling</w:t>
            </w:r>
          </w:p>
        </w:tc>
        <w:tc>
          <w:tcPr>
            <w:tcW w:w="896"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Compost</w:t>
            </w:r>
          </w:p>
        </w:tc>
        <w:tc>
          <w:tcPr>
            <w:tcW w:w="770"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rPr>
                <w:b/>
              </w:rPr>
            </w:pPr>
            <w:r w:rsidRPr="00892DE3">
              <w:rPr>
                <w:b/>
              </w:rPr>
              <w:t>Total</w:t>
            </w:r>
          </w:p>
        </w:tc>
      </w:tr>
      <w:tr w:rsidR="00080446" w:rsidRPr="00892DE3" w:rsidTr="00A0673E">
        <w:trPr>
          <w:trHeight w:val="432"/>
        </w:trPr>
        <w:tc>
          <w:tcPr>
            <w:cnfStyle w:val="001000000000" w:firstRow="0" w:lastRow="0" w:firstColumn="1" w:lastColumn="0" w:oddVBand="0" w:evenVBand="0" w:oddHBand="0" w:evenHBand="0" w:firstRowFirstColumn="0" w:firstRowLastColumn="0" w:lastRowFirstColumn="0" w:lastRowLastColumn="0"/>
            <w:tcW w:w="1257" w:type="dxa"/>
          </w:tcPr>
          <w:p w:rsidR="00080446" w:rsidRPr="00892DE3" w:rsidRDefault="00080446" w:rsidP="00A0673E">
            <w:pPr>
              <w:ind w:left="0" w:firstLine="0"/>
            </w:pPr>
            <w:r w:rsidRPr="00892DE3">
              <w:t>Total units of waste disposed of by destination (kg/yr)</w:t>
            </w:r>
          </w:p>
        </w:tc>
        <w:tc>
          <w:tcPr>
            <w:tcW w:w="672" w:type="dxa"/>
            <w:gridSpan w:val="2"/>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100 500</w:t>
            </w:r>
          </w:p>
        </w:tc>
        <w:tc>
          <w:tcPr>
            <w:tcW w:w="113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25 100 500</w:t>
            </w:r>
          </w:p>
        </w:tc>
        <w:tc>
          <w:tcPr>
            <w:tcW w:w="84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90 500</w:t>
            </w:r>
          </w:p>
        </w:tc>
        <w:tc>
          <w:tcPr>
            <w:tcW w:w="73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25 291 500</w:t>
            </w:r>
          </w:p>
        </w:tc>
        <w:tc>
          <w:tcPr>
            <w:tcW w:w="686"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100 500</w:t>
            </w:r>
          </w:p>
        </w:tc>
        <w:tc>
          <w:tcPr>
            <w:tcW w:w="1109"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25 100 500</w:t>
            </w:r>
          </w:p>
        </w:tc>
        <w:tc>
          <w:tcPr>
            <w:tcW w:w="896"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90 500</w:t>
            </w:r>
          </w:p>
        </w:tc>
        <w:tc>
          <w:tcPr>
            <w:tcW w:w="77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25 291 500</w:t>
            </w:r>
          </w:p>
        </w:tc>
      </w:tr>
      <w:tr w:rsidR="00080446" w:rsidRPr="00892DE3" w:rsidTr="00A0673E">
        <w:trPr>
          <w:trHeight w:val="623"/>
        </w:trPr>
        <w:tc>
          <w:tcPr>
            <w:cnfStyle w:val="001000000000" w:firstRow="0" w:lastRow="0" w:firstColumn="1" w:lastColumn="0" w:oddVBand="0" w:evenVBand="0" w:oddHBand="0" w:evenHBand="0" w:firstRowFirstColumn="0" w:firstRowLastColumn="0" w:lastRowFirstColumn="0" w:lastRowLastColumn="0"/>
            <w:tcW w:w="1257" w:type="dxa"/>
          </w:tcPr>
          <w:p w:rsidR="00080446" w:rsidRPr="00892DE3" w:rsidRDefault="00080446" w:rsidP="00A0673E">
            <w:pPr>
              <w:ind w:left="0" w:firstLine="0"/>
            </w:pPr>
            <w:r w:rsidRPr="00892DE3">
              <w:t>Units of waste disposed of per FTE by destinations (kg/FTE)</w:t>
            </w:r>
          </w:p>
        </w:tc>
        <w:tc>
          <w:tcPr>
            <w:tcW w:w="672" w:type="dxa"/>
            <w:gridSpan w:val="2"/>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25</w:t>
            </w:r>
          </w:p>
        </w:tc>
        <w:tc>
          <w:tcPr>
            <w:tcW w:w="113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52</w:t>
            </w:r>
          </w:p>
        </w:tc>
        <w:tc>
          <w:tcPr>
            <w:tcW w:w="84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28</w:t>
            </w:r>
          </w:p>
        </w:tc>
        <w:tc>
          <w:tcPr>
            <w:tcW w:w="73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105</w:t>
            </w:r>
          </w:p>
        </w:tc>
        <w:tc>
          <w:tcPr>
            <w:tcW w:w="686"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25</w:t>
            </w:r>
          </w:p>
        </w:tc>
        <w:tc>
          <w:tcPr>
            <w:tcW w:w="1109"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52</w:t>
            </w:r>
          </w:p>
        </w:tc>
        <w:tc>
          <w:tcPr>
            <w:tcW w:w="896"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28</w:t>
            </w:r>
          </w:p>
        </w:tc>
        <w:tc>
          <w:tcPr>
            <w:tcW w:w="77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105</w:t>
            </w:r>
          </w:p>
        </w:tc>
      </w:tr>
      <w:tr w:rsidR="00080446" w:rsidRPr="00892DE3" w:rsidTr="00A0673E">
        <w:trPr>
          <w:trHeight w:val="432"/>
        </w:trPr>
        <w:tc>
          <w:tcPr>
            <w:cnfStyle w:val="001000000000" w:firstRow="0" w:lastRow="0" w:firstColumn="1" w:lastColumn="0" w:oddVBand="0" w:evenVBand="0" w:oddHBand="0" w:evenHBand="0" w:firstRowFirstColumn="0" w:firstRowLastColumn="0" w:lastRowFirstColumn="0" w:lastRowLastColumn="0"/>
            <w:tcW w:w="1257" w:type="dxa"/>
          </w:tcPr>
          <w:p w:rsidR="00080446" w:rsidRPr="00892DE3" w:rsidRDefault="00080446" w:rsidP="00A0673E">
            <w:pPr>
              <w:ind w:left="0" w:firstLine="0"/>
            </w:pPr>
            <w:r w:rsidRPr="00892DE3">
              <w:t>Recycling rate (percentage of total waste)</w:t>
            </w:r>
          </w:p>
        </w:tc>
        <w:tc>
          <w:tcPr>
            <w:tcW w:w="2650" w:type="dxa"/>
            <w:gridSpan w:val="4"/>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85</w:t>
            </w:r>
          </w:p>
        </w:tc>
        <w:tc>
          <w:tcPr>
            <w:tcW w:w="73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85</w:t>
            </w:r>
          </w:p>
        </w:tc>
        <w:tc>
          <w:tcPr>
            <w:tcW w:w="2691" w:type="dxa"/>
            <w:gridSpan w:val="3"/>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90</w:t>
            </w:r>
          </w:p>
        </w:tc>
        <w:tc>
          <w:tcPr>
            <w:tcW w:w="77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90</w:t>
            </w:r>
          </w:p>
        </w:tc>
      </w:tr>
      <w:tr w:rsidR="00080446" w:rsidRPr="00892DE3" w:rsidTr="00A0673E">
        <w:trPr>
          <w:trHeight w:val="623"/>
        </w:trPr>
        <w:tc>
          <w:tcPr>
            <w:cnfStyle w:val="001000000000" w:firstRow="0" w:lastRow="0" w:firstColumn="1" w:lastColumn="0" w:oddVBand="0" w:evenVBand="0" w:oddHBand="0" w:evenHBand="0" w:firstRowFirstColumn="0" w:firstRowLastColumn="0" w:lastRowFirstColumn="0" w:lastRowLastColumn="0"/>
            <w:tcW w:w="1257" w:type="dxa"/>
            <w:tcBorders>
              <w:bottom w:val="single" w:sz="6" w:space="0" w:color="auto"/>
            </w:tcBorders>
          </w:tcPr>
          <w:p w:rsidR="00080446" w:rsidRPr="00892DE3" w:rsidRDefault="00080446" w:rsidP="00A0673E">
            <w:pPr>
              <w:ind w:left="0" w:firstLine="0"/>
            </w:pPr>
            <w:r w:rsidRPr="00892DE3">
              <w:t>Greenhouse gas emissions associated with waste disposal (t CO</w:t>
            </w:r>
            <w:r w:rsidRPr="00892DE3">
              <w:rPr>
                <w:vertAlign w:val="subscript"/>
              </w:rPr>
              <w:t>2</w:t>
            </w:r>
            <w:r w:rsidRPr="00892DE3">
              <w:noBreakHyphen/>
              <w:t>e)</w:t>
            </w:r>
          </w:p>
        </w:tc>
        <w:tc>
          <w:tcPr>
            <w:tcW w:w="2650" w:type="dxa"/>
            <w:gridSpan w:val="4"/>
            <w:tcBorders>
              <w:bottom w:val="single" w:sz="6" w:space="0" w:color="auto"/>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15 500</w:t>
            </w:r>
          </w:p>
        </w:tc>
        <w:tc>
          <w:tcPr>
            <w:tcW w:w="738" w:type="dxa"/>
            <w:tcBorders>
              <w:bottom w:val="single" w:sz="6" w:space="0" w:color="auto"/>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15 500</w:t>
            </w:r>
          </w:p>
        </w:tc>
        <w:tc>
          <w:tcPr>
            <w:tcW w:w="2691" w:type="dxa"/>
            <w:gridSpan w:val="3"/>
            <w:tcBorders>
              <w:bottom w:val="single" w:sz="6" w:space="0" w:color="auto"/>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12 500</w:t>
            </w:r>
          </w:p>
        </w:tc>
        <w:tc>
          <w:tcPr>
            <w:tcW w:w="770" w:type="dxa"/>
            <w:tcBorders>
              <w:bottom w:val="single" w:sz="6" w:space="0" w:color="auto"/>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r w:rsidRPr="00892DE3">
              <w:rPr>
                <w:b/>
              </w:rPr>
              <w:t>12 500</w:t>
            </w:r>
          </w:p>
        </w:tc>
      </w:tr>
      <w:tr w:rsidR="00080446" w:rsidRPr="00892DE3" w:rsidTr="00A0673E">
        <w:trPr>
          <w:trHeight w:val="242"/>
        </w:trPr>
        <w:tc>
          <w:tcPr>
            <w:cnfStyle w:val="001000000000" w:firstRow="0" w:lastRow="0" w:firstColumn="1" w:lastColumn="0" w:oddVBand="0" w:evenVBand="0" w:oddHBand="0" w:evenHBand="0" w:firstRowFirstColumn="0" w:firstRowLastColumn="0" w:lastRowFirstColumn="0" w:lastRowLastColumn="0"/>
            <w:tcW w:w="8106" w:type="dxa"/>
            <w:gridSpan w:val="10"/>
            <w:tcBorders>
              <w:top w:val="single" w:sz="6" w:space="0" w:color="auto"/>
              <w:bottom w:val="nil"/>
            </w:tcBorders>
          </w:tcPr>
          <w:p w:rsidR="00080446" w:rsidRPr="00892DE3" w:rsidRDefault="00080446" w:rsidP="00A0673E">
            <w:pPr>
              <w:ind w:left="0" w:firstLine="0"/>
              <w:rPr>
                <w:b/>
              </w:rPr>
            </w:pPr>
            <w:r w:rsidRPr="00892DE3">
              <w:rPr>
                <w:b/>
              </w:rPr>
              <w:t>Actions undertaken</w:t>
            </w:r>
          </w:p>
        </w:tc>
      </w:tr>
      <w:tr w:rsidR="00080446" w:rsidRPr="00892DE3" w:rsidTr="005C5F04">
        <w:trPr>
          <w:trHeight w:val="432"/>
        </w:trPr>
        <w:tc>
          <w:tcPr>
            <w:cnfStyle w:val="001000000000" w:firstRow="0" w:lastRow="0" w:firstColumn="1" w:lastColumn="0" w:oddVBand="0" w:evenVBand="0" w:oddHBand="0" w:evenHBand="0" w:firstRowFirstColumn="0" w:firstRowLastColumn="0" w:lastRowFirstColumn="0" w:lastRowLastColumn="0"/>
            <w:tcW w:w="1872" w:type="dxa"/>
            <w:gridSpan w:val="2"/>
            <w:tcBorders>
              <w:top w:val="nil"/>
            </w:tcBorders>
          </w:tcPr>
          <w:p w:rsidR="00080446" w:rsidRPr="00892DE3" w:rsidRDefault="00080446" w:rsidP="00A0673E">
            <w:pPr>
              <w:ind w:left="0" w:firstLine="0"/>
            </w:pPr>
            <w:r w:rsidRPr="00892DE3">
              <w:t>aWay with Waste</w:t>
            </w:r>
          </w:p>
        </w:tc>
        <w:tc>
          <w:tcPr>
            <w:tcW w:w="6234" w:type="dxa"/>
            <w:gridSpan w:val="8"/>
            <w:tcBorders>
              <w:top w:val="nil"/>
            </w:tcBorders>
          </w:tcPr>
          <w:p w:rsidR="00080446" w:rsidRPr="00892DE3" w:rsidRDefault="00080446" w:rsidP="00A0673E">
            <w:pPr>
              <w:jc w:val="left"/>
              <w:cnfStyle w:val="000000000000" w:firstRow="0" w:lastRow="0" w:firstColumn="0" w:lastColumn="0" w:oddVBand="0" w:evenVBand="0" w:oddHBand="0" w:evenHBand="0" w:firstRowFirstColumn="0" w:firstRowLastColumn="0" w:lastRowFirstColumn="0" w:lastRowLastColumn="0"/>
            </w:pPr>
            <w:r w:rsidRPr="00892DE3">
              <w:t>The program was launched at a further five sites and now covers 94 per cent of sites and 89 per cent of staff</w:t>
            </w:r>
          </w:p>
        </w:tc>
      </w:tr>
      <w:tr w:rsidR="00080446" w:rsidRPr="00892DE3" w:rsidTr="005C5F04">
        <w:trPr>
          <w:trHeight w:val="254"/>
        </w:trPr>
        <w:tc>
          <w:tcPr>
            <w:cnfStyle w:val="001000000000" w:firstRow="0" w:lastRow="0" w:firstColumn="1" w:lastColumn="0" w:oddVBand="0" w:evenVBand="0" w:oddHBand="0" w:evenHBand="0" w:firstRowFirstColumn="0" w:firstRowLastColumn="0" w:lastRowFirstColumn="0" w:lastRowLastColumn="0"/>
            <w:tcW w:w="1872" w:type="dxa"/>
            <w:gridSpan w:val="2"/>
          </w:tcPr>
          <w:p w:rsidR="00080446" w:rsidRPr="00892DE3" w:rsidRDefault="00080446" w:rsidP="00A0673E">
            <w:pPr>
              <w:ind w:left="0" w:firstLine="0"/>
            </w:pPr>
            <w:r w:rsidRPr="00892DE3">
              <w:t>Fluro tube recycling</w:t>
            </w:r>
          </w:p>
        </w:tc>
        <w:tc>
          <w:tcPr>
            <w:tcW w:w="6234" w:type="dxa"/>
            <w:gridSpan w:val="8"/>
          </w:tcPr>
          <w:p w:rsidR="00080446" w:rsidRPr="00892DE3" w:rsidRDefault="00080446" w:rsidP="00A0673E">
            <w:pPr>
              <w:jc w:val="left"/>
              <w:cnfStyle w:val="000000000000" w:firstRow="0" w:lastRow="0" w:firstColumn="0" w:lastColumn="0" w:oddVBand="0" w:evenVBand="0" w:oddHBand="0" w:evenHBand="0" w:firstRowFirstColumn="0" w:firstRowLastColumn="0" w:lastRowFirstColumn="0" w:lastRowLastColumn="0"/>
            </w:pPr>
            <w:r w:rsidRPr="00892DE3">
              <w:t xml:space="preserve">Introduction of </w:t>
            </w:r>
            <w:r w:rsidR="003B7D67" w:rsidRPr="00892DE3">
              <w:t>fluoro</w:t>
            </w:r>
            <w:r w:rsidRPr="00892DE3">
              <w:t xml:space="preserve"> tube recycling at six sites</w:t>
            </w:r>
          </w:p>
        </w:tc>
      </w:tr>
    </w:tbl>
    <w:p w:rsidR="00080446" w:rsidRPr="00892DE3" w:rsidRDefault="00080446" w:rsidP="00DA3433">
      <w:pPr>
        <w:pStyle w:val="Heading4"/>
      </w:pPr>
      <w:bookmarkStart w:id="58" w:name="_Toc477967510"/>
      <w:r w:rsidRPr="00892DE3">
        <w:t>Targets</w:t>
      </w:r>
      <w:bookmarkEnd w:id="58"/>
    </w:p>
    <w:p w:rsidR="00080446" w:rsidRPr="00892DE3" w:rsidRDefault="00080446" w:rsidP="00080446">
      <w:pPr>
        <w:pStyle w:val="BodyText"/>
      </w:pPr>
      <w:r w:rsidRPr="00892DE3">
        <w:t>The following targets have been set for 2016-17:</w:t>
      </w:r>
    </w:p>
    <w:p w:rsidR="00080446" w:rsidRPr="00892DE3" w:rsidRDefault="00080446" w:rsidP="00587DAE">
      <w:pPr>
        <w:pStyle w:val="ListBullet"/>
        <w:keepLines w:val="0"/>
        <w:numPr>
          <w:ilvl w:val="0"/>
          <w:numId w:val="19"/>
        </w:numPr>
        <w:spacing w:before="120" w:after="60"/>
      </w:pPr>
      <w:r w:rsidRPr="00892DE3">
        <w:rPr>
          <w:i/>
        </w:rPr>
        <w:t>aWay With Waste</w:t>
      </w:r>
      <w:r w:rsidRPr="00892DE3">
        <w:t xml:space="preserve"> to be available to 95 per cent of Departmental staff by 30 June 2017; and</w:t>
      </w:r>
    </w:p>
    <w:p w:rsidR="00080446" w:rsidRPr="00892DE3" w:rsidRDefault="00080446" w:rsidP="00587DAE">
      <w:pPr>
        <w:pStyle w:val="ListBullet"/>
        <w:keepLines w:val="0"/>
        <w:numPr>
          <w:ilvl w:val="0"/>
          <w:numId w:val="19"/>
        </w:numPr>
        <w:spacing w:before="120" w:after="60"/>
      </w:pPr>
      <w:r w:rsidRPr="00892DE3">
        <w:t>all Department sites with greater than 100 FTEs to have Green Collect service available by 30 June 2017.</w:t>
      </w:r>
    </w:p>
    <w:p w:rsidR="000C4727" w:rsidRPr="00892DE3" w:rsidRDefault="00080446" w:rsidP="00DA3433">
      <w:pPr>
        <w:pStyle w:val="Heading4"/>
      </w:pPr>
      <w:bookmarkStart w:id="59" w:name="_Toc477967511"/>
      <w:r w:rsidRPr="00892DE3">
        <w:t>Explanatory notes</w:t>
      </w:r>
      <w:bookmarkEnd w:id="59"/>
      <w:r w:rsidRPr="00892DE3">
        <w:t xml:space="preserve"> </w:t>
      </w:r>
    </w:p>
    <w:p w:rsidR="00080446" w:rsidRPr="00892DE3" w:rsidRDefault="00080446" w:rsidP="000C4727">
      <w:pPr>
        <w:pStyle w:val="Guidancenoborder"/>
      </w:pPr>
      <w:r w:rsidRPr="00892DE3">
        <w:t>[Insert as appropriate]</w:t>
      </w:r>
    </w:p>
    <w:p w:rsidR="00080446" w:rsidRPr="00892DE3" w:rsidRDefault="00080446" w:rsidP="00080446">
      <w:pPr>
        <w:pStyle w:val="Guidancenoborder"/>
        <w:spacing w:before="0"/>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spacing w:line="240" w:lineRule="auto"/>
      </w:pPr>
    </w:p>
    <w:p w:rsidR="00080446" w:rsidRPr="00892DE3" w:rsidRDefault="00080446" w:rsidP="00080446">
      <w:pPr>
        <w:pStyle w:val="Reference"/>
        <w:spacing w:before="0"/>
      </w:pPr>
    </w:p>
    <w:p w:rsidR="00080446" w:rsidRPr="00892DE3" w:rsidRDefault="00080446" w:rsidP="00080446">
      <w:pPr>
        <w:pStyle w:val="Smallline"/>
        <w:spacing w:line="240" w:lineRule="auto"/>
      </w:pPr>
    </w:p>
    <w:p w:rsidR="00080446" w:rsidRPr="00892DE3" w:rsidRDefault="00080446" w:rsidP="00080446">
      <w:pPr>
        <w:pStyle w:val="Reference"/>
        <w:spacing w:before="0"/>
      </w:pPr>
      <w:r w:rsidRPr="00892DE3">
        <w:t>FRD 24C</w:t>
      </w:r>
    </w:p>
    <w:p w:rsidR="00080446" w:rsidRPr="00892DE3" w:rsidRDefault="00080446" w:rsidP="00A0673E">
      <w:pPr>
        <w:pStyle w:val="Heading30"/>
      </w:pPr>
      <w:r w:rsidRPr="00892DE3">
        <w:br w:type="column"/>
      </w:r>
      <w:r w:rsidRPr="00892DE3">
        <w:lastRenderedPageBreak/>
        <w:t>Paper</w:t>
      </w:r>
    </w:p>
    <w:p w:rsidR="00080446" w:rsidRPr="00892DE3" w:rsidRDefault="00080446" w:rsidP="00A0673E">
      <w:pPr>
        <w:spacing w:after="120"/>
      </w:pPr>
      <w:r w:rsidRPr="00892DE3">
        <w:t>The Department is becoming more efficient in relation to paper use. Programs commenced during the reporting period which provided additional reductions in consumption.</w:t>
      </w:r>
    </w:p>
    <w:tbl>
      <w:tblPr>
        <w:tblStyle w:val="DTFTable"/>
        <w:tblW w:w="7980" w:type="dxa"/>
        <w:tblLayout w:type="fixed"/>
        <w:tblLook w:val="06A0" w:firstRow="1" w:lastRow="0" w:firstColumn="1" w:lastColumn="0" w:noHBand="1" w:noVBand="1"/>
      </w:tblPr>
      <w:tblGrid>
        <w:gridCol w:w="1589"/>
        <w:gridCol w:w="2693"/>
        <w:gridCol w:w="2410"/>
        <w:gridCol w:w="1288"/>
      </w:tblGrid>
      <w:tr w:rsidR="00080446" w:rsidRPr="00892DE3" w:rsidTr="005C5F04">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282" w:type="dxa"/>
            <w:gridSpan w:val="2"/>
          </w:tcPr>
          <w:p w:rsidR="00080446" w:rsidRPr="00892DE3" w:rsidRDefault="00080446" w:rsidP="00A0673E">
            <w:pPr>
              <w:ind w:left="0" w:firstLine="0"/>
            </w:pPr>
            <w:r w:rsidRPr="00892DE3">
              <w:t>Indicator</w:t>
            </w:r>
          </w:p>
        </w:tc>
        <w:tc>
          <w:tcPr>
            <w:tcW w:w="2410"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2016</w:t>
            </w:r>
            <w:r w:rsidRPr="00892DE3">
              <w:noBreakHyphen/>
              <w:t>17</w:t>
            </w:r>
          </w:p>
        </w:tc>
        <w:tc>
          <w:tcPr>
            <w:tcW w:w="1288"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2015</w:t>
            </w:r>
            <w:r w:rsidRPr="00892DE3">
              <w:noBreakHyphen/>
              <w:t>16</w:t>
            </w:r>
          </w:p>
        </w:tc>
      </w:tr>
      <w:tr w:rsidR="00080446" w:rsidRPr="00892DE3" w:rsidTr="005C5F04">
        <w:trPr>
          <w:trHeight w:val="154"/>
        </w:trPr>
        <w:tc>
          <w:tcPr>
            <w:cnfStyle w:val="001000000000" w:firstRow="0" w:lastRow="0" w:firstColumn="1" w:lastColumn="0" w:oddVBand="0" w:evenVBand="0" w:oddHBand="0" w:evenHBand="0" w:firstRowFirstColumn="0" w:firstRowLastColumn="0" w:lastRowFirstColumn="0" w:lastRowLastColumn="0"/>
            <w:tcW w:w="4282" w:type="dxa"/>
            <w:gridSpan w:val="2"/>
          </w:tcPr>
          <w:p w:rsidR="00080446" w:rsidRPr="00892DE3" w:rsidRDefault="00080446" w:rsidP="00A0673E">
            <w:pPr>
              <w:ind w:left="0" w:firstLine="0"/>
            </w:pPr>
            <w:r w:rsidRPr="00892DE3">
              <w:t>Total units of copy paper used (reams)</w:t>
            </w:r>
          </w:p>
        </w:tc>
        <w:tc>
          <w:tcPr>
            <w:tcW w:w="241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522 509 143</w:t>
            </w:r>
          </w:p>
        </w:tc>
        <w:tc>
          <w:tcPr>
            <w:tcW w:w="128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600 585 222</w:t>
            </w:r>
          </w:p>
        </w:tc>
      </w:tr>
      <w:tr w:rsidR="00080446" w:rsidRPr="00892DE3" w:rsidTr="005C5F04">
        <w:trPr>
          <w:trHeight w:val="154"/>
        </w:trPr>
        <w:tc>
          <w:tcPr>
            <w:cnfStyle w:val="001000000000" w:firstRow="0" w:lastRow="0" w:firstColumn="1" w:lastColumn="0" w:oddVBand="0" w:evenVBand="0" w:oddHBand="0" w:evenHBand="0" w:firstRowFirstColumn="0" w:firstRowLastColumn="0" w:lastRowFirstColumn="0" w:lastRowLastColumn="0"/>
            <w:tcW w:w="4282" w:type="dxa"/>
            <w:gridSpan w:val="2"/>
          </w:tcPr>
          <w:p w:rsidR="00080446" w:rsidRPr="00892DE3" w:rsidRDefault="00080446" w:rsidP="00A0673E">
            <w:pPr>
              <w:ind w:left="0" w:firstLine="0"/>
            </w:pPr>
            <w:r w:rsidRPr="00892DE3">
              <w:t>Units of copy paper used per FTE (reams/FTE)</w:t>
            </w:r>
          </w:p>
        </w:tc>
        <w:tc>
          <w:tcPr>
            <w:tcW w:w="241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13.7</w:t>
            </w:r>
          </w:p>
        </w:tc>
        <w:tc>
          <w:tcPr>
            <w:tcW w:w="128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15.8</w:t>
            </w:r>
          </w:p>
        </w:tc>
      </w:tr>
      <w:tr w:rsidR="00080446" w:rsidRPr="00892DE3" w:rsidTr="005C5F04">
        <w:trPr>
          <w:trHeight w:val="282"/>
        </w:trPr>
        <w:tc>
          <w:tcPr>
            <w:cnfStyle w:val="001000000000" w:firstRow="0" w:lastRow="0" w:firstColumn="1" w:lastColumn="0" w:oddVBand="0" w:evenVBand="0" w:oddHBand="0" w:evenHBand="0" w:firstRowFirstColumn="0" w:firstRowLastColumn="0" w:lastRowFirstColumn="0" w:lastRowLastColumn="0"/>
            <w:tcW w:w="4282" w:type="dxa"/>
            <w:gridSpan w:val="2"/>
          </w:tcPr>
          <w:p w:rsidR="00080446" w:rsidRPr="00892DE3" w:rsidRDefault="00080446" w:rsidP="00A0673E">
            <w:pPr>
              <w:ind w:left="0" w:firstLine="0"/>
            </w:pPr>
            <w:r w:rsidRPr="00892DE3">
              <w:t>Percentage of 75</w:t>
            </w:r>
            <w:r w:rsidRPr="00892DE3">
              <w:noBreakHyphen/>
              <w:t xml:space="preserve">100% recycled content copy paper purchased </w:t>
            </w:r>
          </w:p>
        </w:tc>
        <w:tc>
          <w:tcPr>
            <w:tcW w:w="241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86</w:t>
            </w:r>
          </w:p>
        </w:tc>
        <w:tc>
          <w:tcPr>
            <w:tcW w:w="128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80</w:t>
            </w:r>
          </w:p>
        </w:tc>
      </w:tr>
      <w:tr w:rsidR="00080446" w:rsidRPr="00892DE3" w:rsidTr="005C5F04">
        <w:trPr>
          <w:trHeight w:val="282"/>
        </w:trPr>
        <w:tc>
          <w:tcPr>
            <w:cnfStyle w:val="001000000000" w:firstRow="0" w:lastRow="0" w:firstColumn="1" w:lastColumn="0" w:oddVBand="0" w:evenVBand="0" w:oddHBand="0" w:evenHBand="0" w:firstRowFirstColumn="0" w:firstRowLastColumn="0" w:lastRowFirstColumn="0" w:lastRowLastColumn="0"/>
            <w:tcW w:w="4282" w:type="dxa"/>
            <w:gridSpan w:val="2"/>
          </w:tcPr>
          <w:p w:rsidR="00080446" w:rsidRPr="00892DE3" w:rsidRDefault="00080446" w:rsidP="00A0673E">
            <w:pPr>
              <w:ind w:left="0" w:firstLine="0"/>
            </w:pPr>
            <w:r w:rsidRPr="00892DE3">
              <w:t>Percentage of 50</w:t>
            </w:r>
            <w:r w:rsidRPr="00892DE3">
              <w:noBreakHyphen/>
              <w:t xml:space="preserve">74% recycled content copy paper purchased </w:t>
            </w:r>
          </w:p>
        </w:tc>
        <w:tc>
          <w:tcPr>
            <w:tcW w:w="241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5</w:t>
            </w:r>
          </w:p>
        </w:tc>
        <w:tc>
          <w:tcPr>
            <w:tcW w:w="128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10</w:t>
            </w:r>
          </w:p>
        </w:tc>
      </w:tr>
      <w:tr w:rsidR="00080446" w:rsidRPr="00892DE3" w:rsidTr="005C5F04">
        <w:trPr>
          <w:trHeight w:val="282"/>
        </w:trPr>
        <w:tc>
          <w:tcPr>
            <w:cnfStyle w:val="001000000000" w:firstRow="0" w:lastRow="0" w:firstColumn="1" w:lastColumn="0" w:oddVBand="0" w:evenVBand="0" w:oddHBand="0" w:evenHBand="0" w:firstRowFirstColumn="0" w:firstRowLastColumn="0" w:lastRowFirstColumn="0" w:lastRowLastColumn="0"/>
            <w:tcW w:w="4282" w:type="dxa"/>
            <w:gridSpan w:val="2"/>
          </w:tcPr>
          <w:p w:rsidR="00080446" w:rsidRPr="00892DE3" w:rsidRDefault="00080446" w:rsidP="00A0673E">
            <w:pPr>
              <w:ind w:left="0" w:firstLine="0"/>
            </w:pPr>
            <w:r w:rsidRPr="00892DE3">
              <w:t>Percentage of 0</w:t>
            </w:r>
            <w:r w:rsidRPr="00892DE3">
              <w:noBreakHyphen/>
              <w:t xml:space="preserve">49% recycled content copy paper purchased </w:t>
            </w:r>
          </w:p>
        </w:tc>
        <w:tc>
          <w:tcPr>
            <w:tcW w:w="241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9</w:t>
            </w:r>
          </w:p>
        </w:tc>
        <w:tc>
          <w:tcPr>
            <w:tcW w:w="128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10</w:t>
            </w:r>
          </w:p>
        </w:tc>
      </w:tr>
      <w:tr w:rsidR="00080446" w:rsidRPr="00892DE3" w:rsidTr="005C5F04">
        <w:trPr>
          <w:trHeight w:val="154"/>
        </w:trPr>
        <w:tc>
          <w:tcPr>
            <w:cnfStyle w:val="001000000000" w:firstRow="0" w:lastRow="0" w:firstColumn="1" w:lastColumn="0" w:oddVBand="0" w:evenVBand="0" w:oddHBand="0" w:evenHBand="0" w:firstRowFirstColumn="0" w:firstRowLastColumn="0" w:lastRowFirstColumn="0" w:lastRowLastColumn="0"/>
            <w:tcW w:w="4282" w:type="dxa"/>
            <w:gridSpan w:val="2"/>
          </w:tcPr>
          <w:p w:rsidR="00080446" w:rsidRPr="00892DE3" w:rsidRDefault="00080446" w:rsidP="00A0673E">
            <w:pPr>
              <w:ind w:left="0" w:firstLine="0"/>
              <w:rPr>
                <w:b/>
              </w:rPr>
            </w:pPr>
            <w:r w:rsidRPr="00892DE3">
              <w:rPr>
                <w:b/>
              </w:rPr>
              <w:t>Optional indicators</w:t>
            </w:r>
          </w:p>
        </w:tc>
        <w:tc>
          <w:tcPr>
            <w:tcW w:w="241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p>
        </w:tc>
        <w:tc>
          <w:tcPr>
            <w:tcW w:w="1288"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rPr>
                <w:b/>
              </w:rPr>
            </w:pPr>
          </w:p>
        </w:tc>
      </w:tr>
      <w:tr w:rsidR="00080446" w:rsidRPr="00892DE3" w:rsidTr="005C5F04">
        <w:trPr>
          <w:trHeight w:val="398"/>
        </w:trPr>
        <w:tc>
          <w:tcPr>
            <w:cnfStyle w:val="001000000000" w:firstRow="0" w:lastRow="0" w:firstColumn="1" w:lastColumn="0" w:oddVBand="0" w:evenVBand="0" w:oddHBand="0" w:evenHBand="0" w:firstRowFirstColumn="0" w:firstRowLastColumn="0" w:lastRowFirstColumn="0" w:lastRowLastColumn="0"/>
            <w:tcW w:w="4282" w:type="dxa"/>
            <w:gridSpan w:val="2"/>
          </w:tcPr>
          <w:p w:rsidR="00080446" w:rsidRPr="00892DE3" w:rsidRDefault="00080446" w:rsidP="00A0673E">
            <w:pPr>
              <w:ind w:left="0" w:firstLine="0"/>
            </w:pPr>
            <w:r w:rsidRPr="00892DE3">
              <w:t>Total units of A4 equivalent paper used in publications (reams)</w:t>
            </w:r>
          </w:p>
        </w:tc>
        <w:tc>
          <w:tcPr>
            <w:tcW w:w="241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 xml:space="preserve">Unable to access this </w:t>
            </w:r>
            <w:r w:rsidRPr="00892DE3">
              <w:br/>
              <w:t>data at time of publication</w:t>
            </w:r>
          </w:p>
        </w:tc>
        <w:tc>
          <w:tcPr>
            <w:tcW w:w="1288" w:type="dxa"/>
          </w:tcPr>
          <w:p w:rsidR="00080446" w:rsidRPr="00892DE3" w:rsidRDefault="00587DAE" w:rsidP="00A0673E">
            <w:pPr>
              <w:cnfStyle w:val="000000000000" w:firstRow="0" w:lastRow="0" w:firstColumn="0" w:lastColumn="0" w:oddVBand="0" w:evenVBand="0" w:oddHBand="0" w:evenHBand="0" w:firstRowFirstColumn="0" w:firstRowLastColumn="0" w:lastRowFirstColumn="0" w:lastRowLastColumn="0"/>
            </w:pPr>
            <w:r w:rsidRPr="00892DE3">
              <w:t>n.a.</w:t>
            </w:r>
          </w:p>
        </w:tc>
      </w:tr>
      <w:tr w:rsidR="00080446" w:rsidRPr="00892DE3" w:rsidTr="005C5F04">
        <w:trPr>
          <w:trHeight w:val="175"/>
        </w:trPr>
        <w:tc>
          <w:tcPr>
            <w:cnfStyle w:val="001000000000" w:firstRow="0" w:lastRow="0" w:firstColumn="1" w:lastColumn="0" w:oddVBand="0" w:evenVBand="0" w:oddHBand="0" w:evenHBand="0" w:firstRowFirstColumn="0" w:firstRowLastColumn="0" w:lastRowFirstColumn="0" w:lastRowLastColumn="0"/>
            <w:tcW w:w="4282" w:type="dxa"/>
            <w:gridSpan w:val="2"/>
            <w:tcBorders>
              <w:bottom w:val="single" w:sz="6" w:space="0" w:color="auto"/>
            </w:tcBorders>
          </w:tcPr>
          <w:p w:rsidR="00080446" w:rsidRPr="00892DE3" w:rsidRDefault="00080446" w:rsidP="00A0673E">
            <w:pPr>
              <w:ind w:left="0" w:firstLine="0"/>
            </w:pPr>
            <w:r w:rsidRPr="00892DE3">
              <w:t xml:space="preserve">Percentage of publications publicly accessible electronically </w:t>
            </w:r>
          </w:p>
        </w:tc>
        <w:tc>
          <w:tcPr>
            <w:tcW w:w="2410" w:type="dxa"/>
            <w:tcBorders>
              <w:bottom w:val="single" w:sz="6" w:space="0" w:color="auto"/>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86</w:t>
            </w:r>
          </w:p>
        </w:tc>
        <w:tc>
          <w:tcPr>
            <w:tcW w:w="1288" w:type="dxa"/>
            <w:tcBorders>
              <w:bottom w:val="single" w:sz="6" w:space="0" w:color="auto"/>
            </w:tcBorders>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80</w:t>
            </w:r>
          </w:p>
        </w:tc>
      </w:tr>
      <w:tr w:rsidR="00080446" w:rsidRPr="00892DE3" w:rsidTr="00587DAE">
        <w:trPr>
          <w:trHeight w:val="154"/>
        </w:trPr>
        <w:tc>
          <w:tcPr>
            <w:cnfStyle w:val="001000000000" w:firstRow="0" w:lastRow="0" w:firstColumn="1" w:lastColumn="0" w:oddVBand="0" w:evenVBand="0" w:oddHBand="0" w:evenHBand="0" w:firstRowFirstColumn="0" w:firstRowLastColumn="0" w:lastRowFirstColumn="0" w:lastRowLastColumn="0"/>
            <w:tcW w:w="7980" w:type="dxa"/>
            <w:gridSpan w:val="4"/>
            <w:tcBorders>
              <w:top w:val="single" w:sz="6" w:space="0" w:color="auto"/>
              <w:bottom w:val="nil"/>
            </w:tcBorders>
          </w:tcPr>
          <w:p w:rsidR="00080446" w:rsidRPr="00892DE3" w:rsidRDefault="00080446" w:rsidP="00A0673E">
            <w:pPr>
              <w:ind w:left="0" w:firstLine="0"/>
              <w:rPr>
                <w:b/>
              </w:rPr>
            </w:pPr>
            <w:r w:rsidRPr="00892DE3">
              <w:rPr>
                <w:b/>
              </w:rPr>
              <w:t>Actions undertaken</w:t>
            </w:r>
          </w:p>
        </w:tc>
      </w:tr>
      <w:tr w:rsidR="00080446" w:rsidRPr="00892DE3" w:rsidTr="00587DAE">
        <w:trPr>
          <w:trHeight w:val="410"/>
        </w:trPr>
        <w:tc>
          <w:tcPr>
            <w:cnfStyle w:val="001000000000" w:firstRow="0" w:lastRow="0" w:firstColumn="1" w:lastColumn="0" w:oddVBand="0" w:evenVBand="0" w:oddHBand="0" w:evenHBand="0" w:firstRowFirstColumn="0" w:firstRowLastColumn="0" w:lastRowFirstColumn="0" w:lastRowLastColumn="0"/>
            <w:tcW w:w="1589" w:type="dxa"/>
            <w:tcBorders>
              <w:top w:val="nil"/>
            </w:tcBorders>
          </w:tcPr>
          <w:p w:rsidR="00080446" w:rsidRPr="00892DE3" w:rsidRDefault="00080446" w:rsidP="00A0673E">
            <w:pPr>
              <w:ind w:left="0" w:firstLine="0"/>
            </w:pPr>
            <w:r w:rsidRPr="00892DE3">
              <w:t>Default paper</w:t>
            </w:r>
          </w:p>
        </w:tc>
        <w:tc>
          <w:tcPr>
            <w:tcW w:w="6391" w:type="dxa"/>
            <w:gridSpan w:val="3"/>
            <w:tcBorders>
              <w:top w:val="nil"/>
            </w:tcBorders>
          </w:tcPr>
          <w:p w:rsidR="00080446" w:rsidRPr="00892DE3" w:rsidRDefault="00080446" w:rsidP="00587DAE">
            <w:pPr>
              <w:jc w:val="left"/>
              <w:cnfStyle w:val="000000000000" w:firstRow="0" w:lastRow="0" w:firstColumn="0" w:lastColumn="0" w:oddVBand="0" w:evenVBand="0" w:oddHBand="0" w:evenHBand="0" w:firstRowFirstColumn="0" w:firstRowLastColumn="0" w:lastRowFirstColumn="0" w:lastRowLastColumn="0"/>
            </w:pPr>
            <w:r w:rsidRPr="00892DE3">
              <w:t>Default copy paper purchased through stationary supplier is 80 per cent recycled content. If this is unavailable, supply defaults to 50 per cent recycled content.</w:t>
            </w:r>
          </w:p>
        </w:tc>
      </w:tr>
    </w:tbl>
    <w:p w:rsidR="00080446" w:rsidRPr="00892DE3" w:rsidRDefault="00080446" w:rsidP="00080446">
      <w:pPr>
        <w:pStyle w:val="BodyText"/>
      </w:pPr>
    </w:p>
    <w:p w:rsidR="00080446" w:rsidRPr="00892DE3" w:rsidRDefault="00080446" w:rsidP="00080446">
      <w:pPr>
        <w:pStyle w:val="BodyText"/>
      </w:pPr>
    </w:p>
    <w:p w:rsidR="00C42E5E" w:rsidRPr="00892DE3" w:rsidRDefault="00080446" w:rsidP="00DA3433">
      <w:pPr>
        <w:pStyle w:val="Heading4"/>
      </w:pPr>
      <w:r w:rsidRPr="00892DE3">
        <w:br w:type="column"/>
      </w:r>
      <w:bookmarkStart w:id="60" w:name="_Toc477967512"/>
    </w:p>
    <w:p w:rsidR="00C42E5E" w:rsidRPr="00892DE3" w:rsidRDefault="00C42E5E" w:rsidP="00DA3433">
      <w:pPr>
        <w:pStyle w:val="Heading4"/>
      </w:pPr>
    </w:p>
    <w:p w:rsidR="00C42E5E" w:rsidRPr="00892DE3" w:rsidRDefault="00C42E5E" w:rsidP="00DA3433">
      <w:pPr>
        <w:pStyle w:val="Heading4"/>
      </w:pPr>
    </w:p>
    <w:p w:rsidR="00C42E5E" w:rsidRPr="00892DE3" w:rsidRDefault="00C42E5E" w:rsidP="00DA3433">
      <w:pPr>
        <w:pStyle w:val="Heading4"/>
      </w:pPr>
    </w:p>
    <w:p w:rsidR="00C42E5E" w:rsidRPr="00892DE3" w:rsidRDefault="00C42E5E" w:rsidP="00DA3433">
      <w:pPr>
        <w:pStyle w:val="Heading4"/>
      </w:pPr>
    </w:p>
    <w:p w:rsidR="00C42E5E" w:rsidRPr="00892DE3" w:rsidRDefault="00C42E5E" w:rsidP="00DA3433">
      <w:pPr>
        <w:pStyle w:val="Heading4"/>
      </w:pPr>
    </w:p>
    <w:p w:rsidR="00C42E5E" w:rsidRPr="00892DE3" w:rsidRDefault="00C42E5E" w:rsidP="00DA3433">
      <w:pPr>
        <w:pStyle w:val="Heading4"/>
      </w:pPr>
    </w:p>
    <w:p w:rsidR="00C42E5E" w:rsidRPr="00892DE3" w:rsidRDefault="00C42E5E" w:rsidP="00DA3433">
      <w:pPr>
        <w:pStyle w:val="Heading4"/>
      </w:pPr>
    </w:p>
    <w:p w:rsidR="00080446" w:rsidRPr="00892DE3" w:rsidRDefault="00080446" w:rsidP="00DA3433">
      <w:pPr>
        <w:pStyle w:val="Heading4"/>
      </w:pPr>
      <w:r w:rsidRPr="00892DE3">
        <w:lastRenderedPageBreak/>
        <w:t>Targets</w:t>
      </w:r>
      <w:bookmarkEnd w:id="60"/>
    </w:p>
    <w:p w:rsidR="00080446" w:rsidRPr="00892DE3" w:rsidRDefault="00080446" w:rsidP="00080446">
      <w:pPr>
        <w:pStyle w:val="BodyText"/>
      </w:pPr>
      <w:r w:rsidRPr="00892DE3">
        <w:t xml:space="preserve">The following targets have been set for 2016-17: </w:t>
      </w:r>
    </w:p>
    <w:p w:rsidR="00080446" w:rsidRPr="00892DE3" w:rsidRDefault="00080446" w:rsidP="00587DAE">
      <w:pPr>
        <w:pStyle w:val="ListBullet"/>
        <w:keepLines w:val="0"/>
        <w:numPr>
          <w:ilvl w:val="0"/>
          <w:numId w:val="19"/>
        </w:numPr>
        <w:spacing w:before="120" w:after="60"/>
      </w:pPr>
      <w:r w:rsidRPr="00892DE3">
        <w:t>reduce total units of A4 equivalent copy paper used (reams) by 5 per cent based on 20010</w:t>
      </w:r>
      <w:r w:rsidRPr="00892DE3">
        <w:noBreakHyphen/>
        <w:t xml:space="preserve">11 baselines by 30 June 2017; </w:t>
      </w:r>
    </w:p>
    <w:p w:rsidR="00080446" w:rsidRPr="00892DE3" w:rsidRDefault="00080446" w:rsidP="00587DAE">
      <w:pPr>
        <w:pStyle w:val="ListBullet"/>
        <w:keepLines w:val="0"/>
        <w:numPr>
          <w:ilvl w:val="0"/>
          <w:numId w:val="19"/>
        </w:numPr>
        <w:spacing w:before="120" w:after="60"/>
      </w:pPr>
      <w:r w:rsidRPr="00892DE3">
        <w:t xml:space="preserve">reduce units of A4 equivalent copy paper used per FTE (reams per FTE) by 5 per cent based on 2010-11 baselines by 30 June 2017; </w:t>
      </w:r>
    </w:p>
    <w:p w:rsidR="00080446" w:rsidRPr="00892DE3" w:rsidRDefault="00080446" w:rsidP="00587DAE">
      <w:pPr>
        <w:pStyle w:val="ListBullet"/>
        <w:keepLines w:val="0"/>
        <w:numPr>
          <w:ilvl w:val="0"/>
          <w:numId w:val="19"/>
        </w:numPr>
        <w:spacing w:before="120" w:after="60"/>
      </w:pPr>
      <w:r w:rsidRPr="00892DE3">
        <w:t>all the Department’s white A4 and A3 paper stock to have at least 70 per cent recycled content by 30 June 2017; and</w:t>
      </w:r>
    </w:p>
    <w:p w:rsidR="00080446" w:rsidRPr="00892DE3" w:rsidRDefault="00080446" w:rsidP="00587DAE">
      <w:pPr>
        <w:pStyle w:val="ListBullet"/>
        <w:keepLines w:val="0"/>
        <w:numPr>
          <w:ilvl w:val="0"/>
          <w:numId w:val="19"/>
        </w:numPr>
        <w:spacing w:before="120" w:after="60"/>
      </w:pPr>
      <w:r w:rsidRPr="00892DE3">
        <w:t>all the Department’s white A4 and A3 paper stock to have at least 80 per cent recycled content by 30 June 2017.</w:t>
      </w:r>
    </w:p>
    <w:p w:rsidR="00080446" w:rsidRPr="00892DE3" w:rsidRDefault="00080446" w:rsidP="00DA3433">
      <w:pPr>
        <w:pStyle w:val="Heading4"/>
      </w:pPr>
      <w:bookmarkStart w:id="61" w:name="_Toc477967513"/>
      <w:r w:rsidRPr="00892DE3">
        <w:t>Explanatory notes</w:t>
      </w:r>
      <w:bookmarkEnd w:id="61"/>
    </w:p>
    <w:p w:rsidR="00080446" w:rsidRPr="00892DE3" w:rsidRDefault="00080446" w:rsidP="00080446">
      <w:pPr>
        <w:pStyle w:val="Guidancenoborder"/>
      </w:pPr>
      <w:r w:rsidRPr="00892DE3">
        <w:t>[Insert as appropriate.]</w:t>
      </w:r>
    </w:p>
    <w:p w:rsidR="00080446" w:rsidRPr="00892DE3" w:rsidRDefault="00080446" w:rsidP="00080446">
      <w:pPr>
        <w:pStyle w:val="Heading3unnumbered"/>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Reference"/>
      </w:pPr>
      <w:r w:rsidRPr="00892DE3">
        <w:t>FRD 24C</w:t>
      </w:r>
    </w:p>
    <w:p w:rsidR="00080446" w:rsidRPr="00892DE3" w:rsidRDefault="00080446" w:rsidP="000C4727">
      <w:pPr>
        <w:pStyle w:val="Heading30"/>
      </w:pPr>
      <w:r w:rsidRPr="00892DE3">
        <w:br w:type="column"/>
      </w:r>
      <w:r w:rsidRPr="00892DE3">
        <w:lastRenderedPageBreak/>
        <w:t>Water</w:t>
      </w:r>
    </w:p>
    <w:p w:rsidR="00080446" w:rsidRPr="00892DE3" w:rsidRDefault="00080446" w:rsidP="00080446">
      <w:pPr>
        <w:pStyle w:val="BodyText"/>
      </w:pPr>
      <w:r w:rsidRPr="00892DE3">
        <w:t>The data in the table below is based on water meter readings at five major departmental sites covering 70 per cent of staff. The reduction in water use has easily surpassed the earlier target of achieving a 10 per cent reduction in office based water consumption by 30 June 2017.</w:t>
      </w:r>
    </w:p>
    <w:tbl>
      <w:tblPr>
        <w:tblStyle w:val="DTFTable"/>
        <w:tblW w:w="7963" w:type="dxa"/>
        <w:tblLayout w:type="fixed"/>
        <w:tblLook w:val="06A0" w:firstRow="1" w:lastRow="0" w:firstColumn="1" w:lastColumn="0" w:noHBand="1" w:noVBand="1"/>
      </w:tblPr>
      <w:tblGrid>
        <w:gridCol w:w="2221"/>
        <w:gridCol w:w="3132"/>
        <w:gridCol w:w="1305"/>
        <w:gridCol w:w="1305"/>
      </w:tblGrid>
      <w:tr w:rsidR="00080446" w:rsidRPr="00892DE3" w:rsidTr="000C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gridSpan w:val="2"/>
          </w:tcPr>
          <w:p w:rsidR="00080446" w:rsidRPr="00892DE3" w:rsidRDefault="00080446" w:rsidP="000C4727">
            <w:pPr>
              <w:ind w:left="0" w:firstLine="0"/>
            </w:pPr>
            <w:r w:rsidRPr="00892DE3">
              <w:t>Indicator</w:t>
            </w:r>
          </w:p>
        </w:tc>
        <w:tc>
          <w:tcPr>
            <w:tcW w:w="1305" w:type="dxa"/>
          </w:tcPr>
          <w:p w:rsidR="00080446" w:rsidRPr="00892DE3" w:rsidRDefault="00080446" w:rsidP="000C4727">
            <w:pPr>
              <w:cnfStyle w:val="100000000000" w:firstRow="1" w:lastRow="0" w:firstColumn="0" w:lastColumn="0" w:oddVBand="0" w:evenVBand="0" w:oddHBand="0" w:evenHBand="0" w:firstRowFirstColumn="0" w:firstRowLastColumn="0" w:lastRowFirstColumn="0" w:lastRowLastColumn="0"/>
            </w:pPr>
            <w:r w:rsidRPr="00892DE3">
              <w:t>2016</w:t>
            </w:r>
            <w:r w:rsidRPr="00892DE3">
              <w:noBreakHyphen/>
              <w:t>17</w:t>
            </w:r>
          </w:p>
        </w:tc>
        <w:tc>
          <w:tcPr>
            <w:tcW w:w="1305" w:type="dxa"/>
          </w:tcPr>
          <w:p w:rsidR="00080446" w:rsidRPr="00892DE3" w:rsidRDefault="00080446" w:rsidP="000C4727">
            <w:pPr>
              <w:cnfStyle w:val="100000000000" w:firstRow="1" w:lastRow="0" w:firstColumn="0" w:lastColumn="0" w:oddVBand="0" w:evenVBand="0" w:oddHBand="0" w:evenHBand="0" w:firstRowFirstColumn="0" w:firstRowLastColumn="0" w:lastRowFirstColumn="0" w:lastRowLastColumn="0"/>
            </w:pPr>
            <w:r w:rsidRPr="00892DE3">
              <w:t>2015</w:t>
            </w:r>
            <w:r w:rsidRPr="00892DE3">
              <w:noBreakHyphen/>
              <w:t>16</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5353" w:type="dxa"/>
            <w:gridSpan w:val="2"/>
          </w:tcPr>
          <w:p w:rsidR="00080446" w:rsidRPr="00892DE3" w:rsidRDefault="00080446" w:rsidP="000C4727">
            <w:pPr>
              <w:ind w:left="0" w:firstLine="0"/>
            </w:pPr>
            <w:r w:rsidRPr="00892DE3">
              <w:t>Total units of metered water consumed by usage types (kilolitres)</w:t>
            </w:r>
          </w:p>
        </w:tc>
        <w:tc>
          <w:tcPr>
            <w:tcW w:w="1305"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12 854 </w:t>
            </w:r>
          </w:p>
        </w:tc>
        <w:tc>
          <w:tcPr>
            <w:tcW w:w="1305"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13 153</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5353" w:type="dxa"/>
            <w:gridSpan w:val="2"/>
          </w:tcPr>
          <w:p w:rsidR="00080446" w:rsidRPr="00892DE3" w:rsidRDefault="00080446" w:rsidP="000C4727">
            <w:pPr>
              <w:ind w:left="0" w:firstLine="0"/>
            </w:pPr>
            <w:r w:rsidRPr="00892DE3">
              <w:t>Units of metered water consumed in offices per FTE (kilolitres/FTE)</w:t>
            </w:r>
          </w:p>
        </w:tc>
        <w:tc>
          <w:tcPr>
            <w:tcW w:w="1305"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7.85 </w:t>
            </w:r>
          </w:p>
        </w:tc>
        <w:tc>
          <w:tcPr>
            <w:tcW w:w="1305"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8.03 </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5353" w:type="dxa"/>
            <w:gridSpan w:val="2"/>
            <w:tcBorders>
              <w:bottom w:val="single" w:sz="6" w:space="0" w:color="auto"/>
            </w:tcBorders>
          </w:tcPr>
          <w:p w:rsidR="00080446" w:rsidRPr="00892DE3" w:rsidRDefault="00080446" w:rsidP="000C4727">
            <w:pPr>
              <w:ind w:left="0" w:firstLine="0"/>
            </w:pPr>
            <w:r w:rsidRPr="00892DE3">
              <w:t>Units of metered water consumed in offices per unit of office area (kilolitres/m</w:t>
            </w:r>
            <w:r w:rsidRPr="00892DE3">
              <w:rPr>
                <w:vertAlign w:val="superscript"/>
              </w:rPr>
              <w:t>2</w:t>
            </w:r>
            <w:r w:rsidRPr="00892DE3">
              <w:t>))</w:t>
            </w:r>
          </w:p>
        </w:tc>
        <w:tc>
          <w:tcPr>
            <w:tcW w:w="1305" w:type="dxa"/>
            <w:tcBorders>
              <w:bottom w:val="single" w:sz="6" w:space="0" w:color="auto"/>
            </w:tcBorders>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543 </w:t>
            </w:r>
          </w:p>
        </w:tc>
        <w:tc>
          <w:tcPr>
            <w:tcW w:w="1305" w:type="dxa"/>
            <w:tcBorders>
              <w:bottom w:val="single" w:sz="6" w:space="0" w:color="auto"/>
            </w:tcBorders>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558 </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7963" w:type="dxa"/>
            <w:gridSpan w:val="4"/>
            <w:tcBorders>
              <w:top w:val="single" w:sz="6" w:space="0" w:color="auto"/>
              <w:bottom w:val="nil"/>
            </w:tcBorders>
          </w:tcPr>
          <w:p w:rsidR="00080446" w:rsidRPr="00892DE3" w:rsidRDefault="00080446" w:rsidP="000C4727">
            <w:pPr>
              <w:ind w:left="0" w:firstLine="0"/>
              <w:rPr>
                <w:b/>
              </w:rPr>
            </w:pPr>
            <w:r w:rsidRPr="00892DE3">
              <w:rPr>
                <w:b/>
              </w:rPr>
              <w:t>Actions undertaken</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2221" w:type="dxa"/>
            <w:tcBorders>
              <w:top w:val="nil"/>
            </w:tcBorders>
          </w:tcPr>
          <w:p w:rsidR="00080446" w:rsidRPr="00892DE3" w:rsidRDefault="00080446" w:rsidP="000C4727">
            <w:pPr>
              <w:ind w:left="0" w:firstLine="0"/>
            </w:pPr>
            <w:r w:rsidRPr="00892DE3">
              <w:t>Flow controllers</w:t>
            </w:r>
          </w:p>
        </w:tc>
        <w:tc>
          <w:tcPr>
            <w:tcW w:w="5742" w:type="dxa"/>
            <w:gridSpan w:val="3"/>
            <w:tcBorders>
              <w:top w:val="nil"/>
            </w:tcBorders>
          </w:tcPr>
          <w:p w:rsidR="00080446" w:rsidRPr="00892DE3" w:rsidRDefault="00080446" w:rsidP="000C4727">
            <w:pPr>
              <w:jc w:val="left"/>
              <w:cnfStyle w:val="000000000000" w:firstRow="0" w:lastRow="0" w:firstColumn="0" w:lastColumn="0" w:oddVBand="0" w:evenVBand="0" w:oddHBand="0" w:evenHBand="0" w:firstRowFirstColumn="0" w:firstRowLastColumn="0" w:lastRowFirstColumn="0" w:lastRowLastColumn="0"/>
            </w:pPr>
            <w:r w:rsidRPr="00892DE3">
              <w:t>Flow controllers installed at all sites with greater than 10 FTEs</w:t>
            </w:r>
          </w:p>
        </w:tc>
      </w:tr>
      <w:tr w:rsidR="00080446" w:rsidRPr="00892DE3" w:rsidTr="000C4727">
        <w:trPr>
          <w:trHeight w:val="225"/>
        </w:trPr>
        <w:tc>
          <w:tcPr>
            <w:cnfStyle w:val="001000000000" w:firstRow="0" w:lastRow="0" w:firstColumn="1" w:lastColumn="0" w:oddVBand="0" w:evenVBand="0" w:oddHBand="0" w:evenHBand="0" w:firstRowFirstColumn="0" w:firstRowLastColumn="0" w:lastRowFirstColumn="0" w:lastRowLastColumn="0"/>
            <w:tcW w:w="2221" w:type="dxa"/>
          </w:tcPr>
          <w:p w:rsidR="00080446" w:rsidRPr="00892DE3" w:rsidRDefault="00080446" w:rsidP="000C4727">
            <w:pPr>
              <w:ind w:left="0" w:firstLine="0"/>
            </w:pPr>
            <w:r w:rsidRPr="00892DE3">
              <w:t>Water efficient urinals</w:t>
            </w:r>
          </w:p>
        </w:tc>
        <w:tc>
          <w:tcPr>
            <w:tcW w:w="5742" w:type="dxa"/>
            <w:gridSpan w:val="3"/>
          </w:tcPr>
          <w:p w:rsidR="00080446" w:rsidRPr="00892DE3" w:rsidRDefault="00080446" w:rsidP="000C4727">
            <w:pPr>
              <w:jc w:val="left"/>
              <w:cnfStyle w:val="000000000000" w:firstRow="0" w:lastRow="0" w:firstColumn="0" w:lastColumn="0" w:oddVBand="0" w:evenVBand="0" w:oddHBand="0" w:evenHBand="0" w:firstRowFirstColumn="0" w:firstRowLastColumn="0" w:lastRowFirstColumn="0" w:lastRowLastColumn="0"/>
            </w:pPr>
            <w:r w:rsidRPr="00892DE3">
              <w:t>Water efficient urinals installed at all sites with greater than 50 FTEs</w:t>
            </w:r>
          </w:p>
        </w:tc>
      </w:tr>
    </w:tbl>
    <w:p w:rsidR="00080446" w:rsidRPr="00892DE3" w:rsidRDefault="00080446" w:rsidP="00DA3433">
      <w:pPr>
        <w:pStyle w:val="Heading4"/>
      </w:pPr>
      <w:bookmarkStart w:id="62" w:name="_Toc477967514"/>
      <w:r w:rsidRPr="00892DE3">
        <w:t>Targets</w:t>
      </w:r>
      <w:bookmarkEnd w:id="62"/>
    </w:p>
    <w:p w:rsidR="00080446" w:rsidRPr="00892DE3" w:rsidRDefault="00080446" w:rsidP="00080446">
      <w:pPr>
        <w:pStyle w:val="BodyText"/>
      </w:pPr>
      <w:r w:rsidRPr="00892DE3">
        <w:t>The following targets have been set for 2016-17:</w:t>
      </w:r>
    </w:p>
    <w:p w:rsidR="00080446" w:rsidRPr="00892DE3" w:rsidRDefault="00080446" w:rsidP="00587DAE">
      <w:pPr>
        <w:pStyle w:val="ListBullet"/>
        <w:keepLines w:val="0"/>
        <w:numPr>
          <w:ilvl w:val="0"/>
          <w:numId w:val="19"/>
        </w:numPr>
        <w:spacing w:before="120" w:after="60"/>
      </w:pPr>
      <w:r w:rsidRPr="00892DE3">
        <w:t>10 per cent reduction in water consumption (litres per FTE) by 30 June 2017.</w:t>
      </w:r>
    </w:p>
    <w:p w:rsidR="00080446" w:rsidRPr="00892DE3" w:rsidRDefault="00080446" w:rsidP="00DA3433">
      <w:pPr>
        <w:pStyle w:val="Heading4"/>
      </w:pPr>
      <w:bookmarkStart w:id="63" w:name="_Toc477967515"/>
      <w:r w:rsidRPr="00892DE3">
        <w:t>Explanatory notes</w:t>
      </w:r>
      <w:bookmarkEnd w:id="63"/>
    </w:p>
    <w:p w:rsidR="00080446" w:rsidRPr="00892DE3" w:rsidRDefault="00080446" w:rsidP="00080446">
      <w:pPr>
        <w:pStyle w:val="Guidancenoborder"/>
      </w:pPr>
      <w:r w:rsidRPr="00892DE3">
        <w:t xml:space="preserve">[Insert as appropriate.] </w:t>
      </w:r>
    </w:p>
    <w:p w:rsidR="00080446" w:rsidRPr="00892DE3" w:rsidRDefault="00080446" w:rsidP="00080446">
      <w:pPr>
        <w:pStyle w:val="Guidancenoborde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Reference"/>
      </w:pPr>
      <w:r w:rsidRPr="00892DE3">
        <w:t>FRD 24C</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6422A1">
      <w:pPr>
        <w:pStyle w:val="Reference"/>
      </w:pPr>
      <w:r w:rsidRPr="00892DE3">
        <w:t>Revised</w:t>
      </w:r>
    </w:p>
    <w:p w:rsidR="00080446" w:rsidRPr="00892DE3" w:rsidRDefault="00080446" w:rsidP="000C4727">
      <w:pPr>
        <w:pStyle w:val="Heading30"/>
      </w:pPr>
      <w:r w:rsidRPr="00892DE3">
        <w:br w:type="column"/>
      </w:r>
      <w:r w:rsidRPr="00892DE3">
        <w:lastRenderedPageBreak/>
        <w:t>Transport</w:t>
      </w:r>
    </w:p>
    <w:p w:rsidR="00080446" w:rsidRPr="00892DE3" w:rsidRDefault="00080446" w:rsidP="00080446">
      <w:pPr>
        <w:pStyle w:val="BodyText"/>
      </w:pPr>
      <w:r w:rsidRPr="00892DE3">
        <w:t>The Department’s fleet comprises 800 vehicles, 60 per cent of which are operational vehicles, and the remainder executive fleet. Of the operational fleet, 50 per cent are LPG, 25 per cent are four cylinder petrol fuelled, 10 per cent are six cylinder petrol fuelled and 15 per cent are hybrid. The executive fleet comprised 80 per cent six cylinder petrol fuelled and 20 per cent hybrid vehicles.</w:t>
      </w:r>
    </w:p>
    <w:tbl>
      <w:tblPr>
        <w:tblStyle w:val="DTFTable"/>
        <w:tblW w:w="8296" w:type="dxa"/>
        <w:tblLayout w:type="fixed"/>
        <w:tblCellMar>
          <w:left w:w="28" w:type="dxa"/>
          <w:right w:w="28" w:type="dxa"/>
        </w:tblCellMar>
        <w:tblLook w:val="0620" w:firstRow="1" w:lastRow="0" w:firstColumn="0" w:lastColumn="0" w:noHBand="1" w:noVBand="1"/>
      </w:tblPr>
      <w:tblGrid>
        <w:gridCol w:w="1386"/>
        <w:gridCol w:w="910"/>
        <w:gridCol w:w="924"/>
        <w:gridCol w:w="910"/>
        <w:gridCol w:w="938"/>
        <w:gridCol w:w="825"/>
        <w:gridCol w:w="854"/>
        <w:gridCol w:w="742"/>
        <w:gridCol w:w="807"/>
      </w:tblGrid>
      <w:tr w:rsidR="00762DF8" w:rsidRPr="00892DE3" w:rsidTr="00184F13">
        <w:trPr>
          <w:cnfStyle w:val="100000000000" w:firstRow="1" w:lastRow="0" w:firstColumn="0" w:lastColumn="0" w:oddVBand="0" w:evenVBand="0" w:oddHBand="0" w:evenHBand="0" w:firstRowFirstColumn="0" w:firstRowLastColumn="0" w:lastRowFirstColumn="0" w:lastRowLastColumn="0"/>
          <w:trHeight w:val="281"/>
          <w:tblHeader/>
        </w:trPr>
        <w:tc>
          <w:tcPr>
            <w:tcW w:w="1386" w:type="dxa"/>
            <w:vMerge w:val="restart"/>
          </w:tcPr>
          <w:p w:rsidR="00762DF8" w:rsidRPr="00892DE3" w:rsidRDefault="00762DF8" w:rsidP="000C4727">
            <w:pPr>
              <w:rPr>
                <w:sz w:val="15"/>
                <w:szCs w:val="15"/>
              </w:rPr>
            </w:pPr>
            <w:r w:rsidRPr="00892DE3">
              <w:rPr>
                <w:sz w:val="15"/>
                <w:szCs w:val="15"/>
              </w:rPr>
              <w:t>Operational vehicles</w:t>
            </w:r>
          </w:p>
        </w:tc>
        <w:tc>
          <w:tcPr>
            <w:tcW w:w="3682" w:type="dxa"/>
            <w:gridSpan w:val="4"/>
            <w:tcBorders>
              <w:bottom w:val="single" w:sz="6" w:space="0" w:color="FFFFFF" w:themeColor="background1"/>
            </w:tcBorders>
          </w:tcPr>
          <w:p w:rsidR="00762DF8" w:rsidRPr="00892DE3" w:rsidRDefault="00762DF8" w:rsidP="00762DF8">
            <w:pPr>
              <w:jc w:val="center"/>
              <w:rPr>
                <w:sz w:val="15"/>
                <w:szCs w:val="15"/>
              </w:rPr>
            </w:pPr>
            <w:r w:rsidRPr="00892DE3">
              <w:rPr>
                <w:sz w:val="15"/>
                <w:szCs w:val="15"/>
              </w:rPr>
              <w:t>2016</w:t>
            </w:r>
            <w:r w:rsidRPr="00892DE3">
              <w:rPr>
                <w:sz w:val="15"/>
                <w:szCs w:val="15"/>
              </w:rPr>
              <w:noBreakHyphen/>
              <w:t>17</w:t>
            </w:r>
          </w:p>
        </w:tc>
        <w:tc>
          <w:tcPr>
            <w:tcW w:w="3228" w:type="dxa"/>
            <w:gridSpan w:val="4"/>
          </w:tcPr>
          <w:p w:rsidR="00762DF8" w:rsidRPr="00892DE3" w:rsidRDefault="00762DF8" w:rsidP="00762DF8">
            <w:pPr>
              <w:jc w:val="center"/>
              <w:rPr>
                <w:sz w:val="15"/>
                <w:szCs w:val="15"/>
              </w:rPr>
            </w:pPr>
            <w:r w:rsidRPr="00892DE3">
              <w:rPr>
                <w:sz w:val="15"/>
                <w:szCs w:val="15"/>
              </w:rPr>
              <w:t>2015</w:t>
            </w:r>
            <w:r w:rsidRPr="00892DE3">
              <w:rPr>
                <w:sz w:val="15"/>
                <w:szCs w:val="15"/>
              </w:rPr>
              <w:noBreakHyphen/>
              <w:t>16</w:t>
            </w:r>
          </w:p>
        </w:tc>
      </w:tr>
      <w:tr w:rsidR="00762DF8" w:rsidRPr="00892DE3" w:rsidTr="00184F13">
        <w:trPr>
          <w:cnfStyle w:val="100000000000" w:firstRow="1" w:lastRow="0" w:firstColumn="0" w:lastColumn="0" w:oddVBand="0" w:evenVBand="0" w:oddHBand="0" w:evenHBand="0" w:firstRowFirstColumn="0" w:firstRowLastColumn="0" w:lastRowFirstColumn="0" w:lastRowLastColumn="0"/>
          <w:trHeight w:val="431"/>
          <w:tblHeader/>
        </w:trPr>
        <w:tc>
          <w:tcPr>
            <w:tcW w:w="1386" w:type="dxa"/>
            <w:vMerge/>
          </w:tcPr>
          <w:p w:rsidR="00762DF8" w:rsidRPr="00892DE3" w:rsidRDefault="00762DF8" w:rsidP="000C4727">
            <w:pPr>
              <w:rPr>
                <w:sz w:val="15"/>
                <w:szCs w:val="15"/>
              </w:rPr>
            </w:pPr>
          </w:p>
        </w:tc>
        <w:tc>
          <w:tcPr>
            <w:tcW w:w="910" w:type="dxa"/>
            <w:tcBorders>
              <w:top w:val="single" w:sz="6" w:space="0" w:color="FFFFFF" w:themeColor="background1"/>
              <w:bottom w:val="nil"/>
            </w:tcBorders>
          </w:tcPr>
          <w:p w:rsidR="00762DF8" w:rsidRPr="00892DE3" w:rsidRDefault="00762DF8" w:rsidP="00762DF8">
            <w:pPr>
              <w:rPr>
                <w:sz w:val="15"/>
                <w:szCs w:val="15"/>
              </w:rPr>
            </w:pPr>
            <w:r w:rsidRPr="00892DE3">
              <w:rPr>
                <w:sz w:val="15"/>
                <w:szCs w:val="15"/>
              </w:rPr>
              <w:t xml:space="preserve">4 cyl </w:t>
            </w:r>
            <w:r w:rsidRPr="00892DE3">
              <w:rPr>
                <w:sz w:val="15"/>
                <w:szCs w:val="15"/>
              </w:rPr>
              <w:br/>
              <w:t>diesel van</w:t>
            </w:r>
          </w:p>
        </w:tc>
        <w:tc>
          <w:tcPr>
            <w:tcW w:w="924" w:type="dxa"/>
            <w:tcBorders>
              <w:top w:val="single" w:sz="6" w:space="0" w:color="FFFFFF" w:themeColor="background1"/>
              <w:bottom w:val="nil"/>
            </w:tcBorders>
          </w:tcPr>
          <w:p w:rsidR="00762DF8" w:rsidRPr="00892DE3" w:rsidRDefault="00762DF8" w:rsidP="000C4727">
            <w:pPr>
              <w:rPr>
                <w:sz w:val="15"/>
                <w:szCs w:val="15"/>
              </w:rPr>
            </w:pPr>
            <w:r w:rsidRPr="00892DE3">
              <w:rPr>
                <w:sz w:val="15"/>
                <w:szCs w:val="15"/>
              </w:rPr>
              <w:t>6 cyl</w:t>
            </w:r>
          </w:p>
        </w:tc>
        <w:tc>
          <w:tcPr>
            <w:tcW w:w="910" w:type="dxa"/>
            <w:tcBorders>
              <w:top w:val="single" w:sz="6" w:space="0" w:color="FFFFFF" w:themeColor="background1"/>
              <w:bottom w:val="nil"/>
            </w:tcBorders>
          </w:tcPr>
          <w:p w:rsidR="00762DF8" w:rsidRPr="00892DE3" w:rsidRDefault="00762DF8" w:rsidP="000C4727">
            <w:pPr>
              <w:rPr>
                <w:sz w:val="15"/>
                <w:szCs w:val="15"/>
              </w:rPr>
            </w:pPr>
            <w:r w:rsidRPr="00892DE3">
              <w:rPr>
                <w:sz w:val="15"/>
                <w:szCs w:val="15"/>
              </w:rPr>
              <w:t>4WD</w:t>
            </w:r>
          </w:p>
        </w:tc>
        <w:tc>
          <w:tcPr>
            <w:tcW w:w="938" w:type="dxa"/>
            <w:tcBorders>
              <w:top w:val="single" w:sz="6" w:space="0" w:color="FFFFFF" w:themeColor="background1"/>
              <w:bottom w:val="nil"/>
            </w:tcBorders>
          </w:tcPr>
          <w:p w:rsidR="00762DF8" w:rsidRPr="00892DE3" w:rsidRDefault="00762DF8" w:rsidP="000C4727">
            <w:pPr>
              <w:rPr>
                <w:b/>
                <w:sz w:val="15"/>
                <w:szCs w:val="15"/>
              </w:rPr>
            </w:pPr>
            <w:r w:rsidRPr="00892DE3">
              <w:rPr>
                <w:b/>
                <w:sz w:val="15"/>
                <w:szCs w:val="15"/>
              </w:rPr>
              <w:t>Total</w:t>
            </w:r>
          </w:p>
        </w:tc>
        <w:tc>
          <w:tcPr>
            <w:tcW w:w="825" w:type="dxa"/>
          </w:tcPr>
          <w:p w:rsidR="00762DF8" w:rsidRPr="00892DE3" w:rsidRDefault="00762DF8" w:rsidP="00762DF8">
            <w:pPr>
              <w:rPr>
                <w:sz w:val="15"/>
                <w:szCs w:val="15"/>
              </w:rPr>
            </w:pPr>
            <w:r w:rsidRPr="00892DE3">
              <w:rPr>
                <w:sz w:val="15"/>
                <w:szCs w:val="15"/>
              </w:rPr>
              <w:t xml:space="preserve">4 cyl </w:t>
            </w:r>
            <w:r w:rsidRPr="00892DE3">
              <w:rPr>
                <w:sz w:val="15"/>
                <w:szCs w:val="15"/>
              </w:rPr>
              <w:br/>
              <w:t>diesel van</w:t>
            </w:r>
          </w:p>
        </w:tc>
        <w:tc>
          <w:tcPr>
            <w:tcW w:w="854" w:type="dxa"/>
          </w:tcPr>
          <w:p w:rsidR="00762DF8" w:rsidRPr="00892DE3" w:rsidRDefault="00762DF8" w:rsidP="000C4727">
            <w:pPr>
              <w:rPr>
                <w:sz w:val="15"/>
                <w:szCs w:val="15"/>
              </w:rPr>
            </w:pPr>
            <w:r w:rsidRPr="00892DE3">
              <w:rPr>
                <w:sz w:val="15"/>
                <w:szCs w:val="15"/>
              </w:rPr>
              <w:t>6 cyl</w:t>
            </w:r>
          </w:p>
        </w:tc>
        <w:tc>
          <w:tcPr>
            <w:tcW w:w="742" w:type="dxa"/>
          </w:tcPr>
          <w:p w:rsidR="00762DF8" w:rsidRPr="00892DE3" w:rsidRDefault="00762DF8" w:rsidP="000C4727">
            <w:pPr>
              <w:rPr>
                <w:sz w:val="15"/>
                <w:szCs w:val="15"/>
              </w:rPr>
            </w:pPr>
            <w:r w:rsidRPr="00892DE3">
              <w:rPr>
                <w:sz w:val="15"/>
                <w:szCs w:val="15"/>
              </w:rPr>
              <w:t>4WD</w:t>
            </w:r>
          </w:p>
        </w:tc>
        <w:tc>
          <w:tcPr>
            <w:tcW w:w="807" w:type="dxa"/>
          </w:tcPr>
          <w:p w:rsidR="00762DF8" w:rsidRPr="00892DE3" w:rsidRDefault="00762DF8" w:rsidP="000C4727">
            <w:pPr>
              <w:rPr>
                <w:b/>
                <w:sz w:val="15"/>
                <w:szCs w:val="15"/>
              </w:rPr>
            </w:pPr>
            <w:r w:rsidRPr="00892DE3">
              <w:rPr>
                <w:b/>
                <w:sz w:val="15"/>
                <w:szCs w:val="15"/>
              </w:rPr>
              <w:t>Total</w:t>
            </w:r>
          </w:p>
        </w:tc>
      </w:tr>
      <w:tr w:rsidR="00762DF8" w:rsidRPr="00892DE3" w:rsidTr="004B3C7D">
        <w:trPr>
          <w:cantSplit w:val="0"/>
          <w:trHeight w:val="366"/>
        </w:trPr>
        <w:tc>
          <w:tcPr>
            <w:tcW w:w="1386" w:type="dxa"/>
          </w:tcPr>
          <w:p w:rsidR="00080446" w:rsidRPr="00892DE3" w:rsidRDefault="00080446" w:rsidP="000C4727">
            <w:pPr>
              <w:rPr>
                <w:sz w:val="15"/>
                <w:szCs w:val="15"/>
              </w:rPr>
            </w:pPr>
            <w:r w:rsidRPr="00892DE3">
              <w:rPr>
                <w:sz w:val="15"/>
                <w:szCs w:val="15"/>
              </w:rPr>
              <w:t>Total energy consumption by vehicles (MJ)</w:t>
            </w:r>
          </w:p>
        </w:tc>
        <w:tc>
          <w:tcPr>
            <w:tcW w:w="910" w:type="dxa"/>
            <w:tcBorders>
              <w:bottom w:val="nil"/>
            </w:tcBorders>
            <w:shd w:val="clear" w:color="auto" w:fill="auto"/>
          </w:tcPr>
          <w:p w:rsidR="00080446" w:rsidRPr="00892DE3" w:rsidRDefault="00080446" w:rsidP="000C4727">
            <w:pPr>
              <w:rPr>
                <w:sz w:val="15"/>
                <w:szCs w:val="15"/>
              </w:rPr>
            </w:pPr>
            <w:r w:rsidRPr="00892DE3">
              <w:rPr>
                <w:sz w:val="15"/>
                <w:szCs w:val="15"/>
              </w:rPr>
              <w:t xml:space="preserve">10 800 </w:t>
            </w:r>
          </w:p>
        </w:tc>
        <w:tc>
          <w:tcPr>
            <w:tcW w:w="924" w:type="dxa"/>
            <w:tcBorders>
              <w:bottom w:val="nil"/>
            </w:tcBorders>
            <w:shd w:val="clear" w:color="auto" w:fill="auto"/>
          </w:tcPr>
          <w:p w:rsidR="00080446" w:rsidRPr="00892DE3" w:rsidRDefault="00080446" w:rsidP="000C4727">
            <w:pPr>
              <w:rPr>
                <w:sz w:val="15"/>
                <w:szCs w:val="15"/>
              </w:rPr>
            </w:pPr>
            <w:r w:rsidRPr="00892DE3">
              <w:rPr>
                <w:sz w:val="15"/>
                <w:szCs w:val="15"/>
              </w:rPr>
              <w:t xml:space="preserve">16 200 </w:t>
            </w:r>
          </w:p>
        </w:tc>
        <w:tc>
          <w:tcPr>
            <w:tcW w:w="910" w:type="dxa"/>
            <w:tcBorders>
              <w:bottom w:val="nil"/>
            </w:tcBorders>
            <w:shd w:val="clear" w:color="auto" w:fill="auto"/>
          </w:tcPr>
          <w:p w:rsidR="00080446" w:rsidRPr="00892DE3" w:rsidRDefault="00080446" w:rsidP="000C4727">
            <w:pPr>
              <w:rPr>
                <w:sz w:val="15"/>
                <w:szCs w:val="15"/>
              </w:rPr>
            </w:pPr>
            <w:r w:rsidRPr="00892DE3">
              <w:rPr>
                <w:sz w:val="15"/>
                <w:szCs w:val="15"/>
              </w:rPr>
              <w:t xml:space="preserve">22 500 </w:t>
            </w:r>
          </w:p>
        </w:tc>
        <w:tc>
          <w:tcPr>
            <w:tcW w:w="938" w:type="dxa"/>
            <w:tcBorders>
              <w:bottom w:val="nil"/>
              <w:right w:val="nil"/>
            </w:tcBorders>
            <w:shd w:val="clear" w:color="auto" w:fill="auto"/>
          </w:tcPr>
          <w:p w:rsidR="00080446" w:rsidRPr="00892DE3" w:rsidRDefault="00080446" w:rsidP="000C4727">
            <w:pPr>
              <w:rPr>
                <w:b/>
                <w:sz w:val="15"/>
                <w:szCs w:val="15"/>
              </w:rPr>
            </w:pPr>
            <w:r w:rsidRPr="00892DE3">
              <w:rPr>
                <w:b/>
                <w:sz w:val="15"/>
                <w:szCs w:val="15"/>
              </w:rPr>
              <w:t>49 500</w:t>
            </w:r>
          </w:p>
        </w:tc>
        <w:tc>
          <w:tcPr>
            <w:tcW w:w="825" w:type="dxa"/>
            <w:tcBorders>
              <w:left w:val="nil"/>
            </w:tcBorders>
          </w:tcPr>
          <w:p w:rsidR="00080446" w:rsidRPr="00892DE3" w:rsidRDefault="00080446" w:rsidP="000C4727">
            <w:pPr>
              <w:rPr>
                <w:sz w:val="15"/>
                <w:szCs w:val="15"/>
              </w:rPr>
            </w:pPr>
            <w:r w:rsidRPr="00892DE3">
              <w:rPr>
                <w:sz w:val="15"/>
                <w:szCs w:val="15"/>
              </w:rPr>
              <w:t>12 000</w:t>
            </w:r>
          </w:p>
        </w:tc>
        <w:tc>
          <w:tcPr>
            <w:tcW w:w="854" w:type="dxa"/>
          </w:tcPr>
          <w:p w:rsidR="00080446" w:rsidRPr="00892DE3" w:rsidRDefault="00080446" w:rsidP="000C4727">
            <w:pPr>
              <w:rPr>
                <w:sz w:val="15"/>
                <w:szCs w:val="15"/>
              </w:rPr>
            </w:pPr>
            <w:r w:rsidRPr="00892DE3">
              <w:rPr>
                <w:sz w:val="15"/>
                <w:szCs w:val="15"/>
              </w:rPr>
              <w:t>18 000</w:t>
            </w:r>
          </w:p>
        </w:tc>
        <w:tc>
          <w:tcPr>
            <w:tcW w:w="742" w:type="dxa"/>
          </w:tcPr>
          <w:p w:rsidR="00080446" w:rsidRPr="00892DE3" w:rsidRDefault="00080446" w:rsidP="000C4727">
            <w:pPr>
              <w:rPr>
                <w:sz w:val="15"/>
                <w:szCs w:val="15"/>
              </w:rPr>
            </w:pPr>
            <w:r w:rsidRPr="00892DE3">
              <w:rPr>
                <w:sz w:val="15"/>
                <w:szCs w:val="15"/>
              </w:rPr>
              <w:t>25 000</w:t>
            </w:r>
          </w:p>
        </w:tc>
        <w:tc>
          <w:tcPr>
            <w:tcW w:w="807" w:type="dxa"/>
          </w:tcPr>
          <w:p w:rsidR="00080446" w:rsidRPr="00892DE3" w:rsidRDefault="00080446" w:rsidP="000C4727">
            <w:pPr>
              <w:rPr>
                <w:b/>
                <w:sz w:val="15"/>
                <w:szCs w:val="15"/>
              </w:rPr>
            </w:pPr>
            <w:r w:rsidRPr="00892DE3">
              <w:rPr>
                <w:b/>
                <w:sz w:val="15"/>
                <w:szCs w:val="15"/>
              </w:rPr>
              <w:t>55 000</w:t>
            </w:r>
          </w:p>
        </w:tc>
      </w:tr>
      <w:tr w:rsidR="00762DF8" w:rsidRPr="00892DE3" w:rsidTr="004B3C7D">
        <w:trPr>
          <w:cantSplit w:val="0"/>
          <w:trHeight w:val="528"/>
        </w:trPr>
        <w:tc>
          <w:tcPr>
            <w:tcW w:w="1386" w:type="dxa"/>
          </w:tcPr>
          <w:p w:rsidR="00080446" w:rsidRPr="00892DE3" w:rsidRDefault="00080446" w:rsidP="000C4727">
            <w:pPr>
              <w:rPr>
                <w:sz w:val="15"/>
                <w:szCs w:val="15"/>
              </w:rPr>
            </w:pPr>
            <w:r w:rsidRPr="00892DE3">
              <w:rPr>
                <w:sz w:val="15"/>
                <w:szCs w:val="15"/>
              </w:rPr>
              <w:t>Total vehicle travel associated with entity operations (km)</w:t>
            </w:r>
          </w:p>
        </w:tc>
        <w:tc>
          <w:tcPr>
            <w:tcW w:w="910" w:type="dxa"/>
            <w:tcBorders>
              <w:bottom w:val="nil"/>
            </w:tcBorders>
            <w:shd w:val="clear" w:color="auto" w:fill="auto"/>
          </w:tcPr>
          <w:p w:rsidR="00080446" w:rsidRPr="00892DE3" w:rsidRDefault="00080446" w:rsidP="000C4727">
            <w:pPr>
              <w:rPr>
                <w:sz w:val="15"/>
                <w:szCs w:val="15"/>
              </w:rPr>
            </w:pPr>
            <w:r w:rsidRPr="00892DE3">
              <w:rPr>
                <w:sz w:val="15"/>
                <w:szCs w:val="15"/>
              </w:rPr>
              <w:t>114 480</w:t>
            </w:r>
          </w:p>
        </w:tc>
        <w:tc>
          <w:tcPr>
            <w:tcW w:w="924" w:type="dxa"/>
            <w:tcBorders>
              <w:bottom w:val="nil"/>
            </w:tcBorders>
            <w:shd w:val="clear" w:color="auto" w:fill="auto"/>
          </w:tcPr>
          <w:p w:rsidR="00080446" w:rsidRPr="00892DE3" w:rsidRDefault="00080446" w:rsidP="000C4727">
            <w:pPr>
              <w:rPr>
                <w:sz w:val="15"/>
                <w:szCs w:val="15"/>
              </w:rPr>
            </w:pPr>
            <w:r w:rsidRPr="00892DE3">
              <w:rPr>
                <w:sz w:val="15"/>
                <w:szCs w:val="15"/>
              </w:rPr>
              <w:t>171 720</w:t>
            </w:r>
          </w:p>
        </w:tc>
        <w:tc>
          <w:tcPr>
            <w:tcW w:w="910" w:type="dxa"/>
            <w:tcBorders>
              <w:bottom w:val="nil"/>
            </w:tcBorders>
            <w:shd w:val="clear" w:color="auto" w:fill="auto"/>
          </w:tcPr>
          <w:p w:rsidR="00080446" w:rsidRPr="00892DE3" w:rsidRDefault="00080446" w:rsidP="000C4727">
            <w:pPr>
              <w:rPr>
                <w:sz w:val="15"/>
                <w:szCs w:val="15"/>
              </w:rPr>
            </w:pPr>
            <w:r w:rsidRPr="00892DE3">
              <w:rPr>
                <w:sz w:val="15"/>
                <w:szCs w:val="15"/>
              </w:rPr>
              <w:t>238 500</w:t>
            </w:r>
          </w:p>
        </w:tc>
        <w:tc>
          <w:tcPr>
            <w:tcW w:w="938" w:type="dxa"/>
            <w:tcBorders>
              <w:bottom w:val="nil"/>
              <w:right w:val="nil"/>
            </w:tcBorders>
            <w:shd w:val="clear" w:color="auto" w:fill="auto"/>
          </w:tcPr>
          <w:p w:rsidR="00080446" w:rsidRPr="00892DE3" w:rsidRDefault="00080446" w:rsidP="000C4727">
            <w:pPr>
              <w:rPr>
                <w:b/>
                <w:sz w:val="15"/>
                <w:szCs w:val="15"/>
              </w:rPr>
            </w:pPr>
            <w:r w:rsidRPr="00892DE3">
              <w:rPr>
                <w:b/>
                <w:sz w:val="15"/>
                <w:szCs w:val="15"/>
              </w:rPr>
              <w:t>524 700</w:t>
            </w:r>
          </w:p>
        </w:tc>
        <w:tc>
          <w:tcPr>
            <w:tcW w:w="825" w:type="dxa"/>
            <w:tcBorders>
              <w:left w:val="nil"/>
            </w:tcBorders>
          </w:tcPr>
          <w:p w:rsidR="00080446" w:rsidRPr="00892DE3" w:rsidRDefault="00080446" w:rsidP="000C4727">
            <w:pPr>
              <w:rPr>
                <w:sz w:val="15"/>
                <w:szCs w:val="15"/>
              </w:rPr>
            </w:pPr>
            <w:r w:rsidRPr="00892DE3">
              <w:rPr>
                <w:sz w:val="15"/>
                <w:szCs w:val="15"/>
              </w:rPr>
              <w:t>127 200</w:t>
            </w:r>
          </w:p>
        </w:tc>
        <w:tc>
          <w:tcPr>
            <w:tcW w:w="854" w:type="dxa"/>
          </w:tcPr>
          <w:p w:rsidR="00080446" w:rsidRPr="00892DE3" w:rsidRDefault="00080446" w:rsidP="000C4727">
            <w:pPr>
              <w:rPr>
                <w:sz w:val="15"/>
                <w:szCs w:val="15"/>
              </w:rPr>
            </w:pPr>
            <w:r w:rsidRPr="00892DE3">
              <w:rPr>
                <w:sz w:val="15"/>
                <w:szCs w:val="15"/>
              </w:rPr>
              <w:t>190 800</w:t>
            </w:r>
          </w:p>
        </w:tc>
        <w:tc>
          <w:tcPr>
            <w:tcW w:w="742" w:type="dxa"/>
          </w:tcPr>
          <w:p w:rsidR="00080446" w:rsidRPr="00892DE3" w:rsidRDefault="00080446" w:rsidP="000C4727">
            <w:pPr>
              <w:rPr>
                <w:sz w:val="15"/>
                <w:szCs w:val="15"/>
              </w:rPr>
            </w:pPr>
            <w:r w:rsidRPr="00892DE3">
              <w:rPr>
                <w:sz w:val="15"/>
                <w:szCs w:val="15"/>
              </w:rPr>
              <w:t>265 000</w:t>
            </w:r>
          </w:p>
        </w:tc>
        <w:tc>
          <w:tcPr>
            <w:tcW w:w="807" w:type="dxa"/>
          </w:tcPr>
          <w:p w:rsidR="00080446" w:rsidRPr="00892DE3" w:rsidRDefault="00080446" w:rsidP="000C4727">
            <w:pPr>
              <w:rPr>
                <w:b/>
                <w:sz w:val="15"/>
                <w:szCs w:val="15"/>
              </w:rPr>
            </w:pPr>
            <w:r w:rsidRPr="00892DE3">
              <w:rPr>
                <w:b/>
                <w:sz w:val="15"/>
                <w:szCs w:val="15"/>
              </w:rPr>
              <w:t>853 000</w:t>
            </w:r>
          </w:p>
        </w:tc>
      </w:tr>
      <w:tr w:rsidR="00762DF8" w:rsidRPr="00892DE3" w:rsidTr="004B3C7D">
        <w:trPr>
          <w:cantSplit w:val="0"/>
          <w:trHeight w:val="516"/>
        </w:trPr>
        <w:tc>
          <w:tcPr>
            <w:tcW w:w="1386" w:type="dxa"/>
          </w:tcPr>
          <w:p w:rsidR="00080446" w:rsidRPr="00892DE3" w:rsidRDefault="00080446" w:rsidP="000C4727">
            <w:pPr>
              <w:rPr>
                <w:sz w:val="15"/>
                <w:szCs w:val="15"/>
              </w:rPr>
            </w:pPr>
            <w:r w:rsidRPr="00892DE3">
              <w:rPr>
                <w:sz w:val="15"/>
                <w:szCs w:val="15"/>
              </w:rPr>
              <w:t>Total greenhouse gas emissions from vehicle fleet (t CO</w:t>
            </w:r>
            <w:r w:rsidRPr="00892DE3">
              <w:rPr>
                <w:sz w:val="15"/>
                <w:szCs w:val="15"/>
                <w:vertAlign w:val="subscript"/>
              </w:rPr>
              <w:t>2</w:t>
            </w:r>
            <w:r w:rsidRPr="00892DE3">
              <w:rPr>
                <w:sz w:val="15"/>
                <w:szCs w:val="15"/>
              </w:rPr>
              <w:t> e)</w:t>
            </w:r>
          </w:p>
        </w:tc>
        <w:tc>
          <w:tcPr>
            <w:tcW w:w="910" w:type="dxa"/>
            <w:tcBorders>
              <w:bottom w:val="nil"/>
            </w:tcBorders>
            <w:shd w:val="clear" w:color="auto" w:fill="auto"/>
          </w:tcPr>
          <w:p w:rsidR="00080446" w:rsidRPr="00892DE3" w:rsidRDefault="00080446" w:rsidP="000C4727">
            <w:pPr>
              <w:rPr>
                <w:sz w:val="15"/>
                <w:szCs w:val="15"/>
              </w:rPr>
            </w:pPr>
            <w:r w:rsidRPr="00892DE3">
              <w:rPr>
                <w:sz w:val="15"/>
                <w:szCs w:val="15"/>
              </w:rPr>
              <w:t>269 028</w:t>
            </w:r>
          </w:p>
        </w:tc>
        <w:tc>
          <w:tcPr>
            <w:tcW w:w="924" w:type="dxa"/>
            <w:tcBorders>
              <w:bottom w:val="nil"/>
            </w:tcBorders>
            <w:shd w:val="clear" w:color="auto" w:fill="auto"/>
          </w:tcPr>
          <w:p w:rsidR="00080446" w:rsidRPr="00892DE3" w:rsidRDefault="00080446" w:rsidP="000C4727">
            <w:pPr>
              <w:rPr>
                <w:sz w:val="15"/>
                <w:szCs w:val="15"/>
              </w:rPr>
            </w:pPr>
            <w:r w:rsidRPr="00892DE3">
              <w:rPr>
                <w:sz w:val="15"/>
                <w:szCs w:val="15"/>
              </w:rPr>
              <w:t>403 542</w:t>
            </w:r>
          </w:p>
        </w:tc>
        <w:tc>
          <w:tcPr>
            <w:tcW w:w="910" w:type="dxa"/>
            <w:tcBorders>
              <w:bottom w:val="nil"/>
            </w:tcBorders>
            <w:shd w:val="clear" w:color="auto" w:fill="auto"/>
          </w:tcPr>
          <w:p w:rsidR="00080446" w:rsidRPr="00892DE3" w:rsidRDefault="00080446" w:rsidP="000C4727">
            <w:pPr>
              <w:rPr>
                <w:sz w:val="15"/>
                <w:szCs w:val="15"/>
              </w:rPr>
            </w:pPr>
            <w:r w:rsidRPr="00892DE3">
              <w:rPr>
                <w:sz w:val="15"/>
                <w:szCs w:val="15"/>
              </w:rPr>
              <w:t>560 475</w:t>
            </w:r>
          </w:p>
        </w:tc>
        <w:tc>
          <w:tcPr>
            <w:tcW w:w="938" w:type="dxa"/>
            <w:tcBorders>
              <w:bottom w:val="nil"/>
              <w:right w:val="nil"/>
            </w:tcBorders>
            <w:shd w:val="clear" w:color="auto" w:fill="auto"/>
          </w:tcPr>
          <w:p w:rsidR="00080446" w:rsidRPr="00892DE3" w:rsidRDefault="00080446" w:rsidP="000C4727">
            <w:pPr>
              <w:rPr>
                <w:b/>
                <w:sz w:val="15"/>
                <w:szCs w:val="15"/>
              </w:rPr>
            </w:pPr>
            <w:r w:rsidRPr="00892DE3">
              <w:rPr>
                <w:b/>
                <w:sz w:val="15"/>
                <w:szCs w:val="15"/>
              </w:rPr>
              <w:t>1 233 045</w:t>
            </w:r>
          </w:p>
        </w:tc>
        <w:tc>
          <w:tcPr>
            <w:tcW w:w="825" w:type="dxa"/>
            <w:tcBorders>
              <w:left w:val="nil"/>
            </w:tcBorders>
          </w:tcPr>
          <w:p w:rsidR="00080446" w:rsidRPr="00892DE3" w:rsidRDefault="00080446" w:rsidP="000C4727">
            <w:pPr>
              <w:rPr>
                <w:sz w:val="15"/>
                <w:szCs w:val="15"/>
              </w:rPr>
            </w:pPr>
            <w:r w:rsidRPr="00892DE3">
              <w:rPr>
                <w:sz w:val="15"/>
                <w:szCs w:val="15"/>
              </w:rPr>
              <w:t>298 920</w:t>
            </w:r>
          </w:p>
        </w:tc>
        <w:tc>
          <w:tcPr>
            <w:tcW w:w="854" w:type="dxa"/>
          </w:tcPr>
          <w:p w:rsidR="00080446" w:rsidRPr="00892DE3" w:rsidRDefault="00080446" w:rsidP="000C4727">
            <w:pPr>
              <w:rPr>
                <w:sz w:val="15"/>
                <w:szCs w:val="15"/>
              </w:rPr>
            </w:pPr>
            <w:r w:rsidRPr="00892DE3">
              <w:rPr>
                <w:sz w:val="15"/>
                <w:szCs w:val="15"/>
              </w:rPr>
              <w:t>448 380</w:t>
            </w:r>
          </w:p>
        </w:tc>
        <w:tc>
          <w:tcPr>
            <w:tcW w:w="742" w:type="dxa"/>
          </w:tcPr>
          <w:p w:rsidR="00080446" w:rsidRPr="00892DE3" w:rsidRDefault="00080446" w:rsidP="000C4727">
            <w:pPr>
              <w:rPr>
                <w:sz w:val="15"/>
                <w:szCs w:val="15"/>
              </w:rPr>
            </w:pPr>
            <w:r w:rsidRPr="00892DE3">
              <w:rPr>
                <w:sz w:val="15"/>
                <w:szCs w:val="15"/>
              </w:rPr>
              <w:t>622 750</w:t>
            </w:r>
          </w:p>
        </w:tc>
        <w:tc>
          <w:tcPr>
            <w:tcW w:w="807" w:type="dxa"/>
          </w:tcPr>
          <w:p w:rsidR="00080446" w:rsidRPr="00892DE3" w:rsidRDefault="00080446" w:rsidP="000C4727">
            <w:pPr>
              <w:rPr>
                <w:b/>
                <w:sz w:val="15"/>
                <w:szCs w:val="15"/>
              </w:rPr>
            </w:pPr>
            <w:r w:rsidRPr="00892DE3">
              <w:rPr>
                <w:b/>
                <w:sz w:val="15"/>
                <w:szCs w:val="15"/>
              </w:rPr>
              <w:t>1 370 050</w:t>
            </w:r>
          </w:p>
        </w:tc>
      </w:tr>
      <w:tr w:rsidR="00762DF8" w:rsidRPr="00892DE3" w:rsidTr="004B3C7D">
        <w:trPr>
          <w:cantSplit w:val="0"/>
          <w:trHeight w:val="701"/>
        </w:trPr>
        <w:tc>
          <w:tcPr>
            <w:tcW w:w="1386" w:type="dxa"/>
          </w:tcPr>
          <w:p w:rsidR="00080446" w:rsidRPr="00892DE3" w:rsidRDefault="00080446" w:rsidP="000C4727">
            <w:pPr>
              <w:rPr>
                <w:sz w:val="15"/>
                <w:szCs w:val="15"/>
              </w:rPr>
            </w:pPr>
            <w:r w:rsidRPr="00892DE3">
              <w:rPr>
                <w:sz w:val="15"/>
                <w:szCs w:val="15"/>
              </w:rPr>
              <w:t xml:space="preserve">Greenhouse gas emissions from vehicle fleet per 1 000km travelled </w:t>
            </w:r>
            <w:r w:rsidRPr="00892DE3">
              <w:rPr>
                <w:sz w:val="15"/>
                <w:szCs w:val="15"/>
              </w:rPr>
              <w:br/>
              <w:t>(t CO</w:t>
            </w:r>
            <w:r w:rsidRPr="00892DE3">
              <w:rPr>
                <w:sz w:val="15"/>
                <w:szCs w:val="15"/>
                <w:vertAlign w:val="subscript"/>
              </w:rPr>
              <w:t>2</w:t>
            </w:r>
            <w:r w:rsidRPr="00892DE3">
              <w:rPr>
                <w:sz w:val="15"/>
                <w:szCs w:val="15"/>
              </w:rPr>
              <w:t xml:space="preserve"> e)</w:t>
            </w:r>
          </w:p>
        </w:tc>
        <w:tc>
          <w:tcPr>
            <w:tcW w:w="910" w:type="dxa"/>
            <w:tcBorders>
              <w:bottom w:val="single" w:sz="12" w:space="0" w:color="auto"/>
            </w:tcBorders>
            <w:shd w:val="clear" w:color="auto" w:fill="auto"/>
          </w:tcPr>
          <w:p w:rsidR="00080446" w:rsidRPr="00892DE3" w:rsidRDefault="00080446" w:rsidP="000C4727">
            <w:pPr>
              <w:rPr>
                <w:sz w:val="15"/>
                <w:szCs w:val="15"/>
              </w:rPr>
            </w:pPr>
            <w:r w:rsidRPr="00892DE3">
              <w:rPr>
                <w:sz w:val="15"/>
                <w:szCs w:val="15"/>
              </w:rPr>
              <w:t>0.18811831</w:t>
            </w:r>
          </w:p>
        </w:tc>
        <w:tc>
          <w:tcPr>
            <w:tcW w:w="924" w:type="dxa"/>
            <w:tcBorders>
              <w:bottom w:val="single" w:sz="12" w:space="0" w:color="auto"/>
            </w:tcBorders>
            <w:shd w:val="clear" w:color="auto" w:fill="auto"/>
          </w:tcPr>
          <w:p w:rsidR="00080446" w:rsidRPr="00892DE3" w:rsidRDefault="00080446" w:rsidP="000C4727">
            <w:pPr>
              <w:rPr>
                <w:sz w:val="15"/>
                <w:szCs w:val="15"/>
              </w:rPr>
            </w:pPr>
            <w:r w:rsidRPr="00892DE3">
              <w:rPr>
                <w:sz w:val="15"/>
                <w:szCs w:val="15"/>
              </w:rPr>
              <w:t>0.28217747</w:t>
            </w:r>
          </w:p>
        </w:tc>
        <w:tc>
          <w:tcPr>
            <w:tcW w:w="910" w:type="dxa"/>
            <w:tcBorders>
              <w:bottom w:val="single" w:sz="12" w:space="0" w:color="auto"/>
            </w:tcBorders>
            <w:shd w:val="clear" w:color="auto" w:fill="auto"/>
          </w:tcPr>
          <w:p w:rsidR="00080446" w:rsidRPr="00892DE3" w:rsidRDefault="00080446" w:rsidP="000C4727">
            <w:pPr>
              <w:rPr>
                <w:sz w:val="15"/>
                <w:szCs w:val="15"/>
              </w:rPr>
            </w:pPr>
            <w:r w:rsidRPr="00892DE3">
              <w:rPr>
                <w:sz w:val="15"/>
                <w:szCs w:val="15"/>
              </w:rPr>
              <w:t>0.39191315</w:t>
            </w:r>
          </w:p>
        </w:tc>
        <w:tc>
          <w:tcPr>
            <w:tcW w:w="938" w:type="dxa"/>
            <w:tcBorders>
              <w:bottom w:val="single" w:sz="12" w:space="0" w:color="auto"/>
              <w:right w:val="nil"/>
            </w:tcBorders>
            <w:shd w:val="clear" w:color="auto" w:fill="auto"/>
          </w:tcPr>
          <w:p w:rsidR="00080446" w:rsidRPr="00892DE3" w:rsidRDefault="00080446" w:rsidP="000C4727">
            <w:pPr>
              <w:rPr>
                <w:b/>
                <w:sz w:val="15"/>
                <w:szCs w:val="15"/>
              </w:rPr>
            </w:pPr>
            <w:r w:rsidRPr="00892DE3">
              <w:rPr>
                <w:b/>
                <w:sz w:val="15"/>
                <w:szCs w:val="15"/>
              </w:rPr>
              <w:t>0.86220893</w:t>
            </w:r>
          </w:p>
        </w:tc>
        <w:tc>
          <w:tcPr>
            <w:tcW w:w="825" w:type="dxa"/>
            <w:tcBorders>
              <w:left w:val="nil"/>
            </w:tcBorders>
          </w:tcPr>
          <w:p w:rsidR="00080446" w:rsidRPr="00892DE3" w:rsidRDefault="00080446" w:rsidP="000C4727">
            <w:pPr>
              <w:rPr>
                <w:sz w:val="15"/>
                <w:szCs w:val="15"/>
              </w:rPr>
            </w:pPr>
            <w:r w:rsidRPr="00892DE3">
              <w:rPr>
                <w:sz w:val="15"/>
                <w:szCs w:val="15"/>
              </w:rPr>
              <w:t>0.1693065</w:t>
            </w:r>
          </w:p>
        </w:tc>
        <w:tc>
          <w:tcPr>
            <w:tcW w:w="854" w:type="dxa"/>
          </w:tcPr>
          <w:p w:rsidR="00080446" w:rsidRPr="00892DE3" w:rsidRDefault="00080446" w:rsidP="000C4727">
            <w:pPr>
              <w:rPr>
                <w:sz w:val="15"/>
                <w:szCs w:val="15"/>
              </w:rPr>
            </w:pPr>
            <w:r w:rsidRPr="00892DE3">
              <w:rPr>
                <w:sz w:val="15"/>
                <w:szCs w:val="15"/>
              </w:rPr>
              <w:t>0.2539597</w:t>
            </w:r>
          </w:p>
        </w:tc>
        <w:tc>
          <w:tcPr>
            <w:tcW w:w="742" w:type="dxa"/>
          </w:tcPr>
          <w:p w:rsidR="00080446" w:rsidRPr="00892DE3" w:rsidRDefault="00080446" w:rsidP="000C4727">
            <w:pPr>
              <w:rPr>
                <w:sz w:val="15"/>
                <w:szCs w:val="15"/>
              </w:rPr>
            </w:pPr>
            <w:r w:rsidRPr="00892DE3">
              <w:rPr>
                <w:sz w:val="15"/>
                <w:szCs w:val="15"/>
              </w:rPr>
              <w:t>0.352722</w:t>
            </w:r>
          </w:p>
        </w:tc>
        <w:tc>
          <w:tcPr>
            <w:tcW w:w="807" w:type="dxa"/>
          </w:tcPr>
          <w:p w:rsidR="00080446" w:rsidRPr="00892DE3" w:rsidRDefault="00080446" w:rsidP="000C4727">
            <w:pPr>
              <w:rPr>
                <w:b/>
                <w:sz w:val="15"/>
                <w:szCs w:val="15"/>
              </w:rPr>
            </w:pPr>
            <w:r w:rsidRPr="00892DE3">
              <w:rPr>
                <w:b/>
                <w:sz w:val="15"/>
                <w:szCs w:val="15"/>
              </w:rPr>
              <w:t>0.7759882</w:t>
            </w:r>
          </w:p>
        </w:tc>
      </w:tr>
    </w:tbl>
    <w:p w:rsidR="00080446" w:rsidRPr="00892DE3" w:rsidRDefault="00080446" w:rsidP="00080446">
      <w:pPr>
        <w:pStyle w:val="BodyText"/>
      </w:pPr>
    </w:p>
    <w:tbl>
      <w:tblPr>
        <w:tblStyle w:val="DTFTable"/>
        <w:tblW w:w="8295" w:type="dxa"/>
        <w:tblLayout w:type="fixed"/>
        <w:tblLook w:val="06A0" w:firstRow="1" w:lastRow="0" w:firstColumn="1" w:lastColumn="0" w:noHBand="1" w:noVBand="1"/>
      </w:tblPr>
      <w:tblGrid>
        <w:gridCol w:w="4103"/>
        <w:gridCol w:w="611"/>
        <w:gridCol w:w="716"/>
        <w:gridCol w:w="856"/>
        <w:gridCol w:w="576"/>
        <w:gridCol w:w="586"/>
        <w:gridCol w:w="847"/>
      </w:tblGrid>
      <w:tr w:rsidR="00080446" w:rsidRPr="00892DE3" w:rsidTr="004B3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3" w:type="dxa"/>
          </w:tcPr>
          <w:p w:rsidR="00080446" w:rsidRPr="00892DE3" w:rsidRDefault="00080446" w:rsidP="005C5F04">
            <w:pPr>
              <w:ind w:left="0" w:firstLine="0"/>
            </w:pPr>
          </w:p>
        </w:tc>
        <w:tc>
          <w:tcPr>
            <w:tcW w:w="2183" w:type="dxa"/>
            <w:gridSpan w:val="3"/>
            <w:tcBorders>
              <w:bottom w:val="nil"/>
            </w:tcBorders>
          </w:tcPr>
          <w:p w:rsidR="00080446" w:rsidRPr="00892DE3" w:rsidRDefault="00080446" w:rsidP="005C5F04">
            <w:pPr>
              <w:jc w:val="center"/>
              <w:cnfStyle w:val="100000000000" w:firstRow="1" w:lastRow="0" w:firstColumn="0" w:lastColumn="0" w:oddVBand="0" w:evenVBand="0" w:oddHBand="0" w:evenHBand="0" w:firstRowFirstColumn="0" w:firstRowLastColumn="0" w:lastRowFirstColumn="0" w:lastRowLastColumn="0"/>
            </w:pPr>
            <w:r w:rsidRPr="00892DE3">
              <w:t>2016</w:t>
            </w:r>
            <w:r w:rsidRPr="00892DE3">
              <w:noBreakHyphen/>
              <w:t>17</w:t>
            </w:r>
          </w:p>
        </w:tc>
        <w:tc>
          <w:tcPr>
            <w:tcW w:w="2009" w:type="dxa"/>
            <w:gridSpan w:val="3"/>
            <w:tcBorders>
              <w:bottom w:val="nil"/>
              <w:right w:val="single" w:sz="6" w:space="0" w:color="auto"/>
            </w:tcBorders>
          </w:tcPr>
          <w:p w:rsidR="00080446" w:rsidRPr="00892DE3" w:rsidRDefault="00080446" w:rsidP="005C5F04">
            <w:pPr>
              <w:jc w:val="center"/>
              <w:cnfStyle w:val="100000000000" w:firstRow="1" w:lastRow="0" w:firstColumn="0" w:lastColumn="0" w:oddVBand="0" w:evenVBand="0" w:oddHBand="0" w:evenHBand="0" w:firstRowFirstColumn="0" w:firstRowLastColumn="0" w:lastRowFirstColumn="0" w:lastRowLastColumn="0"/>
            </w:pPr>
            <w:r w:rsidRPr="00892DE3">
              <w:t>2015-16</w:t>
            </w:r>
          </w:p>
        </w:tc>
      </w:tr>
      <w:tr w:rsidR="00080446" w:rsidRPr="00892DE3" w:rsidTr="004B3C7D">
        <w:tc>
          <w:tcPr>
            <w:cnfStyle w:val="001000000000" w:firstRow="0" w:lastRow="0" w:firstColumn="1" w:lastColumn="0" w:oddVBand="0" w:evenVBand="0" w:oddHBand="0" w:evenHBand="0" w:firstRowFirstColumn="0" w:firstRowLastColumn="0" w:lastRowFirstColumn="0" w:lastRowLastColumn="0"/>
            <w:tcW w:w="4103" w:type="dxa"/>
            <w:tcBorders>
              <w:bottom w:val="nil"/>
            </w:tcBorders>
          </w:tcPr>
          <w:p w:rsidR="00080446" w:rsidRPr="00892DE3" w:rsidRDefault="00080446" w:rsidP="005C5F04">
            <w:pPr>
              <w:ind w:left="0" w:firstLine="0"/>
            </w:pPr>
            <w:r w:rsidRPr="00892DE3">
              <w:t>Total distance travelled by aeroplane (km)</w:t>
            </w:r>
          </w:p>
        </w:tc>
        <w:tc>
          <w:tcPr>
            <w:tcW w:w="2183" w:type="dxa"/>
            <w:gridSpan w:val="3"/>
            <w:tcBorders>
              <w:bottom w:val="single" w:sz="12" w:space="0" w:color="auto"/>
              <w:right w:val="nil"/>
            </w:tcBorders>
            <w:shd w:val="clear" w:color="auto" w:fill="auto"/>
          </w:tcPr>
          <w:p w:rsidR="00080446" w:rsidRPr="00892DE3" w:rsidRDefault="00080446" w:rsidP="005C5F04">
            <w:pPr>
              <w:jc w:val="center"/>
              <w:cnfStyle w:val="000000000000" w:firstRow="0" w:lastRow="0" w:firstColumn="0" w:lastColumn="0" w:oddVBand="0" w:evenVBand="0" w:oddHBand="0" w:evenHBand="0" w:firstRowFirstColumn="0" w:firstRowLastColumn="0" w:lastRowFirstColumn="0" w:lastRowLastColumn="0"/>
            </w:pPr>
            <w:r w:rsidRPr="00892DE3">
              <w:t>13 500</w:t>
            </w:r>
          </w:p>
        </w:tc>
        <w:tc>
          <w:tcPr>
            <w:tcW w:w="2009" w:type="dxa"/>
            <w:gridSpan w:val="3"/>
            <w:tcBorders>
              <w:left w:val="nil"/>
              <w:bottom w:val="nil"/>
              <w:right w:val="nil"/>
            </w:tcBorders>
          </w:tcPr>
          <w:p w:rsidR="00080446" w:rsidRPr="00892DE3" w:rsidRDefault="00080446" w:rsidP="005C5F04">
            <w:pPr>
              <w:jc w:val="center"/>
              <w:cnfStyle w:val="000000000000" w:firstRow="0" w:lastRow="0" w:firstColumn="0" w:lastColumn="0" w:oddVBand="0" w:evenVBand="0" w:oddHBand="0" w:evenHBand="0" w:firstRowFirstColumn="0" w:firstRowLastColumn="0" w:lastRowFirstColumn="0" w:lastRowLastColumn="0"/>
            </w:pPr>
            <w:r w:rsidRPr="00892DE3">
              <w:t>15 000</w:t>
            </w:r>
          </w:p>
        </w:tc>
      </w:tr>
      <w:tr w:rsidR="005C5F04" w:rsidRPr="00892DE3" w:rsidTr="004B3C7D">
        <w:tc>
          <w:tcPr>
            <w:cnfStyle w:val="001000000000" w:firstRow="0" w:lastRow="0" w:firstColumn="1" w:lastColumn="0" w:oddVBand="0" w:evenVBand="0" w:oddHBand="0" w:evenHBand="0" w:firstRowFirstColumn="0" w:firstRowLastColumn="0" w:lastRowFirstColumn="0" w:lastRowLastColumn="0"/>
            <w:tcW w:w="4103" w:type="dxa"/>
            <w:tcBorders>
              <w:bottom w:val="nil"/>
            </w:tcBorders>
            <w:shd w:val="clear" w:color="auto" w:fill="000000" w:themeFill="text1"/>
          </w:tcPr>
          <w:p w:rsidR="00080446" w:rsidRPr="00892DE3" w:rsidRDefault="00080446" w:rsidP="005C5F04">
            <w:pPr>
              <w:ind w:left="0" w:firstLine="0"/>
              <w:rPr>
                <w:i/>
              </w:rPr>
            </w:pPr>
          </w:p>
        </w:tc>
        <w:tc>
          <w:tcPr>
            <w:tcW w:w="611" w:type="dxa"/>
            <w:tcBorders>
              <w:top w:val="single" w:sz="12" w:space="0" w:color="auto"/>
              <w:bottom w:val="nil"/>
            </w:tcBorders>
            <w:shd w:val="clear" w:color="auto" w:fill="000000" w:themeFill="text1"/>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rPr>
                <w:i/>
              </w:rPr>
            </w:pPr>
            <w:r w:rsidRPr="00892DE3">
              <w:rPr>
                <w:i/>
              </w:rPr>
              <w:t>CBD</w:t>
            </w:r>
          </w:p>
        </w:tc>
        <w:tc>
          <w:tcPr>
            <w:tcW w:w="716" w:type="dxa"/>
            <w:tcBorders>
              <w:top w:val="single" w:sz="12" w:space="0" w:color="auto"/>
              <w:bottom w:val="nil"/>
            </w:tcBorders>
            <w:shd w:val="clear" w:color="auto" w:fill="000000" w:themeFill="text1"/>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rPr>
                <w:i/>
              </w:rPr>
            </w:pPr>
            <w:r w:rsidRPr="00892DE3">
              <w:rPr>
                <w:i/>
              </w:rPr>
              <w:t>Metro</w:t>
            </w:r>
          </w:p>
        </w:tc>
        <w:tc>
          <w:tcPr>
            <w:tcW w:w="856" w:type="dxa"/>
            <w:tcBorders>
              <w:top w:val="single" w:sz="12" w:space="0" w:color="auto"/>
              <w:bottom w:val="nil"/>
              <w:right w:val="nil"/>
            </w:tcBorders>
            <w:shd w:val="clear" w:color="auto" w:fill="000000" w:themeFill="text1"/>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rPr>
                <w:i/>
              </w:rPr>
            </w:pPr>
            <w:r w:rsidRPr="00892DE3">
              <w:rPr>
                <w:i/>
              </w:rPr>
              <w:t>Regional</w:t>
            </w:r>
          </w:p>
        </w:tc>
        <w:tc>
          <w:tcPr>
            <w:tcW w:w="576" w:type="dxa"/>
            <w:tcBorders>
              <w:left w:val="nil"/>
              <w:bottom w:val="nil"/>
            </w:tcBorders>
            <w:shd w:val="clear" w:color="auto" w:fill="000000" w:themeFill="text1"/>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rPr>
                <w:i/>
              </w:rPr>
            </w:pPr>
            <w:r w:rsidRPr="00892DE3">
              <w:rPr>
                <w:i/>
              </w:rPr>
              <w:t>CBD</w:t>
            </w:r>
          </w:p>
        </w:tc>
        <w:tc>
          <w:tcPr>
            <w:tcW w:w="586" w:type="dxa"/>
            <w:tcBorders>
              <w:bottom w:val="nil"/>
            </w:tcBorders>
            <w:shd w:val="clear" w:color="auto" w:fill="000000" w:themeFill="text1"/>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rPr>
                <w:i/>
              </w:rPr>
            </w:pPr>
            <w:r w:rsidRPr="00892DE3">
              <w:rPr>
                <w:i/>
              </w:rPr>
              <w:t>Metro</w:t>
            </w:r>
          </w:p>
        </w:tc>
        <w:tc>
          <w:tcPr>
            <w:tcW w:w="847" w:type="dxa"/>
            <w:tcBorders>
              <w:bottom w:val="nil"/>
              <w:right w:val="nil"/>
            </w:tcBorders>
            <w:shd w:val="clear" w:color="auto" w:fill="000000" w:themeFill="text1"/>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rPr>
                <w:i/>
              </w:rPr>
            </w:pPr>
            <w:r w:rsidRPr="00892DE3">
              <w:rPr>
                <w:i/>
              </w:rPr>
              <w:t>Regional</w:t>
            </w:r>
          </w:p>
        </w:tc>
      </w:tr>
      <w:tr w:rsidR="005C5F04" w:rsidRPr="00892DE3" w:rsidTr="004B3C7D">
        <w:tc>
          <w:tcPr>
            <w:cnfStyle w:val="001000000000" w:firstRow="0" w:lastRow="0" w:firstColumn="1" w:lastColumn="0" w:oddVBand="0" w:evenVBand="0" w:oddHBand="0" w:evenHBand="0" w:firstRowFirstColumn="0" w:firstRowLastColumn="0" w:lastRowFirstColumn="0" w:lastRowLastColumn="0"/>
            <w:tcW w:w="4103" w:type="dxa"/>
            <w:tcBorders>
              <w:top w:val="nil"/>
              <w:bottom w:val="single" w:sz="12" w:space="0" w:color="auto"/>
            </w:tcBorders>
          </w:tcPr>
          <w:p w:rsidR="00080446" w:rsidRPr="00892DE3" w:rsidRDefault="00080446" w:rsidP="005C5F04">
            <w:pPr>
              <w:ind w:left="0" w:firstLine="0"/>
            </w:pPr>
            <w:r w:rsidRPr="00892DE3">
              <w:t>Percentage of employees regularly (&gt;75 per cent of work attendance days) using public transport, cycling, walking, or carpooling to and from work or working from home, by locality type.</w:t>
            </w:r>
          </w:p>
        </w:tc>
        <w:tc>
          <w:tcPr>
            <w:tcW w:w="611" w:type="dxa"/>
            <w:tcBorders>
              <w:top w:val="nil"/>
              <w:bottom w:val="single" w:sz="12" w:space="0" w:color="auto"/>
            </w:tcBorders>
            <w:shd w:val="clear" w:color="auto" w:fill="auto"/>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pPr>
            <w:r w:rsidRPr="00892DE3">
              <w:t>84%</w:t>
            </w:r>
          </w:p>
        </w:tc>
        <w:tc>
          <w:tcPr>
            <w:tcW w:w="716" w:type="dxa"/>
            <w:tcBorders>
              <w:top w:val="nil"/>
              <w:bottom w:val="single" w:sz="12" w:space="0" w:color="auto"/>
            </w:tcBorders>
            <w:shd w:val="clear" w:color="auto" w:fill="auto"/>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pPr>
            <w:r w:rsidRPr="00892DE3">
              <w:t>68%</w:t>
            </w:r>
          </w:p>
        </w:tc>
        <w:tc>
          <w:tcPr>
            <w:tcW w:w="856" w:type="dxa"/>
            <w:tcBorders>
              <w:top w:val="nil"/>
              <w:bottom w:val="single" w:sz="12" w:space="0" w:color="auto"/>
              <w:right w:val="nil"/>
            </w:tcBorders>
            <w:shd w:val="clear" w:color="auto" w:fill="auto"/>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pPr>
            <w:r w:rsidRPr="00892DE3">
              <w:t>13%</w:t>
            </w:r>
          </w:p>
        </w:tc>
        <w:tc>
          <w:tcPr>
            <w:tcW w:w="576" w:type="dxa"/>
            <w:tcBorders>
              <w:top w:val="nil"/>
              <w:left w:val="nil"/>
              <w:bottom w:val="single" w:sz="12" w:space="0" w:color="auto"/>
            </w:tcBorders>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pPr>
            <w:r w:rsidRPr="00892DE3">
              <w:t>80%</w:t>
            </w:r>
          </w:p>
        </w:tc>
        <w:tc>
          <w:tcPr>
            <w:tcW w:w="586" w:type="dxa"/>
            <w:tcBorders>
              <w:top w:val="nil"/>
              <w:bottom w:val="single" w:sz="12" w:space="0" w:color="auto"/>
            </w:tcBorders>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pPr>
            <w:r w:rsidRPr="00892DE3">
              <w:t>65%</w:t>
            </w:r>
          </w:p>
        </w:tc>
        <w:tc>
          <w:tcPr>
            <w:tcW w:w="847" w:type="dxa"/>
            <w:tcBorders>
              <w:top w:val="nil"/>
              <w:bottom w:val="single" w:sz="12" w:space="0" w:color="auto"/>
              <w:right w:val="nil"/>
            </w:tcBorders>
          </w:tcPr>
          <w:p w:rsidR="00080446" w:rsidRPr="00892DE3" w:rsidRDefault="00080446" w:rsidP="005C5F04">
            <w:pPr>
              <w:cnfStyle w:val="000000000000" w:firstRow="0" w:lastRow="0" w:firstColumn="0" w:lastColumn="0" w:oddVBand="0" w:evenVBand="0" w:oddHBand="0" w:evenHBand="0" w:firstRowFirstColumn="0" w:firstRowLastColumn="0" w:lastRowFirstColumn="0" w:lastRowLastColumn="0"/>
            </w:pPr>
            <w:r w:rsidRPr="00892DE3">
              <w:t>12%</w:t>
            </w:r>
          </w:p>
        </w:tc>
      </w:tr>
    </w:tbl>
    <w:p w:rsidR="00080446" w:rsidRPr="00892DE3" w:rsidRDefault="00080446" w:rsidP="00080446">
      <w:pPr>
        <w:pStyle w:val="BodyText"/>
      </w:pPr>
    </w:p>
    <w:p w:rsidR="00080446" w:rsidRPr="00892DE3" w:rsidRDefault="00080446" w:rsidP="00DA3433">
      <w:pPr>
        <w:pStyle w:val="Heading4"/>
      </w:pPr>
      <w:r w:rsidRPr="00892DE3">
        <w:t>Targets</w:t>
      </w:r>
    </w:p>
    <w:p w:rsidR="00080446" w:rsidRPr="00892DE3" w:rsidRDefault="00080446" w:rsidP="00080446">
      <w:pPr>
        <w:pStyle w:val="BodyText"/>
      </w:pPr>
      <w:r w:rsidRPr="00892DE3">
        <w:t>The following targets have been set for 2016-17:</w:t>
      </w:r>
    </w:p>
    <w:p w:rsidR="00080446" w:rsidRPr="00892DE3" w:rsidRDefault="00080446" w:rsidP="00587DAE">
      <w:pPr>
        <w:pStyle w:val="ListBullet"/>
        <w:keepLines w:val="0"/>
        <w:numPr>
          <w:ilvl w:val="0"/>
          <w:numId w:val="19"/>
        </w:numPr>
        <w:spacing w:before="120" w:after="60"/>
      </w:pPr>
      <w:r w:rsidRPr="00892DE3">
        <w:t xml:space="preserve">reduce consumption of unleaded petrol used by the Department’s passenger vehicle fleet compared to 2014-15 by 10 per cent by 30 June 2017; and </w:t>
      </w:r>
    </w:p>
    <w:p w:rsidR="00080446" w:rsidRPr="00892DE3" w:rsidRDefault="00080446" w:rsidP="00587DAE">
      <w:pPr>
        <w:pStyle w:val="ListBullet"/>
        <w:keepLines w:val="0"/>
        <w:numPr>
          <w:ilvl w:val="0"/>
          <w:numId w:val="19"/>
        </w:numPr>
        <w:spacing w:before="120" w:after="60"/>
      </w:pPr>
      <w:r w:rsidRPr="00892DE3">
        <w:t>reduce the distance travelled annually in passenger vehicles by the Department’s employees by 10 per cent by 30 June 2017.</w:t>
      </w:r>
    </w:p>
    <w:p w:rsidR="00080446" w:rsidRPr="00892DE3" w:rsidRDefault="00080446" w:rsidP="00DA3433">
      <w:pPr>
        <w:pStyle w:val="Heading4"/>
      </w:pPr>
      <w:r w:rsidRPr="00892DE3">
        <w:t>Explanatory notes</w:t>
      </w:r>
    </w:p>
    <w:p w:rsidR="00080446" w:rsidRPr="00892DE3" w:rsidRDefault="00080446" w:rsidP="00080446">
      <w:pPr>
        <w:pStyle w:val="Guidancenoborder"/>
      </w:pPr>
      <w:r w:rsidRPr="00892DE3">
        <w:t>[Insert as appropriate.]</w:t>
      </w:r>
    </w:p>
    <w:p w:rsidR="00080446" w:rsidRPr="00892DE3" w:rsidRDefault="00080446" w:rsidP="00080446">
      <w:pPr>
        <w:pStyle w:val="Guidancenoborder"/>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Note"/>
      </w:pPr>
    </w:p>
    <w:p w:rsidR="00080446" w:rsidRPr="00892DE3" w:rsidRDefault="00080446" w:rsidP="00080446">
      <w:pPr>
        <w:pStyle w:val="Reference"/>
      </w:pPr>
      <w:r w:rsidRPr="00892DE3">
        <w:t>FRD 24C</w:t>
      </w:r>
    </w:p>
    <w:p w:rsidR="00080446" w:rsidRPr="00892DE3" w:rsidRDefault="00080446" w:rsidP="00762DF8">
      <w:pPr>
        <w:pStyle w:val="Heading30"/>
      </w:pPr>
      <w:r w:rsidRPr="00892DE3">
        <w:br w:type="column"/>
      </w:r>
      <w:r w:rsidRPr="00892DE3">
        <w:lastRenderedPageBreak/>
        <w:t>Greenhouse gas emissions</w:t>
      </w:r>
    </w:p>
    <w:p w:rsidR="00080446" w:rsidRPr="00892DE3" w:rsidRDefault="00080446" w:rsidP="00080446">
      <w:pPr>
        <w:pStyle w:val="BodyText"/>
      </w:pPr>
      <w:r w:rsidRPr="00892DE3">
        <w:t>The emissions disclosed in the section below are taken from the previous sections and brought together here to show the Department’s greenhouse footprint.</w:t>
      </w:r>
    </w:p>
    <w:tbl>
      <w:tblPr>
        <w:tblStyle w:val="DTFTable"/>
        <w:tblW w:w="8053" w:type="dxa"/>
        <w:tblLayout w:type="fixed"/>
        <w:tblLook w:val="06A0" w:firstRow="1" w:lastRow="0" w:firstColumn="1" w:lastColumn="0" w:noHBand="1" w:noVBand="1"/>
      </w:tblPr>
      <w:tblGrid>
        <w:gridCol w:w="6194"/>
        <w:gridCol w:w="934"/>
        <w:gridCol w:w="925"/>
      </w:tblGrid>
      <w:tr w:rsidR="00080446" w:rsidRPr="00892DE3" w:rsidTr="000C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4" w:type="dxa"/>
          </w:tcPr>
          <w:p w:rsidR="00080446" w:rsidRPr="00892DE3" w:rsidRDefault="00080446" w:rsidP="000C4727">
            <w:pPr>
              <w:ind w:left="0" w:firstLine="0"/>
            </w:pPr>
            <w:r w:rsidRPr="00892DE3">
              <w:t>Indicator</w:t>
            </w:r>
          </w:p>
        </w:tc>
        <w:tc>
          <w:tcPr>
            <w:tcW w:w="934" w:type="dxa"/>
          </w:tcPr>
          <w:p w:rsidR="00080446" w:rsidRPr="00892DE3" w:rsidRDefault="00080446" w:rsidP="000C4727">
            <w:pPr>
              <w:cnfStyle w:val="100000000000" w:firstRow="1" w:lastRow="0" w:firstColumn="0" w:lastColumn="0" w:oddVBand="0" w:evenVBand="0" w:oddHBand="0" w:evenHBand="0" w:firstRowFirstColumn="0" w:firstRowLastColumn="0" w:lastRowFirstColumn="0" w:lastRowLastColumn="0"/>
            </w:pPr>
            <w:r w:rsidRPr="00892DE3">
              <w:t>2016</w:t>
            </w:r>
            <w:r w:rsidRPr="00892DE3">
              <w:noBreakHyphen/>
              <w:t xml:space="preserve">17 </w:t>
            </w:r>
          </w:p>
        </w:tc>
        <w:tc>
          <w:tcPr>
            <w:tcW w:w="925" w:type="dxa"/>
          </w:tcPr>
          <w:p w:rsidR="00080446" w:rsidRPr="00892DE3" w:rsidRDefault="00080446" w:rsidP="000C4727">
            <w:pPr>
              <w:cnfStyle w:val="100000000000" w:firstRow="1" w:lastRow="0" w:firstColumn="0" w:lastColumn="0" w:oddVBand="0" w:evenVBand="0" w:oddHBand="0" w:evenHBand="0" w:firstRowFirstColumn="0" w:firstRowLastColumn="0" w:lastRowFirstColumn="0" w:lastRowLastColumn="0"/>
            </w:pPr>
            <w:r w:rsidRPr="00892DE3">
              <w:t xml:space="preserve">2015/16 </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6194" w:type="dxa"/>
          </w:tcPr>
          <w:p w:rsidR="00080446" w:rsidRPr="00892DE3" w:rsidRDefault="00080446" w:rsidP="000C4727">
            <w:pPr>
              <w:ind w:left="0" w:firstLine="0"/>
            </w:pPr>
            <w:r w:rsidRPr="00892DE3">
              <w:t>Total greenhouse gas emissions associated with energy use (t CO</w:t>
            </w:r>
            <w:r w:rsidRPr="00892DE3">
              <w:rPr>
                <w:vertAlign w:val="subscript"/>
              </w:rPr>
              <w:t>2</w:t>
            </w:r>
            <w:r w:rsidRPr="00892DE3">
              <w:t xml:space="preserve"> e)</w:t>
            </w:r>
          </w:p>
        </w:tc>
        <w:tc>
          <w:tcPr>
            <w:tcW w:w="934"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1 372 </w:t>
            </w:r>
          </w:p>
        </w:tc>
        <w:tc>
          <w:tcPr>
            <w:tcW w:w="925"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1 602 </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6194" w:type="dxa"/>
          </w:tcPr>
          <w:p w:rsidR="00080446" w:rsidRPr="00892DE3" w:rsidRDefault="00080446" w:rsidP="000C4727">
            <w:pPr>
              <w:ind w:left="0" w:firstLine="0"/>
            </w:pPr>
            <w:r w:rsidRPr="00892DE3">
              <w:t>Total greenhouse gas emissions associated with vehicle fleet (t CO</w:t>
            </w:r>
            <w:r w:rsidRPr="00892DE3">
              <w:rPr>
                <w:vertAlign w:val="subscript"/>
              </w:rPr>
              <w:t>2</w:t>
            </w:r>
            <w:r w:rsidRPr="00892DE3">
              <w:t xml:space="preserve"> e)</w:t>
            </w:r>
          </w:p>
        </w:tc>
        <w:tc>
          <w:tcPr>
            <w:tcW w:w="934"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1 233 </w:t>
            </w:r>
          </w:p>
        </w:tc>
        <w:tc>
          <w:tcPr>
            <w:tcW w:w="925"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1 370 </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6194" w:type="dxa"/>
          </w:tcPr>
          <w:p w:rsidR="00080446" w:rsidRPr="00892DE3" w:rsidRDefault="00080446" w:rsidP="000C4727">
            <w:pPr>
              <w:ind w:left="0" w:firstLine="0"/>
            </w:pPr>
            <w:r w:rsidRPr="00892DE3">
              <w:t>Total greenhouse gas emissions associated with air travel (t CO</w:t>
            </w:r>
            <w:r w:rsidRPr="00892DE3">
              <w:rPr>
                <w:vertAlign w:val="subscript"/>
              </w:rPr>
              <w:t>2</w:t>
            </w:r>
            <w:r w:rsidRPr="00892DE3">
              <w:t xml:space="preserve"> e)</w:t>
            </w:r>
          </w:p>
        </w:tc>
        <w:tc>
          <w:tcPr>
            <w:tcW w:w="934"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510 </w:t>
            </w:r>
          </w:p>
        </w:tc>
        <w:tc>
          <w:tcPr>
            <w:tcW w:w="925"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523 </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6194" w:type="dxa"/>
          </w:tcPr>
          <w:p w:rsidR="00080446" w:rsidRPr="00892DE3" w:rsidRDefault="00080446" w:rsidP="000C4727">
            <w:pPr>
              <w:ind w:left="0" w:firstLine="0"/>
            </w:pPr>
            <w:r w:rsidRPr="00892DE3">
              <w:t>Total greenhouse gas emissions associated with waste production (t CO</w:t>
            </w:r>
            <w:r w:rsidRPr="00892DE3">
              <w:rPr>
                <w:vertAlign w:val="subscript"/>
              </w:rPr>
              <w:t>2</w:t>
            </w:r>
            <w:r w:rsidRPr="00892DE3">
              <w:t xml:space="preserve"> e)</w:t>
            </w:r>
          </w:p>
        </w:tc>
        <w:tc>
          <w:tcPr>
            <w:tcW w:w="934"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78</w:t>
            </w:r>
          </w:p>
        </w:tc>
        <w:tc>
          <w:tcPr>
            <w:tcW w:w="925"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83 </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6194" w:type="dxa"/>
          </w:tcPr>
          <w:p w:rsidR="00080446" w:rsidRPr="00892DE3" w:rsidRDefault="00080446" w:rsidP="000C4727">
            <w:pPr>
              <w:ind w:left="0" w:firstLine="0"/>
            </w:pPr>
            <w:r w:rsidRPr="00892DE3">
              <w:t>Greenhouse gas emissions offsets purchased (t CO</w:t>
            </w:r>
            <w:r w:rsidRPr="00892DE3">
              <w:rPr>
                <w:vertAlign w:val="subscript"/>
              </w:rPr>
              <w:t>2</w:t>
            </w:r>
            <w:r w:rsidRPr="00892DE3">
              <w:t xml:space="preserve"> e)</w:t>
            </w:r>
          </w:p>
        </w:tc>
        <w:tc>
          <w:tcPr>
            <w:tcW w:w="934"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25" w:type="dxa"/>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8053" w:type="dxa"/>
            <w:gridSpan w:val="3"/>
          </w:tcPr>
          <w:p w:rsidR="00080446" w:rsidRPr="00892DE3" w:rsidRDefault="00080446" w:rsidP="000C4727">
            <w:pPr>
              <w:ind w:left="0" w:firstLine="0"/>
            </w:pPr>
            <w:r w:rsidRPr="00892DE3">
              <w:t>Optional indicators</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6198" w:type="dxa"/>
            <w:tcBorders>
              <w:bottom w:val="single" w:sz="6" w:space="0" w:color="auto"/>
            </w:tcBorders>
          </w:tcPr>
          <w:p w:rsidR="00080446" w:rsidRPr="00892DE3" w:rsidRDefault="00080446" w:rsidP="000C4727">
            <w:pPr>
              <w:ind w:left="0" w:firstLine="0"/>
            </w:pPr>
            <w:r w:rsidRPr="00892DE3">
              <w:t>Any other known greenhouse gas emissions associated with other activities (t CO</w:t>
            </w:r>
            <w:r w:rsidRPr="00892DE3">
              <w:rPr>
                <w:vertAlign w:val="subscript"/>
              </w:rPr>
              <w:t>2</w:t>
            </w:r>
            <w:r w:rsidRPr="00892DE3">
              <w:t xml:space="preserve"> e)</w:t>
            </w:r>
          </w:p>
        </w:tc>
        <w:tc>
          <w:tcPr>
            <w:tcW w:w="930" w:type="dxa"/>
            <w:tcBorders>
              <w:bottom w:val="single" w:sz="6" w:space="0" w:color="auto"/>
            </w:tcBorders>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18 </w:t>
            </w:r>
          </w:p>
        </w:tc>
        <w:tc>
          <w:tcPr>
            <w:tcW w:w="925" w:type="dxa"/>
            <w:tcBorders>
              <w:bottom w:val="single" w:sz="6" w:space="0" w:color="auto"/>
            </w:tcBorders>
          </w:tcPr>
          <w:p w:rsidR="00080446" w:rsidRPr="00892DE3" w:rsidRDefault="00080446" w:rsidP="000C4727">
            <w:pPr>
              <w:cnfStyle w:val="000000000000" w:firstRow="0" w:lastRow="0" w:firstColumn="0" w:lastColumn="0" w:oddVBand="0" w:evenVBand="0" w:oddHBand="0" w:evenHBand="0" w:firstRowFirstColumn="0" w:firstRowLastColumn="0" w:lastRowFirstColumn="0" w:lastRowLastColumn="0"/>
            </w:pPr>
            <w:r w:rsidRPr="00892DE3">
              <w:t xml:space="preserve">23 </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8053" w:type="dxa"/>
            <w:gridSpan w:val="3"/>
            <w:tcBorders>
              <w:top w:val="single" w:sz="6" w:space="0" w:color="auto"/>
              <w:bottom w:val="nil"/>
            </w:tcBorders>
          </w:tcPr>
          <w:p w:rsidR="00080446" w:rsidRPr="00892DE3" w:rsidRDefault="00080446" w:rsidP="000C4727">
            <w:pPr>
              <w:ind w:left="0" w:firstLine="0"/>
              <w:rPr>
                <w:b/>
              </w:rPr>
            </w:pPr>
            <w:r w:rsidRPr="00892DE3">
              <w:rPr>
                <w:b/>
              </w:rPr>
              <w:t>Actions undertaken</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8053" w:type="dxa"/>
            <w:gridSpan w:val="3"/>
            <w:tcBorders>
              <w:top w:val="nil"/>
            </w:tcBorders>
          </w:tcPr>
          <w:p w:rsidR="00080446" w:rsidRPr="00892DE3" w:rsidRDefault="00080446" w:rsidP="000C4727">
            <w:pPr>
              <w:ind w:left="0" w:firstLine="0"/>
            </w:pPr>
            <w:r w:rsidRPr="00892DE3">
              <w:t xml:space="preserve">All the actions undertaken in the energy, waste and transport sectors will help to reduce the Department’s impacts. </w:t>
            </w:r>
          </w:p>
        </w:tc>
      </w:tr>
      <w:tr w:rsidR="00080446" w:rsidRPr="00892DE3" w:rsidTr="000C4727">
        <w:tc>
          <w:tcPr>
            <w:cnfStyle w:val="001000000000" w:firstRow="0" w:lastRow="0" w:firstColumn="1" w:lastColumn="0" w:oddVBand="0" w:evenVBand="0" w:oddHBand="0" w:evenHBand="0" w:firstRowFirstColumn="0" w:firstRowLastColumn="0" w:lastRowFirstColumn="0" w:lastRowLastColumn="0"/>
            <w:tcW w:w="8053" w:type="dxa"/>
            <w:gridSpan w:val="3"/>
          </w:tcPr>
          <w:p w:rsidR="00080446" w:rsidRPr="00892DE3" w:rsidRDefault="00080446" w:rsidP="000C4727">
            <w:pPr>
              <w:ind w:left="0" w:firstLine="0"/>
            </w:pPr>
            <w:r w:rsidRPr="00892DE3">
              <w:t xml:space="preserve">The Department’s full greenhouse inventory can be found at: www.vic.gov.au/ghginventory </w:t>
            </w:r>
            <w:r w:rsidRPr="00892DE3">
              <w:rPr>
                <w:color w:val="0072CE" w:themeColor="accent4"/>
              </w:rPr>
              <w:t>[fictitious web address]</w:t>
            </w:r>
          </w:p>
        </w:tc>
      </w:tr>
    </w:tbl>
    <w:p w:rsidR="00080446" w:rsidRPr="00892DE3" w:rsidRDefault="00080446" w:rsidP="00080446">
      <w:pPr>
        <w:pStyle w:val="BodyText"/>
      </w:pPr>
    </w:p>
    <w:p w:rsidR="00080446" w:rsidRPr="00892DE3" w:rsidRDefault="00080446" w:rsidP="00DA3433">
      <w:pPr>
        <w:pStyle w:val="Heading4"/>
      </w:pPr>
      <w:bookmarkStart w:id="64" w:name="_Toc477967516"/>
      <w:r w:rsidRPr="00892DE3">
        <w:t>Targets</w:t>
      </w:r>
      <w:bookmarkEnd w:id="64"/>
    </w:p>
    <w:p w:rsidR="00080446" w:rsidRPr="00892DE3" w:rsidRDefault="00080446" w:rsidP="00080446">
      <w:pPr>
        <w:pStyle w:val="BodyText"/>
      </w:pPr>
      <w:r w:rsidRPr="00892DE3">
        <w:t>The following targets have been set for 2016-17:</w:t>
      </w:r>
    </w:p>
    <w:p w:rsidR="00080446" w:rsidRPr="00892DE3" w:rsidRDefault="00080446" w:rsidP="00587DAE">
      <w:pPr>
        <w:pStyle w:val="ListBullet"/>
        <w:keepLines w:val="0"/>
        <w:numPr>
          <w:ilvl w:val="0"/>
          <w:numId w:val="19"/>
        </w:numPr>
        <w:spacing w:before="120" w:after="60"/>
      </w:pPr>
      <w:r w:rsidRPr="00892DE3">
        <w:t xml:space="preserve">to increase the number of greenhouse sources accounted in the greenhouse inventory by two per year until 2017; and </w:t>
      </w:r>
    </w:p>
    <w:p w:rsidR="00080446" w:rsidRPr="00892DE3" w:rsidRDefault="00080446" w:rsidP="00587DAE">
      <w:pPr>
        <w:pStyle w:val="ListBullet"/>
        <w:keepLines w:val="0"/>
        <w:numPr>
          <w:ilvl w:val="0"/>
          <w:numId w:val="19"/>
        </w:numPr>
        <w:spacing w:before="120" w:after="60"/>
      </w:pPr>
      <w:r w:rsidRPr="00892DE3">
        <w:t>to reduce the Department’s carbon footprint by 50 per cent by 2036.</w:t>
      </w:r>
    </w:p>
    <w:p w:rsidR="00080446" w:rsidRPr="00892DE3" w:rsidRDefault="00080446" w:rsidP="00DA3433">
      <w:pPr>
        <w:pStyle w:val="Heading4"/>
      </w:pPr>
      <w:bookmarkStart w:id="65" w:name="_Toc477967517"/>
      <w:r w:rsidRPr="00892DE3">
        <w:t>Explanatory notes</w:t>
      </w:r>
      <w:bookmarkEnd w:id="65"/>
    </w:p>
    <w:p w:rsidR="00080446" w:rsidRPr="00892DE3" w:rsidRDefault="00080446" w:rsidP="00080446">
      <w:pPr>
        <w:pStyle w:val="Guidancenoborder"/>
      </w:pPr>
      <w:r w:rsidRPr="00892DE3">
        <w:t>[Insert as appropriate.]</w:t>
      </w:r>
    </w:p>
    <w:p w:rsidR="00080446" w:rsidRPr="00892DE3" w:rsidRDefault="00080446" w:rsidP="00DA3433">
      <w:pPr>
        <w:pStyle w:val="Heading4"/>
      </w:pPr>
      <w:r w:rsidRPr="00892DE3">
        <w:t>Other information</w:t>
      </w:r>
    </w:p>
    <w:p w:rsidR="00080446" w:rsidRPr="00892DE3" w:rsidRDefault="00080446" w:rsidP="00080446">
      <w:pPr>
        <w:pStyle w:val="BodyText"/>
      </w:pPr>
      <w:r w:rsidRPr="00892DE3">
        <w:t>Actions taken during the year to reduce energy use in buildings include:</w:t>
      </w:r>
    </w:p>
    <w:p w:rsidR="00080446" w:rsidRPr="00892DE3" w:rsidRDefault="00080446" w:rsidP="00587DAE">
      <w:pPr>
        <w:pStyle w:val="ListBullet"/>
        <w:keepLines w:val="0"/>
        <w:numPr>
          <w:ilvl w:val="0"/>
          <w:numId w:val="19"/>
        </w:numPr>
        <w:spacing w:before="120" w:after="60"/>
      </w:pPr>
      <w:r w:rsidRPr="00892DE3">
        <w:t>replacement of older, inefficient boilers with higher efficiency boilers including a new control strategy and pump system; and</w:t>
      </w:r>
    </w:p>
    <w:p w:rsidR="00080446" w:rsidRPr="00892DE3" w:rsidRDefault="00080446" w:rsidP="00587DAE">
      <w:pPr>
        <w:pStyle w:val="ListBullet"/>
        <w:keepLines w:val="0"/>
        <w:numPr>
          <w:ilvl w:val="0"/>
          <w:numId w:val="19"/>
        </w:numPr>
        <w:spacing w:before="120" w:after="60"/>
      </w:pPr>
      <w:r w:rsidRPr="00892DE3">
        <w:t>a staff awareness program to encourage staff to turn off equipment and lights after use.</w:t>
      </w:r>
    </w:p>
    <w:p w:rsidR="00080446" w:rsidRPr="00892DE3" w:rsidRDefault="00080446" w:rsidP="00587DAE">
      <w:pPr>
        <w:pStyle w:val="ListBullet"/>
        <w:keepLines w:val="0"/>
        <w:numPr>
          <w:ilvl w:val="0"/>
          <w:numId w:val="19"/>
        </w:numPr>
        <w:spacing w:before="120" w:after="60"/>
      </w:pPr>
      <w:r w:rsidRPr="00892DE3">
        <w:t>Actions taken during the year to reduce energy use in the Department’s vehicle fleet:</w:t>
      </w:r>
    </w:p>
    <w:p w:rsidR="00080446" w:rsidRPr="00892DE3" w:rsidRDefault="00080446" w:rsidP="00587DAE">
      <w:pPr>
        <w:pStyle w:val="ListBullet"/>
        <w:keepLines w:val="0"/>
        <w:numPr>
          <w:ilvl w:val="0"/>
          <w:numId w:val="19"/>
        </w:numPr>
        <w:spacing w:before="120" w:after="60"/>
      </w:pPr>
      <w:r w:rsidRPr="00892DE3">
        <w:t>converted dedicated departmental vehicles from petrol to LPG; and</w:t>
      </w:r>
    </w:p>
    <w:p w:rsidR="00080446" w:rsidRPr="00892DE3" w:rsidRDefault="00080446" w:rsidP="00587DAE">
      <w:pPr>
        <w:pStyle w:val="ListBullet"/>
        <w:keepLines w:val="0"/>
        <w:numPr>
          <w:ilvl w:val="0"/>
          <w:numId w:val="19"/>
        </w:numPr>
        <w:spacing w:before="120" w:after="60"/>
      </w:pPr>
      <w:r w:rsidRPr="00892DE3">
        <w:t>purchase of a number of hybrid vehicles to reduce fuel usage and greenhouse gas emissions.</w:t>
      </w:r>
    </w:p>
    <w:p w:rsidR="00080446" w:rsidRPr="00892DE3" w:rsidRDefault="00080446" w:rsidP="00080446">
      <w:pPr>
        <w:pStyle w:val="BodyText"/>
      </w:pPr>
      <w:r w:rsidRPr="00892DE3">
        <w:t xml:space="preserve">The Department has developed a green purchasing policy that complies with the Government’s Environmental Purchasing Policy. While value for money is the core principle governing the Department’s procurement activities, the Department’s green purchasing policy also requires environmental considerations to be included in the procurement planning stage, tender specifications and tender evaluation criteria, where applicable. </w:t>
      </w:r>
    </w:p>
    <w:p w:rsidR="00DA3433" w:rsidRPr="00892DE3" w:rsidRDefault="00DA3433">
      <w:pPr>
        <w:keepLines w:val="0"/>
        <w:rPr>
          <w:rFonts w:asciiTheme="majorHAnsi" w:eastAsiaTheme="majorEastAsia" w:hAnsiTheme="majorHAnsi" w:cstheme="majorBidi"/>
          <w:b/>
          <w:spacing w:val="-2"/>
          <w:sz w:val="24"/>
          <w:szCs w:val="26"/>
        </w:rPr>
      </w:pPr>
      <w:bookmarkStart w:id="66" w:name="_Toc477967518"/>
      <w:r w:rsidRPr="00892DE3">
        <w:br w:type="page"/>
      </w:r>
    </w:p>
    <w:p w:rsidR="00080446" w:rsidRPr="00892DE3" w:rsidRDefault="00DA3433" w:rsidP="00E44521">
      <w:pPr>
        <w:pStyle w:val="Heading2nonTOC"/>
      </w:pPr>
      <w:r w:rsidRPr="00892DE3">
        <w:lastRenderedPageBreak/>
        <w:br w:type="column"/>
      </w:r>
      <w:r w:rsidR="00080446" w:rsidRPr="00892DE3">
        <w:lastRenderedPageBreak/>
        <w:t>Procurement</w:t>
      </w:r>
      <w:bookmarkEnd w:id="66"/>
    </w:p>
    <w:p w:rsidR="00080446" w:rsidRPr="00892DE3" w:rsidRDefault="00080446" w:rsidP="00AA770B">
      <w:pPr>
        <w:pStyle w:val="Heading2nonTOC"/>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lastRenderedPageBreak/>
        <w:t>FRD 24C</w:t>
      </w:r>
    </w:p>
    <w:p w:rsidR="00080446" w:rsidRPr="00892DE3" w:rsidRDefault="00080446" w:rsidP="00080446">
      <w:pPr>
        <w:pStyle w:val="BodyText"/>
      </w:pPr>
      <w:r w:rsidRPr="00892DE3">
        <w:br w:type="column"/>
      </w:r>
      <w:r w:rsidRPr="00892DE3">
        <w:lastRenderedPageBreak/>
        <w:t xml:space="preserve">The Department’s main areas of procurement are contractors (40 per cent), and goods and services (60 per cent). </w:t>
      </w:r>
    </w:p>
    <w:p w:rsidR="00080446" w:rsidRPr="00892DE3" w:rsidRDefault="00080446" w:rsidP="00080446">
      <w:pPr>
        <w:pStyle w:val="BodyText"/>
      </w:pPr>
      <w:r w:rsidRPr="00892DE3">
        <w:t>Examples of how the Department has incorporated environmental considerations into procurement decision making include:</w:t>
      </w:r>
    </w:p>
    <w:p w:rsidR="00080446" w:rsidRPr="00892DE3" w:rsidRDefault="00080446" w:rsidP="00587DAE">
      <w:pPr>
        <w:pStyle w:val="ListBullet"/>
        <w:keepLines w:val="0"/>
        <w:numPr>
          <w:ilvl w:val="0"/>
          <w:numId w:val="19"/>
        </w:numPr>
        <w:spacing w:before="120" w:after="60"/>
      </w:pPr>
      <w:r w:rsidRPr="00892DE3">
        <w:t>clauses in quotes and tender documents requiring tenderers to disclose environmental breaches;</w:t>
      </w:r>
    </w:p>
    <w:p w:rsidR="00080446" w:rsidRPr="00892DE3" w:rsidRDefault="00080446" w:rsidP="00587DAE">
      <w:pPr>
        <w:pStyle w:val="ListBullet"/>
        <w:keepLines w:val="0"/>
        <w:numPr>
          <w:ilvl w:val="0"/>
          <w:numId w:val="19"/>
        </w:numPr>
        <w:spacing w:before="120" w:after="60"/>
      </w:pPr>
      <w:r w:rsidRPr="00892DE3">
        <w:t>clauses in quotes and tender documents requiring tenderers to disclose environmental practices; and</w:t>
      </w:r>
    </w:p>
    <w:p w:rsidR="00080446" w:rsidRPr="00892DE3" w:rsidRDefault="00080446" w:rsidP="00587DAE">
      <w:pPr>
        <w:pStyle w:val="ListBullet"/>
        <w:keepLines w:val="0"/>
        <w:numPr>
          <w:ilvl w:val="0"/>
          <w:numId w:val="19"/>
        </w:numPr>
        <w:spacing w:before="120" w:after="60"/>
      </w:pPr>
      <w:r w:rsidRPr="00892DE3">
        <w:t xml:space="preserve">weighting of environmental considerations in quotes and tenders. </w:t>
      </w:r>
    </w:p>
    <w:p w:rsidR="00080446" w:rsidRPr="00892DE3" w:rsidRDefault="00080446" w:rsidP="00080446">
      <w:pPr>
        <w:pStyle w:val="BodyText"/>
      </w:pPr>
      <w:r w:rsidRPr="00892DE3">
        <w:t xml:space="preserve">Tenders, contracts, or products for which the Department has developed or is using sustainability clauses or specifications include: </w:t>
      </w:r>
    </w:p>
    <w:p w:rsidR="00080446" w:rsidRPr="00892DE3" w:rsidRDefault="00080446" w:rsidP="00587DAE">
      <w:pPr>
        <w:pStyle w:val="ListBullet"/>
        <w:keepLines w:val="0"/>
        <w:numPr>
          <w:ilvl w:val="0"/>
          <w:numId w:val="19"/>
        </w:numPr>
        <w:spacing w:before="120" w:after="60"/>
      </w:pPr>
      <w:r w:rsidRPr="00892DE3">
        <w:t>stationery contract; and</w:t>
      </w:r>
    </w:p>
    <w:p w:rsidR="00080446" w:rsidRPr="00892DE3" w:rsidRDefault="00080446" w:rsidP="00587DAE">
      <w:pPr>
        <w:pStyle w:val="ListBullet"/>
        <w:keepLines w:val="0"/>
        <w:numPr>
          <w:ilvl w:val="0"/>
          <w:numId w:val="19"/>
        </w:numPr>
        <w:spacing w:before="120" w:after="60"/>
      </w:pPr>
      <w:r w:rsidRPr="00892DE3">
        <w:t>uniforms contract.</w:t>
      </w:r>
    </w:p>
    <w:p w:rsidR="00080446" w:rsidRPr="00892DE3" w:rsidRDefault="00080446" w:rsidP="00DA3433">
      <w:pPr>
        <w:pStyle w:val="Heading4"/>
      </w:pPr>
      <w:bookmarkStart w:id="67" w:name="_Toc477967519"/>
      <w:r w:rsidRPr="00892DE3">
        <w:t>Targets</w:t>
      </w:r>
      <w:bookmarkEnd w:id="67"/>
    </w:p>
    <w:p w:rsidR="00080446" w:rsidRPr="00892DE3" w:rsidRDefault="00080446" w:rsidP="00080446">
      <w:pPr>
        <w:pStyle w:val="BodyText"/>
      </w:pPr>
      <w:r w:rsidRPr="00892DE3">
        <w:t>The following targets have been set for 2016-17:</w:t>
      </w:r>
    </w:p>
    <w:p w:rsidR="00080446" w:rsidRPr="00892DE3" w:rsidRDefault="00080446" w:rsidP="00587DAE">
      <w:pPr>
        <w:pStyle w:val="ListBullet"/>
        <w:keepLines w:val="0"/>
        <w:numPr>
          <w:ilvl w:val="0"/>
          <w:numId w:val="19"/>
        </w:numPr>
        <w:spacing w:before="120" w:after="60"/>
      </w:pPr>
      <w:r w:rsidRPr="00892DE3">
        <w:t>to always purchase printing paper containing at least 50 per cent recycled properties.</w:t>
      </w:r>
    </w:p>
    <w:p w:rsidR="00080446" w:rsidRPr="00892DE3" w:rsidRDefault="00080446" w:rsidP="00DA3433">
      <w:pPr>
        <w:pStyle w:val="Heading4"/>
      </w:pPr>
      <w:bookmarkStart w:id="68" w:name="_Toc477967520"/>
      <w:r w:rsidRPr="00892DE3">
        <w:t>Explanatory notes</w:t>
      </w:r>
      <w:bookmarkEnd w:id="68"/>
    </w:p>
    <w:p w:rsidR="00080446" w:rsidRPr="00892DE3" w:rsidRDefault="00080446" w:rsidP="00080446">
      <w:pPr>
        <w:pStyle w:val="Guidancenoborder"/>
      </w:pPr>
      <w:r w:rsidRPr="00892DE3">
        <w:t>[Insert as appropriate.]</w:t>
      </w:r>
    </w:p>
    <w:p w:rsidR="00080446" w:rsidRPr="00892DE3" w:rsidRDefault="00080446" w:rsidP="00080446">
      <w:pPr>
        <w:pStyle w:val="BodyText"/>
      </w:pPr>
    </w:p>
    <w:p w:rsidR="00080446" w:rsidRPr="00892DE3" w:rsidRDefault="00080446" w:rsidP="00080446">
      <w:pPr>
        <w:pStyle w:val="Guidanceheading"/>
      </w:pPr>
      <w:r w:rsidRPr="00892DE3">
        <w:t xml:space="preserve">Guidance – Environmental reporting </w:t>
      </w:r>
    </w:p>
    <w:p w:rsidR="00080446" w:rsidRPr="00892DE3" w:rsidRDefault="00080446" w:rsidP="00080446">
      <w:pPr>
        <w:pStyle w:val="Guidanceheading"/>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24C</w:t>
      </w:r>
    </w:p>
    <w:p w:rsidR="00080446" w:rsidRPr="00892DE3" w:rsidRDefault="00080446" w:rsidP="00DA3433">
      <w:pPr>
        <w:pStyle w:val="Guidanceheading1"/>
        <w:spacing w:before="120"/>
      </w:pPr>
      <w:r w:rsidRPr="00892DE3">
        <w:br w:type="column"/>
      </w:r>
      <w:r w:rsidRPr="00892DE3">
        <w:lastRenderedPageBreak/>
        <w:t>Legislative and documented references</w:t>
      </w:r>
    </w:p>
    <w:p w:rsidR="00080446" w:rsidRPr="00892DE3" w:rsidRDefault="00080446" w:rsidP="00080446">
      <w:pPr>
        <w:pStyle w:val="Guidance"/>
        <w:pBdr>
          <w:bottom w:val="none" w:sz="0" w:space="0" w:color="auto"/>
        </w:pBdr>
      </w:pPr>
      <w:r w:rsidRPr="00892DE3">
        <w:rPr>
          <w:b/>
        </w:rPr>
        <w:t>FRD 24C</w:t>
      </w:r>
      <w:r w:rsidRPr="00892DE3">
        <w:t xml:space="preserve"> states that the department’s annual report of operations must disclose information on the aspects of energy use, waste production, paper use, water consumption, transportation fuel consumption, greenhouse gas emissions and sustainable procurement, and other information relevant to understanding and reducing its office based environmental impacts. </w:t>
      </w:r>
    </w:p>
    <w:p w:rsidR="00080446" w:rsidRPr="00892DE3" w:rsidRDefault="00080446" w:rsidP="00080446">
      <w:pPr>
        <w:pStyle w:val="Guidance"/>
        <w:pBdr>
          <w:bottom w:val="none" w:sz="0" w:space="0" w:color="auto"/>
        </w:pBdr>
      </w:pPr>
      <w:r w:rsidRPr="00892DE3">
        <w:t xml:space="preserve">In addition, for water consumption purposes, Departments must now report on water sources, the purposes for which water is consumed (office/non-office and government-owned/leased properties), and information about the source and coverage of the water consumption data. Guidance on the reporting format for environmental data and a new definition of ‘water use’ is available in the guidance note to the FRD. </w:t>
      </w:r>
    </w:p>
    <w:p w:rsidR="00080446" w:rsidRPr="00892DE3" w:rsidRDefault="00080446" w:rsidP="00080446">
      <w:pPr>
        <w:pStyle w:val="Guidance"/>
        <w:pBdr>
          <w:bottom w:val="none" w:sz="0" w:space="0" w:color="auto"/>
        </w:pBdr>
      </w:pPr>
      <w:r w:rsidRPr="00892DE3">
        <w:t xml:space="preserve">The FRD also outlines suggestions of what information departments may wish to disclose voluntarily including intentions and principles in relation to environmental performance, environmental awareness raising techniques and environmental management system objectives, targets and other relevant indicators. </w:t>
      </w:r>
    </w:p>
    <w:p w:rsidR="00080446" w:rsidRPr="00892DE3" w:rsidRDefault="00080446" w:rsidP="00080446">
      <w:pPr>
        <w:pStyle w:val="Guidance"/>
        <w:pBdr>
          <w:bottom w:val="none" w:sz="0" w:space="0" w:color="auto"/>
        </w:pBdr>
      </w:pPr>
      <w:r w:rsidRPr="00892DE3">
        <w:t>A detailed list of the mandatory disclosure requirements is outlined in the FRD.</w:t>
      </w:r>
    </w:p>
    <w:p w:rsidR="00080446" w:rsidRPr="00892DE3" w:rsidRDefault="00080446" w:rsidP="00DA3433">
      <w:pPr>
        <w:pStyle w:val="Guidanceheading1"/>
        <w:spacing w:before="120"/>
      </w:pPr>
      <w:r w:rsidRPr="00892DE3">
        <w:t>Guidance</w:t>
      </w:r>
    </w:p>
    <w:p w:rsidR="00080446" w:rsidRPr="00892DE3" w:rsidRDefault="00080446" w:rsidP="00080446">
      <w:pPr>
        <w:pStyle w:val="Guidance"/>
        <w:pBdr>
          <w:bottom w:val="none" w:sz="0" w:space="0" w:color="auto"/>
        </w:pBdr>
      </w:pPr>
      <w:r w:rsidRPr="00892DE3">
        <w:t xml:space="preserve">Departments are required to include environmental reporting in their annual report, in order to reflect the Government’s objective to improve environmental management through Departments managing and reducing the environmental impacts of their office-based activities. </w:t>
      </w:r>
    </w:p>
    <w:p w:rsidR="00080446" w:rsidRPr="00892DE3" w:rsidRDefault="00080446" w:rsidP="00080446">
      <w:pPr>
        <w:pStyle w:val="Guidance"/>
        <w:pBdr>
          <w:bottom w:val="none" w:sz="0" w:space="0" w:color="auto"/>
        </w:pBdr>
      </w:pPr>
      <w:r w:rsidRPr="00892DE3">
        <w:t xml:space="preserve">This section should be a mix of narrative, illustrating the Department’s environmental performance achievements and tables or charts showing actual performance against targets. </w:t>
      </w:r>
    </w:p>
    <w:p w:rsidR="00080446" w:rsidRPr="00892DE3" w:rsidRDefault="00080446" w:rsidP="00080446">
      <w:pPr>
        <w:pStyle w:val="Guidance"/>
        <w:pBdr>
          <w:bottom w:val="none" w:sz="0" w:space="0" w:color="auto"/>
        </w:pBdr>
      </w:pPr>
      <w:r w:rsidRPr="00892DE3">
        <w:t>Many of the achievements in this section will have been due to staff changing work behaviours and being more aware of reducing consumption of elements such as paper, water and energy.</w:t>
      </w:r>
    </w:p>
    <w:p w:rsidR="00080446" w:rsidRPr="00892DE3" w:rsidRDefault="00080446" w:rsidP="00080446">
      <w:pPr>
        <w:pStyle w:val="Guidance"/>
        <w:pBdr>
          <w:bottom w:val="none" w:sz="0" w:space="0" w:color="auto"/>
        </w:pBdr>
      </w:pPr>
      <w:r w:rsidRPr="00892DE3">
        <w:t xml:space="preserve">A list of useful definitions relating to environmental reporting and websites that may assist in developing suitable environmental measures and reports, including the Government’s Environmental Purchasing Policy and Our environment our future – Sustainability action statement 2006, is also included in FRD 24C. </w:t>
      </w:r>
    </w:p>
    <w:p w:rsidR="00080446" w:rsidRPr="00892DE3" w:rsidRDefault="00080446" w:rsidP="00DA3433">
      <w:pPr>
        <w:pStyle w:val="Guidance"/>
      </w:pPr>
      <w:r w:rsidRPr="00892DE3">
        <w:t>Please note that non office based disclosure, while encouraged, is not currently a requirement of FRD 24C.</w:t>
      </w:r>
    </w:p>
    <w:p w:rsidR="00DA3433" w:rsidRPr="00892DE3" w:rsidRDefault="00DA3433">
      <w:pPr>
        <w:keepLines w:val="0"/>
        <w:rPr>
          <w:rFonts w:ascii="Arial" w:hAnsi="Arial"/>
          <w:color w:val="0072CE" w:themeColor="accent4"/>
        </w:rPr>
      </w:pPr>
    </w:p>
    <w:p w:rsidR="00DA3433" w:rsidRPr="00892DE3" w:rsidRDefault="00DA3433" w:rsidP="00DA3433">
      <w:r w:rsidRPr="00892DE3">
        <w:br w:type="column"/>
      </w:r>
    </w:p>
    <w:p w:rsidR="004B3C7D" w:rsidRDefault="004B3C7D" w:rsidP="00DA3433"/>
    <w:p w:rsidR="001C6E6F" w:rsidRPr="00892DE3" w:rsidRDefault="001C6E6F" w:rsidP="00DA3433"/>
    <w:p w:rsidR="004B3C7D" w:rsidRPr="00892DE3" w:rsidRDefault="004B3C7D" w:rsidP="00DA3433"/>
    <w:p w:rsidR="004B3C7D" w:rsidRPr="00892DE3" w:rsidRDefault="004B3C7D" w:rsidP="00DA3433"/>
    <w:p w:rsidR="004B3C7D" w:rsidRPr="00892DE3" w:rsidRDefault="004B3C7D" w:rsidP="00DA3433"/>
    <w:p w:rsidR="004B3C7D" w:rsidRPr="00892DE3" w:rsidRDefault="004B3C7D" w:rsidP="00DA3433"/>
    <w:p w:rsidR="004B3C7D" w:rsidRPr="00892DE3" w:rsidRDefault="004B3C7D" w:rsidP="00DA3433"/>
    <w:p w:rsidR="004B3C7D" w:rsidRPr="00892DE3" w:rsidRDefault="004B3C7D" w:rsidP="00DA3433"/>
    <w:p w:rsidR="00080446" w:rsidRPr="00892DE3" w:rsidRDefault="00080446" w:rsidP="00DA3433">
      <w:pPr>
        <w:pStyle w:val="Guidanceheading"/>
      </w:pPr>
      <w:r w:rsidRPr="00892DE3">
        <w:lastRenderedPageBreak/>
        <w:t xml:space="preserve">Guidance – Environmental reporting </w:t>
      </w:r>
      <w:r w:rsidRPr="00892DE3">
        <w:rPr>
          <w:i/>
        </w:rPr>
        <w:t>(continued)</w:t>
      </w:r>
    </w:p>
    <w:p w:rsidR="00DA3433" w:rsidRPr="00892DE3" w:rsidRDefault="00DA3433" w:rsidP="00DA3433">
      <w:pPr>
        <w:pStyle w:val="Guidanceheading1"/>
      </w:pPr>
      <w:r w:rsidRPr="00892DE3">
        <w:t>Additional guidance</w:t>
      </w:r>
    </w:p>
    <w:p w:rsidR="00DA3433" w:rsidRPr="00892DE3" w:rsidRDefault="00DA3433" w:rsidP="00DA3433">
      <w:pPr>
        <w:pStyle w:val="Guidance"/>
      </w:pPr>
      <w:r w:rsidRPr="00892DE3">
        <w:t>The latest guidance to FRD 24C on environmental reporting from the Department of Environment, Land, Water and Planning (DELWP) can be found on the DTF website at:</w:t>
      </w:r>
    </w:p>
    <w:p w:rsidR="00DA3433" w:rsidRPr="00892DE3" w:rsidRDefault="00DA3433" w:rsidP="00DA3433">
      <w:pPr>
        <w:pStyle w:val="Guidance"/>
      </w:pPr>
      <w:r w:rsidRPr="00892DE3">
        <w:t>www.dtf.vic.gov.au/Publications/Government-Financial-Management-publications/Financial-Reporting-Policy/Financial-reporting-directions-and-guidance</w:t>
      </w:r>
    </w:p>
    <w:p w:rsidR="00080446" w:rsidRPr="00892DE3" w:rsidRDefault="00080446" w:rsidP="00080446">
      <w:pPr>
        <w:pStyle w:val="Guidance"/>
      </w:pPr>
      <w:r w:rsidRPr="00892DE3">
        <w:t xml:space="preserve">A guide for FRD 24C reporting was developed and outlines the rationale for environmental reporting and the Government’s broad objectives for introducing these measures. It also provides reporting indicators for each area (energy, water, waste and transportation) and very detailed guidance on data sources, collection and analysis for each key indicator. </w:t>
      </w:r>
    </w:p>
    <w:p w:rsidR="00080446" w:rsidRPr="00892DE3" w:rsidRDefault="00080446" w:rsidP="00080446">
      <w:pPr>
        <w:pStyle w:val="Guidance"/>
      </w:pPr>
      <w:r w:rsidRPr="00892DE3">
        <w:t xml:space="preserve">The guide includes definitions and conversion tables for various energy and consumption measures, as well as tools and resources to assist with environmental reporting. Appendix 2 </w:t>
      </w:r>
      <w:r w:rsidRPr="00892DE3">
        <w:rPr>
          <w:i/>
        </w:rPr>
        <w:t>Optional reporting</w:t>
      </w:r>
      <w:r w:rsidRPr="00892DE3">
        <w:t>, of the guidance outlines optional reporting measures that departments may choose to include in their environmental reporting section, such as recycling (e.g. kilograms of paper recycled, number of toner cartridges recycled, etc.).</w:t>
      </w:r>
    </w:p>
    <w:p w:rsidR="00080446" w:rsidRPr="00892DE3" w:rsidRDefault="00080446" w:rsidP="00AA770B">
      <w:pPr>
        <w:pStyle w:val="Heading2nonTOC"/>
      </w:pPr>
      <w:r w:rsidRPr="00892DE3">
        <w:t xml:space="preserve">Additional departmental information available on request </w:t>
      </w:r>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w:t>
      </w:r>
      <w:r w:rsidR="004B3C7D" w:rsidRPr="00892DE3">
        <w:t>H</w:t>
      </w:r>
    </w:p>
    <w:p w:rsidR="00080446" w:rsidRPr="00892DE3" w:rsidRDefault="00080446" w:rsidP="00080446">
      <w:pPr>
        <w:pStyle w:val="BodyText"/>
      </w:pPr>
      <w:r w:rsidRPr="00892DE3">
        <w:br w:type="column"/>
      </w:r>
      <w:r w:rsidRPr="00892DE3">
        <w:lastRenderedPageBreak/>
        <w:t xml:space="preserve">In compliance with the requirements of the Standing Directions of the Minister for Finance, details in respect of the items listed below have been retained by the Department and are available on request, subject to the provisions of the </w:t>
      </w:r>
      <w:r w:rsidRPr="00892DE3">
        <w:rPr>
          <w:i/>
        </w:rPr>
        <w:t>Freedom of Information Act 1982</w:t>
      </w:r>
      <w:r w:rsidRPr="00892DE3">
        <w:t>.</w:t>
      </w:r>
    </w:p>
    <w:p w:rsidR="00080446" w:rsidRPr="00892DE3" w:rsidRDefault="00080446" w:rsidP="00080446">
      <w:pPr>
        <w:pStyle w:val="Listalpha"/>
      </w:pPr>
      <w:r w:rsidRPr="00892DE3">
        <w:t>(a)</w:t>
      </w:r>
      <w:r w:rsidRPr="00892DE3">
        <w:tab/>
        <w:t>a statement that declarations of pecuniary interests have been duly completed by all relevant officers of the Department;</w:t>
      </w:r>
    </w:p>
    <w:p w:rsidR="00080446" w:rsidRPr="00892DE3" w:rsidRDefault="00080446" w:rsidP="00080446">
      <w:pPr>
        <w:pStyle w:val="Listalpha"/>
      </w:pPr>
      <w:r w:rsidRPr="00892DE3">
        <w:t>(b)</w:t>
      </w:r>
      <w:r w:rsidRPr="00892DE3">
        <w:tab/>
        <w:t>…</w:t>
      </w:r>
    </w:p>
    <w:p w:rsidR="00080446" w:rsidRPr="00892DE3" w:rsidRDefault="00080446" w:rsidP="00080446">
      <w:pPr>
        <w:pStyle w:val="Listalpha"/>
      </w:pPr>
      <w:r w:rsidRPr="00892DE3">
        <w:t>(c)</w:t>
      </w:r>
      <w:r w:rsidRPr="00892DE3">
        <w:tab/>
        <w:t>…</w:t>
      </w:r>
    </w:p>
    <w:p w:rsidR="00080446" w:rsidRPr="00892DE3" w:rsidRDefault="00080446" w:rsidP="00080446">
      <w:pPr>
        <w:pStyle w:val="BodyText"/>
      </w:pPr>
      <w:r w:rsidRPr="00892DE3">
        <w:t>The information is available on request from:</w:t>
      </w:r>
    </w:p>
    <w:p w:rsidR="00080446" w:rsidRPr="00892DE3" w:rsidRDefault="00080446" w:rsidP="00080446">
      <w:pPr>
        <w:pStyle w:val="BodyTextIndent"/>
      </w:pPr>
      <w:r w:rsidRPr="00892DE3">
        <w:t>Director of Portfolio Services</w:t>
      </w:r>
      <w:r w:rsidRPr="00892DE3">
        <w:br/>
        <w:t>Strategic Policy Advice Division</w:t>
      </w:r>
      <w:r w:rsidRPr="00892DE3">
        <w:br/>
        <w:t>Phone: (03) 9xxx xxxx</w:t>
      </w:r>
      <w:r w:rsidRPr="00892DE3">
        <w:br/>
        <w:t>Email: information@dot.vic.gov.au</w:t>
      </w:r>
    </w:p>
    <w:p w:rsidR="00080446" w:rsidRPr="00892DE3" w:rsidRDefault="00080446" w:rsidP="00080446">
      <w:pPr>
        <w:pStyle w:val="BodyText"/>
      </w:pPr>
    </w:p>
    <w:p w:rsidR="00080446" w:rsidRPr="00892DE3" w:rsidRDefault="00080446" w:rsidP="00080446">
      <w:pPr>
        <w:pStyle w:val="Guidancenoborder"/>
      </w:pPr>
      <w:r w:rsidRPr="00892DE3">
        <w:t xml:space="preserve">[Refer to FRD 22H </w:t>
      </w:r>
      <w:r w:rsidR="006A58CA">
        <w:t xml:space="preserve">(to be issued in June 2017) </w:t>
      </w:r>
      <w:r w:rsidRPr="00892DE3">
        <w:t>‘Standard disclosures in report of operations’ for the latest detailed list of information required to be retained and made available on request to complete the list in the table above.]</w:t>
      </w:r>
    </w:p>
    <w:p w:rsidR="00080446" w:rsidRPr="00892DE3" w:rsidRDefault="00080446" w:rsidP="00080446">
      <w:pPr>
        <w:pStyle w:val="Smallline"/>
      </w:pPr>
    </w:p>
    <w:p w:rsidR="00080446" w:rsidRPr="00892DE3" w:rsidRDefault="00080446" w:rsidP="00080446">
      <w:pPr>
        <w:pStyle w:val="Guidanceheading"/>
      </w:pPr>
      <w:r w:rsidRPr="00892DE3">
        <w:t>Guidance – Additional departmental information available on request</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
      </w:pPr>
      <w:r w:rsidRPr="00892DE3">
        <w:t>FRD 22H</w:t>
      </w:r>
      <w:r w:rsidR="006A58CA">
        <w:t xml:space="preserve"> (to be issued in June 2017) </w:t>
      </w:r>
      <w:r w:rsidRPr="00892DE3">
        <w:t xml:space="preserve">lists the relevant information, in relation to the financial year, that is to be retained by the Accountable Officer and made available to the relevant minister, Members of Parliament and the public on request, subject to the provisions of the </w:t>
      </w:r>
      <w:r w:rsidRPr="00892DE3">
        <w:rPr>
          <w:i/>
        </w:rPr>
        <w:t>Freedom of Information Act 1982</w:t>
      </w:r>
      <w:r w:rsidRPr="00892DE3">
        <w:t>. Refer to FRD 22H ‘Standard Disclosures in Report of Operations’ for the latest detailed list of information required to be retained and made available on request.</w:t>
      </w:r>
    </w:p>
    <w:p w:rsidR="00080446" w:rsidRPr="00892DE3" w:rsidRDefault="00080446" w:rsidP="00080446">
      <w:pPr>
        <w:pStyle w:val="Guidance"/>
        <w:rPr>
          <w:rStyle w:val="Hyperlink"/>
        </w:rPr>
      </w:pPr>
      <w:r w:rsidRPr="00892DE3">
        <w:t>Entities can refer to the Guidance note for FRD 22H for further guidance to assist entities to comply with any request for this information. This guidance is available from: www.dtf.vic.gov.au/Publications/Government-Financial-Management-publications/Financial-Reporting-Policy/Financial-reporting-directions-and-guidance</w:t>
      </w:r>
      <w:r w:rsidRPr="00892DE3">
        <w:rPr>
          <w:rStyle w:val="Hyperlink"/>
        </w:rPr>
        <w:t xml:space="preserve"> </w:t>
      </w:r>
    </w:p>
    <w:p w:rsidR="00080446" w:rsidRPr="00892DE3" w:rsidRDefault="00080446" w:rsidP="00080446">
      <w:pPr>
        <w:pStyle w:val="Guidance"/>
        <w:rPr>
          <w:rStyle w:val="Hyperlink"/>
        </w:r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Smallline"/>
      </w:pPr>
    </w:p>
    <w:p w:rsidR="006D5D42" w:rsidRPr="00892DE3" w:rsidRDefault="00080446" w:rsidP="006D5D42">
      <w:pPr>
        <w:keepLines w:val="0"/>
      </w:pPr>
      <w:r w:rsidRPr="00892DE3">
        <w:br w:type="column"/>
      </w:r>
      <w:r w:rsidR="00DA3433" w:rsidRPr="00892DE3">
        <w:lastRenderedPageBreak/>
        <w:br w:type="page"/>
      </w:r>
    </w:p>
    <w:p w:rsidR="006D5D42" w:rsidRPr="00892DE3" w:rsidRDefault="006D5D42" w:rsidP="006D5D42">
      <w:pPr>
        <w:pStyle w:val="Reference"/>
      </w:pPr>
      <w:r w:rsidRPr="00892DE3">
        <w:rPr>
          <w:b/>
          <w:color w:val="0063A6" w:themeColor="accent1"/>
        </w:rPr>
        <w:lastRenderedPageBreak/>
        <w:t>Revised</w:t>
      </w:r>
    </w:p>
    <w:p w:rsidR="006D5D42" w:rsidRPr="00892DE3" w:rsidRDefault="006D5D42" w:rsidP="006D5D42">
      <w:pPr>
        <w:pStyle w:val="Reference"/>
      </w:pPr>
    </w:p>
    <w:p w:rsidR="006D5D42" w:rsidRPr="00892DE3" w:rsidRDefault="006D5D42" w:rsidP="006D5D42">
      <w:pPr>
        <w:pStyle w:val="Reference"/>
      </w:pPr>
      <w:r w:rsidRPr="00892DE3">
        <w:t>SD 3.7.1</w:t>
      </w:r>
    </w:p>
    <w:p w:rsidR="00080446" w:rsidRPr="00892DE3" w:rsidRDefault="00DA3433" w:rsidP="00AA770B">
      <w:pPr>
        <w:pStyle w:val="Heading2nonTOC"/>
      </w:pPr>
      <w:r w:rsidRPr="00892DE3">
        <w:br w:type="column"/>
      </w:r>
      <w:r w:rsidR="00080446" w:rsidRPr="00892DE3">
        <w:lastRenderedPageBreak/>
        <w:t>Attestation for compliance with Ministerial Standing Direction 3.7.1</w:t>
      </w:r>
    </w:p>
    <w:p w:rsidR="00080446" w:rsidRPr="00892DE3" w:rsidRDefault="00080446" w:rsidP="00080446">
      <w:pPr>
        <w:pStyle w:val="BodyText"/>
      </w:pPr>
      <w:r w:rsidRPr="00892DE3">
        <w:t xml:space="preserve">I, </w:t>
      </w:r>
      <w:r w:rsidRPr="00892DE3">
        <w:rPr>
          <w:color w:val="0072CE" w:themeColor="accent4"/>
        </w:rPr>
        <w:t>[Responsible Body]</w:t>
      </w:r>
      <w:r w:rsidRPr="00892DE3">
        <w:t xml:space="preserve"> certify that the Department of Technology has complied with the Ministerial Standing Direction 3.7.1– Risk management framework and processes. The Department of Technology Audit Committee has verified this.</w:t>
      </w:r>
    </w:p>
    <w:p w:rsidR="00080446" w:rsidRPr="00892DE3" w:rsidRDefault="00080446" w:rsidP="00080446">
      <w:pPr>
        <w:pStyle w:val="BodyText"/>
      </w:pPr>
    </w:p>
    <w:p w:rsidR="00080446" w:rsidRPr="00892DE3" w:rsidRDefault="00080446" w:rsidP="00080446">
      <w:pPr>
        <w:pStyle w:val="BodyText"/>
      </w:pPr>
      <w:r w:rsidRPr="00892DE3">
        <w:rPr>
          <w:color w:val="0072CE" w:themeColor="accent4"/>
        </w:rPr>
        <w:t>[Signature]</w:t>
      </w:r>
    </w:p>
    <w:p w:rsidR="00080446" w:rsidRPr="00892DE3" w:rsidRDefault="00080446" w:rsidP="00080446">
      <w:pPr>
        <w:pStyle w:val="BodyText"/>
      </w:pPr>
    </w:p>
    <w:p w:rsidR="00080446" w:rsidRPr="00892DE3" w:rsidRDefault="00080446" w:rsidP="00080446">
      <w:pPr>
        <w:pStyle w:val="BodyText"/>
      </w:pPr>
      <w:r w:rsidRPr="00892DE3">
        <w:t>J Smith</w:t>
      </w:r>
      <w:r w:rsidRPr="00892DE3">
        <w:br/>
        <w:t>Secretary</w:t>
      </w:r>
      <w:r w:rsidRPr="00892DE3">
        <w:br/>
        <w:t xml:space="preserve">Department of Technology </w:t>
      </w:r>
    </w:p>
    <w:p w:rsidR="00080446" w:rsidRPr="00892DE3" w:rsidRDefault="00080446" w:rsidP="00080446">
      <w:pPr>
        <w:pStyle w:val="BodyText"/>
      </w:pPr>
      <w:r w:rsidRPr="00892DE3">
        <w:br w:type="page"/>
      </w:r>
    </w:p>
    <w:p w:rsidR="00080446" w:rsidRPr="00892DE3" w:rsidRDefault="00080446" w:rsidP="00080446">
      <w:pPr>
        <w:pStyle w:val="Smallline"/>
      </w:pPr>
      <w:r w:rsidRPr="00892DE3">
        <w:lastRenderedPageBreak/>
        <w:br w:type="column"/>
      </w:r>
    </w:p>
    <w:p w:rsidR="00080446" w:rsidRPr="00892DE3" w:rsidRDefault="00080446" w:rsidP="00080446">
      <w:pPr>
        <w:pStyle w:val="Guidanceheading"/>
      </w:pPr>
      <w:r w:rsidRPr="00892DE3">
        <w:t xml:space="preserve">Guidance – Attestation for compliance with </w:t>
      </w:r>
      <w:r w:rsidRPr="00892DE3">
        <w:rPr>
          <w:i/>
        </w:rPr>
        <w:t>Ministerial Standing Direction </w:t>
      </w:r>
      <w:r w:rsidRPr="00892DE3">
        <w:t>3.7.1 – Victorian Government Risk Management Framework</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rPr>
          <w:b/>
        </w:rPr>
      </w:pPr>
    </w:p>
    <w:p w:rsidR="00080446" w:rsidRPr="00892DE3" w:rsidRDefault="00080446" w:rsidP="00080446">
      <w:pPr>
        <w:pStyle w:val="Reference"/>
      </w:pPr>
      <w:r w:rsidRPr="00892DE3">
        <w:t>SD 3.7.1</w:t>
      </w:r>
    </w:p>
    <w:p w:rsidR="00080446" w:rsidRPr="00892DE3" w:rsidRDefault="00080446" w:rsidP="00080446">
      <w:pPr>
        <w:pStyle w:val="Reference"/>
      </w:pPr>
    </w:p>
    <w:p w:rsidR="00080446" w:rsidRPr="00892DE3" w:rsidRDefault="00080446" w:rsidP="00080446">
      <w:pPr>
        <w:pStyle w:val="Reference"/>
      </w:pPr>
      <w:r w:rsidRPr="00892DE3">
        <w:t>Victorian Government Risk Management Framework</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red"/>
        <w:rPr>
          <w:b/>
        </w:rPr>
      </w:pPr>
      <w:r w:rsidRPr="00892DE3">
        <w:rPr>
          <w:b/>
        </w:rPr>
        <w:t xml:space="preserve">New </w:t>
      </w:r>
    </w:p>
    <w:p w:rsidR="00080446" w:rsidRPr="00892DE3" w:rsidRDefault="00080446" w:rsidP="00080446">
      <w:pPr>
        <w:keepNext/>
        <w:spacing w:before="0"/>
        <w:rPr>
          <w:rFonts w:eastAsia="Tahoma" w:cs="Arial Narrow"/>
          <w:color w:val="0072CE" w:themeColor="accent4"/>
          <w:sz w:val="14"/>
          <w:szCs w:val="16"/>
          <w:lang w:eastAsia="en-AU"/>
        </w:rPr>
      </w:pPr>
      <w:r w:rsidRPr="00892DE3">
        <w:rPr>
          <w:rFonts w:eastAsia="Tahoma" w:cs="Arial Narrow"/>
          <w:color w:val="0072CE" w:themeColor="accent4"/>
          <w:sz w:val="14"/>
          <w:szCs w:val="16"/>
          <w:lang w:eastAsia="en-AU"/>
        </w:rPr>
        <w:t>Recommendation 20, PAEC Report on 2013-14 and 2014-15 Financial and Performance Outcomes</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Guidance"/>
        <w:pBdr>
          <w:bottom w:val="none" w:sz="0" w:space="0" w:color="auto"/>
        </w:pBdr>
      </w:pPr>
      <w:r w:rsidRPr="00892DE3">
        <w:br w:type="column"/>
      </w:r>
      <w:r w:rsidRPr="00892DE3">
        <w:lastRenderedPageBreak/>
        <w:t>Ministerial Standing Direction 3.7.1 – Risk management framework and processes requires that the responsible body ensures the agency complies applies the mandatory requirements set out in the Victorian Government Risk Management Framework (VGRMF).</w:t>
      </w:r>
    </w:p>
    <w:p w:rsidR="00080446" w:rsidRPr="00892DE3" w:rsidRDefault="00080446" w:rsidP="00080446">
      <w:pPr>
        <w:pStyle w:val="Guidance"/>
        <w:pBdr>
          <w:bottom w:val="none" w:sz="0" w:space="0" w:color="auto"/>
        </w:pBdr>
      </w:pPr>
      <w:r w:rsidRPr="00892DE3">
        <w:t>To comply with Ministerial Standing Direction 3.7.1 agencies need to meet the mandatory requirements in the VGRMF. The responsibility for the agency’s risk management performance rests primarily with the responsible body.</w:t>
      </w:r>
    </w:p>
    <w:p w:rsidR="00080446" w:rsidRPr="00892DE3" w:rsidRDefault="00080446" w:rsidP="00080446">
      <w:pPr>
        <w:pStyle w:val="Guidance"/>
        <w:pBdr>
          <w:bottom w:val="none" w:sz="0" w:space="0" w:color="auto"/>
        </w:pBdr>
      </w:pPr>
      <w:r w:rsidRPr="00892DE3">
        <w:t>The updated VGRMF, which now incorporates both the risk management and insurance requirements, was approved by the Minister for Finance and with the relevant Ministerial Standing Directions revised in May 2015.</w:t>
      </w:r>
    </w:p>
    <w:p w:rsidR="00080446" w:rsidRPr="00892DE3" w:rsidRDefault="00080446" w:rsidP="00080446">
      <w:pPr>
        <w:pStyle w:val="Guidance"/>
        <w:pBdr>
          <w:bottom w:val="none" w:sz="0" w:space="0" w:color="auto"/>
        </w:pBdr>
      </w:pPr>
      <w:r w:rsidRPr="00892DE3">
        <w:t xml:space="preserve">Entities are strongly encouraged to read the VGRMF published by the Department of Treasury and Finance for more information. An electronic copy of the publication is accessible from: </w:t>
      </w:r>
      <w:r w:rsidRPr="00892DE3">
        <w:rPr>
          <w:color w:val="53565A"/>
        </w:rPr>
        <w:t>www.dtf.vic.gov.au/Publications/Victoria-Economy-publications/Victorian-risk-management-framework-and-insurance-management-policy</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The responsible body of a Department or agency is responsible for the accuracy and completeness of attestation and should utilise audit committees or other internal governance bodies, where available, to support the view expressed. For a Department, the accountable officer is the responsible body. For other agencies, it is the board or the person with ultimate decision making authority.</w:t>
      </w:r>
    </w:p>
    <w:p w:rsidR="00080446" w:rsidRPr="00892DE3" w:rsidRDefault="00080446" w:rsidP="00080446">
      <w:pPr>
        <w:pStyle w:val="Guidance"/>
        <w:pBdr>
          <w:bottom w:val="none" w:sz="0" w:space="0" w:color="auto"/>
        </w:pBdr>
      </w:pPr>
      <w:r w:rsidRPr="00892DE3">
        <w:t>For the risk management and insurance requirements the agency must:</w:t>
      </w:r>
    </w:p>
    <w:p w:rsidR="00080446" w:rsidRPr="00892DE3" w:rsidRDefault="00080446" w:rsidP="00587DAE">
      <w:pPr>
        <w:pStyle w:val="Guidancebullet"/>
        <w:numPr>
          <w:ilvl w:val="1"/>
          <w:numId w:val="24"/>
        </w:numPr>
        <w:ind w:left="446" w:hanging="446"/>
      </w:pPr>
      <w:r w:rsidRPr="00892DE3">
        <w:t>conduct an annual review of its compliance with both the risk management and insurance requirements;</w:t>
      </w:r>
    </w:p>
    <w:p w:rsidR="00080446" w:rsidRPr="00892DE3" w:rsidRDefault="00080446" w:rsidP="00587DAE">
      <w:pPr>
        <w:pStyle w:val="Guidancebullet"/>
        <w:numPr>
          <w:ilvl w:val="1"/>
          <w:numId w:val="24"/>
        </w:numPr>
        <w:ind w:left="446" w:hanging="446"/>
      </w:pPr>
      <w:r w:rsidRPr="00892DE3">
        <w:t>attest in the agency’s annual report that it has complied with Ministerial Standing Direction 3.7.1 or, if it is partially in compliance, identify areas of non-compliance and remedial actions taken in the attestation; and</w:t>
      </w:r>
    </w:p>
    <w:p w:rsidR="00080446" w:rsidRPr="00892DE3" w:rsidRDefault="00080446" w:rsidP="00587DAE">
      <w:pPr>
        <w:pStyle w:val="Guidancebullet"/>
        <w:numPr>
          <w:ilvl w:val="1"/>
          <w:numId w:val="24"/>
        </w:numPr>
        <w:ind w:left="446" w:hanging="446"/>
      </w:pPr>
      <w:r w:rsidRPr="00892DE3">
        <w:t>ensure the Audit Committee reviews and monitors compliance with Ministerial Standing Direction 3.7.1, and makes a recommendation to the Responsible Body on the level of compliance attained.</w:t>
      </w:r>
    </w:p>
    <w:p w:rsidR="00080446" w:rsidRPr="00892DE3" w:rsidRDefault="00080446" w:rsidP="00080446">
      <w:pPr>
        <w:pStyle w:val="Guidancebullet"/>
        <w:ind w:left="0" w:firstLine="0"/>
      </w:pPr>
    </w:p>
    <w:p w:rsidR="00080446" w:rsidRPr="00892DE3" w:rsidRDefault="00080446" w:rsidP="00080446">
      <w:pPr>
        <w:pStyle w:val="Guidancebullet"/>
        <w:ind w:left="0" w:firstLine="0"/>
      </w:pPr>
      <w:r w:rsidRPr="00892DE3">
        <w:t>Attestation of compliance should be made annually in the report of operations and the person making the attestation, usually the Chief Executive Officer or Accountable Officer, should not make the attestation unless the audit committee or responsible body (for instance the board of a statutory authority) agrees that such an assurance can be given.</w:t>
      </w:r>
    </w:p>
    <w:p w:rsidR="00080446" w:rsidRPr="00892DE3" w:rsidRDefault="00080446" w:rsidP="00080446">
      <w:pPr>
        <w:pStyle w:val="Guidancebullet"/>
        <w:ind w:left="0" w:firstLine="0"/>
      </w:pPr>
    </w:p>
    <w:p w:rsidR="00080446" w:rsidRPr="00892DE3" w:rsidRDefault="00080446" w:rsidP="00080446">
      <w:pPr>
        <w:pStyle w:val="Guidancebullet"/>
        <w:ind w:left="0" w:firstLine="0"/>
      </w:pPr>
      <w:r w:rsidRPr="00892DE3">
        <w:rPr>
          <w:b/>
        </w:rPr>
        <w:t>Note</w:t>
      </w:r>
      <w:r w:rsidRPr="00892DE3">
        <w:t>: Refer to Instruction 5.1 (supporting the Standing Directions the Minister for Finance 2016) for attestation requirements for future years. From 2017-18, a public attestation against all Standing Directions will be required i</w:t>
      </w:r>
      <w:r w:rsidR="00184F13" w:rsidRPr="00892DE3">
        <w:t xml:space="preserve">n each agency’s annual report. </w:t>
      </w:r>
    </w:p>
    <w:p w:rsidR="00080446" w:rsidRPr="00892DE3" w:rsidRDefault="00080446" w:rsidP="00080446">
      <w:pPr>
        <w:pStyle w:val="Guidancebullet"/>
        <w:ind w:left="0" w:firstLine="0"/>
      </w:pPr>
    </w:p>
    <w:p w:rsidR="00080446" w:rsidRPr="00892DE3" w:rsidRDefault="00080446" w:rsidP="00080446">
      <w:pPr>
        <w:pStyle w:val="Guidancebullet"/>
        <w:ind w:left="0" w:firstLine="0"/>
        <w:rPr>
          <w:b/>
        </w:rPr>
      </w:pPr>
      <w:r w:rsidRPr="00892DE3">
        <w:rPr>
          <w:b/>
        </w:rPr>
        <w:t>Below is the suggested attestation disclosure for statutory authorities and other relevant entities:</w:t>
      </w:r>
    </w:p>
    <w:p w:rsidR="00080446" w:rsidRPr="00892DE3" w:rsidRDefault="00080446" w:rsidP="00080446">
      <w:pPr>
        <w:pStyle w:val="Guidancebullet"/>
        <w:ind w:left="0" w:firstLine="0"/>
      </w:pPr>
    </w:p>
    <w:p w:rsidR="00080446" w:rsidRPr="00892DE3" w:rsidRDefault="00080446" w:rsidP="00080446">
      <w:pPr>
        <w:pStyle w:val="Guidancebullet"/>
        <w:ind w:left="0" w:firstLine="0"/>
        <w:rPr>
          <w:i/>
        </w:rPr>
      </w:pPr>
      <w:r w:rsidRPr="00892DE3">
        <w:rPr>
          <w:i/>
        </w:rPr>
        <w:t>I, [Responsible Body] certify that the [Agency] has complied with the Ministerial Standing Direction 3.7.1 – Risk management framework and processes. The [Agency] Audit Committee has verified this [if an audit committee is available to verify].</w:t>
      </w:r>
    </w:p>
    <w:p w:rsidR="00080446" w:rsidRPr="00892DE3" w:rsidRDefault="00080446" w:rsidP="00080446">
      <w:pPr>
        <w:pStyle w:val="Guidancebullet"/>
        <w:ind w:left="0" w:firstLine="0"/>
        <w:rPr>
          <w:i/>
        </w:rPr>
      </w:pPr>
    </w:p>
    <w:p w:rsidR="00080446" w:rsidRPr="00892DE3" w:rsidRDefault="00080446" w:rsidP="00080446">
      <w:pPr>
        <w:pStyle w:val="Guidancebullet"/>
        <w:ind w:left="0" w:firstLine="0"/>
        <w:rPr>
          <w:i/>
        </w:rPr>
      </w:pPr>
      <w:r w:rsidRPr="00892DE3">
        <w:rPr>
          <w:i/>
        </w:rPr>
        <w:t>[Signature]</w:t>
      </w:r>
    </w:p>
    <w:p w:rsidR="00080446" w:rsidRPr="00892DE3" w:rsidRDefault="00080446" w:rsidP="00080446">
      <w:pPr>
        <w:pStyle w:val="Guidancebullet"/>
        <w:ind w:left="0" w:firstLine="0"/>
        <w:rPr>
          <w:i/>
        </w:rPr>
      </w:pPr>
    </w:p>
    <w:p w:rsidR="00080446" w:rsidRPr="00892DE3" w:rsidRDefault="00080446" w:rsidP="00080446">
      <w:pPr>
        <w:pStyle w:val="Guidance"/>
        <w:rPr>
          <w:i/>
        </w:rPr>
      </w:pPr>
      <w:r w:rsidRPr="00892DE3">
        <w:rPr>
          <w:i/>
        </w:rPr>
        <w:t xml:space="preserve">[Signatory details] </w:t>
      </w:r>
    </w:p>
    <w:p w:rsidR="00080446" w:rsidRPr="00892DE3" w:rsidRDefault="00080446" w:rsidP="00080446">
      <w:pPr>
        <w:pStyle w:val="Guidancebullet"/>
        <w:ind w:left="0" w:firstLine="0"/>
      </w:pPr>
    </w:p>
    <w:p w:rsidR="00080446" w:rsidRPr="00892DE3" w:rsidRDefault="00080446" w:rsidP="00080446">
      <w:pPr>
        <w:pStyle w:val="Guidancebullet"/>
        <w:ind w:left="0" w:firstLine="0"/>
      </w:pPr>
    </w:p>
    <w:p w:rsidR="00D25696" w:rsidRPr="00892DE3" w:rsidRDefault="00D25696">
      <w:pPr>
        <w:keepLines w:val="0"/>
        <w:rPr>
          <w:rFonts w:asciiTheme="majorHAnsi" w:eastAsiaTheme="majorEastAsia" w:hAnsiTheme="majorHAnsi" w:cstheme="majorBidi"/>
          <w:b/>
          <w:spacing w:val="-2"/>
          <w:sz w:val="24"/>
          <w:szCs w:val="26"/>
        </w:rPr>
      </w:pPr>
      <w:r w:rsidRPr="00892DE3">
        <w:br w:type="page"/>
      </w:r>
    </w:p>
    <w:p w:rsidR="00080446" w:rsidRPr="00892DE3" w:rsidRDefault="00D25696" w:rsidP="00D25696">
      <w:pPr>
        <w:pStyle w:val="Heading2nonTOC"/>
        <w:spacing w:before="0"/>
      </w:pPr>
      <w:r w:rsidRPr="00892DE3">
        <w:lastRenderedPageBreak/>
        <w:br w:type="column"/>
      </w:r>
      <w:r w:rsidR="00080446" w:rsidRPr="00892DE3">
        <w:lastRenderedPageBreak/>
        <w:t>Compliance with DataVic Access Policy</w:t>
      </w:r>
    </w:p>
    <w:p w:rsidR="00080446" w:rsidRPr="00892DE3" w:rsidRDefault="00080446" w:rsidP="00080446">
      <w:pPr>
        <w:pStyle w:val="BodyText"/>
      </w:pPr>
      <w:r w:rsidRPr="00892DE3">
        <w:t xml:space="preserve">Consistent with the DataVic Access Policy issued by the Victorian Government in 2012, the information </w:t>
      </w:r>
      <w:r w:rsidRPr="00892DE3">
        <w:rPr>
          <w:color w:val="0072CE" w:themeColor="accent4"/>
        </w:rPr>
        <w:t>[insert relevant information submitted to DataVic e.g. all data tables]</w:t>
      </w:r>
      <w:r w:rsidRPr="00892DE3">
        <w:t xml:space="preserve"> included in this Annual Report will be available at www.data.vic.gov.au in electronic readable format </w:t>
      </w:r>
      <w:r w:rsidRPr="00892DE3">
        <w:rPr>
          <w:color w:val="0072CE" w:themeColor="accent4"/>
        </w:rPr>
        <w:t>[Note: suitable formats are CSV, XLS, XML etc., PDF and Word are not suitable formats.]</w:t>
      </w:r>
      <w:r w:rsidRPr="00892DE3">
        <w:t xml:space="preserve"> </w:t>
      </w:r>
    </w:p>
    <w:p w:rsidR="00080446" w:rsidRPr="00892DE3" w:rsidRDefault="00080446" w:rsidP="00080446">
      <w:pPr>
        <w:pStyle w:val="BodyText"/>
      </w:pPr>
    </w:p>
    <w:p w:rsidR="00080446" w:rsidRPr="00892DE3" w:rsidRDefault="00080446" w:rsidP="00080446">
      <w:pPr>
        <w:pStyle w:val="Guidanceheading"/>
      </w:pPr>
      <w:r w:rsidRPr="00892DE3">
        <w:t xml:space="preserve">Guidance – DataVic Access Policy </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In August 2012, the Victorian Government released the DataVic Access Policy, which enables the sharing of Government data at no, or minimal, cost to users. Government data from all agencies will be progressively supplied in a electronic readable format that will minimise access costs and maximise use and reuse.</w:t>
      </w:r>
    </w:p>
    <w:p w:rsidR="00080446" w:rsidRPr="00892DE3" w:rsidRDefault="00080446" w:rsidP="00080446">
      <w:pPr>
        <w:pStyle w:val="Guidance"/>
        <w:pBdr>
          <w:bottom w:val="none" w:sz="0" w:space="0" w:color="auto"/>
        </w:pBdr>
      </w:pPr>
      <w:r w:rsidRPr="00892DE3">
        <w:t>Entities are encouraged to include in their annual report this statement if applicable.</w:t>
      </w:r>
    </w:p>
    <w:p w:rsidR="00080446" w:rsidRPr="00892DE3" w:rsidRDefault="00080446" w:rsidP="00080446">
      <w:pPr>
        <w:pStyle w:val="Guidance"/>
        <w:pBdr>
          <w:bottom w:val="none" w:sz="0" w:space="0" w:color="auto"/>
        </w:pBdr>
      </w:pPr>
      <w:r w:rsidRPr="00892DE3">
        <w:t>Agencies are also encouraged to incorporate DataVic Access Policy achievements into their annual report. Suggested items include:</w:t>
      </w:r>
    </w:p>
    <w:p w:rsidR="00080446" w:rsidRPr="00892DE3" w:rsidRDefault="00080446" w:rsidP="00587DAE">
      <w:pPr>
        <w:pStyle w:val="Guidancebullet"/>
        <w:numPr>
          <w:ilvl w:val="1"/>
          <w:numId w:val="24"/>
        </w:numPr>
        <w:ind w:left="446" w:hanging="446"/>
      </w:pPr>
      <w:r w:rsidRPr="00892DE3">
        <w:t>outcomes from the previous year’s program of works targets;</w:t>
      </w:r>
    </w:p>
    <w:p w:rsidR="00080446" w:rsidRPr="00892DE3" w:rsidRDefault="00080446" w:rsidP="00587DAE">
      <w:pPr>
        <w:pStyle w:val="Guidancebullet"/>
        <w:numPr>
          <w:ilvl w:val="1"/>
          <w:numId w:val="24"/>
        </w:numPr>
        <w:ind w:left="446" w:hanging="446"/>
      </w:pPr>
      <w:r w:rsidRPr="00892DE3">
        <w:t>a list of categories of datasets that have been made available;</w:t>
      </w:r>
    </w:p>
    <w:p w:rsidR="00080446" w:rsidRPr="00892DE3" w:rsidRDefault="00080446" w:rsidP="00587DAE">
      <w:pPr>
        <w:pStyle w:val="Guidancebullet"/>
        <w:numPr>
          <w:ilvl w:val="1"/>
          <w:numId w:val="24"/>
        </w:numPr>
        <w:ind w:left="446" w:hanging="446"/>
      </w:pPr>
      <w:r w:rsidRPr="00892DE3">
        <w:t>suggestions for datasets received and the outcome of the suggestions;</w:t>
      </w:r>
    </w:p>
    <w:p w:rsidR="00080446" w:rsidRPr="00892DE3" w:rsidRDefault="00080446" w:rsidP="00587DAE">
      <w:pPr>
        <w:pStyle w:val="Guidancebullet"/>
        <w:numPr>
          <w:ilvl w:val="1"/>
          <w:numId w:val="24"/>
        </w:numPr>
        <w:ind w:left="446" w:hanging="446"/>
      </w:pPr>
      <w:r w:rsidRPr="00892DE3">
        <w:t xml:space="preserve">feedback for datasets received and the outcome of the feedback; </w:t>
      </w:r>
    </w:p>
    <w:p w:rsidR="00080446" w:rsidRPr="00892DE3" w:rsidRDefault="00080446" w:rsidP="00587DAE">
      <w:pPr>
        <w:pStyle w:val="Guidancebullet"/>
        <w:numPr>
          <w:ilvl w:val="1"/>
          <w:numId w:val="24"/>
        </w:numPr>
        <w:ind w:left="446" w:hanging="446"/>
      </w:pPr>
      <w:r w:rsidRPr="00892DE3">
        <w:t>any known benefits of making datasets available achieved to date; and</w:t>
      </w:r>
    </w:p>
    <w:p w:rsidR="00080446" w:rsidRPr="00892DE3" w:rsidRDefault="00080446" w:rsidP="00587DAE">
      <w:pPr>
        <w:pStyle w:val="Guidancebullet"/>
        <w:numPr>
          <w:ilvl w:val="1"/>
          <w:numId w:val="24"/>
        </w:numPr>
        <w:ind w:left="446" w:hanging="446"/>
      </w:pPr>
      <w:r w:rsidRPr="00892DE3">
        <w:t>strategies for the coming year, including a list of proposed categories of datasets to be made available.</w:t>
      </w:r>
    </w:p>
    <w:p w:rsidR="00080446" w:rsidRPr="00892DE3" w:rsidRDefault="00080446" w:rsidP="00080446">
      <w:pPr>
        <w:pStyle w:val="BodyText"/>
      </w:pPr>
    </w:p>
    <w:p w:rsidR="00080446" w:rsidRPr="00892DE3" w:rsidRDefault="00080446" w:rsidP="00080446">
      <w:pPr>
        <w:pStyle w:val="BodyText"/>
      </w:pPr>
      <w:r w:rsidRPr="00892DE3">
        <w:br w:type="page"/>
      </w: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Reference"/>
      </w:pPr>
      <w:r w:rsidRPr="00892DE3">
        <w:t>FRD 10A</w:t>
      </w:r>
    </w:p>
    <w:p w:rsidR="00080446" w:rsidRPr="00892DE3" w:rsidRDefault="00080446" w:rsidP="00DA3433">
      <w:pPr>
        <w:pStyle w:val="Heading1nonTOC"/>
      </w:pPr>
      <w:r w:rsidRPr="00892DE3">
        <w:br w:type="column"/>
      </w:r>
      <w:bookmarkStart w:id="69" w:name="Report_DisclosureIndex"/>
      <w:r w:rsidRPr="00892DE3">
        <w:lastRenderedPageBreak/>
        <w:t>Disclosure index</w:t>
      </w:r>
      <w:bookmarkEnd w:id="69"/>
    </w:p>
    <w:p w:rsidR="00080446" w:rsidRPr="00892DE3" w:rsidRDefault="00080446" w:rsidP="00080446">
      <w:pPr>
        <w:pStyle w:val="Guidancenoborder"/>
      </w:pPr>
      <w:r w:rsidRPr="00892DE3">
        <w:t>[The disclosure index is best disclosed as the first appendix of an entity’s annual report.]</w:t>
      </w:r>
    </w:p>
    <w:p w:rsidR="00080446" w:rsidRPr="00892DE3" w:rsidRDefault="00080446" w:rsidP="00080446">
      <w:pPr>
        <w:pStyle w:val="BodyText"/>
      </w:pPr>
      <w:r w:rsidRPr="00892DE3">
        <w:t>The annual report of the Department is prepared in accordance with all relevant Victorian legislations and pronouncements. This index has been prepared to facilitate identification of the Department’s compliance with statutory disclosure requirements.</w:t>
      </w:r>
    </w:p>
    <w:p w:rsidR="00080446" w:rsidRPr="00892DE3" w:rsidRDefault="00080446" w:rsidP="00080446">
      <w:pPr>
        <w:pStyle w:val="Smallline"/>
      </w:pPr>
    </w:p>
    <w:tbl>
      <w:tblPr>
        <w:tblStyle w:val="DTFTable"/>
        <w:tblW w:w="8103" w:type="dxa"/>
        <w:tblLayout w:type="fixed"/>
        <w:tblLook w:val="0620" w:firstRow="1" w:lastRow="0" w:firstColumn="0" w:lastColumn="0" w:noHBand="1" w:noVBand="1"/>
      </w:tblPr>
      <w:tblGrid>
        <w:gridCol w:w="1213"/>
        <w:gridCol w:w="5540"/>
        <w:gridCol w:w="270"/>
        <w:gridCol w:w="1080"/>
      </w:tblGrid>
      <w:tr w:rsidR="00080446" w:rsidRPr="00892DE3" w:rsidTr="009B0B62">
        <w:trPr>
          <w:cnfStyle w:val="100000000000" w:firstRow="1" w:lastRow="0" w:firstColumn="0" w:lastColumn="0" w:oddVBand="0" w:evenVBand="0" w:oddHBand="0" w:evenHBand="0" w:firstRowFirstColumn="0" w:firstRowLastColumn="0" w:lastRowFirstColumn="0" w:lastRowLastColumn="0"/>
          <w:trHeight w:val="20"/>
        </w:trPr>
        <w:tc>
          <w:tcPr>
            <w:tcW w:w="1213" w:type="dxa"/>
            <w:tcBorders>
              <w:bottom w:val="nil"/>
            </w:tcBorders>
          </w:tcPr>
          <w:p w:rsidR="00080446" w:rsidRPr="00892DE3" w:rsidRDefault="00080446" w:rsidP="000C4727">
            <w:pPr>
              <w:jc w:val="left"/>
              <w:rPr>
                <w:szCs w:val="17"/>
              </w:rPr>
            </w:pPr>
            <w:r w:rsidRPr="00892DE3">
              <w:rPr>
                <w:szCs w:val="17"/>
              </w:rPr>
              <w:t>Legislation</w:t>
            </w:r>
          </w:p>
        </w:tc>
        <w:tc>
          <w:tcPr>
            <w:tcW w:w="5540" w:type="dxa"/>
            <w:tcBorders>
              <w:bottom w:val="nil"/>
            </w:tcBorders>
          </w:tcPr>
          <w:p w:rsidR="00080446" w:rsidRPr="00892DE3" w:rsidRDefault="00080446" w:rsidP="000C4727">
            <w:pPr>
              <w:jc w:val="left"/>
              <w:rPr>
                <w:szCs w:val="17"/>
              </w:rPr>
            </w:pPr>
            <w:r w:rsidRPr="00892DE3">
              <w:rPr>
                <w:szCs w:val="17"/>
              </w:rPr>
              <w:t>Requirement</w:t>
            </w:r>
          </w:p>
        </w:tc>
        <w:tc>
          <w:tcPr>
            <w:tcW w:w="1350" w:type="dxa"/>
            <w:gridSpan w:val="2"/>
            <w:tcBorders>
              <w:bottom w:val="nil"/>
            </w:tcBorders>
          </w:tcPr>
          <w:p w:rsidR="00080446" w:rsidRPr="00892DE3" w:rsidRDefault="00080446" w:rsidP="000C4727">
            <w:pPr>
              <w:rPr>
                <w:szCs w:val="17"/>
              </w:rPr>
            </w:pPr>
            <w:r w:rsidRPr="00892DE3">
              <w:rPr>
                <w:szCs w:val="17"/>
              </w:rPr>
              <w:t>Page reference</w:t>
            </w:r>
          </w:p>
        </w:tc>
      </w:tr>
      <w:tr w:rsidR="009B0B62" w:rsidRPr="00892DE3" w:rsidTr="009B0B62">
        <w:trPr>
          <w:cantSplit w:val="0"/>
          <w:trHeight w:val="20"/>
        </w:trPr>
        <w:tc>
          <w:tcPr>
            <w:tcW w:w="8103" w:type="dxa"/>
            <w:gridSpan w:val="4"/>
            <w:tcBorders>
              <w:bottom w:val="nil"/>
            </w:tcBorders>
            <w:shd w:val="clear" w:color="auto" w:fill="595959" w:themeFill="text1" w:themeFillTint="A6"/>
          </w:tcPr>
          <w:p w:rsidR="00080446" w:rsidRPr="00892DE3" w:rsidRDefault="00080446" w:rsidP="000C4727">
            <w:pPr>
              <w:jc w:val="left"/>
              <w:rPr>
                <w:i/>
                <w:color w:val="FFFFFF" w:themeColor="background1"/>
                <w:szCs w:val="17"/>
              </w:rPr>
            </w:pPr>
            <w:bookmarkStart w:id="70" w:name="_Toc133137617"/>
            <w:bookmarkStart w:id="71" w:name="_Toc133203935"/>
            <w:r w:rsidRPr="00892DE3">
              <w:rPr>
                <w:i/>
                <w:color w:val="FFFFFF" w:themeColor="background1"/>
                <w:szCs w:val="17"/>
              </w:rPr>
              <w:t>Ministerial Directions</w:t>
            </w:r>
            <w:bookmarkEnd w:id="70"/>
            <w:bookmarkEnd w:id="71"/>
            <w:r w:rsidRPr="00892DE3">
              <w:rPr>
                <w:i/>
                <w:color w:val="FFFFFF" w:themeColor="background1"/>
                <w:szCs w:val="17"/>
              </w:rPr>
              <w:t xml:space="preserve"> &amp; Financial Reporting Directions</w:t>
            </w:r>
          </w:p>
        </w:tc>
      </w:tr>
      <w:tr w:rsidR="00080446" w:rsidRPr="00892DE3" w:rsidTr="000C4727">
        <w:trPr>
          <w:cantSplit w:val="0"/>
          <w:trHeight w:val="20"/>
        </w:trPr>
        <w:tc>
          <w:tcPr>
            <w:tcW w:w="8103" w:type="dxa"/>
            <w:gridSpan w:val="4"/>
            <w:tcBorders>
              <w:top w:val="nil"/>
              <w:bottom w:val="nil"/>
            </w:tcBorders>
            <w:shd w:val="clear" w:color="auto" w:fill="EBEBEB"/>
          </w:tcPr>
          <w:p w:rsidR="00080446" w:rsidRPr="00892DE3" w:rsidRDefault="00080446" w:rsidP="000C4727">
            <w:pPr>
              <w:spacing w:before="120"/>
              <w:jc w:val="left"/>
              <w:rPr>
                <w:i/>
                <w:szCs w:val="17"/>
              </w:rPr>
            </w:pPr>
            <w:r w:rsidRPr="00892DE3">
              <w:rPr>
                <w:i/>
                <w:szCs w:val="17"/>
              </w:rPr>
              <w:t xml:space="preserve">Report of operations </w:t>
            </w:r>
          </w:p>
        </w:tc>
      </w:tr>
      <w:tr w:rsidR="00080446" w:rsidRPr="00892DE3" w:rsidTr="000C4727">
        <w:trPr>
          <w:cantSplit w:val="0"/>
          <w:trHeight w:val="20"/>
        </w:trPr>
        <w:tc>
          <w:tcPr>
            <w:tcW w:w="8103" w:type="dxa"/>
            <w:gridSpan w:val="4"/>
            <w:tcBorders>
              <w:top w:val="nil"/>
            </w:tcBorders>
          </w:tcPr>
          <w:p w:rsidR="00080446" w:rsidRPr="00892DE3" w:rsidRDefault="00080446" w:rsidP="000C4727">
            <w:pPr>
              <w:spacing w:before="120"/>
              <w:jc w:val="left"/>
              <w:rPr>
                <w:b/>
                <w:szCs w:val="17"/>
              </w:rPr>
            </w:pPr>
            <w:r w:rsidRPr="00892DE3">
              <w:rPr>
                <w:b/>
                <w:szCs w:val="17"/>
              </w:rPr>
              <w:t>Charter and purpose</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Manner of establishment and the relevant Ministers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13</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Purpose, functions, powers and duties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14</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 xml:space="preserve">FRD 8D </w:t>
            </w:r>
          </w:p>
        </w:tc>
        <w:tc>
          <w:tcPr>
            <w:tcW w:w="5810" w:type="dxa"/>
            <w:gridSpan w:val="2"/>
          </w:tcPr>
          <w:p w:rsidR="00080446" w:rsidRPr="00892DE3" w:rsidRDefault="00080446" w:rsidP="000C4727">
            <w:pPr>
              <w:jc w:val="left"/>
              <w:rPr>
                <w:szCs w:val="17"/>
              </w:rPr>
            </w:pPr>
            <w:r w:rsidRPr="00892DE3">
              <w:rPr>
                <w:szCs w:val="17"/>
              </w:rPr>
              <w:t>Departmental objectives, indicators and outputs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17</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Key initiatives and projects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19</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Nature and range of services provided</w:t>
            </w:r>
          </w:p>
        </w:tc>
        <w:tc>
          <w:tcPr>
            <w:tcW w:w="1080" w:type="dxa"/>
          </w:tcPr>
          <w:p w:rsidR="00080446" w:rsidRPr="00892DE3" w:rsidRDefault="00080446" w:rsidP="000C4727">
            <w:pPr>
              <w:rPr>
                <w:szCs w:val="17"/>
              </w:rPr>
            </w:pPr>
            <w:r w:rsidRPr="00892DE3">
              <w:rPr>
                <w:szCs w:val="17"/>
              </w:rPr>
              <w:t>Page 13</w:t>
            </w:r>
          </w:p>
        </w:tc>
      </w:tr>
      <w:tr w:rsidR="00080446" w:rsidRPr="00892DE3" w:rsidTr="000C4727">
        <w:trPr>
          <w:cantSplit w:val="0"/>
          <w:trHeight w:val="20"/>
        </w:trPr>
        <w:tc>
          <w:tcPr>
            <w:tcW w:w="8103" w:type="dxa"/>
            <w:gridSpan w:val="4"/>
          </w:tcPr>
          <w:p w:rsidR="00080446" w:rsidRPr="00892DE3" w:rsidRDefault="00080446" w:rsidP="000C4727">
            <w:pPr>
              <w:spacing w:before="120"/>
              <w:jc w:val="left"/>
              <w:rPr>
                <w:b/>
                <w:szCs w:val="17"/>
              </w:rPr>
            </w:pPr>
            <w:r w:rsidRPr="00892DE3">
              <w:rPr>
                <w:b/>
                <w:szCs w:val="17"/>
              </w:rPr>
              <w:t>Management and structure</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Organisational structure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32</w:t>
            </w:r>
          </w:p>
        </w:tc>
      </w:tr>
      <w:tr w:rsidR="00080446" w:rsidRPr="00892DE3" w:rsidTr="000C4727">
        <w:trPr>
          <w:cantSplit w:val="0"/>
          <w:trHeight w:val="20"/>
        </w:trPr>
        <w:tc>
          <w:tcPr>
            <w:tcW w:w="8103" w:type="dxa"/>
            <w:gridSpan w:val="4"/>
          </w:tcPr>
          <w:p w:rsidR="00080446" w:rsidRPr="00892DE3" w:rsidRDefault="00080446" w:rsidP="000C4727">
            <w:pPr>
              <w:spacing w:before="120"/>
              <w:jc w:val="left"/>
              <w:rPr>
                <w:b/>
                <w:szCs w:val="17"/>
              </w:rPr>
            </w:pPr>
            <w:r w:rsidRPr="00892DE3">
              <w:rPr>
                <w:b/>
                <w:szCs w:val="17"/>
              </w:rPr>
              <w:t>Financial and other information</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8D</w:t>
            </w:r>
          </w:p>
        </w:tc>
        <w:tc>
          <w:tcPr>
            <w:tcW w:w="5810" w:type="dxa"/>
            <w:gridSpan w:val="2"/>
          </w:tcPr>
          <w:p w:rsidR="00080446" w:rsidRPr="00892DE3" w:rsidRDefault="00080446" w:rsidP="000C4727">
            <w:pPr>
              <w:jc w:val="left"/>
              <w:rPr>
                <w:szCs w:val="17"/>
              </w:rPr>
            </w:pPr>
            <w:r w:rsidRPr="00892DE3">
              <w:rPr>
                <w:szCs w:val="17"/>
              </w:rPr>
              <w:t xml:space="preserve">Performance against output performance measures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19</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 xml:space="preserve">FRD 8D </w:t>
            </w:r>
          </w:p>
        </w:tc>
        <w:tc>
          <w:tcPr>
            <w:tcW w:w="5810" w:type="dxa"/>
            <w:gridSpan w:val="2"/>
          </w:tcPr>
          <w:p w:rsidR="00080446" w:rsidRPr="00892DE3" w:rsidRDefault="00080446" w:rsidP="000C4727">
            <w:pPr>
              <w:jc w:val="left"/>
              <w:rPr>
                <w:szCs w:val="17"/>
              </w:rPr>
            </w:pPr>
            <w:r w:rsidRPr="00892DE3">
              <w:rPr>
                <w:szCs w:val="17"/>
              </w:rPr>
              <w:t>Budget portfolio outcomes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25</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 xml:space="preserve">FRD 10A </w:t>
            </w:r>
          </w:p>
        </w:tc>
        <w:tc>
          <w:tcPr>
            <w:tcW w:w="5810" w:type="dxa"/>
            <w:gridSpan w:val="2"/>
          </w:tcPr>
          <w:p w:rsidR="00080446" w:rsidRPr="00892DE3" w:rsidRDefault="00080446" w:rsidP="000C4727">
            <w:pPr>
              <w:jc w:val="left"/>
              <w:rPr>
                <w:szCs w:val="17"/>
              </w:rPr>
            </w:pPr>
            <w:r w:rsidRPr="00892DE3">
              <w:rPr>
                <w:szCs w:val="17"/>
              </w:rPr>
              <w:t>Disclosure index</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67</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12B</w:t>
            </w:r>
          </w:p>
        </w:tc>
        <w:tc>
          <w:tcPr>
            <w:tcW w:w="5810" w:type="dxa"/>
            <w:gridSpan w:val="2"/>
          </w:tcPr>
          <w:p w:rsidR="00080446" w:rsidRPr="00892DE3" w:rsidRDefault="00080446" w:rsidP="000C4727">
            <w:pPr>
              <w:jc w:val="left"/>
              <w:rPr>
                <w:szCs w:val="17"/>
              </w:rPr>
            </w:pPr>
            <w:r w:rsidRPr="00892DE3">
              <w:rPr>
                <w:szCs w:val="17"/>
              </w:rPr>
              <w:t>Disclosure of major contracts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51</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 xml:space="preserve">FRD 15D </w:t>
            </w:r>
          </w:p>
        </w:tc>
        <w:tc>
          <w:tcPr>
            <w:tcW w:w="5810" w:type="dxa"/>
            <w:gridSpan w:val="2"/>
          </w:tcPr>
          <w:p w:rsidR="00080446" w:rsidRPr="00892DE3" w:rsidRDefault="00080446" w:rsidP="000C4727">
            <w:pPr>
              <w:jc w:val="left"/>
              <w:rPr>
                <w:szCs w:val="17"/>
              </w:rPr>
            </w:pPr>
            <w:r w:rsidRPr="00892DE3">
              <w:rPr>
                <w:szCs w:val="17"/>
              </w:rPr>
              <w:t>Executive officer disclosures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44</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Employment and conduct principles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39</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Occupational health and safety policy</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34</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Summary of the financial results for the year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26</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Significant changes in financial position during the year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27</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Major changes or factors affecting performance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27</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Subsequent events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31</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Application and operation of </w:t>
            </w:r>
            <w:r w:rsidRPr="00892DE3">
              <w:rPr>
                <w:i/>
                <w:szCs w:val="17"/>
              </w:rPr>
              <w:t>Freedom of Information Act 1982</w:t>
            </w:r>
            <w:r w:rsidRPr="00892DE3">
              <w:rPr>
                <w:szCs w:val="17"/>
              </w:rPr>
              <w:t xml:space="preserve">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52</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Compliance with building and maintenance provisions of </w:t>
            </w:r>
            <w:r w:rsidRPr="00892DE3">
              <w:rPr>
                <w:i/>
                <w:szCs w:val="17"/>
              </w:rPr>
              <w:t>Building Act 1993</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53</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Statement on National Competition Policy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53</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Application and operation of the </w:t>
            </w:r>
            <w:r w:rsidRPr="00892DE3">
              <w:rPr>
                <w:i/>
                <w:szCs w:val="17"/>
              </w:rPr>
              <w:t>Protected Disclosure</w:t>
            </w:r>
            <w:r w:rsidR="00492605" w:rsidRPr="00892DE3">
              <w:rPr>
                <w:i/>
                <w:szCs w:val="17"/>
              </w:rPr>
              <w:t xml:space="preserve"> Act</w:t>
            </w:r>
            <w:r w:rsidRPr="00892DE3">
              <w:rPr>
                <w:i/>
                <w:szCs w:val="17"/>
              </w:rPr>
              <w:t xml:space="preserve"> 2012</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54</w:t>
            </w:r>
          </w:p>
        </w:tc>
      </w:tr>
      <w:tr w:rsidR="00080446" w:rsidRPr="00892DE3" w:rsidTr="000C4727">
        <w:trPr>
          <w:cantSplit w:val="0"/>
          <w:trHeight w:val="20"/>
        </w:trPr>
        <w:tc>
          <w:tcPr>
            <w:tcW w:w="1213" w:type="dxa"/>
          </w:tcPr>
          <w:p w:rsidR="00080446" w:rsidRPr="00892DE3" w:rsidDel="006648CC"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Application and operation of the </w:t>
            </w:r>
            <w:r w:rsidRPr="00892DE3">
              <w:rPr>
                <w:i/>
                <w:szCs w:val="17"/>
              </w:rPr>
              <w:t>Carers Recognition Act 2012</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55</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Details of consultancies over $10 000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49</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Details of consultancies under $10 000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49</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Disclosure of government advertising expenditure</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48</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Disclosure of ICT expenditure</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50</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Statement of availability of other information </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63</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24C</w:t>
            </w:r>
          </w:p>
        </w:tc>
        <w:tc>
          <w:tcPr>
            <w:tcW w:w="5810" w:type="dxa"/>
            <w:gridSpan w:val="2"/>
          </w:tcPr>
          <w:p w:rsidR="00080446" w:rsidRPr="00892DE3" w:rsidRDefault="00080446" w:rsidP="000C4727">
            <w:pPr>
              <w:jc w:val="left"/>
              <w:rPr>
                <w:szCs w:val="17"/>
              </w:rPr>
            </w:pPr>
            <w:r w:rsidRPr="00892DE3">
              <w:rPr>
                <w:szCs w:val="17"/>
              </w:rPr>
              <w:t>Reporting of office</w:t>
            </w:r>
            <w:r w:rsidRPr="00892DE3">
              <w:rPr>
                <w:szCs w:val="17"/>
              </w:rPr>
              <w:noBreakHyphen/>
              <w:t>based environmental impacts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56</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25C</w:t>
            </w:r>
          </w:p>
        </w:tc>
        <w:tc>
          <w:tcPr>
            <w:tcW w:w="5810" w:type="dxa"/>
            <w:gridSpan w:val="2"/>
          </w:tcPr>
          <w:p w:rsidR="00080446" w:rsidRPr="00892DE3" w:rsidRDefault="00080446" w:rsidP="000C4727">
            <w:pPr>
              <w:jc w:val="left"/>
              <w:rPr>
                <w:szCs w:val="17"/>
              </w:rPr>
            </w:pPr>
            <w:r w:rsidRPr="00892DE3">
              <w:rPr>
                <w:szCs w:val="17"/>
              </w:rPr>
              <w:t>Victorian Industry Participation Policy disclosures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46</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29B</w:t>
            </w:r>
          </w:p>
        </w:tc>
        <w:tc>
          <w:tcPr>
            <w:tcW w:w="5810" w:type="dxa"/>
            <w:gridSpan w:val="2"/>
          </w:tcPr>
          <w:p w:rsidR="00080446" w:rsidRPr="00892DE3" w:rsidRDefault="00080446" w:rsidP="000C4727">
            <w:pPr>
              <w:jc w:val="left"/>
              <w:rPr>
                <w:szCs w:val="17"/>
              </w:rPr>
            </w:pPr>
            <w:r w:rsidRPr="00892DE3">
              <w:rPr>
                <w:szCs w:val="17"/>
              </w:rPr>
              <w:t>Workforce Data disclosures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40</w:t>
            </w:r>
          </w:p>
        </w:tc>
      </w:tr>
      <w:tr w:rsidR="00142286" w:rsidRPr="00892DE3" w:rsidTr="000C4727">
        <w:trPr>
          <w:cantSplit w:val="0"/>
          <w:trHeight w:val="20"/>
        </w:trPr>
        <w:tc>
          <w:tcPr>
            <w:tcW w:w="1213" w:type="dxa"/>
          </w:tcPr>
          <w:p w:rsidR="00142286" w:rsidRPr="00892DE3" w:rsidRDefault="00142286" w:rsidP="00142286">
            <w:pPr>
              <w:jc w:val="left"/>
              <w:rPr>
                <w:szCs w:val="17"/>
              </w:rPr>
            </w:pPr>
            <w:r w:rsidRPr="00892DE3">
              <w:rPr>
                <w:szCs w:val="17"/>
              </w:rPr>
              <w:t>SD 5.2</w:t>
            </w:r>
          </w:p>
        </w:tc>
        <w:tc>
          <w:tcPr>
            <w:tcW w:w="5810" w:type="dxa"/>
            <w:gridSpan w:val="2"/>
          </w:tcPr>
          <w:p w:rsidR="00142286" w:rsidRPr="00892DE3" w:rsidRDefault="00142286" w:rsidP="00142286">
            <w:pPr>
              <w:jc w:val="left"/>
              <w:rPr>
                <w:szCs w:val="17"/>
              </w:rPr>
            </w:pPr>
            <w:r w:rsidRPr="00892DE3">
              <w:rPr>
                <w:szCs w:val="17"/>
              </w:rPr>
              <w:t>Specific requirements under Standing Direction 5.2</w:t>
            </w:r>
          </w:p>
        </w:tc>
        <w:tc>
          <w:tcPr>
            <w:tcW w:w="1080" w:type="dxa"/>
          </w:tcPr>
          <w:p w:rsidR="00142286" w:rsidRPr="00892DE3" w:rsidRDefault="00142286" w:rsidP="00142286">
            <w:pPr>
              <w:rPr>
                <w:szCs w:val="17"/>
              </w:rPr>
            </w:pPr>
            <w:r w:rsidRPr="00892DE3">
              <w:rPr>
                <w:szCs w:val="17"/>
              </w:rPr>
              <w:t>Page 11</w:t>
            </w:r>
          </w:p>
        </w:tc>
      </w:tr>
      <w:tr w:rsidR="00080446" w:rsidRPr="00892DE3" w:rsidTr="000C4727">
        <w:trPr>
          <w:cantSplit w:val="0"/>
          <w:trHeight w:val="20"/>
        </w:trPr>
        <w:tc>
          <w:tcPr>
            <w:tcW w:w="8103" w:type="dxa"/>
            <w:gridSpan w:val="4"/>
          </w:tcPr>
          <w:p w:rsidR="00080446" w:rsidRPr="00892DE3" w:rsidRDefault="00080446" w:rsidP="000C4727">
            <w:pPr>
              <w:spacing w:before="120"/>
              <w:jc w:val="left"/>
              <w:rPr>
                <w:b/>
                <w:szCs w:val="17"/>
              </w:rPr>
            </w:pPr>
            <w:r w:rsidRPr="00892DE3">
              <w:rPr>
                <w:b/>
                <w:szCs w:val="17"/>
              </w:rPr>
              <w:t>Compliance attestation and declaration</w:t>
            </w:r>
          </w:p>
        </w:tc>
      </w:tr>
      <w:tr w:rsidR="00080446" w:rsidRPr="00892DE3" w:rsidTr="000C4727">
        <w:trPr>
          <w:cantSplit w:val="0"/>
          <w:trHeight w:val="20"/>
        </w:trPr>
        <w:tc>
          <w:tcPr>
            <w:tcW w:w="1213" w:type="dxa"/>
          </w:tcPr>
          <w:p w:rsidR="00080446" w:rsidRPr="00892DE3" w:rsidRDefault="00080446" w:rsidP="004E6286">
            <w:pPr>
              <w:jc w:val="left"/>
              <w:rPr>
                <w:szCs w:val="17"/>
              </w:rPr>
            </w:pPr>
            <w:r w:rsidRPr="00892DE3">
              <w:rPr>
                <w:szCs w:val="17"/>
              </w:rPr>
              <w:t xml:space="preserve">SD </w:t>
            </w:r>
            <w:r w:rsidR="004E6286">
              <w:rPr>
                <w:szCs w:val="17"/>
              </w:rPr>
              <w:t>3.7.1</w:t>
            </w:r>
          </w:p>
        </w:tc>
        <w:tc>
          <w:tcPr>
            <w:tcW w:w="5810" w:type="dxa"/>
            <w:gridSpan w:val="2"/>
          </w:tcPr>
          <w:p w:rsidR="00080446" w:rsidRPr="00892DE3" w:rsidRDefault="00080446" w:rsidP="000C4727">
            <w:pPr>
              <w:jc w:val="left"/>
              <w:rPr>
                <w:szCs w:val="17"/>
              </w:rPr>
            </w:pPr>
            <w:r w:rsidRPr="00892DE3">
              <w:rPr>
                <w:szCs w:val="17"/>
              </w:rPr>
              <w:t>Attestation for compliance with Ministerial Standing Direction</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64</w:t>
            </w:r>
          </w:p>
        </w:tc>
      </w:tr>
      <w:tr w:rsidR="00080446" w:rsidRPr="00892DE3" w:rsidTr="000C4727">
        <w:trPr>
          <w:cantSplit w:val="0"/>
          <w:trHeight w:val="20"/>
        </w:trPr>
        <w:tc>
          <w:tcPr>
            <w:tcW w:w="1213" w:type="dxa"/>
            <w:tcBorders>
              <w:bottom w:val="nil"/>
            </w:tcBorders>
          </w:tcPr>
          <w:p w:rsidR="00080446" w:rsidRPr="00892DE3" w:rsidRDefault="00080446" w:rsidP="000C4727">
            <w:pPr>
              <w:jc w:val="left"/>
              <w:rPr>
                <w:szCs w:val="17"/>
              </w:rPr>
            </w:pPr>
            <w:r w:rsidRPr="00892DE3">
              <w:rPr>
                <w:szCs w:val="17"/>
              </w:rPr>
              <w:t>SD 5.2.3</w:t>
            </w:r>
          </w:p>
        </w:tc>
        <w:tc>
          <w:tcPr>
            <w:tcW w:w="5810" w:type="dxa"/>
            <w:gridSpan w:val="2"/>
            <w:tcBorders>
              <w:bottom w:val="nil"/>
            </w:tcBorders>
          </w:tcPr>
          <w:p w:rsidR="00080446" w:rsidRPr="00892DE3" w:rsidRDefault="00080446" w:rsidP="000C4727">
            <w:pPr>
              <w:jc w:val="left"/>
              <w:rPr>
                <w:szCs w:val="17"/>
              </w:rPr>
            </w:pPr>
            <w:r w:rsidRPr="00892DE3">
              <w:rPr>
                <w:szCs w:val="17"/>
              </w:rPr>
              <w:t>Declaration in report of operations</w:t>
            </w:r>
          </w:p>
        </w:tc>
        <w:tc>
          <w:tcPr>
            <w:tcW w:w="1080" w:type="dxa"/>
            <w:tcBorders>
              <w:bottom w:val="nil"/>
            </w:tcBorders>
          </w:tcPr>
          <w:p w:rsidR="00080446" w:rsidRPr="00892DE3" w:rsidRDefault="00080446" w:rsidP="00142286">
            <w:pPr>
              <w:rPr>
                <w:szCs w:val="17"/>
              </w:rPr>
            </w:pPr>
            <w:r w:rsidRPr="00892DE3">
              <w:rPr>
                <w:szCs w:val="17"/>
              </w:rPr>
              <w:t xml:space="preserve">Page </w:t>
            </w:r>
            <w:r w:rsidR="00142286" w:rsidRPr="00892DE3">
              <w:rPr>
                <w:szCs w:val="17"/>
              </w:rPr>
              <w:t>12</w:t>
            </w:r>
          </w:p>
        </w:tc>
      </w:tr>
      <w:tr w:rsidR="00080446" w:rsidRPr="00892DE3" w:rsidTr="00142286">
        <w:trPr>
          <w:cantSplit w:val="0"/>
          <w:trHeight w:val="240"/>
        </w:trPr>
        <w:tc>
          <w:tcPr>
            <w:tcW w:w="7023" w:type="dxa"/>
            <w:gridSpan w:val="3"/>
            <w:tcBorders>
              <w:bottom w:val="nil"/>
            </w:tcBorders>
            <w:shd w:val="clear" w:color="auto" w:fill="EBEBEB"/>
          </w:tcPr>
          <w:p w:rsidR="00080446" w:rsidRPr="00892DE3" w:rsidRDefault="00080446" w:rsidP="00142286">
            <w:pPr>
              <w:spacing w:before="120"/>
              <w:jc w:val="left"/>
              <w:rPr>
                <w:i/>
                <w:szCs w:val="17"/>
              </w:rPr>
            </w:pPr>
            <w:r w:rsidRPr="00892DE3">
              <w:rPr>
                <w:i/>
                <w:szCs w:val="17"/>
              </w:rPr>
              <w:t>Financial statements</w:t>
            </w:r>
          </w:p>
        </w:tc>
        <w:tc>
          <w:tcPr>
            <w:tcW w:w="1080" w:type="dxa"/>
            <w:tcBorders>
              <w:bottom w:val="nil"/>
            </w:tcBorders>
            <w:shd w:val="clear" w:color="auto" w:fill="EBEBEB"/>
          </w:tcPr>
          <w:p w:rsidR="00080446" w:rsidRPr="00892DE3" w:rsidRDefault="00080446" w:rsidP="000C4727">
            <w:pPr>
              <w:spacing w:before="120"/>
              <w:rPr>
                <w:i/>
                <w:szCs w:val="17"/>
              </w:rPr>
            </w:pPr>
          </w:p>
        </w:tc>
      </w:tr>
      <w:tr w:rsidR="00080446" w:rsidRPr="00892DE3" w:rsidTr="000C4727">
        <w:trPr>
          <w:cantSplit w:val="0"/>
          <w:trHeight w:val="20"/>
        </w:trPr>
        <w:tc>
          <w:tcPr>
            <w:tcW w:w="1213" w:type="dxa"/>
          </w:tcPr>
          <w:p w:rsidR="00080446" w:rsidRPr="00892DE3" w:rsidRDefault="00080446" w:rsidP="000C4727">
            <w:pPr>
              <w:jc w:val="left"/>
              <w:rPr>
                <w:b/>
                <w:szCs w:val="17"/>
              </w:rPr>
            </w:pPr>
            <w:r w:rsidRPr="00892DE3">
              <w:rPr>
                <w:b/>
                <w:szCs w:val="17"/>
              </w:rPr>
              <w:t>Declaration</w:t>
            </w:r>
          </w:p>
        </w:tc>
        <w:tc>
          <w:tcPr>
            <w:tcW w:w="5810" w:type="dxa"/>
            <w:gridSpan w:val="2"/>
          </w:tcPr>
          <w:p w:rsidR="00080446" w:rsidRPr="00892DE3" w:rsidDel="00052A77" w:rsidRDefault="00080446" w:rsidP="000C4727">
            <w:pPr>
              <w:jc w:val="left"/>
              <w:rPr>
                <w:b/>
                <w:szCs w:val="17"/>
              </w:rPr>
            </w:pPr>
          </w:p>
        </w:tc>
        <w:tc>
          <w:tcPr>
            <w:tcW w:w="1080" w:type="dxa"/>
          </w:tcPr>
          <w:p w:rsidR="00080446" w:rsidRPr="00892DE3" w:rsidRDefault="00080446" w:rsidP="000C4727">
            <w:pPr>
              <w:rPr>
                <w:b/>
                <w:szCs w:val="17"/>
              </w:rPr>
            </w:pP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SD 5.2.2</w:t>
            </w:r>
          </w:p>
        </w:tc>
        <w:tc>
          <w:tcPr>
            <w:tcW w:w="5810" w:type="dxa"/>
            <w:gridSpan w:val="2"/>
          </w:tcPr>
          <w:p w:rsidR="00080446" w:rsidRPr="00892DE3" w:rsidRDefault="00080446" w:rsidP="000C4727">
            <w:pPr>
              <w:jc w:val="left"/>
              <w:rPr>
                <w:szCs w:val="17"/>
              </w:rPr>
            </w:pPr>
            <w:r w:rsidRPr="00892DE3">
              <w:rPr>
                <w:szCs w:val="17"/>
              </w:rPr>
              <w:t>Declaration in financial statements</w:t>
            </w:r>
          </w:p>
        </w:tc>
        <w:tc>
          <w:tcPr>
            <w:tcW w:w="1080" w:type="dxa"/>
          </w:tcPr>
          <w:p w:rsidR="00080446" w:rsidRPr="00892DE3" w:rsidRDefault="00080446" w:rsidP="00142286">
            <w:pPr>
              <w:rPr>
                <w:szCs w:val="17"/>
              </w:rPr>
            </w:pPr>
            <w:r w:rsidRPr="00892DE3">
              <w:rPr>
                <w:szCs w:val="17"/>
              </w:rPr>
              <w:t xml:space="preserve">Page </w:t>
            </w:r>
            <w:r w:rsidR="00142286" w:rsidRPr="00892DE3">
              <w:rPr>
                <w:szCs w:val="17"/>
              </w:rPr>
              <w:t>72</w:t>
            </w:r>
          </w:p>
        </w:tc>
      </w:tr>
    </w:tbl>
    <w:p w:rsidR="009B0B62" w:rsidRPr="00892DE3" w:rsidRDefault="009B0B62" w:rsidP="000C4727"/>
    <w:p w:rsidR="009B0B62" w:rsidRPr="00892DE3" w:rsidRDefault="009B0B62">
      <w:pPr>
        <w:keepLines w:val="0"/>
      </w:pPr>
      <w:r w:rsidRPr="00892DE3">
        <w:br w:type="page"/>
      </w:r>
    </w:p>
    <w:p w:rsidR="00080446" w:rsidRPr="00892DE3" w:rsidRDefault="00080446" w:rsidP="000C4727"/>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r w:rsidRPr="00892DE3">
        <w:br w:type="column"/>
      </w:r>
    </w:p>
    <w:tbl>
      <w:tblPr>
        <w:tblStyle w:val="DTFTable"/>
        <w:tblW w:w="8406" w:type="dxa"/>
        <w:tblLayout w:type="fixed"/>
        <w:tblLook w:val="0620" w:firstRow="1" w:lastRow="0" w:firstColumn="0" w:lastColumn="0" w:noHBand="1" w:noVBand="1"/>
      </w:tblPr>
      <w:tblGrid>
        <w:gridCol w:w="1213"/>
        <w:gridCol w:w="5580"/>
        <w:gridCol w:w="360"/>
        <w:gridCol w:w="1253"/>
      </w:tblGrid>
      <w:tr w:rsidR="00080446" w:rsidRPr="00892DE3" w:rsidTr="009B0B62">
        <w:trPr>
          <w:cnfStyle w:val="100000000000" w:firstRow="1" w:lastRow="0" w:firstColumn="0" w:lastColumn="0" w:oddVBand="0" w:evenVBand="0" w:oddHBand="0" w:evenHBand="0" w:firstRowFirstColumn="0" w:firstRowLastColumn="0" w:lastRowFirstColumn="0" w:lastRowLastColumn="0"/>
          <w:trHeight w:val="20"/>
        </w:trPr>
        <w:tc>
          <w:tcPr>
            <w:tcW w:w="1213" w:type="dxa"/>
            <w:tcBorders>
              <w:bottom w:val="nil"/>
            </w:tcBorders>
          </w:tcPr>
          <w:p w:rsidR="00080446" w:rsidRPr="00892DE3" w:rsidRDefault="00080446" w:rsidP="009B0B62">
            <w:pPr>
              <w:jc w:val="left"/>
            </w:pPr>
            <w:r w:rsidRPr="00892DE3">
              <w:t>Legislation</w:t>
            </w:r>
          </w:p>
        </w:tc>
        <w:tc>
          <w:tcPr>
            <w:tcW w:w="5580" w:type="dxa"/>
            <w:tcBorders>
              <w:bottom w:val="nil"/>
            </w:tcBorders>
          </w:tcPr>
          <w:p w:rsidR="00080446" w:rsidRPr="00892DE3" w:rsidRDefault="00080446" w:rsidP="009B0B62">
            <w:pPr>
              <w:jc w:val="left"/>
            </w:pPr>
            <w:r w:rsidRPr="00892DE3">
              <w:t>Requirement</w:t>
            </w:r>
          </w:p>
        </w:tc>
        <w:tc>
          <w:tcPr>
            <w:tcW w:w="1613" w:type="dxa"/>
            <w:gridSpan w:val="2"/>
            <w:tcBorders>
              <w:bottom w:val="nil"/>
            </w:tcBorders>
          </w:tcPr>
          <w:p w:rsidR="00080446" w:rsidRPr="00892DE3" w:rsidRDefault="00080446" w:rsidP="009B0B62">
            <w:r w:rsidRPr="00892DE3">
              <w:t>Page reference</w:t>
            </w:r>
          </w:p>
        </w:tc>
      </w:tr>
      <w:tr w:rsidR="009B0B62" w:rsidRPr="00892DE3" w:rsidTr="009B0B62">
        <w:trPr>
          <w:cantSplit w:val="0"/>
          <w:trHeight w:val="20"/>
        </w:trPr>
        <w:tc>
          <w:tcPr>
            <w:tcW w:w="8406" w:type="dxa"/>
            <w:gridSpan w:val="4"/>
            <w:tcBorders>
              <w:bottom w:val="nil"/>
            </w:tcBorders>
            <w:shd w:val="clear" w:color="auto" w:fill="595959" w:themeFill="text1" w:themeFillTint="A6"/>
          </w:tcPr>
          <w:p w:rsidR="00080446" w:rsidRPr="00892DE3" w:rsidRDefault="00080446" w:rsidP="009B0B62">
            <w:pPr>
              <w:jc w:val="left"/>
              <w:rPr>
                <w:i/>
                <w:color w:val="FFFFFF" w:themeColor="background1"/>
              </w:rPr>
            </w:pPr>
            <w:r w:rsidRPr="00892DE3">
              <w:rPr>
                <w:i/>
                <w:color w:val="FFFFFF" w:themeColor="background1"/>
              </w:rPr>
              <w:t>Ministerial Directions &amp; Financial Reporting Directions</w:t>
            </w:r>
          </w:p>
        </w:tc>
      </w:tr>
      <w:tr w:rsidR="00080446" w:rsidRPr="00892DE3" w:rsidTr="009B0B62">
        <w:trPr>
          <w:cantSplit w:val="0"/>
          <w:trHeight w:val="20"/>
        </w:trPr>
        <w:tc>
          <w:tcPr>
            <w:tcW w:w="8406" w:type="dxa"/>
            <w:gridSpan w:val="4"/>
          </w:tcPr>
          <w:p w:rsidR="00080446" w:rsidRPr="00892DE3" w:rsidRDefault="00080446" w:rsidP="009B0B62">
            <w:pPr>
              <w:spacing w:before="120"/>
              <w:jc w:val="left"/>
              <w:rPr>
                <w:b/>
              </w:rPr>
            </w:pPr>
            <w:r w:rsidRPr="00892DE3">
              <w:rPr>
                <w:b/>
              </w:rPr>
              <w:t>Other requirements under Standing Directions 5.2</w:t>
            </w:r>
          </w:p>
        </w:tc>
      </w:tr>
      <w:tr w:rsidR="00080446" w:rsidRPr="00892DE3" w:rsidTr="009B0B62">
        <w:trPr>
          <w:cantSplit w:val="0"/>
          <w:trHeight w:val="20"/>
        </w:trPr>
        <w:tc>
          <w:tcPr>
            <w:tcW w:w="1213" w:type="dxa"/>
          </w:tcPr>
          <w:p w:rsidR="00080446" w:rsidRPr="00892DE3" w:rsidRDefault="00080446" w:rsidP="00142286">
            <w:pPr>
              <w:jc w:val="left"/>
            </w:pPr>
            <w:r w:rsidRPr="00892DE3">
              <w:t>SD 5.2.1(a)</w:t>
            </w:r>
          </w:p>
        </w:tc>
        <w:tc>
          <w:tcPr>
            <w:tcW w:w="5940" w:type="dxa"/>
            <w:gridSpan w:val="2"/>
          </w:tcPr>
          <w:p w:rsidR="00080446" w:rsidRPr="00892DE3" w:rsidRDefault="00080446" w:rsidP="009B0B62">
            <w:pPr>
              <w:jc w:val="left"/>
            </w:pPr>
            <w:r w:rsidRPr="00892DE3">
              <w:t>Compliance with Australian accounting standards and other authoritative pronouncements</w:t>
            </w:r>
          </w:p>
        </w:tc>
        <w:tc>
          <w:tcPr>
            <w:tcW w:w="1253" w:type="dxa"/>
          </w:tcPr>
          <w:p w:rsidR="00080446" w:rsidRPr="00892DE3" w:rsidRDefault="00080446" w:rsidP="00142286">
            <w:r w:rsidRPr="00892DE3">
              <w:t xml:space="preserve">Page </w:t>
            </w:r>
            <w:r w:rsidR="00142286" w:rsidRPr="00892DE3">
              <w:t>86</w:t>
            </w:r>
          </w:p>
        </w:tc>
      </w:tr>
      <w:tr w:rsidR="00080446" w:rsidRPr="00892DE3" w:rsidTr="009B0B62">
        <w:trPr>
          <w:cantSplit w:val="0"/>
          <w:trHeight w:val="20"/>
        </w:trPr>
        <w:tc>
          <w:tcPr>
            <w:tcW w:w="1213" w:type="dxa"/>
          </w:tcPr>
          <w:p w:rsidR="00080446" w:rsidRPr="00892DE3" w:rsidRDefault="00080446" w:rsidP="00142286">
            <w:pPr>
              <w:jc w:val="left"/>
            </w:pPr>
            <w:r w:rsidRPr="00892DE3">
              <w:t>SD 5.2.1(a)</w:t>
            </w:r>
          </w:p>
        </w:tc>
        <w:tc>
          <w:tcPr>
            <w:tcW w:w="5940" w:type="dxa"/>
            <w:gridSpan w:val="2"/>
          </w:tcPr>
          <w:p w:rsidR="00080446" w:rsidRPr="00892DE3" w:rsidRDefault="00080446" w:rsidP="009B0B62">
            <w:pPr>
              <w:jc w:val="left"/>
            </w:pPr>
            <w:r w:rsidRPr="00892DE3">
              <w:t>Compliance with Ministerial Directions</w:t>
            </w:r>
          </w:p>
        </w:tc>
        <w:tc>
          <w:tcPr>
            <w:tcW w:w="1253" w:type="dxa"/>
          </w:tcPr>
          <w:p w:rsidR="00080446" w:rsidRPr="00892DE3" w:rsidRDefault="00080446" w:rsidP="00142286">
            <w:r w:rsidRPr="00892DE3">
              <w:t xml:space="preserve">Page </w:t>
            </w:r>
            <w:r w:rsidR="00142286" w:rsidRPr="00892DE3">
              <w:t>72</w:t>
            </w:r>
          </w:p>
        </w:tc>
      </w:tr>
      <w:tr w:rsidR="00080446" w:rsidRPr="00892DE3" w:rsidTr="009B0B62">
        <w:trPr>
          <w:cantSplit w:val="0"/>
          <w:trHeight w:val="20"/>
        </w:trPr>
        <w:tc>
          <w:tcPr>
            <w:tcW w:w="1213" w:type="dxa"/>
          </w:tcPr>
          <w:p w:rsidR="00080446" w:rsidRPr="00892DE3" w:rsidRDefault="00080446" w:rsidP="00142286">
            <w:pPr>
              <w:jc w:val="left"/>
            </w:pPr>
            <w:r w:rsidRPr="00892DE3">
              <w:t>SD 5.2.1(b)</w:t>
            </w:r>
          </w:p>
        </w:tc>
        <w:tc>
          <w:tcPr>
            <w:tcW w:w="5940" w:type="dxa"/>
            <w:gridSpan w:val="2"/>
          </w:tcPr>
          <w:p w:rsidR="00080446" w:rsidRPr="00892DE3" w:rsidRDefault="00080446" w:rsidP="009B0B62">
            <w:pPr>
              <w:jc w:val="left"/>
            </w:pPr>
            <w:r w:rsidRPr="00892DE3">
              <w:t>Compliance with Model Financial Report</w:t>
            </w:r>
          </w:p>
        </w:tc>
        <w:tc>
          <w:tcPr>
            <w:tcW w:w="1253" w:type="dxa"/>
          </w:tcPr>
          <w:p w:rsidR="00080446" w:rsidRPr="00892DE3" w:rsidRDefault="00080446" w:rsidP="00142286">
            <w:pPr>
              <w:pStyle w:val="Reference"/>
            </w:pPr>
            <w:r w:rsidRPr="00892DE3">
              <w:t>[Entities to determine as appropriate]</w:t>
            </w:r>
          </w:p>
        </w:tc>
      </w:tr>
      <w:tr w:rsidR="00080446" w:rsidRPr="00892DE3" w:rsidTr="009B0B62">
        <w:trPr>
          <w:cantSplit w:val="0"/>
          <w:trHeight w:val="20"/>
        </w:trPr>
        <w:tc>
          <w:tcPr>
            <w:tcW w:w="8406" w:type="dxa"/>
            <w:gridSpan w:val="4"/>
          </w:tcPr>
          <w:p w:rsidR="00080446" w:rsidRPr="00892DE3" w:rsidRDefault="00080446" w:rsidP="009B0B62">
            <w:pPr>
              <w:spacing w:before="120"/>
              <w:jc w:val="left"/>
              <w:rPr>
                <w:b/>
              </w:rPr>
            </w:pPr>
            <w:r w:rsidRPr="00892DE3">
              <w:rPr>
                <w:b/>
              </w:rPr>
              <w:t>Other disclosures as required by FRDs in no</w:t>
            </w:r>
            <w:r w:rsidR="009B0B62" w:rsidRPr="00892DE3">
              <w:rPr>
                <w:b/>
              </w:rPr>
              <w:t xml:space="preserve">tes to the financial statements </w:t>
            </w:r>
            <w:r w:rsidR="009B0B62" w:rsidRPr="00892DE3">
              <w:rPr>
                <w:b/>
                <w:vertAlign w:val="superscript"/>
              </w:rPr>
              <w:t>(a)</w:t>
            </w:r>
          </w:p>
        </w:tc>
      </w:tr>
      <w:tr w:rsidR="00080446" w:rsidRPr="00892DE3" w:rsidTr="009B0B62">
        <w:trPr>
          <w:cantSplit w:val="0"/>
          <w:trHeight w:val="20"/>
        </w:trPr>
        <w:tc>
          <w:tcPr>
            <w:tcW w:w="1213" w:type="dxa"/>
          </w:tcPr>
          <w:p w:rsidR="00080446" w:rsidRPr="00892DE3" w:rsidRDefault="00080446" w:rsidP="009B0B62">
            <w:pPr>
              <w:jc w:val="left"/>
            </w:pPr>
            <w:r w:rsidRPr="00892DE3">
              <w:t>FRD 9A</w:t>
            </w:r>
          </w:p>
        </w:tc>
        <w:tc>
          <w:tcPr>
            <w:tcW w:w="5940" w:type="dxa"/>
            <w:gridSpan w:val="2"/>
          </w:tcPr>
          <w:p w:rsidR="00080446" w:rsidRPr="00892DE3" w:rsidRDefault="00080446" w:rsidP="009B0B62">
            <w:pPr>
              <w:jc w:val="left"/>
            </w:pPr>
            <w:r w:rsidRPr="00892DE3">
              <w:t>Departmental Disclosure of Administered Assets and Liabilities by Activity</w:t>
            </w:r>
          </w:p>
        </w:tc>
        <w:tc>
          <w:tcPr>
            <w:tcW w:w="1253" w:type="dxa"/>
          </w:tcPr>
          <w:p w:rsidR="00080446" w:rsidRPr="00892DE3" w:rsidRDefault="00080446" w:rsidP="00142286">
            <w:r w:rsidRPr="00892DE3">
              <w:t xml:space="preserve">Page </w:t>
            </w:r>
            <w:r w:rsidR="00142286" w:rsidRPr="00892DE3">
              <w:t>106</w:t>
            </w:r>
          </w:p>
        </w:tc>
      </w:tr>
      <w:tr w:rsidR="00080446" w:rsidRPr="00892DE3" w:rsidTr="009B0B62">
        <w:trPr>
          <w:cantSplit w:val="0"/>
          <w:trHeight w:val="20"/>
        </w:trPr>
        <w:tc>
          <w:tcPr>
            <w:tcW w:w="1213" w:type="dxa"/>
          </w:tcPr>
          <w:p w:rsidR="00080446" w:rsidRPr="00892DE3" w:rsidRDefault="00080446" w:rsidP="009B0B62">
            <w:pPr>
              <w:jc w:val="left"/>
            </w:pPr>
            <w:r w:rsidRPr="00892DE3">
              <w:t>FRD 11A</w:t>
            </w:r>
          </w:p>
        </w:tc>
        <w:tc>
          <w:tcPr>
            <w:tcW w:w="5940" w:type="dxa"/>
            <w:gridSpan w:val="2"/>
          </w:tcPr>
          <w:p w:rsidR="00080446" w:rsidRPr="00892DE3" w:rsidRDefault="00080446" w:rsidP="009B0B62">
            <w:pPr>
              <w:jc w:val="left"/>
            </w:pPr>
            <w:r w:rsidRPr="00892DE3">
              <w:t>Disclosure of Ex gratia Expenses</w:t>
            </w:r>
          </w:p>
        </w:tc>
        <w:tc>
          <w:tcPr>
            <w:tcW w:w="1253" w:type="dxa"/>
          </w:tcPr>
          <w:p w:rsidR="00080446" w:rsidRPr="00892DE3" w:rsidRDefault="00080446" w:rsidP="00142286">
            <w:r w:rsidRPr="00892DE3">
              <w:t xml:space="preserve">Page </w:t>
            </w:r>
            <w:r w:rsidR="00142286" w:rsidRPr="00892DE3">
              <w:t>194</w:t>
            </w:r>
          </w:p>
        </w:tc>
      </w:tr>
      <w:tr w:rsidR="00080446" w:rsidRPr="00892DE3" w:rsidTr="009B0B62">
        <w:trPr>
          <w:cantSplit w:val="0"/>
          <w:trHeight w:val="20"/>
        </w:trPr>
        <w:tc>
          <w:tcPr>
            <w:tcW w:w="1213" w:type="dxa"/>
          </w:tcPr>
          <w:p w:rsidR="00080446" w:rsidRPr="00892DE3" w:rsidRDefault="00080446" w:rsidP="009B0B62">
            <w:pPr>
              <w:jc w:val="left"/>
            </w:pPr>
            <w:r w:rsidRPr="00892DE3">
              <w:t>FRD 13</w:t>
            </w:r>
          </w:p>
        </w:tc>
        <w:tc>
          <w:tcPr>
            <w:tcW w:w="5940" w:type="dxa"/>
            <w:gridSpan w:val="2"/>
          </w:tcPr>
          <w:p w:rsidR="00080446" w:rsidRPr="00892DE3" w:rsidRDefault="00080446" w:rsidP="009B0B62">
            <w:pPr>
              <w:jc w:val="left"/>
            </w:pPr>
            <w:r w:rsidRPr="00892DE3">
              <w:t>Disclosure of Parliamentary Appropriations</w:t>
            </w:r>
          </w:p>
        </w:tc>
        <w:tc>
          <w:tcPr>
            <w:tcW w:w="1253" w:type="dxa"/>
          </w:tcPr>
          <w:p w:rsidR="00080446" w:rsidRPr="00892DE3" w:rsidRDefault="00080446" w:rsidP="00142286">
            <w:r w:rsidRPr="00892DE3">
              <w:t xml:space="preserve">Page </w:t>
            </w:r>
            <w:r w:rsidR="00142286" w:rsidRPr="00892DE3">
              <w:t>89</w:t>
            </w:r>
          </w:p>
        </w:tc>
      </w:tr>
      <w:tr w:rsidR="00080446" w:rsidRPr="00892DE3" w:rsidTr="009B0B62">
        <w:trPr>
          <w:cantSplit w:val="0"/>
          <w:trHeight w:val="20"/>
        </w:trPr>
        <w:tc>
          <w:tcPr>
            <w:tcW w:w="1213" w:type="dxa"/>
          </w:tcPr>
          <w:p w:rsidR="00080446" w:rsidRPr="00892DE3" w:rsidRDefault="00080446" w:rsidP="009B0B62">
            <w:pPr>
              <w:jc w:val="left"/>
            </w:pPr>
            <w:r w:rsidRPr="00892DE3">
              <w:t>FRD 21C</w:t>
            </w:r>
          </w:p>
        </w:tc>
        <w:tc>
          <w:tcPr>
            <w:tcW w:w="5940" w:type="dxa"/>
            <w:gridSpan w:val="2"/>
          </w:tcPr>
          <w:p w:rsidR="00080446" w:rsidRPr="00892DE3" w:rsidRDefault="00080446" w:rsidP="009B0B62">
            <w:pPr>
              <w:jc w:val="left"/>
            </w:pPr>
            <w:r w:rsidRPr="00892DE3">
              <w:t>Disclosures of Responsible Persons, Executive Officers and other Personnel (Contractors with Significant Management Responsibilities) in the Financial Report</w:t>
            </w:r>
          </w:p>
        </w:tc>
        <w:tc>
          <w:tcPr>
            <w:tcW w:w="1253" w:type="dxa"/>
          </w:tcPr>
          <w:p w:rsidR="00080446" w:rsidRPr="00892DE3" w:rsidRDefault="00080446" w:rsidP="00142286">
            <w:r w:rsidRPr="00892DE3">
              <w:t xml:space="preserve">Page </w:t>
            </w:r>
            <w:r w:rsidR="00142286" w:rsidRPr="00892DE3">
              <w:t>206</w:t>
            </w:r>
          </w:p>
        </w:tc>
      </w:tr>
      <w:tr w:rsidR="00080446" w:rsidRPr="00892DE3" w:rsidTr="009B0B62">
        <w:trPr>
          <w:cantSplit w:val="0"/>
          <w:trHeight w:val="20"/>
        </w:trPr>
        <w:tc>
          <w:tcPr>
            <w:tcW w:w="1213" w:type="dxa"/>
          </w:tcPr>
          <w:p w:rsidR="00080446" w:rsidRPr="00892DE3" w:rsidRDefault="00080446" w:rsidP="00B03F9B">
            <w:pPr>
              <w:jc w:val="left"/>
            </w:pPr>
            <w:r w:rsidRPr="00892DE3">
              <w:t>FRD 103</w:t>
            </w:r>
            <w:r w:rsidR="00B03F9B">
              <w:t>F</w:t>
            </w:r>
          </w:p>
        </w:tc>
        <w:tc>
          <w:tcPr>
            <w:tcW w:w="5940" w:type="dxa"/>
            <w:gridSpan w:val="2"/>
          </w:tcPr>
          <w:p w:rsidR="00080446" w:rsidRPr="00892DE3" w:rsidRDefault="00080446" w:rsidP="009B0B62">
            <w:pPr>
              <w:jc w:val="left"/>
            </w:pPr>
            <w:r w:rsidRPr="00892DE3">
              <w:t>Non</w:t>
            </w:r>
            <w:r w:rsidRPr="00892DE3">
              <w:noBreakHyphen/>
              <w:t xml:space="preserve">Financial Physical Assets </w:t>
            </w:r>
          </w:p>
        </w:tc>
        <w:tc>
          <w:tcPr>
            <w:tcW w:w="1253" w:type="dxa"/>
          </w:tcPr>
          <w:p w:rsidR="00080446" w:rsidRPr="00892DE3" w:rsidRDefault="00080446" w:rsidP="00142286">
            <w:r w:rsidRPr="00892DE3">
              <w:t xml:space="preserve">Page </w:t>
            </w:r>
            <w:r w:rsidR="00142286" w:rsidRPr="00892DE3">
              <w:t>115</w:t>
            </w:r>
          </w:p>
        </w:tc>
      </w:tr>
      <w:tr w:rsidR="00080446" w:rsidRPr="00892DE3" w:rsidTr="009B0B62">
        <w:trPr>
          <w:cantSplit w:val="0"/>
          <w:trHeight w:val="20"/>
        </w:trPr>
        <w:tc>
          <w:tcPr>
            <w:tcW w:w="1213" w:type="dxa"/>
          </w:tcPr>
          <w:p w:rsidR="00080446" w:rsidRPr="00892DE3" w:rsidRDefault="00080446" w:rsidP="009B0B62">
            <w:pPr>
              <w:jc w:val="left"/>
            </w:pPr>
            <w:r w:rsidRPr="00892DE3">
              <w:t xml:space="preserve">FRD 110A </w:t>
            </w:r>
          </w:p>
        </w:tc>
        <w:tc>
          <w:tcPr>
            <w:tcW w:w="5940" w:type="dxa"/>
            <w:gridSpan w:val="2"/>
          </w:tcPr>
          <w:p w:rsidR="00080446" w:rsidRPr="00892DE3" w:rsidRDefault="00080446" w:rsidP="009B0B62">
            <w:pPr>
              <w:jc w:val="left"/>
            </w:pPr>
            <w:r w:rsidRPr="00892DE3">
              <w:t>Cash Flow Statements</w:t>
            </w:r>
          </w:p>
        </w:tc>
        <w:tc>
          <w:tcPr>
            <w:tcW w:w="1253" w:type="dxa"/>
          </w:tcPr>
          <w:p w:rsidR="00080446" w:rsidRPr="00892DE3" w:rsidRDefault="00080446" w:rsidP="00142286">
            <w:r w:rsidRPr="00892DE3">
              <w:t xml:space="preserve">Page </w:t>
            </w:r>
            <w:r w:rsidR="00142286" w:rsidRPr="00892DE3">
              <w:t>80</w:t>
            </w:r>
          </w:p>
        </w:tc>
      </w:tr>
      <w:tr w:rsidR="00080446" w:rsidRPr="00892DE3" w:rsidTr="009B0B62">
        <w:trPr>
          <w:cantSplit w:val="0"/>
          <w:trHeight w:val="20"/>
        </w:trPr>
        <w:tc>
          <w:tcPr>
            <w:tcW w:w="1213" w:type="dxa"/>
          </w:tcPr>
          <w:p w:rsidR="00080446" w:rsidRPr="00892DE3" w:rsidRDefault="00080446" w:rsidP="009B0B62">
            <w:pPr>
              <w:jc w:val="left"/>
            </w:pPr>
            <w:r w:rsidRPr="00892DE3">
              <w:t>FRD 112D</w:t>
            </w:r>
          </w:p>
        </w:tc>
        <w:tc>
          <w:tcPr>
            <w:tcW w:w="5940" w:type="dxa"/>
            <w:gridSpan w:val="2"/>
          </w:tcPr>
          <w:p w:rsidR="00080446" w:rsidRPr="00892DE3" w:rsidRDefault="00080446" w:rsidP="009B0B62">
            <w:pPr>
              <w:jc w:val="left"/>
            </w:pPr>
            <w:r w:rsidRPr="00892DE3">
              <w:t>Defined Benefit Superannuation Obligations</w:t>
            </w:r>
          </w:p>
        </w:tc>
        <w:tc>
          <w:tcPr>
            <w:tcW w:w="1253" w:type="dxa"/>
          </w:tcPr>
          <w:p w:rsidR="00080446" w:rsidRPr="00892DE3" w:rsidRDefault="00080446" w:rsidP="00142286">
            <w:r w:rsidRPr="00892DE3">
              <w:t xml:space="preserve">Page </w:t>
            </w:r>
            <w:r w:rsidR="00142286" w:rsidRPr="00892DE3">
              <w:t>98</w:t>
            </w:r>
          </w:p>
        </w:tc>
      </w:tr>
      <w:tr w:rsidR="00080446" w:rsidRPr="00892DE3" w:rsidTr="009B0B62">
        <w:trPr>
          <w:cantSplit w:val="0"/>
          <w:trHeight w:val="20"/>
        </w:trPr>
        <w:tc>
          <w:tcPr>
            <w:tcW w:w="8406" w:type="dxa"/>
            <w:gridSpan w:val="4"/>
            <w:tcBorders>
              <w:bottom w:val="nil"/>
            </w:tcBorders>
          </w:tcPr>
          <w:p w:rsidR="009B0B62" w:rsidRPr="00892DE3" w:rsidRDefault="00080446" w:rsidP="009B0B62">
            <w:pPr>
              <w:pStyle w:val="Note"/>
              <w:jc w:val="left"/>
            </w:pPr>
            <w:r w:rsidRPr="00892DE3">
              <w:t xml:space="preserve">Note: </w:t>
            </w:r>
          </w:p>
          <w:p w:rsidR="00080446" w:rsidRPr="00892DE3" w:rsidRDefault="009B0B62" w:rsidP="009B0B62">
            <w:pPr>
              <w:pStyle w:val="Note"/>
              <w:jc w:val="left"/>
            </w:pPr>
            <w:r w:rsidRPr="00892DE3">
              <w:t>(a)</w:t>
            </w:r>
            <w:r w:rsidRPr="00892DE3">
              <w:tab/>
            </w:r>
            <w:r w:rsidR="00080446" w:rsidRPr="00892DE3">
              <w:t>References to FRDs have been removed from the Disclosure Index if the specific FRDs do not contain requirements that are of the nature of disclosure</w:t>
            </w:r>
            <w:r w:rsidRPr="00892DE3">
              <w:t>.</w:t>
            </w:r>
          </w:p>
        </w:tc>
      </w:tr>
      <w:tr w:rsidR="00080446" w:rsidRPr="00892DE3" w:rsidTr="009B0B62">
        <w:trPr>
          <w:cantSplit w:val="0"/>
          <w:trHeight w:val="20"/>
        </w:trPr>
        <w:tc>
          <w:tcPr>
            <w:tcW w:w="7153" w:type="dxa"/>
            <w:gridSpan w:val="3"/>
            <w:tcBorders>
              <w:bottom w:val="nil"/>
            </w:tcBorders>
            <w:shd w:val="clear" w:color="auto" w:fill="EBEBEB"/>
          </w:tcPr>
          <w:p w:rsidR="00080446" w:rsidRPr="00892DE3" w:rsidRDefault="00080446" w:rsidP="009B0B62">
            <w:pPr>
              <w:spacing w:before="120"/>
              <w:jc w:val="left"/>
              <w:rPr>
                <w:i/>
              </w:rPr>
            </w:pPr>
            <w:r w:rsidRPr="00892DE3">
              <w:rPr>
                <w:i/>
              </w:rPr>
              <w:t>Legislation</w:t>
            </w:r>
          </w:p>
        </w:tc>
        <w:tc>
          <w:tcPr>
            <w:tcW w:w="1253" w:type="dxa"/>
            <w:tcBorders>
              <w:bottom w:val="nil"/>
            </w:tcBorders>
            <w:shd w:val="clear" w:color="auto" w:fill="EBEBEB"/>
          </w:tcPr>
          <w:p w:rsidR="00080446" w:rsidRPr="00892DE3" w:rsidRDefault="00080446" w:rsidP="009B0B62">
            <w:pPr>
              <w:spacing w:before="120"/>
              <w:rPr>
                <w:i/>
              </w:rPr>
            </w:pPr>
          </w:p>
        </w:tc>
      </w:tr>
      <w:tr w:rsidR="00080446" w:rsidRPr="00892DE3" w:rsidTr="009B0B62">
        <w:trPr>
          <w:cantSplit w:val="0"/>
          <w:trHeight w:val="20"/>
        </w:trPr>
        <w:tc>
          <w:tcPr>
            <w:tcW w:w="7153" w:type="dxa"/>
            <w:gridSpan w:val="3"/>
            <w:tcBorders>
              <w:top w:val="nil"/>
            </w:tcBorders>
          </w:tcPr>
          <w:p w:rsidR="00080446" w:rsidRPr="00892DE3" w:rsidRDefault="00080446" w:rsidP="009B0B62">
            <w:pPr>
              <w:jc w:val="left"/>
              <w:rPr>
                <w:i/>
              </w:rPr>
            </w:pPr>
            <w:r w:rsidRPr="00892DE3">
              <w:rPr>
                <w:i/>
              </w:rPr>
              <w:t>Freedom of Information Act 1982</w:t>
            </w:r>
          </w:p>
        </w:tc>
        <w:tc>
          <w:tcPr>
            <w:tcW w:w="1253" w:type="dxa"/>
            <w:tcBorders>
              <w:top w:val="nil"/>
            </w:tcBorders>
          </w:tcPr>
          <w:p w:rsidR="00080446" w:rsidRPr="00892DE3" w:rsidRDefault="00080446" w:rsidP="00142286">
            <w:r w:rsidRPr="00892DE3">
              <w:t xml:space="preserve">Page </w:t>
            </w:r>
            <w:r w:rsidR="00142286" w:rsidRPr="00892DE3">
              <w:t>52</w:t>
            </w:r>
          </w:p>
        </w:tc>
      </w:tr>
      <w:tr w:rsidR="00080446" w:rsidRPr="00892DE3" w:rsidTr="009B0B62">
        <w:trPr>
          <w:cantSplit w:val="0"/>
          <w:trHeight w:val="20"/>
        </w:trPr>
        <w:tc>
          <w:tcPr>
            <w:tcW w:w="7153" w:type="dxa"/>
            <w:gridSpan w:val="3"/>
          </w:tcPr>
          <w:p w:rsidR="00080446" w:rsidRPr="00892DE3" w:rsidRDefault="00080446" w:rsidP="009B0B62">
            <w:pPr>
              <w:jc w:val="left"/>
              <w:rPr>
                <w:i/>
              </w:rPr>
            </w:pPr>
            <w:r w:rsidRPr="00892DE3">
              <w:rPr>
                <w:i/>
              </w:rPr>
              <w:t>Building Act 1993</w:t>
            </w:r>
          </w:p>
        </w:tc>
        <w:tc>
          <w:tcPr>
            <w:tcW w:w="1253" w:type="dxa"/>
          </w:tcPr>
          <w:p w:rsidR="00080446" w:rsidRPr="00892DE3" w:rsidRDefault="00080446" w:rsidP="00142286">
            <w:r w:rsidRPr="00892DE3">
              <w:t xml:space="preserve">Page </w:t>
            </w:r>
            <w:r w:rsidR="00142286" w:rsidRPr="00892DE3">
              <w:t>53</w:t>
            </w:r>
          </w:p>
        </w:tc>
      </w:tr>
      <w:tr w:rsidR="00080446" w:rsidRPr="00892DE3" w:rsidTr="009B0B62">
        <w:trPr>
          <w:cantSplit w:val="0"/>
          <w:trHeight w:val="20"/>
        </w:trPr>
        <w:tc>
          <w:tcPr>
            <w:tcW w:w="7153" w:type="dxa"/>
            <w:gridSpan w:val="3"/>
          </w:tcPr>
          <w:p w:rsidR="00080446" w:rsidRPr="00892DE3" w:rsidRDefault="00080446" w:rsidP="009B0B62">
            <w:pPr>
              <w:jc w:val="left"/>
              <w:rPr>
                <w:i/>
              </w:rPr>
            </w:pPr>
            <w:r w:rsidRPr="00892DE3">
              <w:rPr>
                <w:i/>
              </w:rPr>
              <w:t>Protected Disclosure Act 2012</w:t>
            </w:r>
          </w:p>
        </w:tc>
        <w:tc>
          <w:tcPr>
            <w:tcW w:w="1253" w:type="dxa"/>
          </w:tcPr>
          <w:p w:rsidR="00080446" w:rsidRPr="00892DE3" w:rsidRDefault="00080446" w:rsidP="00142286">
            <w:r w:rsidRPr="00892DE3">
              <w:t xml:space="preserve">Page </w:t>
            </w:r>
            <w:r w:rsidR="00142286" w:rsidRPr="00892DE3">
              <w:t>54</w:t>
            </w:r>
          </w:p>
        </w:tc>
      </w:tr>
      <w:tr w:rsidR="00080446" w:rsidRPr="00892DE3" w:rsidTr="009B0B62">
        <w:trPr>
          <w:cantSplit w:val="0"/>
          <w:trHeight w:val="20"/>
        </w:trPr>
        <w:tc>
          <w:tcPr>
            <w:tcW w:w="7153" w:type="dxa"/>
            <w:gridSpan w:val="3"/>
          </w:tcPr>
          <w:p w:rsidR="00080446" w:rsidRPr="00892DE3" w:rsidRDefault="00080446" w:rsidP="009B0B62">
            <w:pPr>
              <w:jc w:val="left"/>
              <w:rPr>
                <w:i/>
              </w:rPr>
            </w:pPr>
            <w:r w:rsidRPr="00892DE3">
              <w:rPr>
                <w:i/>
              </w:rPr>
              <w:t>Carers Recognition Act 2012</w:t>
            </w:r>
          </w:p>
        </w:tc>
        <w:tc>
          <w:tcPr>
            <w:tcW w:w="1253" w:type="dxa"/>
          </w:tcPr>
          <w:p w:rsidR="00080446" w:rsidRPr="00892DE3" w:rsidRDefault="00080446" w:rsidP="00142286">
            <w:r w:rsidRPr="00892DE3">
              <w:t xml:space="preserve">Page </w:t>
            </w:r>
            <w:r w:rsidR="00142286" w:rsidRPr="00892DE3">
              <w:t>55</w:t>
            </w:r>
          </w:p>
        </w:tc>
      </w:tr>
      <w:tr w:rsidR="00080446" w:rsidRPr="00892DE3" w:rsidTr="00184F13">
        <w:trPr>
          <w:cantSplit w:val="0"/>
          <w:trHeight w:val="20"/>
        </w:trPr>
        <w:tc>
          <w:tcPr>
            <w:tcW w:w="7153" w:type="dxa"/>
            <w:gridSpan w:val="3"/>
            <w:tcBorders>
              <w:bottom w:val="nil"/>
            </w:tcBorders>
          </w:tcPr>
          <w:p w:rsidR="00080446" w:rsidRPr="00892DE3" w:rsidRDefault="00080446" w:rsidP="009B0B62">
            <w:pPr>
              <w:jc w:val="left"/>
              <w:rPr>
                <w:i/>
              </w:rPr>
            </w:pPr>
            <w:r w:rsidRPr="00892DE3">
              <w:rPr>
                <w:i/>
              </w:rPr>
              <w:t>Victorian Industry Participation Policy Act 2003</w:t>
            </w:r>
          </w:p>
        </w:tc>
        <w:tc>
          <w:tcPr>
            <w:tcW w:w="1253" w:type="dxa"/>
            <w:tcBorders>
              <w:bottom w:val="nil"/>
            </w:tcBorders>
          </w:tcPr>
          <w:p w:rsidR="00080446" w:rsidRPr="00892DE3" w:rsidRDefault="00080446" w:rsidP="00142286">
            <w:r w:rsidRPr="00892DE3">
              <w:t xml:space="preserve">Page </w:t>
            </w:r>
            <w:r w:rsidR="00142286" w:rsidRPr="00892DE3">
              <w:t>46</w:t>
            </w:r>
          </w:p>
        </w:tc>
      </w:tr>
      <w:tr w:rsidR="00080446" w:rsidRPr="00892DE3" w:rsidTr="00184F13">
        <w:trPr>
          <w:cantSplit w:val="0"/>
          <w:trHeight w:val="20"/>
        </w:trPr>
        <w:tc>
          <w:tcPr>
            <w:tcW w:w="7153" w:type="dxa"/>
            <w:gridSpan w:val="3"/>
            <w:tcBorders>
              <w:bottom w:val="single" w:sz="12" w:space="0" w:color="000000" w:themeColor="text1"/>
            </w:tcBorders>
          </w:tcPr>
          <w:p w:rsidR="00080446" w:rsidRPr="00892DE3" w:rsidRDefault="00080446" w:rsidP="009B0B62">
            <w:pPr>
              <w:jc w:val="left"/>
              <w:rPr>
                <w:i/>
              </w:rPr>
            </w:pPr>
            <w:r w:rsidRPr="00892DE3">
              <w:rPr>
                <w:i/>
              </w:rPr>
              <w:t>Financial Management Act 1994</w:t>
            </w:r>
          </w:p>
        </w:tc>
        <w:tc>
          <w:tcPr>
            <w:tcW w:w="1253" w:type="dxa"/>
            <w:tcBorders>
              <w:bottom w:val="single" w:sz="12" w:space="0" w:color="000000" w:themeColor="text1"/>
            </w:tcBorders>
          </w:tcPr>
          <w:p w:rsidR="00080446" w:rsidRPr="00892DE3" w:rsidRDefault="00080446" w:rsidP="00142286">
            <w:r w:rsidRPr="00892DE3">
              <w:t xml:space="preserve">Page </w:t>
            </w:r>
            <w:r w:rsidR="00142286" w:rsidRPr="00892DE3">
              <w:t>86</w:t>
            </w:r>
          </w:p>
        </w:tc>
      </w:tr>
    </w:tbl>
    <w:p w:rsidR="00080446" w:rsidRPr="00892DE3" w:rsidRDefault="00080446" w:rsidP="00080446">
      <w:pPr>
        <w:pStyle w:val="BodyText"/>
      </w:pPr>
    </w:p>
    <w:p w:rsidR="00080446" w:rsidRPr="00892DE3" w:rsidRDefault="00080446" w:rsidP="00080446">
      <w:pPr>
        <w:pStyle w:val="Guidanceheading"/>
      </w:pPr>
      <w:r w:rsidRPr="00892DE3">
        <w:t>Guidance – Disclosure index</w:t>
      </w:r>
    </w:p>
    <w:p w:rsidR="00080446" w:rsidRPr="00892DE3" w:rsidRDefault="00080446" w:rsidP="00080446">
      <w:pPr>
        <w:pStyle w:val="Guidanceheading"/>
        <w:sectPr w:rsidR="00080446" w:rsidRPr="00892DE3" w:rsidSect="009C1D64">
          <w:footerReference w:type="default" r:id="rId71"/>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10A</w:t>
      </w:r>
    </w:p>
    <w:p w:rsidR="00080446" w:rsidRPr="00892DE3" w:rsidRDefault="00080446" w:rsidP="00080446">
      <w:pPr>
        <w:pStyle w:val="Guidance"/>
        <w:pBdr>
          <w:bottom w:val="none" w:sz="0" w:space="0" w:color="auto"/>
        </w:pBdr>
      </w:pPr>
      <w:r w:rsidRPr="00892DE3">
        <w:br w:type="column"/>
      </w:r>
      <w:r w:rsidRPr="00892DE3">
        <w:rPr>
          <w:b/>
        </w:rPr>
        <w:lastRenderedPageBreak/>
        <w:t>FRD 10A</w:t>
      </w:r>
      <w:r w:rsidRPr="00892DE3">
        <w:t xml:space="preserve"> requires entities to include a disclosure index in their annual reports that report the following:</w:t>
      </w:r>
    </w:p>
    <w:p w:rsidR="00080446" w:rsidRPr="00892DE3" w:rsidRDefault="00080446" w:rsidP="00587DAE">
      <w:pPr>
        <w:pStyle w:val="Guidancebullet"/>
        <w:numPr>
          <w:ilvl w:val="1"/>
          <w:numId w:val="24"/>
        </w:numPr>
        <w:ind w:left="446" w:hanging="446"/>
      </w:pPr>
      <w:r w:rsidRPr="00892DE3">
        <w:t>a list identifying the relevant clauses of Victorian legislation with statutory disclosure requirements that the entity has to comply with;</w:t>
      </w:r>
    </w:p>
    <w:p w:rsidR="00080446" w:rsidRPr="00892DE3" w:rsidRDefault="00080446" w:rsidP="00587DAE">
      <w:pPr>
        <w:pStyle w:val="Guidancebullet"/>
        <w:numPr>
          <w:ilvl w:val="1"/>
          <w:numId w:val="24"/>
        </w:numPr>
        <w:ind w:left="446" w:hanging="446"/>
      </w:pPr>
      <w:r w:rsidRPr="00892DE3">
        <w:t>a short description of the relevant requirements; and</w:t>
      </w:r>
    </w:p>
    <w:p w:rsidR="00080446" w:rsidRPr="00892DE3" w:rsidRDefault="00080446" w:rsidP="00587DAE">
      <w:pPr>
        <w:pStyle w:val="Guidancebullet"/>
        <w:numPr>
          <w:ilvl w:val="1"/>
          <w:numId w:val="24"/>
        </w:numPr>
        <w:ind w:left="446" w:hanging="446"/>
      </w:pPr>
      <w:r w:rsidRPr="00892DE3">
        <w:t>the page in the annual report where the disclosure for each requirement is made.</w:t>
      </w:r>
    </w:p>
    <w:p w:rsidR="00080446" w:rsidRPr="00892DE3" w:rsidRDefault="00080446" w:rsidP="00080446">
      <w:pPr>
        <w:pStyle w:val="Guidance"/>
      </w:pPr>
      <w:r w:rsidRPr="00892DE3">
        <w:t>The disclosure index is usually presented as the first appendix at the end of the annual report.</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A17AA4" w:rsidRPr="00892DE3" w:rsidRDefault="00A17AA4" w:rsidP="00556AD1">
      <w:pPr>
        <w:pStyle w:val="Heading10"/>
      </w:pPr>
      <w:bookmarkStart w:id="72" w:name="_Toc481592324"/>
      <w:bookmarkStart w:id="73" w:name="_Toc477967527"/>
      <w:bookmarkStart w:id="74" w:name="_Toc478056456"/>
      <w:r w:rsidRPr="00892DE3">
        <w:lastRenderedPageBreak/>
        <w:t xml:space="preserve">Department of Technology – </w:t>
      </w:r>
      <w:r w:rsidR="00556AD1" w:rsidRPr="00892DE3">
        <w:t>Model financial statements</w:t>
      </w:r>
      <w:bookmarkEnd w:id="72"/>
    </w:p>
    <w:p w:rsidR="00956B13" w:rsidRPr="00892DE3" w:rsidRDefault="00FB1AE1" w:rsidP="00663D57">
      <w:pPr>
        <w:pStyle w:val="Heading2nonTOC"/>
      </w:pPr>
      <w:r w:rsidRPr="00892DE3">
        <w:t>How this report is structured</w:t>
      </w:r>
      <w:bookmarkEnd w:id="73"/>
      <w:bookmarkEnd w:id="74"/>
    </w:p>
    <w:p w:rsidR="00956B13" w:rsidRPr="00892DE3" w:rsidRDefault="00956B13" w:rsidP="00956B13">
      <w:r w:rsidRPr="00892DE3">
        <w:t xml:space="preserve">The Department of Technology (Department) has </w:t>
      </w:r>
      <w:r w:rsidR="009C27B9" w:rsidRPr="00892DE3">
        <w:t>presented</w:t>
      </w:r>
      <w:r w:rsidRPr="00892DE3">
        <w:t xml:space="preserve"> its audited general purpose financial statements for the financial year ended 30 June 2017 </w:t>
      </w:r>
      <w:r w:rsidR="009C27B9" w:rsidRPr="00892DE3">
        <w:t>in the following structure to provide</w:t>
      </w:r>
      <w:r w:rsidRPr="00892DE3">
        <w:t xml:space="preserve"> users with the information about the Department’s stewardship of resource</w:t>
      </w:r>
      <w:r w:rsidR="00A72D7B" w:rsidRPr="00892DE3">
        <w:t>s</w:t>
      </w:r>
      <w:r w:rsidR="009C27B9" w:rsidRPr="00892DE3">
        <w:t xml:space="preserve"> entrusted to it.</w:t>
      </w:r>
    </w:p>
    <w:p w:rsidR="0006747E" w:rsidRPr="00892DE3" w:rsidRDefault="0006747E" w:rsidP="0006747E"/>
    <w:tbl>
      <w:tblPr>
        <w:tblStyle w:val="DTFTextTable"/>
        <w:tblW w:w="9747" w:type="dxa"/>
        <w:tblLayout w:type="fixed"/>
        <w:tblLook w:val="0680" w:firstRow="0" w:lastRow="0" w:firstColumn="1" w:lastColumn="0" w:noHBand="1" w:noVBand="1"/>
      </w:tblPr>
      <w:tblGrid>
        <w:gridCol w:w="1526"/>
        <w:gridCol w:w="6804"/>
        <w:gridCol w:w="1417"/>
      </w:tblGrid>
      <w:tr w:rsidR="00D9320A" w:rsidRPr="00892DE3" w:rsidTr="00CB4E4F">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6" w:space="0" w:color="auto"/>
              <w:bottom w:val="nil"/>
            </w:tcBorders>
          </w:tcPr>
          <w:p w:rsidR="00D9320A" w:rsidRPr="00892DE3" w:rsidRDefault="00D9320A" w:rsidP="00B04CDD">
            <w:pPr>
              <w:ind w:left="0" w:firstLine="0"/>
              <w:rPr>
                <w:rFonts w:ascii="Arial" w:eastAsia="Calibri" w:hAnsi="Arial" w:cs="Arial"/>
                <w:b/>
                <w:szCs w:val="18"/>
              </w:rPr>
            </w:pPr>
            <w:r w:rsidRPr="00892DE3">
              <w:rPr>
                <w:rFonts w:ascii="Arial" w:eastAsia="Calibri" w:hAnsi="Arial" w:cs="Arial"/>
                <w:b/>
                <w:szCs w:val="18"/>
              </w:rPr>
              <w:t>Financial statements</w:t>
            </w:r>
          </w:p>
        </w:tc>
        <w:tc>
          <w:tcPr>
            <w:tcW w:w="6804" w:type="dxa"/>
            <w:tcBorders>
              <w:top w:val="single" w:sz="6" w:space="0" w:color="auto"/>
              <w:bottom w:val="nil"/>
            </w:tcBorders>
          </w:tcPr>
          <w:p w:rsidR="00D9320A" w:rsidRPr="00892DE3" w:rsidRDefault="00D9320A" w:rsidP="00B04CDD">
            <w:pPr>
              <w:spacing w:line="240" w:lineRule="auto"/>
              <w:cnfStyle w:val="000000000000" w:firstRow="0" w:lastRow="0" w:firstColumn="0" w:lastColumn="0" w:oddVBand="0" w:evenVBand="0" w:oddHBand="0" w:evenHBand="0" w:firstRowFirstColumn="0" w:firstRowLastColumn="0" w:lastRowFirstColumn="0" w:lastRowLastColumn="0"/>
            </w:pPr>
            <w:r w:rsidRPr="00892DE3">
              <w:t>Comprehensive operating statement</w:t>
            </w:r>
          </w:p>
        </w:tc>
        <w:tc>
          <w:tcPr>
            <w:tcW w:w="1417" w:type="dxa"/>
            <w:tcBorders>
              <w:top w:val="single" w:sz="6" w:space="0" w:color="auto"/>
              <w:bottom w:val="nil"/>
            </w:tcBorders>
          </w:tcPr>
          <w:p w:rsidR="00D9320A" w:rsidRPr="00892DE3" w:rsidRDefault="005E5D35"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OperatingStatement \h  \* MERGEFORMAT </w:instrText>
            </w:r>
            <w:r w:rsidRPr="00892DE3">
              <w:fldChar w:fldCharType="separate"/>
            </w:r>
            <w:r w:rsidR="00F63B17">
              <w:rPr>
                <w:noProof/>
              </w:rPr>
              <w:t>76</w:t>
            </w:r>
            <w:r w:rsidRPr="00892DE3">
              <w:fldChar w:fldCharType="end"/>
            </w:r>
          </w:p>
        </w:tc>
      </w:tr>
      <w:tr w:rsidR="00D9320A" w:rsidRPr="00892DE3" w:rsidTr="00CB4E4F">
        <w:tc>
          <w:tcPr>
            <w:cnfStyle w:val="001000000000" w:firstRow="0" w:lastRow="0" w:firstColumn="1" w:lastColumn="0" w:oddVBand="0" w:evenVBand="0" w:oddHBand="0" w:evenHBand="0" w:firstRowFirstColumn="0" w:firstRowLastColumn="0" w:lastRowFirstColumn="0" w:lastRowLastColumn="0"/>
            <w:tcW w:w="1526" w:type="dxa"/>
            <w:vMerge/>
            <w:tcBorders>
              <w:top w:val="nil"/>
            </w:tcBorders>
          </w:tcPr>
          <w:p w:rsidR="00D9320A" w:rsidRPr="00892DE3" w:rsidRDefault="00D9320A" w:rsidP="00B04CDD">
            <w:pPr>
              <w:ind w:left="0" w:firstLine="0"/>
              <w:rPr>
                <w:rFonts w:ascii="Arial" w:eastAsia="Calibri" w:hAnsi="Arial" w:cs="Arial"/>
                <w:b/>
                <w:szCs w:val="18"/>
              </w:rPr>
            </w:pPr>
          </w:p>
        </w:tc>
        <w:tc>
          <w:tcPr>
            <w:tcW w:w="6804" w:type="dxa"/>
            <w:tcBorders>
              <w:top w:val="nil"/>
            </w:tcBorders>
          </w:tcPr>
          <w:p w:rsidR="00D9320A" w:rsidRPr="00892DE3" w:rsidRDefault="00D9320A" w:rsidP="00B04CDD">
            <w:pPr>
              <w:spacing w:line="240" w:lineRule="auto"/>
              <w:cnfStyle w:val="000000000000" w:firstRow="0" w:lastRow="0" w:firstColumn="0" w:lastColumn="0" w:oddVBand="0" w:evenVBand="0" w:oddHBand="0" w:evenHBand="0" w:firstRowFirstColumn="0" w:firstRowLastColumn="0" w:lastRowFirstColumn="0" w:lastRowLastColumn="0"/>
            </w:pPr>
            <w:r w:rsidRPr="00892DE3">
              <w:t>Balance sheet</w:t>
            </w:r>
          </w:p>
        </w:tc>
        <w:tc>
          <w:tcPr>
            <w:tcW w:w="1417" w:type="dxa"/>
            <w:tcBorders>
              <w:top w:val="nil"/>
            </w:tcBorders>
          </w:tcPr>
          <w:p w:rsidR="00D9320A" w:rsidRPr="00892DE3" w:rsidRDefault="005E5D35"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BalanceSheet \h  \* MERGEFORMAT </w:instrText>
            </w:r>
            <w:r w:rsidRPr="00892DE3">
              <w:fldChar w:fldCharType="separate"/>
            </w:r>
            <w:r w:rsidR="00F63B17">
              <w:rPr>
                <w:noProof/>
              </w:rPr>
              <w:t>78</w:t>
            </w:r>
            <w:r w:rsidRPr="00892DE3">
              <w:fldChar w:fldCharType="end"/>
            </w:r>
          </w:p>
        </w:tc>
      </w:tr>
      <w:tr w:rsidR="00D9320A" w:rsidRPr="00892DE3" w:rsidTr="00CB4E4F">
        <w:tc>
          <w:tcPr>
            <w:cnfStyle w:val="001000000000" w:firstRow="0" w:lastRow="0" w:firstColumn="1" w:lastColumn="0" w:oddVBand="0" w:evenVBand="0" w:oddHBand="0" w:evenHBand="0" w:firstRowFirstColumn="0" w:firstRowLastColumn="0" w:lastRowFirstColumn="0" w:lastRowLastColumn="0"/>
            <w:tcW w:w="1526" w:type="dxa"/>
            <w:vMerge/>
          </w:tcPr>
          <w:p w:rsidR="00D9320A" w:rsidRPr="00892DE3" w:rsidRDefault="00D9320A" w:rsidP="00B04CDD">
            <w:pPr>
              <w:ind w:left="0" w:firstLine="0"/>
              <w:rPr>
                <w:rFonts w:ascii="Arial" w:eastAsia="Calibri" w:hAnsi="Arial" w:cs="Arial"/>
                <w:b/>
                <w:szCs w:val="18"/>
              </w:rPr>
            </w:pPr>
          </w:p>
        </w:tc>
        <w:tc>
          <w:tcPr>
            <w:tcW w:w="6804" w:type="dxa"/>
          </w:tcPr>
          <w:p w:rsidR="00D9320A" w:rsidRPr="00892DE3" w:rsidRDefault="00D9320A" w:rsidP="00B04CDD">
            <w:pPr>
              <w:spacing w:line="240" w:lineRule="auto"/>
              <w:cnfStyle w:val="000000000000" w:firstRow="0" w:lastRow="0" w:firstColumn="0" w:lastColumn="0" w:oddVBand="0" w:evenVBand="0" w:oddHBand="0" w:evenHBand="0" w:firstRowFirstColumn="0" w:firstRowLastColumn="0" w:lastRowFirstColumn="0" w:lastRowLastColumn="0"/>
            </w:pPr>
            <w:r w:rsidRPr="00892DE3">
              <w:t>Cash flow statement</w:t>
            </w:r>
          </w:p>
        </w:tc>
        <w:tc>
          <w:tcPr>
            <w:tcW w:w="1417" w:type="dxa"/>
          </w:tcPr>
          <w:p w:rsidR="00D9320A" w:rsidRPr="00892DE3" w:rsidRDefault="005E5D35"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CashFlowStatement \h  \* MERGEFORMAT </w:instrText>
            </w:r>
            <w:r w:rsidRPr="00892DE3">
              <w:fldChar w:fldCharType="separate"/>
            </w:r>
            <w:r w:rsidR="00F63B17">
              <w:rPr>
                <w:noProof/>
              </w:rPr>
              <w:t>80</w:t>
            </w:r>
            <w:r w:rsidRPr="00892DE3">
              <w:fldChar w:fldCharType="end"/>
            </w:r>
          </w:p>
        </w:tc>
      </w:tr>
      <w:tr w:rsidR="00D9320A" w:rsidRPr="00892DE3" w:rsidTr="00475DCE">
        <w:trPr>
          <w:trHeight w:val="70"/>
        </w:trPr>
        <w:tc>
          <w:tcPr>
            <w:cnfStyle w:val="001000000000" w:firstRow="0" w:lastRow="0" w:firstColumn="1" w:lastColumn="0" w:oddVBand="0" w:evenVBand="0" w:oddHBand="0" w:evenHBand="0" w:firstRowFirstColumn="0" w:firstRowLastColumn="0" w:lastRowFirstColumn="0" w:lastRowLastColumn="0"/>
            <w:tcW w:w="1526" w:type="dxa"/>
            <w:vMerge/>
            <w:tcBorders>
              <w:bottom w:val="single" w:sz="6" w:space="0" w:color="auto"/>
            </w:tcBorders>
          </w:tcPr>
          <w:p w:rsidR="00D9320A" w:rsidRPr="00892DE3" w:rsidRDefault="00D9320A" w:rsidP="00B04CDD">
            <w:pPr>
              <w:ind w:left="0" w:firstLine="0"/>
              <w:rPr>
                <w:rFonts w:ascii="Arial" w:eastAsia="Calibri" w:hAnsi="Arial" w:cs="Arial"/>
                <w:b/>
                <w:szCs w:val="18"/>
              </w:rPr>
            </w:pPr>
          </w:p>
        </w:tc>
        <w:tc>
          <w:tcPr>
            <w:tcW w:w="6804" w:type="dxa"/>
            <w:tcBorders>
              <w:bottom w:val="single" w:sz="6" w:space="0" w:color="auto"/>
            </w:tcBorders>
          </w:tcPr>
          <w:p w:rsidR="00D9320A" w:rsidRPr="00892DE3" w:rsidRDefault="00D9320A" w:rsidP="00B04CDD">
            <w:pPr>
              <w:spacing w:line="240" w:lineRule="auto"/>
              <w:cnfStyle w:val="000000000000" w:firstRow="0" w:lastRow="0" w:firstColumn="0" w:lastColumn="0" w:oddVBand="0" w:evenVBand="0" w:oddHBand="0" w:evenHBand="0" w:firstRowFirstColumn="0" w:firstRowLastColumn="0" w:lastRowFirstColumn="0" w:lastRowLastColumn="0"/>
            </w:pPr>
            <w:r w:rsidRPr="00892DE3">
              <w:t>Statement of changes in equity</w:t>
            </w:r>
          </w:p>
        </w:tc>
        <w:tc>
          <w:tcPr>
            <w:tcW w:w="1417" w:type="dxa"/>
            <w:tcBorders>
              <w:bottom w:val="single" w:sz="6" w:space="0" w:color="auto"/>
            </w:tcBorders>
          </w:tcPr>
          <w:p w:rsidR="00D9320A" w:rsidRPr="00892DE3" w:rsidRDefault="005E5D35"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SOCIE \h  \* MERGEFORMAT </w:instrText>
            </w:r>
            <w:r w:rsidRPr="00892DE3">
              <w:fldChar w:fldCharType="separate"/>
            </w:r>
            <w:r w:rsidR="00F63B17">
              <w:rPr>
                <w:noProof/>
              </w:rPr>
              <w:t>83</w:t>
            </w:r>
            <w:r w:rsidRPr="00892DE3">
              <w:fldChar w:fldCharType="end"/>
            </w:r>
          </w:p>
        </w:tc>
      </w:tr>
      <w:tr w:rsidR="00D9320A" w:rsidRPr="00892DE3" w:rsidTr="00CB4E4F">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6" w:space="0" w:color="auto"/>
              <w:bottom w:val="nil"/>
            </w:tcBorders>
          </w:tcPr>
          <w:p w:rsidR="00D9320A" w:rsidRPr="00892DE3" w:rsidRDefault="00D9320A" w:rsidP="00B04CDD">
            <w:pPr>
              <w:ind w:left="0" w:firstLine="0"/>
              <w:rPr>
                <w:rFonts w:ascii="Arial" w:eastAsia="Calibri" w:hAnsi="Arial" w:cs="Arial"/>
                <w:b/>
                <w:szCs w:val="18"/>
              </w:rPr>
            </w:pPr>
            <w:r w:rsidRPr="00892DE3">
              <w:rPr>
                <w:rFonts w:ascii="Arial" w:eastAsia="Calibri" w:hAnsi="Arial" w:cs="Arial"/>
                <w:b/>
                <w:szCs w:val="18"/>
              </w:rPr>
              <w:t xml:space="preserve">Notes to the financial statements </w:t>
            </w:r>
          </w:p>
        </w:tc>
        <w:tc>
          <w:tcPr>
            <w:tcW w:w="6804" w:type="dxa"/>
            <w:tcBorders>
              <w:top w:val="single" w:sz="6" w:space="0" w:color="auto"/>
              <w:bottom w:val="nil"/>
            </w:tcBorders>
            <w:shd w:val="clear" w:color="auto" w:fill="EBEBEB" w:themeFill="background2"/>
          </w:tcPr>
          <w:p w:rsidR="00D9320A" w:rsidRPr="00892DE3" w:rsidRDefault="00D9320A" w:rsidP="00B04CDD">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Cs w:val="18"/>
              </w:rPr>
            </w:pPr>
            <w:r w:rsidRPr="00892DE3">
              <w:rPr>
                <w:rFonts w:ascii="Arial" w:eastAsia="Calibri" w:hAnsi="Arial" w:cs="Arial"/>
                <w:b/>
                <w:szCs w:val="18"/>
              </w:rPr>
              <w:t xml:space="preserve">1. </w:t>
            </w:r>
            <w:r w:rsidR="00B04CDD" w:rsidRPr="00892DE3">
              <w:rPr>
                <w:rFonts w:ascii="Arial" w:eastAsia="Calibri" w:hAnsi="Arial" w:cs="Arial"/>
                <w:b/>
                <w:szCs w:val="18"/>
              </w:rPr>
              <w:tab/>
            </w:r>
            <w:r w:rsidRPr="00892DE3">
              <w:rPr>
                <w:rFonts w:ascii="Arial" w:eastAsia="Calibri" w:hAnsi="Arial" w:cs="Arial"/>
                <w:b/>
                <w:szCs w:val="18"/>
              </w:rPr>
              <w:t>About this report</w:t>
            </w:r>
          </w:p>
        </w:tc>
        <w:tc>
          <w:tcPr>
            <w:tcW w:w="1417" w:type="dxa"/>
            <w:tcBorders>
              <w:top w:val="single" w:sz="6" w:space="0" w:color="auto"/>
              <w:bottom w:val="nil"/>
            </w:tcBorders>
            <w:shd w:val="clear" w:color="auto" w:fill="EBEBEB" w:themeFill="background2"/>
          </w:tcPr>
          <w:p w:rsidR="00D9320A" w:rsidRPr="00892DE3" w:rsidRDefault="005E5D35"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Section1 \h  \* MERGEFORMAT </w:instrText>
            </w:r>
            <w:r w:rsidRPr="00892DE3">
              <w:fldChar w:fldCharType="separate"/>
            </w:r>
            <w:r w:rsidR="00F63B17">
              <w:rPr>
                <w:noProof/>
              </w:rPr>
              <w:t>85</w:t>
            </w:r>
            <w:r w:rsidRPr="00892DE3">
              <w:fldChar w:fldCharType="end"/>
            </w:r>
          </w:p>
        </w:tc>
      </w:tr>
      <w:tr w:rsidR="00B04CDD" w:rsidRPr="00892DE3" w:rsidTr="00730113">
        <w:trPr>
          <w:trHeight w:val="116"/>
        </w:trPr>
        <w:tc>
          <w:tcPr>
            <w:cnfStyle w:val="001000000000" w:firstRow="0" w:lastRow="0" w:firstColumn="1" w:lastColumn="0" w:oddVBand="0" w:evenVBand="0" w:oddHBand="0" w:evenHBand="0" w:firstRowFirstColumn="0" w:firstRowLastColumn="0" w:lastRowFirstColumn="0" w:lastRowLastColumn="0"/>
            <w:tcW w:w="1526" w:type="dxa"/>
            <w:vMerge/>
            <w:tcBorders>
              <w:top w:val="nil"/>
              <w:bottom w:val="nil"/>
            </w:tcBorders>
          </w:tcPr>
          <w:p w:rsidR="00B04CDD" w:rsidRPr="00892DE3" w:rsidRDefault="00B04CDD" w:rsidP="00B04CDD">
            <w:pPr>
              <w:ind w:firstLine="0"/>
              <w:rPr>
                <w:rFonts w:ascii="Arial" w:eastAsia="Calibri" w:hAnsi="Arial" w:cs="Arial"/>
                <w:b/>
                <w:szCs w:val="18"/>
              </w:rPr>
            </w:pPr>
          </w:p>
        </w:tc>
        <w:tc>
          <w:tcPr>
            <w:tcW w:w="8221" w:type="dxa"/>
            <w:gridSpan w:val="2"/>
            <w:tcBorders>
              <w:top w:val="nil"/>
              <w:bottom w:val="nil"/>
            </w:tcBorders>
          </w:tcPr>
          <w:p w:rsidR="00B04CDD" w:rsidRPr="00892DE3" w:rsidRDefault="00B04CDD" w:rsidP="00B04CDD">
            <w:pPr>
              <w:spacing w:line="240" w:lineRule="auto"/>
              <w:cnfStyle w:val="000000000000" w:firstRow="0" w:lastRow="0" w:firstColumn="0" w:lastColumn="0" w:oddVBand="0" w:evenVBand="0" w:oddHBand="0" w:evenHBand="0" w:firstRowFirstColumn="0" w:firstRowLastColumn="0" w:lastRowFirstColumn="0" w:lastRowLastColumn="0"/>
            </w:pPr>
            <w:r w:rsidRPr="00892DE3">
              <w:t xml:space="preserve">The basis on which the financial statements have been prepared and compliance with </w:t>
            </w:r>
            <w:r w:rsidRPr="00892DE3">
              <w:br/>
              <w:t>reporting regulations</w:t>
            </w:r>
          </w:p>
        </w:tc>
      </w:tr>
      <w:tr w:rsidR="00D9320A" w:rsidRPr="00892DE3" w:rsidTr="00475DCE">
        <w:trPr>
          <w:trHeight w:val="65"/>
        </w:trPr>
        <w:tc>
          <w:tcPr>
            <w:cnfStyle w:val="001000000000" w:firstRow="0" w:lastRow="0" w:firstColumn="1" w:lastColumn="0" w:oddVBand="0" w:evenVBand="0" w:oddHBand="0" w:evenHBand="0" w:firstRowFirstColumn="0" w:firstRowLastColumn="0" w:lastRowFirstColumn="0" w:lastRowLastColumn="0"/>
            <w:tcW w:w="1526" w:type="dxa"/>
            <w:vMerge/>
            <w:tcBorders>
              <w:bottom w:val="nil"/>
            </w:tcBorders>
          </w:tcPr>
          <w:p w:rsidR="00D9320A" w:rsidRPr="00892DE3" w:rsidRDefault="00D9320A" w:rsidP="00B04CDD">
            <w:pPr>
              <w:ind w:firstLine="0"/>
              <w:rPr>
                <w:rFonts w:ascii="Arial" w:eastAsia="Calibri" w:hAnsi="Arial" w:cs="Arial"/>
                <w:b/>
                <w:szCs w:val="18"/>
              </w:rPr>
            </w:pPr>
          </w:p>
        </w:tc>
        <w:tc>
          <w:tcPr>
            <w:tcW w:w="6804" w:type="dxa"/>
            <w:tcBorders>
              <w:bottom w:val="nil"/>
            </w:tcBorders>
            <w:shd w:val="clear" w:color="auto" w:fill="EBEBEB" w:themeFill="background2"/>
          </w:tcPr>
          <w:p w:rsidR="00D9320A" w:rsidRPr="00892DE3" w:rsidRDefault="00D9320A" w:rsidP="00B04CDD">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18"/>
              </w:rPr>
            </w:pPr>
            <w:r w:rsidRPr="00892DE3">
              <w:rPr>
                <w:rFonts w:ascii="Arial" w:eastAsia="Calibri" w:hAnsi="Arial" w:cs="Arial"/>
                <w:b/>
                <w:szCs w:val="18"/>
              </w:rPr>
              <w:t xml:space="preserve">2. </w:t>
            </w:r>
            <w:r w:rsidR="00B04CDD" w:rsidRPr="00892DE3">
              <w:rPr>
                <w:rFonts w:ascii="Arial" w:eastAsia="Calibri" w:hAnsi="Arial" w:cs="Arial"/>
                <w:b/>
                <w:szCs w:val="18"/>
              </w:rPr>
              <w:tab/>
            </w:r>
            <w:r w:rsidRPr="00892DE3">
              <w:rPr>
                <w:rFonts w:ascii="Arial" w:eastAsia="Calibri" w:hAnsi="Arial" w:cs="Arial"/>
                <w:b/>
                <w:szCs w:val="18"/>
              </w:rPr>
              <w:t>Funding delivery of our services</w:t>
            </w:r>
          </w:p>
        </w:tc>
        <w:tc>
          <w:tcPr>
            <w:tcW w:w="1417" w:type="dxa"/>
            <w:tcBorders>
              <w:bottom w:val="nil"/>
            </w:tcBorders>
            <w:shd w:val="clear" w:color="auto" w:fill="EBEBEB" w:themeFill="background2"/>
          </w:tcPr>
          <w:p w:rsidR="00D9320A" w:rsidRPr="00892DE3" w:rsidRDefault="005E5D35"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Section2 \h  \* MERGEFORMAT </w:instrText>
            </w:r>
            <w:r w:rsidRPr="00892DE3">
              <w:fldChar w:fldCharType="separate"/>
            </w:r>
            <w:r w:rsidR="00F63B17">
              <w:rPr>
                <w:noProof/>
              </w:rPr>
              <w:t>88</w:t>
            </w:r>
            <w:r w:rsidRPr="00892DE3">
              <w:fldChar w:fldCharType="end"/>
            </w:r>
          </w:p>
        </w:tc>
      </w:tr>
      <w:tr w:rsidR="00B04CDD" w:rsidRPr="00892DE3" w:rsidTr="00730113">
        <w:tc>
          <w:tcPr>
            <w:cnfStyle w:val="001000000000" w:firstRow="0" w:lastRow="0" w:firstColumn="1" w:lastColumn="0" w:oddVBand="0" w:evenVBand="0" w:oddHBand="0" w:evenHBand="0" w:firstRowFirstColumn="0" w:firstRowLastColumn="0" w:lastRowFirstColumn="0" w:lastRowLastColumn="0"/>
            <w:tcW w:w="1526" w:type="dxa"/>
            <w:vMerge/>
            <w:tcBorders>
              <w:bottom w:val="nil"/>
            </w:tcBorders>
          </w:tcPr>
          <w:p w:rsidR="00B04CDD" w:rsidRPr="00892DE3" w:rsidRDefault="00B04CDD" w:rsidP="00B04CDD">
            <w:pPr>
              <w:ind w:firstLine="0"/>
              <w:rPr>
                <w:rFonts w:ascii="Arial" w:eastAsia="Calibri" w:hAnsi="Arial" w:cs="Arial"/>
                <w:b/>
                <w:szCs w:val="18"/>
              </w:rPr>
            </w:pPr>
          </w:p>
        </w:tc>
        <w:tc>
          <w:tcPr>
            <w:tcW w:w="8221" w:type="dxa"/>
            <w:gridSpan w:val="2"/>
            <w:tcBorders>
              <w:top w:val="nil"/>
              <w:bottom w:val="nil"/>
            </w:tcBorders>
          </w:tcPr>
          <w:p w:rsidR="00B04CDD" w:rsidRPr="00892DE3" w:rsidRDefault="00B04CDD" w:rsidP="00B04CDD">
            <w:pPr>
              <w:spacing w:line="240" w:lineRule="auto"/>
              <w:cnfStyle w:val="000000000000" w:firstRow="0" w:lastRow="0" w:firstColumn="0" w:lastColumn="0" w:oddVBand="0" w:evenVBand="0" w:oddHBand="0" w:evenHBand="0" w:firstRowFirstColumn="0" w:firstRowLastColumn="0" w:lastRowFirstColumn="0" w:lastRowLastColumn="0"/>
            </w:pPr>
            <w:r w:rsidRPr="00892DE3">
              <w:t>Revenue recognised from taxes, grants, sales of goods and services and other sources</w:t>
            </w:r>
          </w:p>
        </w:tc>
      </w:tr>
      <w:tr w:rsidR="00B05757" w:rsidRPr="00892DE3" w:rsidTr="00B05757">
        <w:trPr>
          <w:trHeight w:val="80"/>
        </w:trPr>
        <w:tc>
          <w:tcPr>
            <w:cnfStyle w:val="001000000000" w:firstRow="0" w:lastRow="0" w:firstColumn="1" w:lastColumn="0" w:oddVBand="0" w:evenVBand="0" w:oddHBand="0" w:evenHBand="0" w:firstRowFirstColumn="0" w:firstRowLastColumn="0" w:lastRowFirstColumn="0" w:lastRowLastColumn="0"/>
            <w:tcW w:w="1526" w:type="dxa"/>
            <w:vMerge/>
            <w:tcBorders>
              <w:bottom w:val="nil"/>
            </w:tcBorders>
          </w:tcPr>
          <w:p w:rsidR="00B05757" w:rsidRPr="00892DE3" w:rsidRDefault="00B05757" w:rsidP="00B04CDD">
            <w:pPr>
              <w:rPr>
                <w:rFonts w:ascii="Arial" w:eastAsia="Calibri" w:hAnsi="Arial" w:cs="Arial"/>
                <w:b/>
              </w:rPr>
            </w:pPr>
          </w:p>
        </w:tc>
        <w:tc>
          <w:tcPr>
            <w:tcW w:w="8221" w:type="dxa"/>
            <w:gridSpan w:val="2"/>
            <w:tcBorders>
              <w:top w:val="nil"/>
              <w:bottom w:val="nil"/>
            </w:tcBorders>
            <w:shd w:val="clear" w:color="auto" w:fill="auto"/>
          </w:tcPr>
          <w:p w:rsidR="00EA1814" w:rsidRPr="00892DE3" w:rsidRDefault="00B05757">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Section2 \* MERGEFORMAT </w:instrText>
            </w:r>
            <w:r w:rsidRPr="00892DE3">
              <w:rPr>
                <w:noProof/>
              </w:rPr>
              <w:fldChar w:fldCharType="separate"/>
            </w:r>
            <w:hyperlink w:anchor="_Toc478055712" w:history="1">
              <w:r w:rsidR="00EA1814" w:rsidRPr="00892DE3">
                <w:rPr>
                  <w:rStyle w:val="Hyperlink"/>
                  <w:noProof/>
                </w:rPr>
                <w:t>2.1</w:t>
              </w:r>
              <w:r w:rsidR="00EA1814" w:rsidRPr="00892DE3">
                <w:rPr>
                  <w:rFonts w:eastAsiaTheme="minorEastAsia"/>
                  <w:noProof/>
                  <w:spacing w:val="0"/>
                  <w:sz w:val="22"/>
                  <w:lang w:eastAsia="en-AU"/>
                </w:rPr>
                <w:tab/>
              </w:r>
              <w:r w:rsidR="00EA1814" w:rsidRPr="00892DE3">
                <w:rPr>
                  <w:rStyle w:val="Hyperlink"/>
                  <w:noProof/>
                </w:rPr>
                <w:t>Summary of income that funds the delivery of our services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_Toc478055712 \h </w:instrText>
              </w:r>
              <w:r w:rsidR="00EA1814" w:rsidRPr="00892DE3">
                <w:rPr>
                  <w:noProof/>
                  <w:webHidden/>
                </w:rPr>
              </w:r>
              <w:r w:rsidR="00EA1814" w:rsidRPr="00892DE3">
                <w:rPr>
                  <w:noProof/>
                  <w:webHidden/>
                </w:rPr>
                <w:fldChar w:fldCharType="separate"/>
              </w:r>
              <w:r w:rsidR="00F63B17">
                <w:rPr>
                  <w:noProof/>
                  <w:webHidden/>
                </w:rPr>
                <w:t>88</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13" w:history="1">
              <w:r w:rsidR="00EA1814" w:rsidRPr="00892DE3">
                <w:rPr>
                  <w:rStyle w:val="Hyperlink"/>
                  <w:noProof/>
                </w:rPr>
                <w:t>2.2</w:t>
              </w:r>
              <w:r w:rsidR="00EA1814" w:rsidRPr="00892DE3">
                <w:rPr>
                  <w:rFonts w:eastAsiaTheme="minorEastAsia"/>
                  <w:noProof/>
                  <w:spacing w:val="0"/>
                  <w:sz w:val="22"/>
                  <w:lang w:eastAsia="en-AU"/>
                </w:rPr>
                <w:tab/>
              </w:r>
              <w:r w:rsidR="00EA1814" w:rsidRPr="00892DE3">
                <w:rPr>
                  <w:rStyle w:val="Hyperlink"/>
                  <w:noProof/>
                </w:rPr>
                <w:t>Appropriations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_Toc478055713 \h </w:instrText>
              </w:r>
              <w:r w:rsidR="00EA1814" w:rsidRPr="00892DE3">
                <w:rPr>
                  <w:noProof/>
                  <w:webHidden/>
                </w:rPr>
              </w:r>
              <w:r w:rsidR="00EA1814" w:rsidRPr="00892DE3">
                <w:rPr>
                  <w:noProof/>
                  <w:webHidden/>
                </w:rPr>
                <w:fldChar w:fldCharType="separate"/>
              </w:r>
              <w:r w:rsidR="00F63B17">
                <w:rPr>
                  <w:noProof/>
                  <w:webHidden/>
                </w:rPr>
                <w:t>88</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14" w:history="1">
              <w:r w:rsidR="00EA1814" w:rsidRPr="00892DE3">
                <w:rPr>
                  <w:rStyle w:val="Hyperlink"/>
                  <w:noProof/>
                </w:rPr>
                <w:t>2.3</w:t>
              </w:r>
              <w:r w:rsidR="00EA1814" w:rsidRPr="00892DE3">
                <w:rPr>
                  <w:rFonts w:eastAsiaTheme="minorEastAsia"/>
                  <w:noProof/>
                  <w:spacing w:val="0"/>
                  <w:sz w:val="22"/>
                  <w:lang w:eastAsia="en-AU"/>
                </w:rPr>
                <w:tab/>
              </w:r>
              <w:r w:rsidR="00EA1814" w:rsidRPr="00892DE3">
                <w:rPr>
                  <w:rStyle w:val="Hyperlink"/>
                  <w:noProof/>
                </w:rPr>
                <w:t>Summary of compliance with annual Parliamentary and special appropriations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_Toc478055714 \h </w:instrText>
              </w:r>
              <w:r w:rsidR="00EA1814" w:rsidRPr="00892DE3">
                <w:rPr>
                  <w:noProof/>
                  <w:webHidden/>
                </w:rPr>
              </w:r>
              <w:r w:rsidR="00EA1814" w:rsidRPr="00892DE3">
                <w:rPr>
                  <w:noProof/>
                  <w:webHidden/>
                </w:rPr>
                <w:fldChar w:fldCharType="separate"/>
              </w:r>
              <w:r w:rsidR="00F63B17">
                <w:rPr>
                  <w:noProof/>
                  <w:webHidden/>
                </w:rPr>
                <w:t>89</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15" w:history="1">
              <w:r w:rsidR="00EA1814" w:rsidRPr="00892DE3">
                <w:rPr>
                  <w:rStyle w:val="Hyperlink"/>
                  <w:noProof/>
                </w:rPr>
                <w:t>2.4</w:t>
              </w:r>
              <w:r w:rsidR="00EA1814" w:rsidRPr="00892DE3">
                <w:rPr>
                  <w:rFonts w:eastAsiaTheme="minorEastAsia"/>
                  <w:noProof/>
                  <w:spacing w:val="0"/>
                  <w:sz w:val="22"/>
                  <w:lang w:eastAsia="en-AU"/>
                </w:rPr>
                <w:tab/>
              </w:r>
              <w:r w:rsidR="00EA1814" w:rsidRPr="00892DE3">
                <w:rPr>
                  <w:rStyle w:val="Hyperlink"/>
                  <w:noProof/>
                </w:rPr>
                <w:t>Income from transactions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_Toc478055715 \h </w:instrText>
              </w:r>
              <w:r w:rsidR="00EA1814" w:rsidRPr="00892DE3">
                <w:rPr>
                  <w:noProof/>
                  <w:webHidden/>
                </w:rPr>
              </w:r>
              <w:r w:rsidR="00EA1814" w:rsidRPr="00892DE3">
                <w:rPr>
                  <w:noProof/>
                  <w:webHidden/>
                </w:rPr>
                <w:fldChar w:fldCharType="separate"/>
              </w:r>
              <w:r w:rsidR="00F63B17">
                <w:rPr>
                  <w:noProof/>
                  <w:webHidden/>
                </w:rPr>
                <w:t>90</w:t>
              </w:r>
              <w:r w:rsidR="00EA1814" w:rsidRPr="00892DE3">
                <w:rPr>
                  <w:noProof/>
                  <w:webHidden/>
                </w:rPr>
                <w:fldChar w:fldCharType="end"/>
              </w:r>
            </w:hyperlink>
          </w:p>
          <w:p w:rsidR="00B05757" w:rsidRPr="00892DE3" w:rsidRDefault="003C212D" w:rsidP="00EA1814">
            <w:pPr>
              <w:pStyle w:val="TOC8"/>
              <w:cnfStyle w:val="000000000000" w:firstRow="0" w:lastRow="0" w:firstColumn="0" w:lastColumn="0" w:oddVBand="0" w:evenVBand="0" w:oddHBand="0" w:evenHBand="0" w:firstRowFirstColumn="0" w:firstRowLastColumn="0" w:lastRowFirstColumn="0" w:lastRowLastColumn="0"/>
            </w:pPr>
            <w:hyperlink w:anchor="_Toc478055716" w:history="1">
              <w:r w:rsidR="00EA1814" w:rsidRPr="00892DE3">
                <w:rPr>
                  <w:rStyle w:val="Hyperlink"/>
                  <w:noProof/>
                </w:rPr>
                <w:t>2.5</w:t>
              </w:r>
              <w:r w:rsidR="00EA1814" w:rsidRPr="00892DE3">
                <w:rPr>
                  <w:rFonts w:eastAsiaTheme="minorEastAsia"/>
                  <w:noProof/>
                  <w:spacing w:val="0"/>
                  <w:sz w:val="22"/>
                  <w:lang w:eastAsia="en-AU"/>
                </w:rPr>
                <w:tab/>
              </w:r>
              <w:r w:rsidR="00EA1814" w:rsidRPr="00892DE3">
                <w:rPr>
                  <w:rStyle w:val="Hyperlink"/>
                  <w:noProof/>
                </w:rPr>
                <w:t>Annotated income agreements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_Toc478055716 \h </w:instrText>
              </w:r>
              <w:r w:rsidR="00EA1814" w:rsidRPr="00892DE3">
                <w:rPr>
                  <w:noProof/>
                  <w:webHidden/>
                </w:rPr>
              </w:r>
              <w:r w:rsidR="00EA1814" w:rsidRPr="00892DE3">
                <w:rPr>
                  <w:noProof/>
                  <w:webHidden/>
                </w:rPr>
                <w:fldChar w:fldCharType="separate"/>
              </w:r>
              <w:r w:rsidR="00F63B17">
                <w:rPr>
                  <w:noProof/>
                  <w:webHidden/>
                </w:rPr>
                <w:t>94</w:t>
              </w:r>
              <w:r w:rsidR="00EA1814" w:rsidRPr="00892DE3">
                <w:rPr>
                  <w:noProof/>
                  <w:webHidden/>
                </w:rPr>
                <w:fldChar w:fldCharType="end"/>
              </w:r>
            </w:hyperlink>
            <w:r w:rsidR="00B05757" w:rsidRPr="00892DE3">
              <w:fldChar w:fldCharType="end"/>
            </w:r>
          </w:p>
        </w:tc>
      </w:tr>
      <w:tr w:rsidR="00D9320A" w:rsidRPr="00892DE3" w:rsidTr="00475DCE">
        <w:trPr>
          <w:trHeight w:val="80"/>
        </w:trPr>
        <w:tc>
          <w:tcPr>
            <w:cnfStyle w:val="001000000000" w:firstRow="0" w:lastRow="0" w:firstColumn="1" w:lastColumn="0" w:oddVBand="0" w:evenVBand="0" w:oddHBand="0" w:evenHBand="0" w:firstRowFirstColumn="0" w:firstRowLastColumn="0" w:lastRowFirstColumn="0" w:lastRowLastColumn="0"/>
            <w:tcW w:w="1526" w:type="dxa"/>
            <w:vMerge/>
            <w:tcBorders>
              <w:top w:val="nil"/>
              <w:bottom w:val="nil"/>
            </w:tcBorders>
          </w:tcPr>
          <w:p w:rsidR="00D9320A" w:rsidRPr="00892DE3" w:rsidRDefault="00D9320A" w:rsidP="00B04CDD">
            <w:pPr>
              <w:ind w:firstLine="0"/>
              <w:rPr>
                <w:rFonts w:ascii="Arial" w:eastAsia="Calibri" w:hAnsi="Arial" w:cs="Arial"/>
                <w:b/>
                <w:szCs w:val="18"/>
              </w:rPr>
            </w:pPr>
          </w:p>
        </w:tc>
        <w:tc>
          <w:tcPr>
            <w:tcW w:w="6804" w:type="dxa"/>
            <w:tcBorders>
              <w:top w:val="nil"/>
              <w:bottom w:val="nil"/>
            </w:tcBorders>
            <w:shd w:val="clear" w:color="auto" w:fill="EBEBEB" w:themeFill="background2"/>
          </w:tcPr>
          <w:p w:rsidR="00D9320A" w:rsidRPr="00892DE3" w:rsidRDefault="00D9320A" w:rsidP="00B04CDD">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18"/>
              </w:rPr>
            </w:pPr>
            <w:r w:rsidRPr="00892DE3">
              <w:rPr>
                <w:rFonts w:ascii="Arial" w:eastAsia="Calibri" w:hAnsi="Arial" w:cs="Arial"/>
                <w:b/>
                <w:szCs w:val="18"/>
              </w:rPr>
              <w:t xml:space="preserve">3. </w:t>
            </w:r>
            <w:r w:rsidR="00B04CDD" w:rsidRPr="00892DE3">
              <w:rPr>
                <w:rFonts w:ascii="Arial" w:eastAsia="Calibri" w:hAnsi="Arial" w:cs="Arial"/>
                <w:b/>
                <w:szCs w:val="18"/>
              </w:rPr>
              <w:tab/>
            </w:r>
            <w:r w:rsidRPr="00892DE3">
              <w:rPr>
                <w:rFonts w:ascii="Arial" w:eastAsia="Calibri" w:hAnsi="Arial" w:cs="Arial"/>
                <w:b/>
                <w:szCs w:val="18"/>
              </w:rPr>
              <w:t>The cost of delivering services</w:t>
            </w:r>
          </w:p>
        </w:tc>
        <w:tc>
          <w:tcPr>
            <w:tcW w:w="1417" w:type="dxa"/>
            <w:tcBorders>
              <w:top w:val="nil"/>
              <w:bottom w:val="nil"/>
            </w:tcBorders>
            <w:shd w:val="clear" w:color="auto" w:fill="EBEBEB" w:themeFill="background2"/>
          </w:tcPr>
          <w:p w:rsidR="00D9320A" w:rsidRPr="00892DE3" w:rsidRDefault="005E5D35"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Section3 \h  \* MERGEFORMAT </w:instrText>
            </w:r>
            <w:r w:rsidRPr="00892DE3">
              <w:fldChar w:fldCharType="separate"/>
            </w:r>
            <w:r w:rsidR="00F63B17">
              <w:rPr>
                <w:noProof/>
              </w:rPr>
              <w:t>95</w:t>
            </w:r>
            <w:r w:rsidRPr="00892DE3">
              <w:fldChar w:fldCharType="end"/>
            </w:r>
          </w:p>
        </w:tc>
      </w:tr>
      <w:tr w:rsidR="00D9320A" w:rsidRPr="00892DE3" w:rsidTr="00475DCE">
        <w:trPr>
          <w:trHeight w:val="70"/>
        </w:trPr>
        <w:tc>
          <w:tcPr>
            <w:cnfStyle w:val="001000000000" w:firstRow="0" w:lastRow="0" w:firstColumn="1" w:lastColumn="0" w:oddVBand="0" w:evenVBand="0" w:oddHBand="0" w:evenHBand="0" w:firstRowFirstColumn="0" w:firstRowLastColumn="0" w:lastRowFirstColumn="0" w:lastRowLastColumn="0"/>
            <w:tcW w:w="1526" w:type="dxa"/>
            <w:vMerge/>
            <w:tcBorders>
              <w:bottom w:val="nil"/>
            </w:tcBorders>
          </w:tcPr>
          <w:p w:rsidR="00D9320A" w:rsidRPr="00892DE3" w:rsidRDefault="00D9320A" w:rsidP="00B04CDD">
            <w:pPr>
              <w:ind w:firstLine="0"/>
              <w:rPr>
                <w:rFonts w:ascii="Arial" w:eastAsia="Calibri" w:hAnsi="Arial" w:cs="Arial"/>
                <w:b/>
                <w:szCs w:val="18"/>
              </w:rPr>
            </w:pPr>
          </w:p>
        </w:tc>
        <w:tc>
          <w:tcPr>
            <w:tcW w:w="6804" w:type="dxa"/>
            <w:tcBorders>
              <w:top w:val="nil"/>
              <w:bottom w:val="nil"/>
            </w:tcBorders>
          </w:tcPr>
          <w:p w:rsidR="00D9320A" w:rsidRPr="00892DE3" w:rsidRDefault="00D9320A" w:rsidP="00B04CDD">
            <w:pPr>
              <w:spacing w:line="240" w:lineRule="auto"/>
              <w:cnfStyle w:val="000000000000" w:firstRow="0" w:lastRow="0" w:firstColumn="0" w:lastColumn="0" w:oddVBand="0" w:evenVBand="0" w:oddHBand="0" w:evenHBand="0" w:firstRowFirstColumn="0" w:firstRowLastColumn="0" w:lastRowFirstColumn="0" w:lastRowLastColumn="0"/>
              <w:rPr>
                <w:b/>
              </w:rPr>
            </w:pPr>
            <w:r w:rsidRPr="00892DE3">
              <w:t>Operating expenses of the Department</w:t>
            </w:r>
          </w:p>
        </w:tc>
        <w:tc>
          <w:tcPr>
            <w:tcW w:w="1417" w:type="dxa"/>
            <w:tcBorders>
              <w:top w:val="nil"/>
              <w:bottom w:val="nil"/>
            </w:tcBorders>
          </w:tcPr>
          <w:p w:rsidR="00D9320A" w:rsidRPr="00892DE3" w:rsidRDefault="00D9320A" w:rsidP="00B04CDD">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B05757" w:rsidRPr="00892DE3" w:rsidTr="00475DCE">
        <w:tc>
          <w:tcPr>
            <w:cnfStyle w:val="001000000000" w:firstRow="0" w:lastRow="0" w:firstColumn="1" w:lastColumn="0" w:oddVBand="0" w:evenVBand="0" w:oddHBand="0" w:evenHBand="0" w:firstRowFirstColumn="0" w:firstRowLastColumn="0" w:lastRowFirstColumn="0" w:lastRowLastColumn="0"/>
            <w:tcW w:w="1526" w:type="dxa"/>
            <w:vMerge/>
            <w:tcBorders>
              <w:bottom w:val="nil"/>
            </w:tcBorders>
          </w:tcPr>
          <w:p w:rsidR="00B05757" w:rsidRPr="00892DE3" w:rsidRDefault="00B05757" w:rsidP="00B04CDD">
            <w:pPr>
              <w:rPr>
                <w:rFonts w:ascii="Arial" w:eastAsia="Calibri" w:hAnsi="Arial" w:cs="Arial"/>
              </w:rPr>
            </w:pPr>
          </w:p>
        </w:tc>
        <w:tc>
          <w:tcPr>
            <w:tcW w:w="8221" w:type="dxa"/>
            <w:gridSpan w:val="2"/>
            <w:tcBorders>
              <w:bottom w:val="nil"/>
            </w:tcBorders>
            <w:shd w:val="clear" w:color="auto" w:fill="auto"/>
          </w:tcPr>
          <w:p w:rsidR="00EA1814" w:rsidRPr="00892DE3" w:rsidRDefault="00B05757">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Section3 \* MERGEFORMAT </w:instrText>
            </w:r>
            <w:r w:rsidRPr="00892DE3">
              <w:rPr>
                <w:noProof/>
              </w:rPr>
              <w:fldChar w:fldCharType="separate"/>
            </w:r>
            <w:hyperlink w:anchor="_Toc478055727" w:history="1">
              <w:r w:rsidR="00EA1814" w:rsidRPr="00892DE3">
                <w:rPr>
                  <w:rStyle w:val="Hyperlink"/>
                  <w:noProof/>
                </w:rPr>
                <w:t>3.1</w:t>
              </w:r>
              <w:r w:rsidR="00EA1814" w:rsidRPr="00892DE3">
                <w:rPr>
                  <w:rFonts w:eastAsiaTheme="minorEastAsia"/>
                  <w:noProof/>
                  <w:spacing w:val="0"/>
                  <w:sz w:val="22"/>
                  <w:lang w:eastAsia="en-AU"/>
                </w:rPr>
                <w:tab/>
              </w:r>
              <w:r w:rsidR="00EA1814" w:rsidRPr="00892DE3">
                <w:rPr>
                  <w:rStyle w:val="Hyperlink"/>
                  <w:noProof/>
                </w:rPr>
                <w:t>Expenses incurred in delivery of services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_Toc478055727 \h </w:instrText>
              </w:r>
              <w:r w:rsidR="00EA1814" w:rsidRPr="00892DE3">
                <w:rPr>
                  <w:noProof/>
                  <w:webHidden/>
                </w:rPr>
              </w:r>
              <w:r w:rsidR="00EA1814" w:rsidRPr="00892DE3">
                <w:rPr>
                  <w:noProof/>
                  <w:webHidden/>
                </w:rPr>
                <w:fldChar w:fldCharType="separate"/>
              </w:r>
              <w:r w:rsidR="00F63B17">
                <w:rPr>
                  <w:noProof/>
                  <w:webHidden/>
                </w:rPr>
                <w:t>95</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28" w:history="1">
              <w:r w:rsidR="00EA1814" w:rsidRPr="00892DE3">
                <w:rPr>
                  <w:rStyle w:val="Hyperlink"/>
                  <w:noProof/>
                </w:rPr>
                <w:t>3.2</w:t>
              </w:r>
              <w:r w:rsidR="00EA1814" w:rsidRPr="00892DE3">
                <w:rPr>
                  <w:rFonts w:eastAsiaTheme="minorEastAsia"/>
                  <w:noProof/>
                  <w:spacing w:val="0"/>
                  <w:sz w:val="22"/>
                  <w:lang w:eastAsia="en-AU"/>
                </w:rPr>
                <w:tab/>
              </w:r>
              <w:r w:rsidR="00EA1814" w:rsidRPr="00892DE3">
                <w:rPr>
                  <w:rStyle w:val="Hyperlink"/>
                  <w:noProof/>
                </w:rPr>
                <w:t>Grant expenses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_Toc478055728 \h </w:instrText>
              </w:r>
              <w:r w:rsidR="00EA1814" w:rsidRPr="00892DE3">
                <w:rPr>
                  <w:noProof/>
                  <w:webHidden/>
                </w:rPr>
              </w:r>
              <w:r w:rsidR="00EA1814" w:rsidRPr="00892DE3">
                <w:rPr>
                  <w:noProof/>
                  <w:webHidden/>
                </w:rPr>
                <w:fldChar w:fldCharType="separate"/>
              </w:r>
              <w:r w:rsidR="00F63B17">
                <w:rPr>
                  <w:noProof/>
                  <w:webHidden/>
                </w:rPr>
                <w:t>99</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29" w:history="1">
              <w:r w:rsidR="00EA1814" w:rsidRPr="00892DE3">
                <w:rPr>
                  <w:rStyle w:val="Hyperlink"/>
                  <w:noProof/>
                </w:rPr>
                <w:t>3.3</w:t>
              </w:r>
              <w:r w:rsidR="00EA1814" w:rsidRPr="00892DE3">
                <w:rPr>
                  <w:rFonts w:eastAsiaTheme="minorEastAsia"/>
                  <w:noProof/>
                  <w:spacing w:val="0"/>
                  <w:sz w:val="22"/>
                  <w:lang w:eastAsia="en-AU"/>
                </w:rPr>
                <w:tab/>
              </w:r>
              <w:r w:rsidR="00EA1814" w:rsidRPr="00892DE3">
                <w:rPr>
                  <w:rStyle w:val="Hyperlink"/>
                  <w:noProof/>
                </w:rPr>
                <w:t>Capital asset charge</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_Toc478055729 \h </w:instrText>
              </w:r>
              <w:r w:rsidR="00EA1814" w:rsidRPr="00892DE3">
                <w:rPr>
                  <w:noProof/>
                  <w:webHidden/>
                </w:rPr>
              </w:r>
              <w:r w:rsidR="00EA1814" w:rsidRPr="00892DE3">
                <w:rPr>
                  <w:noProof/>
                  <w:webHidden/>
                </w:rPr>
                <w:fldChar w:fldCharType="separate"/>
              </w:r>
              <w:r w:rsidR="00F63B17">
                <w:rPr>
                  <w:noProof/>
                  <w:webHidden/>
                </w:rPr>
                <w:t>99</w:t>
              </w:r>
              <w:r w:rsidR="00EA1814" w:rsidRPr="00892DE3">
                <w:rPr>
                  <w:noProof/>
                  <w:webHidden/>
                </w:rPr>
                <w:fldChar w:fldCharType="end"/>
              </w:r>
            </w:hyperlink>
          </w:p>
          <w:p w:rsidR="00B05757" w:rsidRPr="00892DE3" w:rsidRDefault="003C212D" w:rsidP="00EA1814">
            <w:pPr>
              <w:pStyle w:val="TOC8"/>
              <w:cnfStyle w:val="000000000000" w:firstRow="0" w:lastRow="0" w:firstColumn="0" w:lastColumn="0" w:oddVBand="0" w:evenVBand="0" w:oddHBand="0" w:evenHBand="0" w:firstRowFirstColumn="0" w:firstRowLastColumn="0" w:lastRowFirstColumn="0" w:lastRowLastColumn="0"/>
            </w:pPr>
            <w:hyperlink w:anchor="_Toc478055730" w:history="1">
              <w:r w:rsidR="00EA1814" w:rsidRPr="00892DE3">
                <w:rPr>
                  <w:rStyle w:val="Hyperlink"/>
                  <w:noProof/>
                </w:rPr>
                <w:t>3.4</w:t>
              </w:r>
              <w:r w:rsidR="00EA1814" w:rsidRPr="00892DE3">
                <w:rPr>
                  <w:rFonts w:eastAsiaTheme="minorEastAsia"/>
                  <w:noProof/>
                  <w:spacing w:val="0"/>
                  <w:sz w:val="22"/>
                  <w:lang w:eastAsia="en-AU"/>
                </w:rPr>
                <w:tab/>
              </w:r>
              <w:r w:rsidR="00EA1814" w:rsidRPr="00892DE3">
                <w:rPr>
                  <w:rStyle w:val="Hyperlink"/>
                  <w:noProof/>
                </w:rPr>
                <w:t>Other operating expenses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_Toc478055730 \h </w:instrText>
              </w:r>
              <w:r w:rsidR="00EA1814" w:rsidRPr="00892DE3">
                <w:rPr>
                  <w:noProof/>
                  <w:webHidden/>
                </w:rPr>
              </w:r>
              <w:r w:rsidR="00EA1814" w:rsidRPr="00892DE3">
                <w:rPr>
                  <w:noProof/>
                  <w:webHidden/>
                </w:rPr>
                <w:fldChar w:fldCharType="separate"/>
              </w:r>
              <w:r w:rsidR="00F63B17">
                <w:rPr>
                  <w:noProof/>
                  <w:webHidden/>
                </w:rPr>
                <w:t>100</w:t>
              </w:r>
              <w:r w:rsidR="00EA1814" w:rsidRPr="00892DE3">
                <w:rPr>
                  <w:noProof/>
                  <w:webHidden/>
                </w:rPr>
                <w:fldChar w:fldCharType="end"/>
              </w:r>
            </w:hyperlink>
            <w:r w:rsidR="00B05757" w:rsidRPr="00892DE3">
              <w:fldChar w:fldCharType="end"/>
            </w:r>
          </w:p>
        </w:tc>
      </w:tr>
      <w:tr w:rsidR="00D9320A" w:rsidRPr="00892DE3" w:rsidTr="00475DCE">
        <w:tc>
          <w:tcPr>
            <w:cnfStyle w:val="001000000000" w:firstRow="0" w:lastRow="0" w:firstColumn="1" w:lastColumn="0" w:oddVBand="0" w:evenVBand="0" w:oddHBand="0" w:evenHBand="0" w:firstRowFirstColumn="0" w:firstRowLastColumn="0" w:lastRowFirstColumn="0" w:lastRowLastColumn="0"/>
            <w:tcW w:w="1526" w:type="dxa"/>
            <w:vMerge/>
            <w:tcBorders>
              <w:bottom w:val="nil"/>
            </w:tcBorders>
          </w:tcPr>
          <w:p w:rsidR="00D9320A" w:rsidRPr="00892DE3" w:rsidRDefault="00D9320A" w:rsidP="00B04CDD">
            <w:pPr>
              <w:ind w:firstLine="0"/>
              <w:rPr>
                <w:rFonts w:ascii="Arial" w:eastAsia="Calibri" w:hAnsi="Arial" w:cs="Arial"/>
                <w:szCs w:val="18"/>
              </w:rPr>
            </w:pPr>
          </w:p>
        </w:tc>
        <w:tc>
          <w:tcPr>
            <w:tcW w:w="6804" w:type="dxa"/>
            <w:tcBorders>
              <w:bottom w:val="nil"/>
            </w:tcBorders>
            <w:shd w:val="clear" w:color="auto" w:fill="EBEBEB" w:themeFill="background2"/>
          </w:tcPr>
          <w:p w:rsidR="00D9320A" w:rsidRPr="00892DE3" w:rsidRDefault="00D9320A" w:rsidP="00B04CDD">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18"/>
              </w:rPr>
            </w:pPr>
            <w:r w:rsidRPr="00892DE3">
              <w:rPr>
                <w:rFonts w:ascii="Arial" w:eastAsia="Calibri" w:hAnsi="Arial" w:cs="Arial"/>
                <w:b/>
                <w:szCs w:val="18"/>
              </w:rPr>
              <w:t xml:space="preserve">4. </w:t>
            </w:r>
            <w:r w:rsidR="00B04CDD" w:rsidRPr="00892DE3">
              <w:rPr>
                <w:rFonts w:ascii="Arial" w:eastAsia="Calibri" w:hAnsi="Arial" w:cs="Arial"/>
                <w:b/>
                <w:szCs w:val="18"/>
              </w:rPr>
              <w:tab/>
            </w:r>
            <w:r w:rsidRPr="00892DE3">
              <w:rPr>
                <w:rFonts w:ascii="Arial" w:eastAsia="Calibri" w:hAnsi="Arial" w:cs="Arial"/>
                <w:b/>
                <w:szCs w:val="18"/>
              </w:rPr>
              <w:t>Disaggregated financial information by output</w:t>
            </w:r>
          </w:p>
        </w:tc>
        <w:tc>
          <w:tcPr>
            <w:tcW w:w="1417" w:type="dxa"/>
            <w:tcBorders>
              <w:bottom w:val="nil"/>
            </w:tcBorders>
            <w:shd w:val="clear" w:color="auto" w:fill="EBEBEB" w:themeFill="background2"/>
          </w:tcPr>
          <w:p w:rsidR="00D9320A" w:rsidRPr="00892DE3" w:rsidRDefault="005E5D35" w:rsidP="00B04CDD">
            <w:pPr>
              <w:spacing w:line="240" w:lineRule="auto"/>
              <w:jc w:val="right"/>
              <w:cnfStyle w:val="000000000000" w:firstRow="0" w:lastRow="0" w:firstColumn="0" w:lastColumn="0" w:oddVBand="0" w:evenVBand="0" w:oddHBand="0" w:evenHBand="0" w:firstRowFirstColumn="0" w:firstRowLastColumn="0" w:lastRowFirstColumn="0" w:lastRowLastColumn="0"/>
              <w:rPr>
                <w:i/>
              </w:rPr>
            </w:pPr>
            <w:r w:rsidRPr="00892DE3">
              <w:fldChar w:fldCharType="begin"/>
            </w:r>
            <w:r w:rsidRPr="00892DE3">
              <w:instrText xml:space="preserve"> PAGEREF  Section4 \h  \* MERGEFORMAT </w:instrText>
            </w:r>
            <w:r w:rsidRPr="00892DE3">
              <w:fldChar w:fldCharType="separate"/>
            </w:r>
            <w:r w:rsidR="00F63B17">
              <w:rPr>
                <w:noProof/>
              </w:rPr>
              <w:t>102</w:t>
            </w:r>
            <w:r w:rsidRPr="00892DE3">
              <w:fldChar w:fldCharType="end"/>
            </w:r>
          </w:p>
        </w:tc>
      </w:tr>
      <w:tr w:rsidR="00D9320A" w:rsidRPr="00892DE3" w:rsidTr="00475DCE">
        <w:trPr>
          <w:trHeight w:val="181"/>
        </w:trPr>
        <w:tc>
          <w:tcPr>
            <w:cnfStyle w:val="001000000000" w:firstRow="0" w:lastRow="0" w:firstColumn="1" w:lastColumn="0" w:oddVBand="0" w:evenVBand="0" w:oddHBand="0" w:evenHBand="0" w:firstRowFirstColumn="0" w:firstRowLastColumn="0" w:lastRowFirstColumn="0" w:lastRowLastColumn="0"/>
            <w:tcW w:w="1526" w:type="dxa"/>
            <w:vMerge/>
            <w:tcBorders>
              <w:bottom w:val="nil"/>
            </w:tcBorders>
          </w:tcPr>
          <w:p w:rsidR="00D9320A" w:rsidRPr="00892DE3" w:rsidRDefault="00D9320A" w:rsidP="00B04CDD">
            <w:pPr>
              <w:ind w:firstLine="0"/>
              <w:rPr>
                <w:rFonts w:ascii="Arial" w:eastAsia="Calibri" w:hAnsi="Arial" w:cs="Arial"/>
                <w:szCs w:val="18"/>
              </w:rPr>
            </w:pPr>
          </w:p>
        </w:tc>
        <w:tc>
          <w:tcPr>
            <w:tcW w:w="6804" w:type="dxa"/>
            <w:tcBorders>
              <w:top w:val="nil"/>
              <w:bottom w:val="nil"/>
            </w:tcBorders>
          </w:tcPr>
          <w:p w:rsidR="00D9320A" w:rsidRPr="00892DE3" w:rsidRDefault="00D9320A" w:rsidP="00B04CDD">
            <w:pPr>
              <w:spacing w:line="240" w:lineRule="auto"/>
              <w:cnfStyle w:val="000000000000" w:firstRow="0" w:lastRow="0" w:firstColumn="0" w:lastColumn="0" w:oddVBand="0" w:evenVBand="0" w:oddHBand="0" w:evenHBand="0" w:firstRowFirstColumn="0" w:firstRowLastColumn="0" w:lastRowFirstColumn="0" w:lastRowLastColumn="0"/>
              <w:rPr>
                <w:b/>
              </w:rPr>
            </w:pPr>
            <w:r w:rsidRPr="00892DE3">
              <w:t>Department outputs and Administered (non</w:t>
            </w:r>
            <w:r w:rsidRPr="00892DE3">
              <w:noBreakHyphen/>
              <w:t>controlled) items</w:t>
            </w:r>
          </w:p>
        </w:tc>
        <w:tc>
          <w:tcPr>
            <w:tcW w:w="1417" w:type="dxa"/>
            <w:tcBorders>
              <w:top w:val="nil"/>
              <w:bottom w:val="nil"/>
            </w:tcBorders>
          </w:tcPr>
          <w:p w:rsidR="00D9320A" w:rsidRPr="00892DE3" w:rsidRDefault="00D9320A" w:rsidP="00B04CDD">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B05757" w:rsidRPr="00892DE3" w:rsidTr="00475DCE">
        <w:trPr>
          <w:trHeight w:val="70"/>
        </w:trPr>
        <w:tc>
          <w:tcPr>
            <w:cnfStyle w:val="001000000000" w:firstRow="0" w:lastRow="0" w:firstColumn="1" w:lastColumn="0" w:oddVBand="0" w:evenVBand="0" w:oddHBand="0" w:evenHBand="0" w:firstRowFirstColumn="0" w:firstRowLastColumn="0" w:lastRowFirstColumn="0" w:lastRowLastColumn="0"/>
            <w:tcW w:w="1526" w:type="dxa"/>
            <w:vMerge/>
            <w:tcBorders>
              <w:bottom w:val="nil"/>
            </w:tcBorders>
          </w:tcPr>
          <w:p w:rsidR="00B05757" w:rsidRPr="00892DE3" w:rsidRDefault="00B05757" w:rsidP="00B04CDD">
            <w:pPr>
              <w:rPr>
                <w:rFonts w:ascii="Arial" w:eastAsia="Calibri" w:hAnsi="Arial" w:cs="Arial"/>
              </w:rPr>
            </w:pPr>
          </w:p>
        </w:tc>
        <w:tc>
          <w:tcPr>
            <w:tcW w:w="8221" w:type="dxa"/>
            <w:gridSpan w:val="2"/>
            <w:tcBorders>
              <w:bottom w:val="nil"/>
            </w:tcBorders>
            <w:shd w:val="clear" w:color="auto" w:fill="auto"/>
          </w:tcPr>
          <w:p w:rsidR="00EA1814" w:rsidRPr="00892DE3" w:rsidRDefault="00B05757">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Section4 \* MERGEFORMAT </w:instrText>
            </w:r>
            <w:r w:rsidRPr="00892DE3">
              <w:rPr>
                <w:noProof/>
              </w:rPr>
              <w:fldChar w:fldCharType="separate"/>
            </w:r>
            <w:hyperlink w:anchor="_Toc478055736" w:history="1">
              <w:r w:rsidR="00EA1814" w:rsidRPr="00892DE3">
                <w:rPr>
                  <w:rStyle w:val="Hyperlink"/>
                  <w:noProof/>
                </w:rPr>
                <w:t>4.1</w:t>
              </w:r>
              <w:r w:rsidR="00EA1814" w:rsidRPr="00892DE3">
                <w:rPr>
                  <w:rFonts w:eastAsiaTheme="minorEastAsia"/>
                  <w:noProof/>
                  <w:spacing w:val="0"/>
                  <w:sz w:val="22"/>
                  <w:lang w:eastAsia="en-AU"/>
                </w:rPr>
                <w:tab/>
              </w:r>
              <w:r w:rsidR="00EA1814" w:rsidRPr="00892DE3">
                <w:rPr>
                  <w:rStyle w:val="Hyperlink"/>
                  <w:noProof/>
                </w:rPr>
                <w:t>Departmental outputs – Descriptions and objectives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_Toc478055736 \h </w:instrText>
              </w:r>
              <w:r w:rsidR="00EA1814" w:rsidRPr="00892DE3">
                <w:rPr>
                  <w:noProof/>
                  <w:webHidden/>
                </w:rPr>
              </w:r>
              <w:r w:rsidR="00EA1814" w:rsidRPr="00892DE3">
                <w:rPr>
                  <w:noProof/>
                  <w:webHidden/>
                </w:rPr>
                <w:fldChar w:fldCharType="separate"/>
              </w:r>
              <w:r w:rsidR="00F63B17">
                <w:rPr>
                  <w:noProof/>
                  <w:webHidden/>
                </w:rPr>
                <w:t>102</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37" w:history="1">
              <w:r w:rsidR="00EA1814" w:rsidRPr="00892DE3">
                <w:rPr>
                  <w:rStyle w:val="Hyperlink"/>
                  <w:noProof/>
                </w:rPr>
                <w:t>4.2</w:t>
              </w:r>
              <w:r w:rsidR="00EA1814" w:rsidRPr="00892DE3">
                <w:rPr>
                  <w:rFonts w:eastAsiaTheme="minorEastAsia"/>
                  <w:noProof/>
                  <w:spacing w:val="0"/>
                  <w:sz w:val="22"/>
                  <w:lang w:eastAsia="en-AU"/>
                </w:rPr>
                <w:tab/>
              </w:r>
              <w:r w:rsidR="00EA1814" w:rsidRPr="00892DE3">
                <w:rPr>
                  <w:rStyle w:val="Hyperlink"/>
                  <w:noProof/>
                </w:rPr>
                <w:t>Administered items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_Toc478055737 \h </w:instrText>
              </w:r>
              <w:r w:rsidR="00EA1814" w:rsidRPr="00892DE3">
                <w:rPr>
                  <w:noProof/>
                  <w:webHidden/>
                </w:rPr>
              </w:r>
              <w:r w:rsidR="00EA1814" w:rsidRPr="00892DE3">
                <w:rPr>
                  <w:noProof/>
                  <w:webHidden/>
                </w:rPr>
                <w:fldChar w:fldCharType="separate"/>
              </w:r>
              <w:r w:rsidR="00F63B17">
                <w:rPr>
                  <w:noProof/>
                  <w:webHidden/>
                </w:rPr>
                <w:t>105</w:t>
              </w:r>
              <w:r w:rsidR="00EA1814" w:rsidRPr="00892DE3">
                <w:rPr>
                  <w:noProof/>
                  <w:webHidden/>
                </w:rPr>
                <w:fldChar w:fldCharType="end"/>
              </w:r>
            </w:hyperlink>
          </w:p>
          <w:p w:rsidR="00B05757" w:rsidRPr="00892DE3" w:rsidRDefault="003C212D" w:rsidP="00EA1814">
            <w:pPr>
              <w:pStyle w:val="TOC8"/>
              <w:cnfStyle w:val="000000000000" w:firstRow="0" w:lastRow="0" w:firstColumn="0" w:lastColumn="0" w:oddVBand="0" w:evenVBand="0" w:oddHBand="0" w:evenHBand="0" w:firstRowFirstColumn="0" w:firstRowLastColumn="0" w:lastRowFirstColumn="0" w:lastRowLastColumn="0"/>
            </w:pPr>
            <w:hyperlink w:anchor="_Toc478055738" w:history="1">
              <w:r w:rsidR="00EA1814" w:rsidRPr="00892DE3">
                <w:rPr>
                  <w:rStyle w:val="Hyperlink"/>
                  <w:noProof/>
                </w:rPr>
                <w:t>4.3</w:t>
              </w:r>
              <w:r w:rsidR="00EA1814" w:rsidRPr="00892DE3">
                <w:rPr>
                  <w:rFonts w:eastAsiaTheme="minorEastAsia"/>
                  <w:noProof/>
                  <w:spacing w:val="0"/>
                  <w:sz w:val="22"/>
                  <w:lang w:eastAsia="en-AU"/>
                </w:rPr>
                <w:tab/>
              </w:r>
              <w:r w:rsidR="00EA1814" w:rsidRPr="00892DE3">
                <w:rPr>
                  <w:rStyle w:val="Hyperlink"/>
                  <w:noProof/>
                </w:rPr>
                <w:t>Restructuring of administrative arrangements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_Toc478055738 \h </w:instrText>
              </w:r>
              <w:r w:rsidR="00EA1814" w:rsidRPr="00892DE3">
                <w:rPr>
                  <w:noProof/>
                  <w:webHidden/>
                </w:rPr>
              </w:r>
              <w:r w:rsidR="00EA1814" w:rsidRPr="00892DE3">
                <w:rPr>
                  <w:noProof/>
                  <w:webHidden/>
                </w:rPr>
                <w:fldChar w:fldCharType="separate"/>
              </w:r>
              <w:r w:rsidR="00F63B17">
                <w:rPr>
                  <w:noProof/>
                  <w:webHidden/>
                </w:rPr>
                <w:t>109</w:t>
              </w:r>
              <w:r w:rsidR="00EA1814" w:rsidRPr="00892DE3">
                <w:rPr>
                  <w:noProof/>
                  <w:webHidden/>
                </w:rPr>
                <w:fldChar w:fldCharType="end"/>
              </w:r>
            </w:hyperlink>
            <w:r w:rsidR="00B05757" w:rsidRPr="00892DE3">
              <w:fldChar w:fldCharType="end"/>
            </w:r>
          </w:p>
        </w:tc>
      </w:tr>
      <w:tr w:rsidR="00D9320A" w:rsidRPr="00892DE3" w:rsidTr="0094700F">
        <w:trPr>
          <w:trHeight w:val="87"/>
        </w:trPr>
        <w:tc>
          <w:tcPr>
            <w:cnfStyle w:val="001000000000" w:firstRow="0" w:lastRow="0" w:firstColumn="1" w:lastColumn="0" w:oddVBand="0" w:evenVBand="0" w:oddHBand="0" w:evenHBand="0" w:firstRowFirstColumn="0" w:firstRowLastColumn="0" w:lastRowFirstColumn="0" w:lastRowLastColumn="0"/>
            <w:tcW w:w="1526" w:type="dxa"/>
            <w:vMerge/>
            <w:tcBorders>
              <w:bottom w:val="nil"/>
            </w:tcBorders>
          </w:tcPr>
          <w:p w:rsidR="00D9320A" w:rsidRPr="00892DE3" w:rsidRDefault="00D9320A" w:rsidP="00B04CDD">
            <w:pPr>
              <w:ind w:firstLine="0"/>
              <w:rPr>
                <w:rFonts w:ascii="Arial" w:eastAsia="Calibri" w:hAnsi="Arial" w:cs="Arial"/>
                <w:szCs w:val="18"/>
              </w:rPr>
            </w:pPr>
          </w:p>
        </w:tc>
        <w:tc>
          <w:tcPr>
            <w:tcW w:w="6804" w:type="dxa"/>
            <w:tcBorders>
              <w:bottom w:val="nil"/>
            </w:tcBorders>
            <w:shd w:val="clear" w:color="auto" w:fill="EBEBEB" w:themeFill="background2"/>
          </w:tcPr>
          <w:p w:rsidR="00D9320A" w:rsidRPr="00892DE3" w:rsidRDefault="00D9320A" w:rsidP="00B04CDD">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892DE3">
              <w:rPr>
                <w:rFonts w:ascii="Arial" w:eastAsia="Calibri" w:hAnsi="Arial" w:cs="Arial"/>
                <w:b/>
                <w:szCs w:val="18"/>
              </w:rPr>
              <w:t xml:space="preserve">5. </w:t>
            </w:r>
            <w:r w:rsidR="00B04CDD" w:rsidRPr="00892DE3">
              <w:rPr>
                <w:rFonts w:ascii="Arial" w:eastAsia="Calibri" w:hAnsi="Arial" w:cs="Arial"/>
                <w:b/>
                <w:szCs w:val="18"/>
              </w:rPr>
              <w:tab/>
            </w:r>
            <w:r w:rsidRPr="00892DE3">
              <w:rPr>
                <w:rFonts w:ascii="Arial" w:eastAsia="Calibri" w:hAnsi="Arial" w:cs="Arial"/>
                <w:b/>
                <w:szCs w:val="18"/>
              </w:rPr>
              <w:t>Key assets available to support output delivery</w:t>
            </w:r>
          </w:p>
        </w:tc>
        <w:tc>
          <w:tcPr>
            <w:tcW w:w="1417" w:type="dxa"/>
            <w:tcBorders>
              <w:bottom w:val="nil"/>
            </w:tcBorders>
            <w:shd w:val="clear" w:color="auto" w:fill="EBEBEB" w:themeFill="background2"/>
          </w:tcPr>
          <w:p w:rsidR="00D9320A" w:rsidRPr="00892DE3" w:rsidRDefault="00BF77B6" w:rsidP="00B04CDD">
            <w:pPr>
              <w:spacing w:line="240" w:lineRule="auto"/>
              <w:jc w:val="right"/>
              <w:cnfStyle w:val="000000000000" w:firstRow="0" w:lastRow="0" w:firstColumn="0" w:lastColumn="0" w:oddVBand="0" w:evenVBand="0" w:oddHBand="0" w:evenHBand="0" w:firstRowFirstColumn="0" w:firstRowLastColumn="0" w:lastRowFirstColumn="0" w:lastRowLastColumn="0"/>
            </w:pPr>
            <w:fldSimple w:instr=" PAGEREF  Section5  \* MERGEFORMAT ">
              <w:r w:rsidR="00F63B17">
                <w:rPr>
                  <w:noProof/>
                </w:rPr>
                <w:t>113</w:t>
              </w:r>
            </w:fldSimple>
          </w:p>
        </w:tc>
      </w:tr>
      <w:tr w:rsidR="00B04CDD" w:rsidRPr="00892DE3" w:rsidTr="00730113">
        <w:tc>
          <w:tcPr>
            <w:cnfStyle w:val="001000000000" w:firstRow="0" w:lastRow="0" w:firstColumn="1" w:lastColumn="0" w:oddVBand="0" w:evenVBand="0" w:oddHBand="0" w:evenHBand="0" w:firstRowFirstColumn="0" w:firstRowLastColumn="0" w:lastRowFirstColumn="0" w:lastRowLastColumn="0"/>
            <w:tcW w:w="1526" w:type="dxa"/>
            <w:vMerge/>
            <w:tcBorders>
              <w:bottom w:val="nil"/>
            </w:tcBorders>
          </w:tcPr>
          <w:p w:rsidR="00B04CDD" w:rsidRPr="00892DE3" w:rsidRDefault="00B04CDD" w:rsidP="00B04CDD">
            <w:pPr>
              <w:ind w:firstLine="0"/>
              <w:rPr>
                <w:rFonts w:ascii="Arial" w:eastAsia="Calibri" w:hAnsi="Arial" w:cs="Arial"/>
                <w:szCs w:val="18"/>
              </w:rPr>
            </w:pPr>
          </w:p>
        </w:tc>
        <w:tc>
          <w:tcPr>
            <w:tcW w:w="8221" w:type="dxa"/>
            <w:gridSpan w:val="2"/>
            <w:tcBorders>
              <w:top w:val="nil"/>
              <w:bottom w:val="nil"/>
            </w:tcBorders>
          </w:tcPr>
          <w:p w:rsidR="00B04CDD" w:rsidRPr="00892DE3" w:rsidRDefault="00B04CDD" w:rsidP="00B04CDD">
            <w:pPr>
              <w:spacing w:line="240" w:lineRule="auto"/>
              <w:cnfStyle w:val="000000000000" w:firstRow="0" w:lastRow="0" w:firstColumn="0" w:lastColumn="0" w:oddVBand="0" w:evenVBand="0" w:oddHBand="0" w:evenHBand="0" w:firstRowFirstColumn="0" w:firstRowLastColumn="0" w:lastRowFirstColumn="0" w:lastRowLastColumn="0"/>
            </w:pPr>
            <w:r w:rsidRPr="00892DE3">
              <w:t xml:space="preserve">Land, property, investment properties, biological assets, intangible assets, investments </w:t>
            </w:r>
            <w:r w:rsidRPr="00892DE3">
              <w:br/>
              <w:t xml:space="preserve">accounted for using the equity method, investments and other financial assets, </w:t>
            </w:r>
            <w:r w:rsidR="00A72D7B" w:rsidRPr="00892DE3">
              <w:t xml:space="preserve">and </w:t>
            </w:r>
            <w:r w:rsidRPr="00892DE3">
              <w:t xml:space="preserve">acquisition </w:t>
            </w:r>
            <w:r w:rsidRPr="00892DE3">
              <w:br/>
              <w:t>and disposal of entities</w:t>
            </w:r>
          </w:p>
        </w:tc>
      </w:tr>
      <w:tr w:rsidR="00B05757" w:rsidRPr="00892DE3" w:rsidTr="00475DCE">
        <w:trPr>
          <w:trHeight w:val="70"/>
        </w:trPr>
        <w:tc>
          <w:tcPr>
            <w:cnfStyle w:val="001000000000" w:firstRow="0" w:lastRow="0" w:firstColumn="1" w:lastColumn="0" w:oddVBand="0" w:evenVBand="0" w:oddHBand="0" w:evenHBand="0" w:firstRowFirstColumn="0" w:firstRowLastColumn="0" w:lastRowFirstColumn="0" w:lastRowLastColumn="0"/>
            <w:tcW w:w="1526" w:type="dxa"/>
            <w:vMerge/>
            <w:tcBorders>
              <w:bottom w:val="single" w:sz="12" w:space="0" w:color="auto"/>
            </w:tcBorders>
          </w:tcPr>
          <w:p w:rsidR="00B05757" w:rsidRPr="00892DE3" w:rsidRDefault="00B05757" w:rsidP="00B04CDD">
            <w:pPr>
              <w:rPr>
                <w:rFonts w:ascii="Arial" w:eastAsia="Calibri" w:hAnsi="Arial" w:cs="Arial"/>
              </w:rPr>
            </w:pPr>
          </w:p>
        </w:tc>
        <w:tc>
          <w:tcPr>
            <w:tcW w:w="8221" w:type="dxa"/>
            <w:gridSpan w:val="2"/>
            <w:tcBorders>
              <w:bottom w:val="single" w:sz="12" w:space="0" w:color="auto"/>
            </w:tcBorders>
            <w:shd w:val="clear" w:color="auto" w:fill="auto"/>
          </w:tcPr>
          <w:p w:rsidR="00EA1814" w:rsidRPr="00892DE3" w:rsidRDefault="00B05757">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Section5 \* MERGEFORMAT </w:instrText>
            </w:r>
            <w:r w:rsidRPr="00892DE3">
              <w:rPr>
                <w:noProof/>
              </w:rPr>
              <w:fldChar w:fldCharType="separate"/>
            </w:r>
            <w:hyperlink w:anchor="_Toc478055744" w:history="1">
              <w:r w:rsidR="00EA1814" w:rsidRPr="00892DE3">
                <w:rPr>
                  <w:rStyle w:val="Hyperlink"/>
                  <w:noProof/>
                </w:rPr>
                <w:t>5.1</w:t>
              </w:r>
              <w:r w:rsidR="00EA1814" w:rsidRPr="00892DE3">
                <w:rPr>
                  <w:rFonts w:eastAsiaTheme="minorEastAsia"/>
                  <w:noProof/>
                  <w:spacing w:val="0"/>
                  <w:sz w:val="22"/>
                  <w:lang w:eastAsia="en-AU"/>
                </w:rPr>
                <w:tab/>
              </w:r>
              <w:r w:rsidR="00EA1814" w:rsidRPr="00892DE3">
                <w:rPr>
                  <w:rStyle w:val="Hyperlink"/>
                  <w:noProof/>
                </w:rPr>
                <w:t>Total property, plant and equipment</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_Toc478055744 \h </w:instrText>
              </w:r>
              <w:r w:rsidR="00EA1814" w:rsidRPr="00892DE3">
                <w:rPr>
                  <w:noProof/>
                  <w:webHidden/>
                </w:rPr>
              </w:r>
              <w:r w:rsidR="00EA1814" w:rsidRPr="00892DE3">
                <w:rPr>
                  <w:noProof/>
                  <w:webHidden/>
                </w:rPr>
                <w:fldChar w:fldCharType="separate"/>
              </w:r>
              <w:r w:rsidR="00F63B17">
                <w:rPr>
                  <w:noProof/>
                  <w:webHidden/>
                </w:rPr>
                <w:t>113</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45" w:history="1">
              <w:r w:rsidR="00EA1814" w:rsidRPr="00892DE3">
                <w:rPr>
                  <w:rStyle w:val="Hyperlink"/>
                  <w:noProof/>
                </w:rPr>
                <w:t>5.2</w:t>
              </w:r>
              <w:r w:rsidR="00EA1814" w:rsidRPr="00892DE3">
                <w:rPr>
                  <w:rFonts w:eastAsiaTheme="minorEastAsia"/>
                  <w:noProof/>
                  <w:spacing w:val="0"/>
                  <w:sz w:val="22"/>
                  <w:lang w:eastAsia="en-AU"/>
                </w:rPr>
                <w:tab/>
              </w:r>
              <w:r w:rsidR="00EA1814" w:rsidRPr="00892DE3">
                <w:rPr>
                  <w:rStyle w:val="Hyperlink"/>
                  <w:noProof/>
                </w:rPr>
                <w:t>Investment properties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_Toc478055745 \h </w:instrText>
              </w:r>
              <w:r w:rsidR="00EA1814" w:rsidRPr="00892DE3">
                <w:rPr>
                  <w:noProof/>
                  <w:webHidden/>
                </w:rPr>
              </w:r>
              <w:r w:rsidR="00EA1814" w:rsidRPr="00892DE3">
                <w:rPr>
                  <w:noProof/>
                  <w:webHidden/>
                </w:rPr>
                <w:fldChar w:fldCharType="separate"/>
              </w:r>
              <w:r w:rsidR="00F63B17">
                <w:rPr>
                  <w:noProof/>
                  <w:webHidden/>
                </w:rPr>
                <w:t>118</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46" w:history="1">
              <w:r w:rsidR="00EA1814" w:rsidRPr="00892DE3">
                <w:rPr>
                  <w:rStyle w:val="Hyperlink"/>
                  <w:noProof/>
                </w:rPr>
                <w:t>5.3</w:t>
              </w:r>
              <w:r w:rsidR="00EA1814" w:rsidRPr="00892DE3">
                <w:rPr>
                  <w:rFonts w:eastAsiaTheme="minorEastAsia"/>
                  <w:noProof/>
                  <w:spacing w:val="0"/>
                  <w:sz w:val="22"/>
                  <w:lang w:eastAsia="en-AU"/>
                </w:rPr>
                <w:tab/>
              </w:r>
              <w:r w:rsidR="00EA1814" w:rsidRPr="00892DE3">
                <w:rPr>
                  <w:rStyle w:val="Hyperlink"/>
                  <w:noProof/>
                </w:rPr>
                <w:t>Biological assets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_Toc478055746 \h </w:instrText>
              </w:r>
              <w:r w:rsidR="00EA1814" w:rsidRPr="00892DE3">
                <w:rPr>
                  <w:noProof/>
                  <w:webHidden/>
                </w:rPr>
              </w:r>
              <w:r w:rsidR="00EA1814" w:rsidRPr="00892DE3">
                <w:rPr>
                  <w:noProof/>
                  <w:webHidden/>
                </w:rPr>
                <w:fldChar w:fldCharType="separate"/>
              </w:r>
              <w:r w:rsidR="00F63B17">
                <w:rPr>
                  <w:noProof/>
                  <w:webHidden/>
                </w:rPr>
                <w:t>120</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47" w:history="1">
              <w:r w:rsidR="00EA1814" w:rsidRPr="00892DE3">
                <w:rPr>
                  <w:rStyle w:val="Hyperlink"/>
                  <w:noProof/>
                </w:rPr>
                <w:t>5.4</w:t>
              </w:r>
              <w:r w:rsidR="00EA1814" w:rsidRPr="00892DE3">
                <w:rPr>
                  <w:rFonts w:eastAsiaTheme="minorEastAsia"/>
                  <w:noProof/>
                  <w:spacing w:val="0"/>
                  <w:sz w:val="22"/>
                  <w:lang w:eastAsia="en-AU"/>
                </w:rPr>
                <w:tab/>
              </w:r>
              <w:r w:rsidR="00EA1814" w:rsidRPr="00892DE3">
                <w:rPr>
                  <w:rStyle w:val="Hyperlink"/>
                  <w:noProof/>
                </w:rPr>
                <w:t>Intangible assets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_Toc478055747 \h </w:instrText>
              </w:r>
              <w:r w:rsidR="00EA1814" w:rsidRPr="00892DE3">
                <w:rPr>
                  <w:noProof/>
                  <w:webHidden/>
                </w:rPr>
              </w:r>
              <w:r w:rsidR="00EA1814" w:rsidRPr="00892DE3">
                <w:rPr>
                  <w:noProof/>
                  <w:webHidden/>
                </w:rPr>
                <w:fldChar w:fldCharType="separate"/>
              </w:r>
              <w:r w:rsidR="00F63B17">
                <w:rPr>
                  <w:noProof/>
                  <w:webHidden/>
                </w:rPr>
                <w:t>122</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48" w:history="1">
              <w:r w:rsidR="00EA1814" w:rsidRPr="00892DE3">
                <w:rPr>
                  <w:rStyle w:val="Hyperlink"/>
                  <w:noProof/>
                </w:rPr>
                <w:t>5.5</w:t>
              </w:r>
              <w:r w:rsidR="00EA1814" w:rsidRPr="00892DE3">
                <w:rPr>
                  <w:rFonts w:eastAsiaTheme="minorEastAsia"/>
                  <w:noProof/>
                  <w:spacing w:val="0"/>
                  <w:sz w:val="22"/>
                  <w:lang w:eastAsia="en-AU"/>
                </w:rPr>
                <w:tab/>
              </w:r>
              <w:r w:rsidR="00EA1814" w:rsidRPr="00892DE3">
                <w:rPr>
                  <w:rStyle w:val="Hyperlink"/>
                  <w:noProof/>
                </w:rPr>
                <w:t>Investments accounted for using the equity method</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_Toc478055748 \h </w:instrText>
              </w:r>
              <w:r w:rsidR="00EA1814" w:rsidRPr="00892DE3">
                <w:rPr>
                  <w:noProof/>
                  <w:webHidden/>
                </w:rPr>
              </w:r>
              <w:r w:rsidR="00EA1814" w:rsidRPr="00892DE3">
                <w:rPr>
                  <w:noProof/>
                  <w:webHidden/>
                </w:rPr>
                <w:fldChar w:fldCharType="separate"/>
              </w:r>
              <w:r w:rsidR="00F63B17">
                <w:rPr>
                  <w:noProof/>
                  <w:webHidden/>
                </w:rPr>
                <w:t>125</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49" w:history="1">
              <w:r w:rsidR="00EA1814" w:rsidRPr="00892DE3">
                <w:rPr>
                  <w:rStyle w:val="Hyperlink"/>
                  <w:noProof/>
                </w:rPr>
                <w:t>5.6</w:t>
              </w:r>
              <w:r w:rsidR="00EA1814" w:rsidRPr="00892DE3">
                <w:rPr>
                  <w:rFonts w:eastAsiaTheme="minorEastAsia"/>
                  <w:noProof/>
                  <w:spacing w:val="0"/>
                  <w:sz w:val="22"/>
                  <w:lang w:eastAsia="en-AU"/>
                </w:rPr>
                <w:tab/>
              </w:r>
              <w:r w:rsidR="00EA1814" w:rsidRPr="00892DE3">
                <w:rPr>
                  <w:rStyle w:val="Hyperlink"/>
                  <w:noProof/>
                </w:rPr>
                <w:t>Investments and other financial assets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_Toc478055749 \h </w:instrText>
              </w:r>
              <w:r w:rsidR="00EA1814" w:rsidRPr="00892DE3">
                <w:rPr>
                  <w:noProof/>
                  <w:webHidden/>
                </w:rPr>
              </w:r>
              <w:r w:rsidR="00EA1814" w:rsidRPr="00892DE3">
                <w:rPr>
                  <w:noProof/>
                  <w:webHidden/>
                </w:rPr>
                <w:fldChar w:fldCharType="separate"/>
              </w:r>
              <w:r w:rsidR="00F63B17">
                <w:rPr>
                  <w:noProof/>
                  <w:webHidden/>
                </w:rPr>
                <w:t>130</w:t>
              </w:r>
              <w:r w:rsidR="00EA1814" w:rsidRPr="00892DE3">
                <w:rPr>
                  <w:noProof/>
                  <w:webHidden/>
                </w:rPr>
                <w:fldChar w:fldCharType="end"/>
              </w:r>
            </w:hyperlink>
          </w:p>
          <w:p w:rsidR="00B05757" w:rsidRPr="00892DE3" w:rsidRDefault="003C212D" w:rsidP="00EA1814">
            <w:pPr>
              <w:pStyle w:val="TOC8"/>
              <w:cnfStyle w:val="000000000000" w:firstRow="0" w:lastRow="0" w:firstColumn="0" w:lastColumn="0" w:oddVBand="0" w:evenVBand="0" w:oddHBand="0" w:evenHBand="0" w:firstRowFirstColumn="0" w:firstRowLastColumn="0" w:lastRowFirstColumn="0" w:lastRowLastColumn="0"/>
            </w:pPr>
            <w:hyperlink w:anchor="_Toc478055750" w:history="1">
              <w:r w:rsidR="00EA1814" w:rsidRPr="00892DE3">
                <w:rPr>
                  <w:rStyle w:val="Hyperlink"/>
                  <w:noProof/>
                </w:rPr>
                <w:t>5.7</w:t>
              </w:r>
              <w:r w:rsidR="00EA1814" w:rsidRPr="00892DE3">
                <w:rPr>
                  <w:rFonts w:eastAsiaTheme="minorEastAsia"/>
                  <w:noProof/>
                  <w:spacing w:val="0"/>
                  <w:sz w:val="22"/>
                  <w:lang w:eastAsia="en-AU"/>
                </w:rPr>
                <w:tab/>
              </w:r>
              <w:r w:rsidR="00EA1814" w:rsidRPr="00892DE3">
                <w:rPr>
                  <w:rStyle w:val="Hyperlink"/>
                  <w:noProof/>
                </w:rPr>
                <w:t>Acquisition and disposal of entities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_Toc478055750 \h </w:instrText>
              </w:r>
              <w:r w:rsidR="00EA1814" w:rsidRPr="00892DE3">
                <w:rPr>
                  <w:noProof/>
                  <w:webHidden/>
                </w:rPr>
              </w:r>
              <w:r w:rsidR="00EA1814" w:rsidRPr="00892DE3">
                <w:rPr>
                  <w:noProof/>
                  <w:webHidden/>
                </w:rPr>
                <w:fldChar w:fldCharType="separate"/>
              </w:r>
              <w:r w:rsidR="00F63B17">
                <w:rPr>
                  <w:noProof/>
                  <w:webHidden/>
                </w:rPr>
                <w:t>132</w:t>
              </w:r>
              <w:r w:rsidR="00EA1814" w:rsidRPr="00892DE3">
                <w:rPr>
                  <w:noProof/>
                  <w:webHidden/>
                </w:rPr>
                <w:fldChar w:fldCharType="end"/>
              </w:r>
            </w:hyperlink>
            <w:r w:rsidR="00B05757" w:rsidRPr="00892DE3">
              <w:fldChar w:fldCharType="end"/>
            </w:r>
          </w:p>
        </w:tc>
      </w:tr>
    </w:tbl>
    <w:p w:rsidR="00475DCE" w:rsidRPr="00892DE3" w:rsidRDefault="00475DCE" w:rsidP="00B04CDD"/>
    <w:tbl>
      <w:tblPr>
        <w:tblStyle w:val="DTFTextTable"/>
        <w:tblW w:w="9752" w:type="dxa"/>
        <w:tblLayout w:type="fixed"/>
        <w:tblLook w:val="0680" w:firstRow="0" w:lastRow="0" w:firstColumn="1" w:lastColumn="0" w:noHBand="1" w:noVBand="1"/>
      </w:tblPr>
      <w:tblGrid>
        <w:gridCol w:w="1527"/>
        <w:gridCol w:w="6976"/>
        <w:gridCol w:w="1241"/>
        <w:gridCol w:w="8"/>
      </w:tblGrid>
      <w:tr w:rsidR="002A11E7" w:rsidRPr="00892DE3" w:rsidTr="002A11E7">
        <w:trPr>
          <w:trHeight w:val="70"/>
        </w:trPr>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tcBorders>
          </w:tcPr>
          <w:p w:rsidR="002A11E7" w:rsidRPr="00892DE3" w:rsidRDefault="002A11E7" w:rsidP="00B04CDD">
            <w:pPr>
              <w:pageBreakBefore/>
              <w:ind w:left="0" w:firstLine="0"/>
              <w:rPr>
                <w:rFonts w:ascii="Arial" w:eastAsia="Calibri" w:hAnsi="Arial" w:cs="Arial"/>
              </w:rPr>
            </w:pPr>
            <w:r w:rsidRPr="00892DE3">
              <w:rPr>
                <w:rFonts w:ascii="Arial" w:eastAsia="Calibri" w:hAnsi="Arial" w:cs="Arial"/>
                <w:b/>
                <w:szCs w:val="18"/>
              </w:rPr>
              <w:lastRenderedPageBreak/>
              <w:t>Notes to the financial statements (continued)</w:t>
            </w:r>
          </w:p>
        </w:tc>
        <w:tc>
          <w:tcPr>
            <w:tcW w:w="6976" w:type="dxa"/>
            <w:tcBorders>
              <w:top w:val="single" w:sz="6" w:space="0" w:color="auto"/>
              <w:bottom w:val="nil"/>
            </w:tcBorders>
            <w:shd w:val="clear" w:color="auto" w:fill="EBEBEB" w:themeFill="background2"/>
          </w:tcPr>
          <w:p w:rsidR="002A11E7" w:rsidRPr="00892DE3" w:rsidRDefault="002A11E7" w:rsidP="00B04CDD">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892DE3">
              <w:rPr>
                <w:rFonts w:ascii="Arial" w:eastAsia="Calibri" w:hAnsi="Arial" w:cs="Arial"/>
                <w:b/>
                <w:szCs w:val="18"/>
              </w:rPr>
              <w:t xml:space="preserve">6. </w:t>
            </w:r>
            <w:r w:rsidR="00B04CDD" w:rsidRPr="00892DE3">
              <w:rPr>
                <w:rFonts w:ascii="Arial" w:eastAsia="Calibri" w:hAnsi="Arial" w:cs="Arial"/>
                <w:b/>
                <w:szCs w:val="18"/>
              </w:rPr>
              <w:tab/>
            </w:r>
            <w:r w:rsidRPr="00892DE3">
              <w:rPr>
                <w:rFonts w:ascii="Arial" w:eastAsia="Calibri" w:hAnsi="Arial" w:cs="Arial"/>
                <w:b/>
                <w:szCs w:val="18"/>
              </w:rPr>
              <w:t>Other assets and liabilities</w:t>
            </w:r>
          </w:p>
        </w:tc>
        <w:tc>
          <w:tcPr>
            <w:tcW w:w="1249" w:type="dxa"/>
            <w:gridSpan w:val="2"/>
            <w:tcBorders>
              <w:top w:val="single" w:sz="6" w:space="0" w:color="auto"/>
              <w:bottom w:val="nil"/>
            </w:tcBorders>
            <w:shd w:val="clear" w:color="auto" w:fill="EBEBEB" w:themeFill="background2"/>
          </w:tcPr>
          <w:p w:rsidR="002A11E7" w:rsidRPr="00892DE3" w:rsidRDefault="002A11E7"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Section6 \h  \* MERGEFORMAT </w:instrText>
            </w:r>
            <w:r w:rsidRPr="00892DE3">
              <w:fldChar w:fldCharType="separate"/>
            </w:r>
            <w:r w:rsidR="00F63B17">
              <w:rPr>
                <w:noProof/>
              </w:rPr>
              <w:t>134</w:t>
            </w:r>
            <w:r w:rsidRPr="00892DE3">
              <w:fldChar w:fldCharType="end"/>
            </w:r>
          </w:p>
        </w:tc>
      </w:tr>
      <w:tr w:rsidR="002A11E7" w:rsidRPr="00892DE3" w:rsidTr="002A11E7">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rsidR="002A11E7" w:rsidRPr="00892DE3" w:rsidRDefault="002A11E7" w:rsidP="00B04CDD">
            <w:pPr>
              <w:rPr>
                <w:rFonts w:ascii="Arial" w:eastAsia="Calibri" w:hAnsi="Arial" w:cs="Arial"/>
              </w:rPr>
            </w:pPr>
          </w:p>
        </w:tc>
        <w:tc>
          <w:tcPr>
            <w:tcW w:w="6976" w:type="dxa"/>
            <w:tcBorders>
              <w:top w:val="nil"/>
              <w:bottom w:val="nil"/>
            </w:tcBorders>
            <w:shd w:val="clear" w:color="auto" w:fill="auto"/>
          </w:tcPr>
          <w:p w:rsidR="002A11E7" w:rsidRPr="00892DE3" w:rsidRDefault="002A11E7" w:rsidP="00B04CDD">
            <w:pPr>
              <w:spacing w:line="240" w:lineRule="auto"/>
              <w:cnfStyle w:val="000000000000" w:firstRow="0" w:lastRow="0" w:firstColumn="0" w:lastColumn="0" w:oddVBand="0" w:evenVBand="0" w:oddHBand="0" w:evenHBand="0" w:firstRowFirstColumn="0" w:firstRowLastColumn="0" w:lastRowFirstColumn="0" w:lastRowLastColumn="0"/>
              <w:rPr>
                <w:b/>
              </w:rPr>
            </w:pPr>
            <w:r w:rsidRPr="00892DE3">
              <w:t>Working capital balances, and other key assets and liabilities</w:t>
            </w:r>
          </w:p>
        </w:tc>
        <w:tc>
          <w:tcPr>
            <w:tcW w:w="1249" w:type="dxa"/>
            <w:gridSpan w:val="2"/>
            <w:tcBorders>
              <w:top w:val="nil"/>
            </w:tcBorders>
          </w:tcPr>
          <w:p w:rsidR="002A11E7" w:rsidRPr="00892DE3" w:rsidRDefault="002A11E7" w:rsidP="00B04CDD">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2A11E7" w:rsidRPr="00892DE3" w:rsidTr="00475DCE">
        <w:trPr>
          <w:gridAfter w:val="1"/>
          <w:wAfter w:w="8" w:type="dxa"/>
          <w:trHeight w:val="70"/>
        </w:trPr>
        <w:tc>
          <w:tcPr>
            <w:cnfStyle w:val="001000000000" w:firstRow="0" w:lastRow="0" w:firstColumn="1" w:lastColumn="0" w:oddVBand="0" w:evenVBand="0" w:oddHBand="0" w:evenHBand="0" w:firstRowFirstColumn="0" w:firstRowLastColumn="0" w:lastRowFirstColumn="0" w:lastRowLastColumn="0"/>
            <w:tcW w:w="1527" w:type="dxa"/>
            <w:vMerge/>
          </w:tcPr>
          <w:p w:rsidR="002A11E7" w:rsidRPr="00892DE3" w:rsidRDefault="002A11E7" w:rsidP="00B04CDD">
            <w:pPr>
              <w:rPr>
                <w:rFonts w:ascii="Arial" w:eastAsia="Calibri" w:hAnsi="Arial" w:cs="Arial"/>
              </w:rPr>
            </w:pPr>
          </w:p>
        </w:tc>
        <w:tc>
          <w:tcPr>
            <w:tcW w:w="8217" w:type="dxa"/>
            <w:gridSpan w:val="2"/>
            <w:tcBorders>
              <w:bottom w:val="nil"/>
            </w:tcBorders>
            <w:shd w:val="clear" w:color="auto" w:fill="auto"/>
          </w:tcPr>
          <w:p w:rsidR="00EA1814" w:rsidRPr="00892DE3" w:rsidRDefault="002A11E7">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Section6 \* MERGEFORMAT </w:instrText>
            </w:r>
            <w:r w:rsidRPr="00892DE3">
              <w:rPr>
                <w:noProof/>
              </w:rPr>
              <w:fldChar w:fldCharType="separate"/>
            </w:r>
            <w:hyperlink w:anchor="_Toc478055754" w:history="1">
              <w:r w:rsidR="00EA1814" w:rsidRPr="00892DE3">
                <w:rPr>
                  <w:rStyle w:val="Hyperlink"/>
                  <w:noProof/>
                </w:rPr>
                <w:t>6.1</w:t>
              </w:r>
              <w:r w:rsidR="00EA1814" w:rsidRPr="00892DE3">
                <w:rPr>
                  <w:rFonts w:eastAsiaTheme="minorEastAsia"/>
                  <w:noProof/>
                  <w:spacing w:val="0"/>
                  <w:sz w:val="22"/>
                  <w:lang w:eastAsia="en-AU"/>
                </w:rPr>
                <w:tab/>
              </w:r>
              <w:r w:rsidR="00EA1814" w:rsidRPr="00892DE3">
                <w:rPr>
                  <w:rStyle w:val="Hyperlink"/>
                  <w:noProof/>
                </w:rPr>
                <w:t>Receivables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_Toc478055754 \h </w:instrText>
              </w:r>
              <w:r w:rsidR="00EA1814" w:rsidRPr="00892DE3">
                <w:rPr>
                  <w:noProof/>
                  <w:webHidden/>
                </w:rPr>
              </w:r>
              <w:r w:rsidR="00EA1814" w:rsidRPr="00892DE3">
                <w:rPr>
                  <w:noProof/>
                  <w:webHidden/>
                </w:rPr>
                <w:fldChar w:fldCharType="separate"/>
              </w:r>
              <w:r w:rsidR="00F63B17">
                <w:rPr>
                  <w:noProof/>
                  <w:webHidden/>
                </w:rPr>
                <w:t>134</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55" w:history="1">
              <w:r w:rsidR="00EA1814" w:rsidRPr="00892DE3">
                <w:rPr>
                  <w:rStyle w:val="Hyperlink"/>
                  <w:noProof/>
                </w:rPr>
                <w:t>6.2</w:t>
              </w:r>
              <w:r w:rsidR="00EA1814" w:rsidRPr="00892DE3">
                <w:rPr>
                  <w:rFonts w:eastAsiaTheme="minorEastAsia"/>
                  <w:noProof/>
                  <w:spacing w:val="0"/>
                  <w:sz w:val="22"/>
                  <w:lang w:eastAsia="en-AU"/>
                </w:rPr>
                <w:tab/>
              </w:r>
              <w:r w:rsidR="00EA1814" w:rsidRPr="00892DE3">
                <w:rPr>
                  <w:rStyle w:val="Hyperlink"/>
                  <w:noProof/>
                </w:rPr>
                <w:t>Payables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_Toc478055755 \h </w:instrText>
              </w:r>
              <w:r w:rsidR="00EA1814" w:rsidRPr="00892DE3">
                <w:rPr>
                  <w:noProof/>
                  <w:webHidden/>
                </w:rPr>
              </w:r>
              <w:r w:rsidR="00EA1814" w:rsidRPr="00892DE3">
                <w:rPr>
                  <w:noProof/>
                  <w:webHidden/>
                </w:rPr>
                <w:fldChar w:fldCharType="separate"/>
              </w:r>
              <w:r w:rsidR="00F63B17">
                <w:rPr>
                  <w:noProof/>
                  <w:webHidden/>
                </w:rPr>
                <w:t>138</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56" w:history="1">
              <w:r w:rsidR="00EA1814" w:rsidRPr="00892DE3">
                <w:rPr>
                  <w:rStyle w:val="Hyperlink"/>
                  <w:noProof/>
                </w:rPr>
                <w:t>6.3</w:t>
              </w:r>
              <w:r w:rsidR="00EA1814" w:rsidRPr="00892DE3">
                <w:rPr>
                  <w:rFonts w:eastAsiaTheme="minorEastAsia"/>
                  <w:noProof/>
                  <w:spacing w:val="0"/>
                  <w:sz w:val="22"/>
                  <w:lang w:eastAsia="en-AU"/>
                </w:rPr>
                <w:tab/>
              </w:r>
              <w:r w:rsidR="00EA1814" w:rsidRPr="00892DE3">
                <w:rPr>
                  <w:rStyle w:val="Hyperlink"/>
                  <w:noProof/>
                </w:rPr>
                <w:t>Inventories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_Toc478055756 \h </w:instrText>
              </w:r>
              <w:r w:rsidR="00EA1814" w:rsidRPr="00892DE3">
                <w:rPr>
                  <w:noProof/>
                  <w:webHidden/>
                </w:rPr>
              </w:r>
              <w:r w:rsidR="00EA1814" w:rsidRPr="00892DE3">
                <w:rPr>
                  <w:noProof/>
                  <w:webHidden/>
                </w:rPr>
                <w:fldChar w:fldCharType="separate"/>
              </w:r>
              <w:r w:rsidR="00F63B17">
                <w:rPr>
                  <w:noProof/>
                  <w:webHidden/>
                </w:rPr>
                <w:t>139</w:t>
              </w:r>
              <w:r w:rsidR="00EA1814" w:rsidRPr="00892DE3">
                <w:rPr>
                  <w:noProof/>
                  <w:webHidden/>
                </w:rPr>
                <w:fldChar w:fldCharType="end"/>
              </w:r>
            </w:hyperlink>
          </w:p>
          <w:p w:rsidR="00EA181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8055757" w:history="1">
              <w:r w:rsidR="00EA1814" w:rsidRPr="00892DE3">
                <w:rPr>
                  <w:rStyle w:val="Hyperlink"/>
                  <w:noProof/>
                </w:rPr>
                <w:t>6.4</w:t>
              </w:r>
              <w:r w:rsidR="00EA1814" w:rsidRPr="00892DE3">
                <w:rPr>
                  <w:rFonts w:eastAsiaTheme="minorEastAsia"/>
                  <w:noProof/>
                  <w:spacing w:val="0"/>
                  <w:sz w:val="22"/>
                  <w:lang w:eastAsia="en-AU"/>
                </w:rPr>
                <w:tab/>
              </w:r>
              <w:r w:rsidR="00EA1814" w:rsidRPr="00892DE3">
                <w:rPr>
                  <w:rStyle w:val="Hyperlink"/>
                  <w:noProof/>
                </w:rPr>
                <w:t>Other non-financial assets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_Toc478055757 \h </w:instrText>
              </w:r>
              <w:r w:rsidR="00EA1814" w:rsidRPr="00892DE3">
                <w:rPr>
                  <w:noProof/>
                  <w:webHidden/>
                </w:rPr>
              </w:r>
              <w:r w:rsidR="00EA1814" w:rsidRPr="00892DE3">
                <w:rPr>
                  <w:noProof/>
                  <w:webHidden/>
                </w:rPr>
                <w:fldChar w:fldCharType="separate"/>
              </w:r>
              <w:r w:rsidR="00F63B17">
                <w:rPr>
                  <w:noProof/>
                  <w:webHidden/>
                </w:rPr>
                <w:t>140</w:t>
              </w:r>
              <w:r w:rsidR="00EA1814" w:rsidRPr="00892DE3">
                <w:rPr>
                  <w:noProof/>
                  <w:webHidden/>
                </w:rPr>
                <w:fldChar w:fldCharType="end"/>
              </w:r>
            </w:hyperlink>
          </w:p>
          <w:p w:rsidR="002A11E7" w:rsidRPr="00892DE3" w:rsidRDefault="003C212D" w:rsidP="00EA1814">
            <w:pPr>
              <w:pStyle w:val="TOC8"/>
              <w:cnfStyle w:val="000000000000" w:firstRow="0" w:lastRow="0" w:firstColumn="0" w:lastColumn="0" w:oddVBand="0" w:evenVBand="0" w:oddHBand="0" w:evenHBand="0" w:firstRowFirstColumn="0" w:firstRowLastColumn="0" w:lastRowFirstColumn="0" w:lastRowLastColumn="0"/>
            </w:pPr>
            <w:hyperlink w:anchor="_Toc478055758" w:history="1">
              <w:r w:rsidR="00EA1814" w:rsidRPr="00892DE3">
                <w:rPr>
                  <w:rStyle w:val="Hyperlink"/>
                  <w:noProof/>
                </w:rPr>
                <w:t>6.5</w:t>
              </w:r>
              <w:r w:rsidR="00EA1814" w:rsidRPr="00892DE3">
                <w:rPr>
                  <w:rFonts w:eastAsiaTheme="minorEastAsia"/>
                  <w:noProof/>
                  <w:spacing w:val="0"/>
                  <w:sz w:val="22"/>
                  <w:lang w:eastAsia="en-AU"/>
                </w:rPr>
                <w:tab/>
              </w:r>
              <w:r w:rsidR="00EA1814" w:rsidRPr="00892DE3">
                <w:rPr>
                  <w:rStyle w:val="Hyperlink"/>
                  <w:noProof/>
                </w:rPr>
                <w:t>Other provisions</w:t>
              </w:r>
              <w:r w:rsidR="00EA1814" w:rsidRPr="00892DE3">
                <w:rPr>
                  <w:noProof/>
                  <w:webHidden/>
                </w:rPr>
                <w:tab/>
              </w:r>
              <w:r w:rsidR="00EA1814" w:rsidRPr="00892DE3">
                <w:rPr>
                  <w:noProof/>
                  <w:webHidden/>
                </w:rPr>
                <w:fldChar w:fldCharType="begin"/>
              </w:r>
              <w:r w:rsidR="00EA1814" w:rsidRPr="00892DE3">
                <w:rPr>
                  <w:noProof/>
                  <w:webHidden/>
                </w:rPr>
                <w:instrText xml:space="preserve"> PAGEREF _Toc478055758 \h </w:instrText>
              </w:r>
              <w:r w:rsidR="00EA1814" w:rsidRPr="00892DE3">
                <w:rPr>
                  <w:noProof/>
                  <w:webHidden/>
                </w:rPr>
              </w:r>
              <w:r w:rsidR="00EA1814" w:rsidRPr="00892DE3">
                <w:rPr>
                  <w:noProof/>
                  <w:webHidden/>
                </w:rPr>
                <w:fldChar w:fldCharType="separate"/>
              </w:r>
              <w:r w:rsidR="00F63B17">
                <w:rPr>
                  <w:noProof/>
                  <w:webHidden/>
                </w:rPr>
                <w:t>141</w:t>
              </w:r>
              <w:r w:rsidR="00EA1814" w:rsidRPr="00892DE3">
                <w:rPr>
                  <w:noProof/>
                  <w:webHidden/>
                </w:rPr>
                <w:fldChar w:fldCharType="end"/>
              </w:r>
            </w:hyperlink>
            <w:r w:rsidR="002A11E7" w:rsidRPr="00892DE3">
              <w:fldChar w:fldCharType="end"/>
            </w:r>
          </w:p>
        </w:tc>
      </w:tr>
      <w:tr w:rsidR="00475DCE" w:rsidRPr="00892DE3" w:rsidTr="00475DCE">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rsidR="00475DCE" w:rsidRPr="00892DE3" w:rsidRDefault="00475DCE" w:rsidP="00B04CDD">
            <w:pPr>
              <w:rPr>
                <w:rFonts w:ascii="Arial" w:eastAsia="Calibri" w:hAnsi="Arial" w:cs="Arial"/>
              </w:rPr>
            </w:pPr>
          </w:p>
        </w:tc>
        <w:tc>
          <w:tcPr>
            <w:tcW w:w="6976" w:type="dxa"/>
            <w:tcBorders>
              <w:top w:val="nil"/>
              <w:bottom w:val="nil"/>
            </w:tcBorders>
            <w:shd w:val="clear" w:color="auto" w:fill="EBEBEB" w:themeFill="background2"/>
          </w:tcPr>
          <w:p w:rsidR="00475DCE" w:rsidRPr="00892DE3" w:rsidRDefault="00475DCE" w:rsidP="00B04CDD">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892DE3">
              <w:rPr>
                <w:rFonts w:ascii="Arial" w:eastAsia="Calibri" w:hAnsi="Arial" w:cs="Arial"/>
                <w:b/>
                <w:szCs w:val="18"/>
              </w:rPr>
              <w:t xml:space="preserve">7. </w:t>
            </w:r>
            <w:r w:rsidR="00B04CDD" w:rsidRPr="00892DE3">
              <w:rPr>
                <w:rFonts w:ascii="Arial" w:eastAsia="Calibri" w:hAnsi="Arial" w:cs="Arial"/>
                <w:b/>
                <w:szCs w:val="18"/>
              </w:rPr>
              <w:tab/>
            </w:r>
            <w:r w:rsidRPr="00892DE3">
              <w:rPr>
                <w:rFonts w:ascii="Arial" w:eastAsia="Calibri" w:hAnsi="Arial" w:cs="Arial"/>
                <w:b/>
                <w:szCs w:val="18"/>
              </w:rPr>
              <w:t>Financing our operations</w:t>
            </w:r>
          </w:p>
        </w:tc>
        <w:tc>
          <w:tcPr>
            <w:tcW w:w="1249" w:type="dxa"/>
            <w:gridSpan w:val="2"/>
            <w:tcBorders>
              <w:top w:val="nil"/>
              <w:bottom w:val="nil"/>
            </w:tcBorders>
            <w:shd w:val="clear" w:color="auto" w:fill="EBEBEB" w:themeFill="background2"/>
          </w:tcPr>
          <w:p w:rsidR="00475DCE" w:rsidRPr="00892DE3" w:rsidRDefault="00475DCE"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Section7 \h  \* MERGEFORMAT </w:instrText>
            </w:r>
            <w:r w:rsidRPr="00892DE3">
              <w:fldChar w:fldCharType="separate"/>
            </w:r>
            <w:r w:rsidR="00F63B17">
              <w:rPr>
                <w:noProof/>
              </w:rPr>
              <w:t>143</w:t>
            </w:r>
            <w:r w:rsidRPr="00892DE3">
              <w:fldChar w:fldCharType="end"/>
            </w:r>
            <w:r w:rsidRPr="00892DE3">
              <w:t xml:space="preserve"> </w:t>
            </w:r>
          </w:p>
        </w:tc>
      </w:tr>
      <w:tr w:rsidR="00475DCE" w:rsidRPr="00892DE3" w:rsidTr="00475DCE">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rsidR="00475DCE" w:rsidRPr="00892DE3" w:rsidRDefault="00475DCE" w:rsidP="00B04CDD">
            <w:pPr>
              <w:rPr>
                <w:rFonts w:ascii="Arial" w:eastAsia="Calibri" w:hAnsi="Arial" w:cs="Arial"/>
              </w:rPr>
            </w:pPr>
          </w:p>
        </w:tc>
        <w:tc>
          <w:tcPr>
            <w:tcW w:w="6976" w:type="dxa"/>
            <w:tcBorders>
              <w:top w:val="nil"/>
              <w:bottom w:val="nil"/>
            </w:tcBorders>
            <w:shd w:val="clear" w:color="auto" w:fill="auto"/>
          </w:tcPr>
          <w:p w:rsidR="00475DCE" w:rsidRPr="00892DE3" w:rsidRDefault="00475DCE" w:rsidP="008C10D4">
            <w:pPr>
              <w:spacing w:line="240" w:lineRule="auto"/>
              <w:cnfStyle w:val="000000000000" w:firstRow="0" w:lastRow="0" w:firstColumn="0" w:lastColumn="0" w:oddVBand="0" w:evenVBand="0" w:oddHBand="0" w:evenHBand="0" w:firstRowFirstColumn="0" w:firstRowLastColumn="0" w:lastRowFirstColumn="0" w:lastRowLastColumn="0"/>
              <w:rPr>
                <w:b/>
              </w:rPr>
            </w:pPr>
            <w:r w:rsidRPr="00892DE3">
              <w:t>Borrowings, cash flow information, leases</w:t>
            </w:r>
            <w:r w:rsidR="008C10D4" w:rsidRPr="00892DE3">
              <w:t xml:space="preserve"> and </w:t>
            </w:r>
            <w:r w:rsidRPr="00892DE3">
              <w:t>assets pledged as security</w:t>
            </w:r>
          </w:p>
        </w:tc>
        <w:tc>
          <w:tcPr>
            <w:tcW w:w="1249" w:type="dxa"/>
            <w:gridSpan w:val="2"/>
            <w:tcBorders>
              <w:top w:val="nil"/>
              <w:bottom w:val="nil"/>
            </w:tcBorders>
          </w:tcPr>
          <w:p w:rsidR="00475DCE" w:rsidRPr="00892DE3" w:rsidRDefault="00475DCE" w:rsidP="00B04CDD">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475DCE" w:rsidRPr="00892DE3" w:rsidTr="00475DCE">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rsidR="00475DCE" w:rsidRPr="00892DE3" w:rsidRDefault="00475DCE" w:rsidP="00B04CDD">
            <w:pPr>
              <w:rPr>
                <w:rFonts w:ascii="Arial" w:eastAsia="Calibri" w:hAnsi="Arial" w:cs="Arial"/>
              </w:rPr>
            </w:pPr>
          </w:p>
        </w:tc>
        <w:tc>
          <w:tcPr>
            <w:tcW w:w="8225" w:type="dxa"/>
            <w:gridSpan w:val="3"/>
            <w:tcBorders>
              <w:bottom w:val="nil"/>
            </w:tcBorders>
            <w:shd w:val="clear" w:color="auto" w:fill="auto"/>
          </w:tcPr>
          <w:p w:rsidR="00BF77B6" w:rsidRDefault="00475DCE">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Section7 \* MERGEFORMAT </w:instrText>
            </w:r>
            <w:r w:rsidRPr="00892DE3">
              <w:rPr>
                <w:noProof/>
              </w:rPr>
              <w:fldChar w:fldCharType="separate"/>
            </w:r>
            <w:hyperlink w:anchor="_Toc489535457" w:history="1">
              <w:r w:rsidR="00BF77B6" w:rsidRPr="00902502">
                <w:rPr>
                  <w:rStyle w:val="Hyperlink"/>
                  <w:noProof/>
                </w:rPr>
                <w:t>7.1</w:t>
              </w:r>
              <w:r w:rsidR="00BF77B6">
                <w:rPr>
                  <w:rFonts w:eastAsiaTheme="minorEastAsia"/>
                  <w:noProof/>
                  <w:spacing w:val="0"/>
                  <w:sz w:val="22"/>
                  <w:lang w:eastAsia="en-AU"/>
                </w:rPr>
                <w:tab/>
              </w:r>
              <w:r w:rsidR="00BF77B6" w:rsidRPr="00902502">
                <w:rPr>
                  <w:rStyle w:val="Hyperlink"/>
                  <w:noProof/>
                </w:rPr>
                <w:t>Borrowings</w:t>
              </w:r>
              <w:r w:rsidR="00BF77B6">
                <w:rPr>
                  <w:noProof/>
                  <w:webHidden/>
                </w:rPr>
                <w:tab/>
              </w:r>
              <w:r w:rsidR="00BF77B6">
                <w:rPr>
                  <w:noProof/>
                  <w:webHidden/>
                </w:rPr>
                <w:fldChar w:fldCharType="begin"/>
              </w:r>
              <w:r w:rsidR="00BF77B6">
                <w:rPr>
                  <w:noProof/>
                  <w:webHidden/>
                </w:rPr>
                <w:instrText xml:space="preserve"> PAGEREF _Toc489535457 \h </w:instrText>
              </w:r>
              <w:r w:rsidR="00BF77B6">
                <w:rPr>
                  <w:noProof/>
                  <w:webHidden/>
                </w:rPr>
              </w:r>
              <w:r w:rsidR="00BF77B6">
                <w:rPr>
                  <w:noProof/>
                  <w:webHidden/>
                </w:rPr>
                <w:fldChar w:fldCharType="separate"/>
              </w:r>
              <w:r w:rsidR="00BF77B6">
                <w:rPr>
                  <w:noProof/>
                  <w:webHidden/>
                </w:rPr>
                <w:t>143</w:t>
              </w:r>
              <w:r w:rsidR="00BF77B6">
                <w:rPr>
                  <w:noProof/>
                  <w:webHidden/>
                </w:rPr>
                <w:fldChar w:fldCharType="end"/>
              </w:r>
            </w:hyperlink>
          </w:p>
          <w:p w:rsidR="00BF77B6"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89535458" w:history="1">
              <w:r w:rsidR="00BF77B6" w:rsidRPr="00902502">
                <w:rPr>
                  <w:rStyle w:val="Hyperlink"/>
                  <w:noProof/>
                </w:rPr>
                <w:t>7.2</w:t>
              </w:r>
              <w:r w:rsidR="00BF77B6">
                <w:rPr>
                  <w:rFonts w:eastAsiaTheme="minorEastAsia"/>
                  <w:noProof/>
                  <w:spacing w:val="0"/>
                  <w:sz w:val="22"/>
                  <w:lang w:eastAsia="en-AU"/>
                </w:rPr>
                <w:tab/>
              </w:r>
              <w:r w:rsidR="00BF77B6" w:rsidRPr="00902502">
                <w:rPr>
                  <w:rStyle w:val="Hyperlink"/>
                  <w:noProof/>
                </w:rPr>
                <w:t>Leases</w:t>
              </w:r>
              <w:r w:rsidR="00BF77B6">
                <w:rPr>
                  <w:noProof/>
                  <w:webHidden/>
                </w:rPr>
                <w:tab/>
              </w:r>
              <w:r w:rsidR="00BF77B6">
                <w:rPr>
                  <w:noProof/>
                  <w:webHidden/>
                </w:rPr>
                <w:fldChar w:fldCharType="begin"/>
              </w:r>
              <w:r w:rsidR="00BF77B6">
                <w:rPr>
                  <w:noProof/>
                  <w:webHidden/>
                </w:rPr>
                <w:instrText xml:space="preserve"> PAGEREF _Toc489535458 \h </w:instrText>
              </w:r>
              <w:r w:rsidR="00BF77B6">
                <w:rPr>
                  <w:noProof/>
                  <w:webHidden/>
                </w:rPr>
              </w:r>
              <w:r w:rsidR="00BF77B6">
                <w:rPr>
                  <w:noProof/>
                  <w:webHidden/>
                </w:rPr>
                <w:fldChar w:fldCharType="separate"/>
              </w:r>
              <w:r w:rsidR="00BF77B6">
                <w:rPr>
                  <w:noProof/>
                  <w:webHidden/>
                </w:rPr>
                <w:t>145</w:t>
              </w:r>
              <w:r w:rsidR="00BF77B6">
                <w:rPr>
                  <w:noProof/>
                  <w:webHidden/>
                </w:rPr>
                <w:fldChar w:fldCharType="end"/>
              </w:r>
            </w:hyperlink>
          </w:p>
          <w:p w:rsidR="00BF77B6"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89535459" w:history="1">
              <w:r w:rsidR="00BF77B6" w:rsidRPr="00902502">
                <w:rPr>
                  <w:rStyle w:val="Hyperlink"/>
                  <w:noProof/>
                </w:rPr>
                <w:t>7.3</w:t>
              </w:r>
              <w:r w:rsidR="00BF77B6">
                <w:rPr>
                  <w:rFonts w:eastAsiaTheme="minorEastAsia"/>
                  <w:noProof/>
                  <w:spacing w:val="0"/>
                  <w:sz w:val="22"/>
                  <w:lang w:eastAsia="en-AU"/>
                </w:rPr>
                <w:tab/>
              </w:r>
              <w:r w:rsidR="00BF77B6" w:rsidRPr="00902502">
                <w:rPr>
                  <w:rStyle w:val="Hyperlink"/>
                  <w:noProof/>
                </w:rPr>
                <w:t>Cash flow information and balances</w:t>
              </w:r>
              <w:r w:rsidR="00BF77B6">
                <w:rPr>
                  <w:noProof/>
                  <w:webHidden/>
                </w:rPr>
                <w:tab/>
              </w:r>
              <w:r w:rsidR="00BF77B6">
                <w:rPr>
                  <w:noProof/>
                  <w:webHidden/>
                </w:rPr>
                <w:fldChar w:fldCharType="begin"/>
              </w:r>
              <w:r w:rsidR="00BF77B6">
                <w:rPr>
                  <w:noProof/>
                  <w:webHidden/>
                </w:rPr>
                <w:instrText xml:space="preserve"> PAGEREF _Toc489535459 \h </w:instrText>
              </w:r>
              <w:r w:rsidR="00BF77B6">
                <w:rPr>
                  <w:noProof/>
                  <w:webHidden/>
                </w:rPr>
              </w:r>
              <w:r w:rsidR="00BF77B6">
                <w:rPr>
                  <w:noProof/>
                  <w:webHidden/>
                </w:rPr>
                <w:fldChar w:fldCharType="separate"/>
              </w:r>
              <w:r w:rsidR="00BF77B6">
                <w:rPr>
                  <w:noProof/>
                  <w:webHidden/>
                </w:rPr>
                <w:t>147</w:t>
              </w:r>
              <w:r w:rsidR="00BF77B6">
                <w:rPr>
                  <w:noProof/>
                  <w:webHidden/>
                </w:rPr>
                <w:fldChar w:fldCharType="end"/>
              </w:r>
            </w:hyperlink>
          </w:p>
          <w:p w:rsidR="00BF77B6"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89535460" w:history="1">
              <w:r w:rsidR="00BF77B6" w:rsidRPr="00902502">
                <w:rPr>
                  <w:rStyle w:val="Hyperlink"/>
                  <w:noProof/>
                </w:rPr>
                <w:t>7.4</w:t>
              </w:r>
              <w:r w:rsidR="00BF77B6">
                <w:rPr>
                  <w:rFonts w:eastAsiaTheme="minorEastAsia"/>
                  <w:noProof/>
                  <w:spacing w:val="0"/>
                  <w:sz w:val="22"/>
                  <w:lang w:eastAsia="en-AU"/>
                </w:rPr>
                <w:tab/>
              </w:r>
              <w:r w:rsidR="00BF77B6" w:rsidRPr="00902502">
                <w:rPr>
                  <w:rStyle w:val="Hyperlink"/>
                  <w:noProof/>
                </w:rPr>
                <w:t>Trust account balances</w:t>
              </w:r>
              <w:r w:rsidR="00BF77B6">
                <w:rPr>
                  <w:noProof/>
                  <w:webHidden/>
                </w:rPr>
                <w:tab/>
              </w:r>
              <w:r w:rsidR="00BF77B6">
                <w:rPr>
                  <w:noProof/>
                  <w:webHidden/>
                </w:rPr>
                <w:fldChar w:fldCharType="begin"/>
              </w:r>
              <w:r w:rsidR="00BF77B6">
                <w:rPr>
                  <w:noProof/>
                  <w:webHidden/>
                </w:rPr>
                <w:instrText xml:space="preserve"> PAGEREF _Toc489535460 \h </w:instrText>
              </w:r>
              <w:r w:rsidR="00BF77B6">
                <w:rPr>
                  <w:noProof/>
                  <w:webHidden/>
                </w:rPr>
              </w:r>
              <w:r w:rsidR="00BF77B6">
                <w:rPr>
                  <w:noProof/>
                  <w:webHidden/>
                </w:rPr>
                <w:fldChar w:fldCharType="separate"/>
              </w:r>
              <w:r w:rsidR="00BF77B6">
                <w:rPr>
                  <w:noProof/>
                  <w:webHidden/>
                </w:rPr>
                <w:t>149</w:t>
              </w:r>
              <w:r w:rsidR="00BF77B6">
                <w:rPr>
                  <w:noProof/>
                  <w:webHidden/>
                </w:rPr>
                <w:fldChar w:fldCharType="end"/>
              </w:r>
            </w:hyperlink>
          </w:p>
          <w:p w:rsidR="00BF77B6"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89535461" w:history="1">
              <w:r w:rsidR="00BF77B6" w:rsidRPr="00902502">
                <w:rPr>
                  <w:rStyle w:val="Hyperlink"/>
                  <w:noProof/>
                </w:rPr>
                <w:t>7.5</w:t>
              </w:r>
              <w:r w:rsidR="00BF77B6">
                <w:rPr>
                  <w:rFonts w:eastAsiaTheme="minorEastAsia"/>
                  <w:noProof/>
                  <w:spacing w:val="0"/>
                  <w:sz w:val="22"/>
                  <w:lang w:eastAsia="en-AU"/>
                </w:rPr>
                <w:tab/>
              </w:r>
              <w:r w:rsidR="00BF77B6" w:rsidRPr="00902502">
                <w:rPr>
                  <w:rStyle w:val="Hyperlink"/>
                  <w:noProof/>
                </w:rPr>
                <w:t>Commitments for expenditure</w:t>
              </w:r>
              <w:r w:rsidR="00BF77B6">
                <w:rPr>
                  <w:noProof/>
                  <w:webHidden/>
                </w:rPr>
                <w:tab/>
              </w:r>
              <w:r w:rsidR="00BF77B6">
                <w:rPr>
                  <w:noProof/>
                  <w:webHidden/>
                </w:rPr>
                <w:fldChar w:fldCharType="begin"/>
              </w:r>
              <w:r w:rsidR="00BF77B6">
                <w:rPr>
                  <w:noProof/>
                  <w:webHidden/>
                </w:rPr>
                <w:instrText xml:space="preserve"> PAGEREF _Toc489535461 \h </w:instrText>
              </w:r>
              <w:r w:rsidR="00BF77B6">
                <w:rPr>
                  <w:noProof/>
                  <w:webHidden/>
                </w:rPr>
              </w:r>
              <w:r w:rsidR="00BF77B6">
                <w:rPr>
                  <w:noProof/>
                  <w:webHidden/>
                </w:rPr>
                <w:fldChar w:fldCharType="separate"/>
              </w:r>
              <w:r w:rsidR="00BF77B6">
                <w:rPr>
                  <w:noProof/>
                  <w:webHidden/>
                </w:rPr>
                <w:t>151</w:t>
              </w:r>
              <w:r w:rsidR="00BF77B6">
                <w:rPr>
                  <w:noProof/>
                  <w:webHidden/>
                </w:rPr>
                <w:fldChar w:fldCharType="end"/>
              </w:r>
            </w:hyperlink>
          </w:p>
          <w:p w:rsidR="00BF77B6"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89535462" w:history="1">
              <w:r w:rsidR="00BF77B6" w:rsidRPr="00902502">
                <w:rPr>
                  <w:rStyle w:val="Hyperlink"/>
                  <w:noProof/>
                </w:rPr>
                <w:t>7.6</w:t>
              </w:r>
              <w:r w:rsidR="00BF77B6">
                <w:rPr>
                  <w:rFonts w:eastAsiaTheme="minorEastAsia"/>
                  <w:noProof/>
                  <w:spacing w:val="0"/>
                  <w:sz w:val="22"/>
                  <w:lang w:eastAsia="en-AU"/>
                </w:rPr>
                <w:tab/>
              </w:r>
              <w:r w:rsidR="00BF77B6" w:rsidRPr="00902502">
                <w:rPr>
                  <w:rStyle w:val="Hyperlink"/>
                  <w:noProof/>
                </w:rPr>
                <w:t>Assets pledged as security</w:t>
              </w:r>
              <w:r w:rsidR="00BF77B6">
                <w:rPr>
                  <w:noProof/>
                  <w:webHidden/>
                </w:rPr>
                <w:tab/>
              </w:r>
              <w:r w:rsidR="00BF77B6">
                <w:rPr>
                  <w:noProof/>
                  <w:webHidden/>
                </w:rPr>
                <w:fldChar w:fldCharType="begin"/>
              </w:r>
              <w:r w:rsidR="00BF77B6">
                <w:rPr>
                  <w:noProof/>
                  <w:webHidden/>
                </w:rPr>
                <w:instrText xml:space="preserve"> PAGEREF _Toc489535462 \h </w:instrText>
              </w:r>
              <w:r w:rsidR="00BF77B6">
                <w:rPr>
                  <w:noProof/>
                  <w:webHidden/>
                </w:rPr>
              </w:r>
              <w:r w:rsidR="00BF77B6">
                <w:rPr>
                  <w:noProof/>
                  <w:webHidden/>
                </w:rPr>
                <w:fldChar w:fldCharType="separate"/>
              </w:r>
              <w:r w:rsidR="00BF77B6">
                <w:rPr>
                  <w:noProof/>
                  <w:webHidden/>
                </w:rPr>
                <w:t>155</w:t>
              </w:r>
              <w:r w:rsidR="00BF77B6">
                <w:rPr>
                  <w:noProof/>
                  <w:webHidden/>
                </w:rPr>
                <w:fldChar w:fldCharType="end"/>
              </w:r>
            </w:hyperlink>
          </w:p>
          <w:p w:rsidR="00475DCE" w:rsidRPr="00892DE3" w:rsidRDefault="00475DCE" w:rsidP="004A1BC8">
            <w:pPr>
              <w:pStyle w:val="TOC8"/>
              <w:cnfStyle w:val="000000000000" w:firstRow="0" w:lastRow="0" w:firstColumn="0" w:lastColumn="0" w:oddVBand="0" w:evenVBand="0" w:oddHBand="0" w:evenHBand="0" w:firstRowFirstColumn="0" w:firstRowLastColumn="0" w:lastRowFirstColumn="0" w:lastRowLastColumn="0"/>
            </w:pPr>
            <w:r w:rsidRPr="00892DE3">
              <w:fldChar w:fldCharType="end"/>
            </w:r>
          </w:p>
        </w:tc>
      </w:tr>
      <w:tr w:rsidR="00475DCE" w:rsidRPr="00892DE3" w:rsidTr="00475DCE">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rsidR="00475DCE" w:rsidRPr="00892DE3" w:rsidRDefault="00475DCE" w:rsidP="00B04CDD">
            <w:pPr>
              <w:rPr>
                <w:rFonts w:ascii="Arial" w:eastAsia="Calibri" w:hAnsi="Arial" w:cs="Arial"/>
              </w:rPr>
            </w:pPr>
          </w:p>
        </w:tc>
        <w:tc>
          <w:tcPr>
            <w:tcW w:w="6976" w:type="dxa"/>
            <w:tcBorders>
              <w:top w:val="nil"/>
              <w:bottom w:val="nil"/>
            </w:tcBorders>
            <w:shd w:val="clear" w:color="auto" w:fill="EBEBEB" w:themeFill="background2"/>
          </w:tcPr>
          <w:p w:rsidR="00475DCE" w:rsidRPr="00892DE3" w:rsidRDefault="00475DCE" w:rsidP="00B04CDD">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892DE3">
              <w:rPr>
                <w:rFonts w:ascii="Arial" w:eastAsia="Calibri" w:hAnsi="Arial" w:cs="Arial"/>
                <w:b/>
                <w:szCs w:val="18"/>
              </w:rPr>
              <w:t xml:space="preserve">8. </w:t>
            </w:r>
            <w:r w:rsidR="00B04CDD" w:rsidRPr="00892DE3">
              <w:rPr>
                <w:rFonts w:ascii="Arial" w:eastAsia="Calibri" w:hAnsi="Arial" w:cs="Arial"/>
                <w:b/>
                <w:szCs w:val="18"/>
              </w:rPr>
              <w:tab/>
            </w:r>
            <w:r w:rsidRPr="00892DE3">
              <w:rPr>
                <w:rFonts w:ascii="Arial" w:eastAsia="Calibri" w:hAnsi="Arial" w:cs="Arial"/>
                <w:b/>
                <w:szCs w:val="18"/>
              </w:rPr>
              <w:t>Risks, contingencies and valuation judgements</w:t>
            </w:r>
          </w:p>
        </w:tc>
        <w:tc>
          <w:tcPr>
            <w:tcW w:w="1249" w:type="dxa"/>
            <w:gridSpan w:val="2"/>
            <w:tcBorders>
              <w:top w:val="nil"/>
              <w:bottom w:val="nil"/>
            </w:tcBorders>
            <w:shd w:val="clear" w:color="auto" w:fill="EBEBEB" w:themeFill="background2"/>
          </w:tcPr>
          <w:p w:rsidR="00475DCE" w:rsidRPr="00892DE3" w:rsidRDefault="00475DCE"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Section8 \h  \* MERGEFORMAT </w:instrText>
            </w:r>
            <w:r w:rsidRPr="00892DE3">
              <w:fldChar w:fldCharType="separate"/>
            </w:r>
            <w:r w:rsidR="00F63B17">
              <w:rPr>
                <w:noProof/>
              </w:rPr>
              <w:t>156</w:t>
            </w:r>
            <w:r w:rsidRPr="00892DE3">
              <w:fldChar w:fldCharType="end"/>
            </w:r>
          </w:p>
        </w:tc>
      </w:tr>
      <w:tr w:rsidR="00B04CDD" w:rsidRPr="00892DE3" w:rsidTr="00730113">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rsidR="00B04CDD" w:rsidRPr="00892DE3" w:rsidRDefault="00B04CDD" w:rsidP="00B04CDD">
            <w:pPr>
              <w:rPr>
                <w:rFonts w:ascii="Arial" w:eastAsia="Calibri" w:hAnsi="Arial" w:cs="Arial"/>
              </w:rPr>
            </w:pPr>
          </w:p>
        </w:tc>
        <w:tc>
          <w:tcPr>
            <w:tcW w:w="8225" w:type="dxa"/>
            <w:gridSpan w:val="3"/>
            <w:tcBorders>
              <w:top w:val="nil"/>
              <w:bottom w:val="nil"/>
            </w:tcBorders>
            <w:shd w:val="clear" w:color="auto" w:fill="auto"/>
          </w:tcPr>
          <w:p w:rsidR="00B04CDD" w:rsidRPr="00892DE3" w:rsidRDefault="00B04CDD" w:rsidP="00B04CDD">
            <w:pPr>
              <w:spacing w:line="240" w:lineRule="auto"/>
              <w:cnfStyle w:val="000000000000" w:firstRow="0" w:lastRow="0" w:firstColumn="0" w:lastColumn="0" w:oddVBand="0" w:evenVBand="0" w:oddHBand="0" w:evenHBand="0" w:firstRowFirstColumn="0" w:firstRowLastColumn="0" w:lastRowFirstColumn="0" w:lastRowLastColumn="0"/>
            </w:pPr>
            <w:r w:rsidRPr="00892DE3">
              <w:t>Financial risk management, contingent assets and liabilities as well as fair value determination</w:t>
            </w:r>
          </w:p>
        </w:tc>
      </w:tr>
      <w:tr w:rsidR="00475DCE" w:rsidRPr="00892DE3" w:rsidTr="00475DCE">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rsidR="00475DCE" w:rsidRPr="00892DE3" w:rsidRDefault="00475DCE" w:rsidP="00B04CDD">
            <w:pPr>
              <w:rPr>
                <w:rFonts w:ascii="Arial" w:eastAsia="Calibri" w:hAnsi="Arial" w:cs="Arial"/>
              </w:rPr>
            </w:pPr>
          </w:p>
        </w:tc>
        <w:tc>
          <w:tcPr>
            <w:tcW w:w="8225" w:type="dxa"/>
            <w:gridSpan w:val="3"/>
            <w:tcBorders>
              <w:bottom w:val="nil"/>
            </w:tcBorders>
            <w:shd w:val="clear" w:color="auto" w:fill="auto"/>
          </w:tcPr>
          <w:p w:rsidR="004A1BC8" w:rsidRPr="00892DE3" w:rsidRDefault="00475DCE">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Section8 \* MERGEFORMAT </w:instrText>
            </w:r>
            <w:r w:rsidRPr="00892DE3">
              <w:rPr>
                <w:noProof/>
              </w:rPr>
              <w:fldChar w:fldCharType="separate"/>
            </w:r>
            <w:hyperlink w:anchor="_Toc477880062" w:history="1">
              <w:r w:rsidR="004A1BC8" w:rsidRPr="00892DE3">
                <w:rPr>
                  <w:rStyle w:val="Hyperlink"/>
                  <w:noProof/>
                </w:rPr>
                <w:t>8.1</w:t>
              </w:r>
              <w:r w:rsidR="004A1BC8" w:rsidRPr="00892DE3">
                <w:rPr>
                  <w:rFonts w:eastAsiaTheme="minorEastAsia"/>
                  <w:noProof/>
                  <w:spacing w:val="0"/>
                  <w:sz w:val="22"/>
                  <w:lang w:eastAsia="en-AU"/>
                </w:rPr>
                <w:tab/>
              </w:r>
              <w:r w:rsidR="004A1BC8" w:rsidRPr="00892DE3">
                <w:rPr>
                  <w:rStyle w:val="Hyperlink"/>
                  <w:noProof/>
                </w:rPr>
                <w:t>Financial instruments specific disclosures</w:t>
              </w:r>
              <w:r w:rsidR="004A1BC8" w:rsidRPr="00892DE3">
                <w:rPr>
                  <w:noProof/>
                  <w:webHidden/>
                </w:rPr>
                <w:tab/>
              </w:r>
              <w:r w:rsidR="004A1BC8" w:rsidRPr="00892DE3">
                <w:rPr>
                  <w:noProof/>
                  <w:webHidden/>
                </w:rPr>
                <w:fldChar w:fldCharType="begin"/>
              </w:r>
              <w:r w:rsidR="004A1BC8" w:rsidRPr="00892DE3">
                <w:rPr>
                  <w:noProof/>
                  <w:webHidden/>
                </w:rPr>
                <w:instrText xml:space="preserve"> PAGEREF _Toc477880062 \h </w:instrText>
              </w:r>
              <w:r w:rsidR="004A1BC8" w:rsidRPr="00892DE3">
                <w:rPr>
                  <w:noProof/>
                  <w:webHidden/>
                </w:rPr>
              </w:r>
              <w:r w:rsidR="004A1BC8" w:rsidRPr="00892DE3">
                <w:rPr>
                  <w:noProof/>
                  <w:webHidden/>
                </w:rPr>
                <w:fldChar w:fldCharType="separate"/>
              </w:r>
              <w:r w:rsidR="00F63B17">
                <w:rPr>
                  <w:noProof/>
                  <w:webHidden/>
                </w:rPr>
                <w:t>156</w:t>
              </w:r>
              <w:r w:rsidR="004A1BC8" w:rsidRPr="00892DE3">
                <w:rPr>
                  <w:noProof/>
                  <w:webHidden/>
                </w:rPr>
                <w:fldChar w:fldCharType="end"/>
              </w:r>
            </w:hyperlink>
          </w:p>
          <w:p w:rsidR="004A1BC8"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7880063" w:history="1">
              <w:r w:rsidR="004A1BC8" w:rsidRPr="00892DE3">
                <w:rPr>
                  <w:rStyle w:val="Hyperlink"/>
                  <w:noProof/>
                </w:rPr>
                <w:t>8.2</w:t>
              </w:r>
              <w:r w:rsidR="004A1BC8" w:rsidRPr="00892DE3">
                <w:rPr>
                  <w:rFonts w:eastAsiaTheme="minorEastAsia"/>
                  <w:noProof/>
                  <w:spacing w:val="0"/>
                  <w:sz w:val="22"/>
                  <w:lang w:eastAsia="en-AU"/>
                </w:rPr>
                <w:tab/>
              </w:r>
              <w:r w:rsidR="004A1BC8" w:rsidRPr="00892DE3">
                <w:rPr>
                  <w:rStyle w:val="Hyperlink"/>
                  <w:noProof/>
                </w:rPr>
                <w:t>Contingent assets and contingent liabilities</w:t>
              </w:r>
              <w:r w:rsidR="004A1BC8" w:rsidRPr="00892DE3">
                <w:rPr>
                  <w:noProof/>
                  <w:webHidden/>
                </w:rPr>
                <w:tab/>
              </w:r>
              <w:r w:rsidR="004A1BC8" w:rsidRPr="00892DE3">
                <w:rPr>
                  <w:noProof/>
                  <w:webHidden/>
                </w:rPr>
                <w:fldChar w:fldCharType="begin"/>
              </w:r>
              <w:r w:rsidR="004A1BC8" w:rsidRPr="00892DE3">
                <w:rPr>
                  <w:noProof/>
                  <w:webHidden/>
                </w:rPr>
                <w:instrText xml:space="preserve"> PAGEREF _Toc477880063 \h </w:instrText>
              </w:r>
              <w:r w:rsidR="004A1BC8" w:rsidRPr="00892DE3">
                <w:rPr>
                  <w:noProof/>
                  <w:webHidden/>
                </w:rPr>
              </w:r>
              <w:r w:rsidR="004A1BC8" w:rsidRPr="00892DE3">
                <w:rPr>
                  <w:noProof/>
                  <w:webHidden/>
                </w:rPr>
                <w:fldChar w:fldCharType="separate"/>
              </w:r>
              <w:r w:rsidR="00F63B17">
                <w:rPr>
                  <w:noProof/>
                  <w:webHidden/>
                </w:rPr>
                <w:t>174</w:t>
              </w:r>
              <w:r w:rsidR="004A1BC8" w:rsidRPr="00892DE3">
                <w:rPr>
                  <w:noProof/>
                  <w:webHidden/>
                </w:rPr>
                <w:fldChar w:fldCharType="end"/>
              </w:r>
            </w:hyperlink>
          </w:p>
          <w:p w:rsidR="00475DCE" w:rsidRPr="00892DE3" w:rsidRDefault="003C212D" w:rsidP="004A1BC8">
            <w:pPr>
              <w:pStyle w:val="TOC8"/>
              <w:cnfStyle w:val="000000000000" w:firstRow="0" w:lastRow="0" w:firstColumn="0" w:lastColumn="0" w:oddVBand="0" w:evenVBand="0" w:oddHBand="0" w:evenHBand="0" w:firstRowFirstColumn="0" w:firstRowLastColumn="0" w:lastRowFirstColumn="0" w:lastRowLastColumn="0"/>
            </w:pPr>
            <w:hyperlink w:anchor="_Toc477880064" w:history="1">
              <w:r w:rsidR="004A1BC8" w:rsidRPr="00892DE3">
                <w:rPr>
                  <w:rStyle w:val="Hyperlink"/>
                  <w:noProof/>
                </w:rPr>
                <w:t>8.3</w:t>
              </w:r>
              <w:r w:rsidR="004A1BC8" w:rsidRPr="00892DE3">
                <w:rPr>
                  <w:rFonts w:eastAsiaTheme="minorEastAsia"/>
                  <w:noProof/>
                  <w:spacing w:val="0"/>
                  <w:sz w:val="22"/>
                  <w:lang w:eastAsia="en-AU"/>
                </w:rPr>
                <w:tab/>
              </w:r>
              <w:r w:rsidR="004A1BC8" w:rsidRPr="00892DE3">
                <w:rPr>
                  <w:rStyle w:val="Hyperlink"/>
                  <w:noProof/>
                </w:rPr>
                <w:t>Fair value determination</w:t>
              </w:r>
              <w:r w:rsidR="004A1BC8" w:rsidRPr="00892DE3">
                <w:rPr>
                  <w:noProof/>
                  <w:webHidden/>
                </w:rPr>
                <w:tab/>
              </w:r>
              <w:r w:rsidR="004A1BC8" w:rsidRPr="00892DE3">
                <w:rPr>
                  <w:noProof/>
                  <w:webHidden/>
                </w:rPr>
                <w:fldChar w:fldCharType="begin"/>
              </w:r>
              <w:r w:rsidR="004A1BC8" w:rsidRPr="00892DE3">
                <w:rPr>
                  <w:noProof/>
                  <w:webHidden/>
                </w:rPr>
                <w:instrText xml:space="preserve"> PAGEREF _Toc477880064 \h </w:instrText>
              </w:r>
              <w:r w:rsidR="004A1BC8" w:rsidRPr="00892DE3">
                <w:rPr>
                  <w:noProof/>
                  <w:webHidden/>
                </w:rPr>
              </w:r>
              <w:r w:rsidR="004A1BC8" w:rsidRPr="00892DE3">
                <w:rPr>
                  <w:noProof/>
                  <w:webHidden/>
                </w:rPr>
                <w:fldChar w:fldCharType="separate"/>
              </w:r>
              <w:r w:rsidR="00F63B17">
                <w:rPr>
                  <w:noProof/>
                  <w:webHidden/>
                </w:rPr>
                <w:t>176</w:t>
              </w:r>
              <w:r w:rsidR="004A1BC8" w:rsidRPr="00892DE3">
                <w:rPr>
                  <w:noProof/>
                  <w:webHidden/>
                </w:rPr>
                <w:fldChar w:fldCharType="end"/>
              </w:r>
            </w:hyperlink>
            <w:r w:rsidR="00475DCE" w:rsidRPr="00892DE3">
              <w:fldChar w:fldCharType="end"/>
            </w:r>
          </w:p>
        </w:tc>
      </w:tr>
      <w:tr w:rsidR="00475DCE" w:rsidRPr="00892DE3" w:rsidTr="00281431">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rsidR="00475DCE" w:rsidRPr="00892DE3" w:rsidRDefault="00475DCE" w:rsidP="00B04CDD">
            <w:pPr>
              <w:rPr>
                <w:rFonts w:ascii="Arial" w:eastAsia="Calibri" w:hAnsi="Arial" w:cs="Arial"/>
              </w:rPr>
            </w:pPr>
          </w:p>
        </w:tc>
        <w:tc>
          <w:tcPr>
            <w:tcW w:w="6976" w:type="dxa"/>
            <w:tcBorders>
              <w:top w:val="nil"/>
              <w:bottom w:val="nil"/>
            </w:tcBorders>
            <w:shd w:val="clear" w:color="auto" w:fill="EBEBEB" w:themeFill="background2"/>
          </w:tcPr>
          <w:p w:rsidR="00475DCE" w:rsidRPr="00892DE3" w:rsidRDefault="00475DCE" w:rsidP="00B04CDD">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18"/>
              </w:rPr>
            </w:pPr>
            <w:r w:rsidRPr="00892DE3">
              <w:rPr>
                <w:rFonts w:ascii="Arial" w:eastAsia="Calibri" w:hAnsi="Arial" w:cs="Arial"/>
                <w:b/>
                <w:szCs w:val="18"/>
              </w:rPr>
              <w:t xml:space="preserve">9. </w:t>
            </w:r>
            <w:r w:rsidR="00B04CDD" w:rsidRPr="00892DE3">
              <w:rPr>
                <w:rFonts w:ascii="Arial" w:eastAsia="Calibri" w:hAnsi="Arial" w:cs="Arial"/>
                <w:b/>
                <w:szCs w:val="18"/>
              </w:rPr>
              <w:tab/>
            </w:r>
            <w:r w:rsidRPr="00892DE3">
              <w:rPr>
                <w:rFonts w:ascii="Arial" w:eastAsia="Calibri" w:hAnsi="Arial" w:cs="Arial"/>
                <w:b/>
                <w:szCs w:val="18"/>
              </w:rPr>
              <w:t>Other disclosures</w:t>
            </w:r>
          </w:p>
        </w:tc>
        <w:tc>
          <w:tcPr>
            <w:tcW w:w="1249" w:type="dxa"/>
            <w:gridSpan w:val="2"/>
            <w:tcBorders>
              <w:top w:val="nil"/>
              <w:bottom w:val="nil"/>
            </w:tcBorders>
            <w:shd w:val="clear" w:color="auto" w:fill="EBEBEB" w:themeFill="background2"/>
          </w:tcPr>
          <w:p w:rsidR="00475DCE" w:rsidRPr="00892DE3" w:rsidRDefault="00475DCE" w:rsidP="00B04CDD">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r>
            <w:r w:rsidRPr="00892DE3">
              <w:instrText xml:space="preserve"> PAGEREF  Section9 \h  \* MERGEFORMAT </w:instrText>
            </w:r>
            <w:r w:rsidRPr="00892DE3">
              <w:fldChar w:fldCharType="separate"/>
            </w:r>
            <w:r w:rsidR="00F63B17">
              <w:rPr>
                <w:noProof/>
              </w:rPr>
              <w:t>194</w:t>
            </w:r>
            <w:r w:rsidRPr="00892DE3">
              <w:fldChar w:fldCharType="end"/>
            </w:r>
          </w:p>
        </w:tc>
      </w:tr>
      <w:tr w:rsidR="00475DCE" w:rsidRPr="00892DE3" w:rsidTr="00281431">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single" w:sz="12" w:space="0" w:color="auto"/>
            </w:tcBorders>
          </w:tcPr>
          <w:p w:rsidR="00475DCE" w:rsidRPr="00892DE3" w:rsidRDefault="00475DCE" w:rsidP="00B04CDD">
            <w:pPr>
              <w:rPr>
                <w:rFonts w:ascii="Arial" w:eastAsia="Calibri" w:hAnsi="Arial" w:cs="Arial"/>
              </w:rPr>
            </w:pPr>
          </w:p>
        </w:tc>
        <w:tc>
          <w:tcPr>
            <w:tcW w:w="8225" w:type="dxa"/>
            <w:gridSpan w:val="3"/>
            <w:tcBorders>
              <w:top w:val="nil"/>
              <w:bottom w:val="single" w:sz="12" w:space="0" w:color="auto"/>
            </w:tcBorders>
            <w:shd w:val="clear" w:color="auto" w:fill="auto"/>
          </w:tcPr>
          <w:p w:rsidR="00A17AA4" w:rsidRPr="00892DE3" w:rsidRDefault="00475DCE">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Section9 \* MERGEFORMAT </w:instrText>
            </w:r>
            <w:r w:rsidRPr="00892DE3">
              <w:rPr>
                <w:noProof/>
              </w:rPr>
              <w:fldChar w:fldCharType="separate"/>
            </w:r>
            <w:hyperlink w:anchor="_Toc479085163" w:history="1">
              <w:r w:rsidR="00A17AA4" w:rsidRPr="00892DE3">
                <w:rPr>
                  <w:rStyle w:val="Hyperlink"/>
                  <w:noProof/>
                </w:rPr>
                <w:t>9.1</w:t>
              </w:r>
              <w:r w:rsidR="00A17AA4" w:rsidRPr="00892DE3">
                <w:rPr>
                  <w:rFonts w:eastAsiaTheme="minorEastAsia"/>
                  <w:noProof/>
                  <w:spacing w:val="0"/>
                  <w:sz w:val="22"/>
                  <w:lang w:eastAsia="en-AU"/>
                </w:rPr>
                <w:tab/>
              </w:r>
              <w:r w:rsidR="00A17AA4" w:rsidRPr="00892DE3">
                <w:rPr>
                  <w:rStyle w:val="Hyperlink"/>
                  <w:noProof/>
                </w:rPr>
                <w:t xml:space="preserve">Ex-gratia expenses </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_Toc479085163 \h </w:instrText>
              </w:r>
              <w:r w:rsidR="00A17AA4" w:rsidRPr="00892DE3">
                <w:rPr>
                  <w:noProof/>
                  <w:webHidden/>
                </w:rPr>
              </w:r>
              <w:r w:rsidR="00A17AA4" w:rsidRPr="00892DE3">
                <w:rPr>
                  <w:noProof/>
                  <w:webHidden/>
                </w:rPr>
                <w:fldChar w:fldCharType="separate"/>
              </w:r>
              <w:r w:rsidR="00F63B17">
                <w:rPr>
                  <w:noProof/>
                  <w:webHidden/>
                </w:rPr>
                <w:t>194</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4" w:history="1">
              <w:r w:rsidR="00A17AA4" w:rsidRPr="00892DE3">
                <w:rPr>
                  <w:rStyle w:val="Hyperlink"/>
                  <w:noProof/>
                </w:rPr>
                <w:t>9.2</w:t>
              </w:r>
              <w:r w:rsidR="00A17AA4" w:rsidRPr="00892DE3">
                <w:rPr>
                  <w:rFonts w:eastAsiaTheme="minorEastAsia"/>
                  <w:noProof/>
                  <w:spacing w:val="0"/>
                  <w:sz w:val="22"/>
                  <w:lang w:eastAsia="en-AU"/>
                </w:rPr>
                <w:tab/>
              </w:r>
              <w:r w:rsidR="00A17AA4" w:rsidRPr="00892DE3">
                <w:rPr>
                  <w:rStyle w:val="Hyperlink"/>
                  <w:noProof/>
                </w:rPr>
                <w:t>Other economic flows included in net result</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_Toc479085164 \h </w:instrText>
              </w:r>
              <w:r w:rsidR="00A17AA4" w:rsidRPr="00892DE3">
                <w:rPr>
                  <w:noProof/>
                  <w:webHidden/>
                </w:rPr>
              </w:r>
              <w:r w:rsidR="00A17AA4" w:rsidRPr="00892DE3">
                <w:rPr>
                  <w:noProof/>
                  <w:webHidden/>
                </w:rPr>
                <w:fldChar w:fldCharType="separate"/>
              </w:r>
              <w:r w:rsidR="00F63B17">
                <w:rPr>
                  <w:noProof/>
                  <w:webHidden/>
                </w:rPr>
                <w:t>195</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5" w:history="1">
              <w:r w:rsidR="00A17AA4" w:rsidRPr="00892DE3">
                <w:rPr>
                  <w:rStyle w:val="Hyperlink"/>
                  <w:noProof/>
                </w:rPr>
                <w:t>9.3</w:t>
              </w:r>
              <w:r w:rsidR="00A17AA4" w:rsidRPr="00892DE3">
                <w:rPr>
                  <w:rFonts w:eastAsiaTheme="minorEastAsia"/>
                  <w:noProof/>
                  <w:spacing w:val="0"/>
                  <w:sz w:val="22"/>
                  <w:lang w:eastAsia="en-AU"/>
                </w:rPr>
                <w:tab/>
              </w:r>
              <w:r w:rsidR="00A17AA4" w:rsidRPr="00892DE3">
                <w:rPr>
                  <w:rStyle w:val="Hyperlink"/>
                  <w:noProof/>
                </w:rPr>
                <w:t>Discontinued operations and non-current assets held for sale</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_Toc479085165 \h </w:instrText>
              </w:r>
              <w:r w:rsidR="00A17AA4" w:rsidRPr="00892DE3">
                <w:rPr>
                  <w:noProof/>
                  <w:webHidden/>
                </w:rPr>
              </w:r>
              <w:r w:rsidR="00A17AA4" w:rsidRPr="00892DE3">
                <w:rPr>
                  <w:noProof/>
                  <w:webHidden/>
                </w:rPr>
                <w:fldChar w:fldCharType="separate"/>
              </w:r>
              <w:r w:rsidR="00F63B17">
                <w:rPr>
                  <w:noProof/>
                  <w:webHidden/>
                </w:rPr>
                <w:t>196</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6" w:history="1">
              <w:r w:rsidR="00A17AA4" w:rsidRPr="00892DE3">
                <w:rPr>
                  <w:rStyle w:val="Hyperlink"/>
                  <w:noProof/>
                </w:rPr>
                <w:t>9.4</w:t>
              </w:r>
              <w:r w:rsidR="00A17AA4" w:rsidRPr="00892DE3">
                <w:rPr>
                  <w:rFonts w:eastAsiaTheme="minorEastAsia"/>
                  <w:noProof/>
                  <w:spacing w:val="0"/>
                  <w:sz w:val="22"/>
                  <w:lang w:eastAsia="en-AU"/>
                </w:rPr>
                <w:tab/>
              </w:r>
              <w:r w:rsidR="00A17AA4" w:rsidRPr="00892DE3">
                <w:rPr>
                  <w:rStyle w:val="Hyperlink"/>
                  <w:noProof/>
                </w:rPr>
                <w:t>Reserves</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_Toc479085166 \h </w:instrText>
              </w:r>
              <w:r w:rsidR="00A17AA4" w:rsidRPr="00892DE3">
                <w:rPr>
                  <w:noProof/>
                  <w:webHidden/>
                </w:rPr>
              </w:r>
              <w:r w:rsidR="00A17AA4" w:rsidRPr="00892DE3">
                <w:rPr>
                  <w:noProof/>
                  <w:webHidden/>
                </w:rPr>
                <w:fldChar w:fldCharType="separate"/>
              </w:r>
              <w:r w:rsidR="00F63B17">
                <w:rPr>
                  <w:noProof/>
                  <w:webHidden/>
                </w:rPr>
                <w:t>199</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7" w:history="1">
              <w:r w:rsidR="00A17AA4" w:rsidRPr="00892DE3">
                <w:rPr>
                  <w:rStyle w:val="Hyperlink"/>
                  <w:noProof/>
                </w:rPr>
                <w:t>9.5</w:t>
              </w:r>
              <w:r w:rsidR="00A17AA4" w:rsidRPr="00892DE3">
                <w:rPr>
                  <w:rFonts w:eastAsiaTheme="minorEastAsia"/>
                  <w:noProof/>
                  <w:spacing w:val="0"/>
                  <w:sz w:val="22"/>
                  <w:lang w:eastAsia="en-AU"/>
                </w:rPr>
                <w:tab/>
              </w:r>
              <w:r w:rsidR="00A17AA4" w:rsidRPr="00892DE3">
                <w:rPr>
                  <w:rStyle w:val="Hyperlink"/>
                  <w:noProof/>
                </w:rPr>
                <w:t>Entities consolidated pursuant to section 53(1)(b) of the FMA</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_Toc479085167 \h </w:instrText>
              </w:r>
              <w:r w:rsidR="00A17AA4" w:rsidRPr="00892DE3">
                <w:rPr>
                  <w:noProof/>
                  <w:webHidden/>
                </w:rPr>
              </w:r>
              <w:r w:rsidR="00A17AA4" w:rsidRPr="00892DE3">
                <w:rPr>
                  <w:noProof/>
                  <w:webHidden/>
                </w:rPr>
                <w:fldChar w:fldCharType="separate"/>
              </w:r>
              <w:r w:rsidR="00F63B17">
                <w:rPr>
                  <w:noProof/>
                  <w:webHidden/>
                </w:rPr>
                <w:t>200</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8" w:history="1">
              <w:r w:rsidR="00A17AA4" w:rsidRPr="00892DE3">
                <w:rPr>
                  <w:rStyle w:val="Hyperlink"/>
                  <w:noProof/>
                </w:rPr>
                <w:t>9.6</w:t>
              </w:r>
              <w:r w:rsidR="00A17AA4" w:rsidRPr="00892DE3">
                <w:rPr>
                  <w:rFonts w:eastAsiaTheme="minorEastAsia"/>
                  <w:noProof/>
                  <w:spacing w:val="0"/>
                  <w:sz w:val="22"/>
                  <w:lang w:eastAsia="en-AU"/>
                </w:rPr>
                <w:tab/>
              </w:r>
              <w:r w:rsidR="00A17AA4" w:rsidRPr="00892DE3">
                <w:rPr>
                  <w:rStyle w:val="Hyperlink"/>
                  <w:noProof/>
                </w:rPr>
                <w:t>Correction of a prior period error</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_Toc479085168 \h </w:instrText>
              </w:r>
              <w:r w:rsidR="00A17AA4" w:rsidRPr="00892DE3">
                <w:rPr>
                  <w:noProof/>
                  <w:webHidden/>
                </w:rPr>
              </w:r>
              <w:r w:rsidR="00A17AA4" w:rsidRPr="00892DE3">
                <w:rPr>
                  <w:noProof/>
                  <w:webHidden/>
                </w:rPr>
                <w:fldChar w:fldCharType="separate"/>
              </w:r>
              <w:r w:rsidR="00F63B17">
                <w:rPr>
                  <w:noProof/>
                  <w:webHidden/>
                </w:rPr>
                <w:t>201</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9" w:history="1">
              <w:r w:rsidR="00A17AA4" w:rsidRPr="00892DE3">
                <w:rPr>
                  <w:rStyle w:val="Hyperlink"/>
                  <w:noProof/>
                </w:rPr>
                <w:t>9.7</w:t>
              </w:r>
              <w:r w:rsidR="00A17AA4" w:rsidRPr="00892DE3">
                <w:rPr>
                  <w:rFonts w:eastAsiaTheme="minorEastAsia"/>
                  <w:noProof/>
                  <w:spacing w:val="0"/>
                  <w:sz w:val="22"/>
                  <w:lang w:eastAsia="en-AU"/>
                </w:rPr>
                <w:tab/>
              </w:r>
              <w:r w:rsidR="00A17AA4" w:rsidRPr="00892DE3">
                <w:rPr>
                  <w:rStyle w:val="Hyperlink"/>
                  <w:noProof/>
                </w:rPr>
                <w:t>Responsible persons</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_Toc479085169 \h </w:instrText>
              </w:r>
              <w:r w:rsidR="00A17AA4" w:rsidRPr="00892DE3">
                <w:rPr>
                  <w:noProof/>
                  <w:webHidden/>
                </w:rPr>
              </w:r>
              <w:r w:rsidR="00A17AA4" w:rsidRPr="00892DE3">
                <w:rPr>
                  <w:noProof/>
                  <w:webHidden/>
                </w:rPr>
                <w:fldChar w:fldCharType="separate"/>
              </w:r>
              <w:r w:rsidR="00F63B17">
                <w:rPr>
                  <w:noProof/>
                  <w:webHidden/>
                </w:rPr>
                <w:t>206</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0" w:history="1">
              <w:r w:rsidR="00A17AA4" w:rsidRPr="00892DE3">
                <w:rPr>
                  <w:rStyle w:val="Hyperlink"/>
                  <w:noProof/>
                </w:rPr>
                <w:t>9.8</w:t>
              </w:r>
              <w:r w:rsidR="00A17AA4" w:rsidRPr="00892DE3">
                <w:rPr>
                  <w:rFonts w:eastAsiaTheme="minorEastAsia"/>
                  <w:noProof/>
                  <w:spacing w:val="0"/>
                  <w:sz w:val="22"/>
                  <w:lang w:eastAsia="en-AU"/>
                </w:rPr>
                <w:tab/>
              </w:r>
              <w:r w:rsidR="00A17AA4" w:rsidRPr="00892DE3">
                <w:rPr>
                  <w:rStyle w:val="Hyperlink"/>
                  <w:noProof/>
                </w:rPr>
                <w:t>Remuneration of executives</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_Toc479085170 \h </w:instrText>
              </w:r>
              <w:r w:rsidR="00A17AA4" w:rsidRPr="00892DE3">
                <w:rPr>
                  <w:noProof/>
                  <w:webHidden/>
                </w:rPr>
              </w:r>
              <w:r w:rsidR="00A17AA4" w:rsidRPr="00892DE3">
                <w:rPr>
                  <w:noProof/>
                  <w:webHidden/>
                </w:rPr>
                <w:fldChar w:fldCharType="separate"/>
              </w:r>
              <w:r w:rsidR="00F63B17">
                <w:rPr>
                  <w:noProof/>
                  <w:webHidden/>
                </w:rPr>
                <w:t>206</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1" w:history="1">
              <w:r w:rsidR="00A17AA4" w:rsidRPr="00892DE3">
                <w:rPr>
                  <w:rStyle w:val="Hyperlink"/>
                  <w:noProof/>
                </w:rPr>
                <w:t>9.9</w:t>
              </w:r>
              <w:r w:rsidR="00A17AA4" w:rsidRPr="00892DE3">
                <w:rPr>
                  <w:rFonts w:eastAsiaTheme="minorEastAsia"/>
                  <w:noProof/>
                  <w:spacing w:val="0"/>
                  <w:sz w:val="22"/>
                  <w:lang w:eastAsia="en-AU"/>
                </w:rPr>
                <w:tab/>
              </w:r>
              <w:r w:rsidR="002500DA" w:rsidRPr="00892DE3">
                <w:rPr>
                  <w:rStyle w:val="Hyperlink"/>
                  <w:noProof/>
                </w:rPr>
                <w:t>Related parties</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_Toc479085171 \h </w:instrText>
              </w:r>
              <w:r w:rsidR="00A17AA4" w:rsidRPr="00892DE3">
                <w:rPr>
                  <w:noProof/>
                  <w:webHidden/>
                </w:rPr>
              </w:r>
              <w:r w:rsidR="00A17AA4" w:rsidRPr="00892DE3">
                <w:rPr>
                  <w:noProof/>
                  <w:webHidden/>
                </w:rPr>
                <w:fldChar w:fldCharType="separate"/>
              </w:r>
              <w:r w:rsidR="00F63B17">
                <w:rPr>
                  <w:noProof/>
                  <w:webHidden/>
                </w:rPr>
                <w:t>208</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2" w:history="1">
              <w:r w:rsidR="00A17AA4" w:rsidRPr="00892DE3">
                <w:rPr>
                  <w:rStyle w:val="Hyperlink"/>
                  <w:noProof/>
                </w:rPr>
                <w:t>9.10</w:t>
              </w:r>
              <w:r w:rsidR="00A17AA4" w:rsidRPr="00892DE3">
                <w:rPr>
                  <w:rFonts w:eastAsiaTheme="minorEastAsia"/>
                  <w:noProof/>
                  <w:spacing w:val="0"/>
                  <w:sz w:val="22"/>
                  <w:lang w:eastAsia="en-AU"/>
                </w:rPr>
                <w:tab/>
              </w:r>
              <w:r w:rsidR="00A17AA4" w:rsidRPr="00892DE3">
                <w:rPr>
                  <w:rStyle w:val="Hyperlink"/>
                  <w:noProof/>
                </w:rPr>
                <w:t>Remuneration of auditors</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_Toc479085172 \h </w:instrText>
              </w:r>
              <w:r w:rsidR="00A17AA4" w:rsidRPr="00892DE3">
                <w:rPr>
                  <w:noProof/>
                  <w:webHidden/>
                </w:rPr>
              </w:r>
              <w:r w:rsidR="00A17AA4" w:rsidRPr="00892DE3">
                <w:rPr>
                  <w:noProof/>
                  <w:webHidden/>
                </w:rPr>
                <w:fldChar w:fldCharType="separate"/>
              </w:r>
              <w:r w:rsidR="00F63B17">
                <w:rPr>
                  <w:noProof/>
                  <w:webHidden/>
                </w:rPr>
                <w:t>211</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3" w:history="1">
              <w:r w:rsidR="00A17AA4" w:rsidRPr="00892DE3">
                <w:rPr>
                  <w:rStyle w:val="Hyperlink"/>
                  <w:noProof/>
                </w:rPr>
                <w:t>9.11</w:t>
              </w:r>
              <w:r w:rsidR="00A17AA4" w:rsidRPr="00892DE3">
                <w:rPr>
                  <w:rFonts w:eastAsiaTheme="minorEastAsia"/>
                  <w:noProof/>
                  <w:spacing w:val="0"/>
                  <w:sz w:val="22"/>
                  <w:lang w:eastAsia="en-AU"/>
                </w:rPr>
                <w:tab/>
              </w:r>
              <w:r w:rsidR="00A17AA4" w:rsidRPr="00892DE3">
                <w:rPr>
                  <w:rStyle w:val="Hyperlink"/>
                  <w:noProof/>
                </w:rPr>
                <w:t>Subsequent events</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_Toc479085173 \h </w:instrText>
              </w:r>
              <w:r w:rsidR="00A17AA4" w:rsidRPr="00892DE3">
                <w:rPr>
                  <w:noProof/>
                  <w:webHidden/>
                </w:rPr>
              </w:r>
              <w:r w:rsidR="00A17AA4" w:rsidRPr="00892DE3">
                <w:rPr>
                  <w:noProof/>
                  <w:webHidden/>
                </w:rPr>
                <w:fldChar w:fldCharType="separate"/>
              </w:r>
              <w:r w:rsidR="00F63B17">
                <w:rPr>
                  <w:noProof/>
                  <w:webHidden/>
                </w:rPr>
                <w:t>211</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4" w:history="1">
              <w:r w:rsidR="00A17AA4" w:rsidRPr="00892DE3">
                <w:rPr>
                  <w:rStyle w:val="Hyperlink"/>
                  <w:noProof/>
                </w:rPr>
                <w:t>9.12</w:t>
              </w:r>
              <w:r w:rsidR="00A17AA4" w:rsidRPr="00892DE3">
                <w:rPr>
                  <w:rFonts w:eastAsiaTheme="minorEastAsia"/>
                  <w:noProof/>
                  <w:spacing w:val="0"/>
                  <w:sz w:val="22"/>
                  <w:lang w:eastAsia="en-AU"/>
                </w:rPr>
                <w:tab/>
              </w:r>
              <w:r w:rsidR="00A17AA4" w:rsidRPr="00892DE3">
                <w:rPr>
                  <w:rStyle w:val="Hyperlink"/>
                  <w:noProof/>
                </w:rPr>
                <w:t>Other accounting policies</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_Toc479085174 \h </w:instrText>
              </w:r>
              <w:r w:rsidR="00A17AA4" w:rsidRPr="00892DE3">
                <w:rPr>
                  <w:noProof/>
                  <w:webHidden/>
                </w:rPr>
              </w:r>
              <w:r w:rsidR="00A17AA4" w:rsidRPr="00892DE3">
                <w:rPr>
                  <w:noProof/>
                  <w:webHidden/>
                </w:rPr>
                <w:fldChar w:fldCharType="separate"/>
              </w:r>
              <w:r w:rsidR="00F63B17">
                <w:rPr>
                  <w:noProof/>
                  <w:webHidden/>
                </w:rPr>
                <w:t>212</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5" w:history="1">
              <w:r w:rsidR="00A17AA4" w:rsidRPr="00892DE3">
                <w:rPr>
                  <w:rStyle w:val="Hyperlink"/>
                  <w:noProof/>
                </w:rPr>
                <w:t>9.13</w:t>
              </w:r>
              <w:r w:rsidR="00A17AA4" w:rsidRPr="00892DE3">
                <w:rPr>
                  <w:rFonts w:eastAsiaTheme="minorEastAsia"/>
                  <w:noProof/>
                  <w:spacing w:val="0"/>
                  <w:sz w:val="22"/>
                  <w:lang w:eastAsia="en-AU"/>
                </w:rPr>
                <w:tab/>
              </w:r>
              <w:r w:rsidR="00A17AA4" w:rsidRPr="00892DE3">
                <w:rPr>
                  <w:rStyle w:val="Hyperlink"/>
                  <w:noProof/>
                </w:rPr>
                <w:t>Australian Accounting Standards issued that are not yet effective</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_Toc479085175 \h </w:instrText>
              </w:r>
              <w:r w:rsidR="00A17AA4" w:rsidRPr="00892DE3">
                <w:rPr>
                  <w:noProof/>
                  <w:webHidden/>
                </w:rPr>
              </w:r>
              <w:r w:rsidR="00A17AA4" w:rsidRPr="00892DE3">
                <w:rPr>
                  <w:noProof/>
                  <w:webHidden/>
                </w:rPr>
                <w:fldChar w:fldCharType="separate"/>
              </w:r>
              <w:r w:rsidR="00F63B17">
                <w:rPr>
                  <w:noProof/>
                  <w:webHidden/>
                </w:rPr>
                <w:t>213</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6" w:history="1">
              <w:r w:rsidR="00A17AA4" w:rsidRPr="00892DE3">
                <w:rPr>
                  <w:rStyle w:val="Hyperlink"/>
                  <w:noProof/>
                </w:rPr>
                <w:t>9.14</w:t>
              </w:r>
              <w:r w:rsidR="00A17AA4" w:rsidRPr="00892DE3">
                <w:rPr>
                  <w:rFonts w:eastAsiaTheme="minorEastAsia"/>
                  <w:noProof/>
                  <w:spacing w:val="0"/>
                  <w:sz w:val="22"/>
                  <w:lang w:eastAsia="en-AU"/>
                </w:rPr>
                <w:tab/>
              </w:r>
              <w:r w:rsidR="00A17AA4" w:rsidRPr="00892DE3">
                <w:rPr>
                  <w:rStyle w:val="Hyperlink"/>
                  <w:noProof/>
                </w:rPr>
                <w:t>Glossary of technical terms</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_Toc479085176 \h </w:instrText>
              </w:r>
              <w:r w:rsidR="00A17AA4" w:rsidRPr="00892DE3">
                <w:rPr>
                  <w:noProof/>
                  <w:webHidden/>
                </w:rPr>
              </w:r>
              <w:r w:rsidR="00A17AA4" w:rsidRPr="00892DE3">
                <w:rPr>
                  <w:noProof/>
                  <w:webHidden/>
                </w:rPr>
                <w:fldChar w:fldCharType="separate"/>
              </w:r>
              <w:r w:rsidR="00F63B17">
                <w:rPr>
                  <w:noProof/>
                  <w:webHidden/>
                </w:rPr>
                <w:t>213</w:t>
              </w:r>
              <w:r w:rsidR="00A17AA4" w:rsidRPr="00892DE3">
                <w:rPr>
                  <w:noProof/>
                  <w:webHidden/>
                </w:rPr>
                <w:fldChar w:fldCharType="end"/>
              </w:r>
            </w:hyperlink>
          </w:p>
          <w:p w:rsidR="00A17AA4" w:rsidRPr="00892DE3" w:rsidRDefault="003C212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7" w:history="1">
              <w:r w:rsidR="00A17AA4" w:rsidRPr="00892DE3">
                <w:rPr>
                  <w:rStyle w:val="Hyperlink"/>
                  <w:noProof/>
                </w:rPr>
                <w:t>9.15</w:t>
              </w:r>
              <w:r w:rsidR="00A17AA4" w:rsidRPr="00892DE3">
                <w:rPr>
                  <w:rFonts w:eastAsiaTheme="minorEastAsia"/>
                  <w:noProof/>
                  <w:spacing w:val="0"/>
                  <w:sz w:val="22"/>
                  <w:lang w:eastAsia="en-AU"/>
                </w:rPr>
                <w:tab/>
              </w:r>
              <w:r w:rsidR="00A17AA4" w:rsidRPr="00892DE3">
                <w:rPr>
                  <w:rStyle w:val="Hyperlink"/>
                  <w:noProof/>
                </w:rPr>
                <w:t>Style conventions</w:t>
              </w:r>
              <w:r w:rsidR="00A17AA4" w:rsidRPr="00892DE3">
                <w:rPr>
                  <w:noProof/>
                  <w:webHidden/>
                </w:rPr>
                <w:tab/>
              </w:r>
              <w:r w:rsidR="00A17AA4" w:rsidRPr="00892DE3">
                <w:rPr>
                  <w:noProof/>
                  <w:webHidden/>
                </w:rPr>
                <w:fldChar w:fldCharType="begin"/>
              </w:r>
              <w:r w:rsidR="00A17AA4" w:rsidRPr="00892DE3">
                <w:rPr>
                  <w:noProof/>
                  <w:webHidden/>
                </w:rPr>
                <w:instrText xml:space="preserve"> PAGEREF _Toc479085177 \h </w:instrText>
              </w:r>
              <w:r w:rsidR="00A17AA4" w:rsidRPr="00892DE3">
                <w:rPr>
                  <w:noProof/>
                  <w:webHidden/>
                </w:rPr>
              </w:r>
              <w:r w:rsidR="00A17AA4" w:rsidRPr="00892DE3">
                <w:rPr>
                  <w:noProof/>
                  <w:webHidden/>
                </w:rPr>
                <w:fldChar w:fldCharType="separate"/>
              </w:r>
              <w:r w:rsidR="00F63B17">
                <w:rPr>
                  <w:noProof/>
                  <w:webHidden/>
                </w:rPr>
                <w:t>217</w:t>
              </w:r>
              <w:r w:rsidR="00A17AA4" w:rsidRPr="00892DE3">
                <w:rPr>
                  <w:noProof/>
                  <w:webHidden/>
                </w:rPr>
                <w:fldChar w:fldCharType="end"/>
              </w:r>
            </w:hyperlink>
          </w:p>
          <w:p w:rsidR="00475DCE" w:rsidRPr="00892DE3" w:rsidRDefault="00475DCE" w:rsidP="004A1BC8">
            <w:pPr>
              <w:pStyle w:val="TOC8"/>
              <w:cnfStyle w:val="000000000000" w:firstRow="0" w:lastRow="0" w:firstColumn="0" w:lastColumn="0" w:oddVBand="0" w:evenVBand="0" w:oddHBand="0" w:evenHBand="0" w:firstRowFirstColumn="0" w:firstRowLastColumn="0" w:lastRowFirstColumn="0" w:lastRowLastColumn="0"/>
            </w:pPr>
            <w:r w:rsidRPr="00892DE3">
              <w:fldChar w:fldCharType="end"/>
            </w:r>
          </w:p>
        </w:tc>
      </w:tr>
    </w:tbl>
    <w:p w:rsidR="00956B13" w:rsidRPr="00892DE3" w:rsidRDefault="00956B13" w:rsidP="0006747E"/>
    <w:p w:rsidR="00956B13" w:rsidRPr="00892DE3" w:rsidRDefault="00956B13">
      <w:pPr>
        <w:keepLines w:val="0"/>
      </w:pPr>
      <w:r w:rsidRPr="00892DE3">
        <w:br w:type="page"/>
      </w:r>
    </w:p>
    <w:p w:rsidR="00FF5C84" w:rsidRPr="00892DE3" w:rsidRDefault="00FF5C84"/>
    <w:tbl>
      <w:tblPr>
        <w:tblStyle w:val="ModelReportGuidanceTable"/>
        <w:tblW w:w="9854" w:type="dxa"/>
        <w:tblLayout w:type="fixed"/>
        <w:tblLook w:val="04A0" w:firstRow="1" w:lastRow="0" w:firstColumn="1" w:lastColumn="0" w:noHBand="0" w:noVBand="1"/>
      </w:tblPr>
      <w:tblGrid>
        <w:gridCol w:w="9854"/>
      </w:tblGrid>
      <w:tr w:rsidR="00956B13" w:rsidRPr="00892DE3" w:rsidTr="007F1293">
        <w:trPr>
          <w:cnfStyle w:val="100000000000" w:firstRow="1" w:lastRow="0" w:firstColumn="0" w:lastColumn="0" w:oddVBand="0" w:evenVBand="0" w:oddHBand="0" w:evenHBand="0" w:firstRowFirstColumn="0" w:firstRowLastColumn="0" w:lastRowFirstColumn="0" w:lastRowLastColumn="0"/>
        </w:trPr>
        <w:tc>
          <w:tcPr>
            <w:tcW w:w="9854" w:type="dxa"/>
          </w:tcPr>
          <w:p w:rsidR="00956B13" w:rsidRPr="00892DE3" w:rsidRDefault="00956B13" w:rsidP="0006747E">
            <w:r w:rsidRPr="00892DE3">
              <w:t>Guidance: Financial report structure</w:t>
            </w:r>
          </w:p>
        </w:tc>
      </w:tr>
      <w:tr w:rsidR="00956B13" w:rsidRPr="00892DE3" w:rsidTr="007F1293">
        <w:tc>
          <w:tcPr>
            <w:tcW w:w="9854" w:type="dxa"/>
          </w:tcPr>
          <w:p w:rsidR="00956B13" w:rsidRPr="00892DE3" w:rsidRDefault="00956B13" w:rsidP="00956B13">
            <w:r w:rsidRPr="00892DE3">
              <w:t>A complete set of financial statements comprises the following:</w:t>
            </w:r>
          </w:p>
          <w:p w:rsidR="00956B13" w:rsidRPr="00892DE3" w:rsidRDefault="00956B13" w:rsidP="00956B13">
            <w:pPr>
              <w:pStyle w:val="ListBullet"/>
            </w:pPr>
            <w:r w:rsidRPr="00892DE3">
              <w:t>a statement of financial position (or balance sheet);</w:t>
            </w:r>
          </w:p>
          <w:p w:rsidR="00956B13" w:rsidRPr="00892DE3" w:rsidRDefault="00956B13" w:rsidP="00956B13">
            <w:pPr>
              <w:pStyle w:val="ListBullet"/>
            </w:pPr>
            <w:r w:rsidRPr="00892DE3">
              <w:t xml:space="preserve">a statement of profit or loss and other comprehensive income; </w:t>
            </w:r>
          </w:p>
          <w:p w:rsidR="00956B13" w:rsidRPr="00892DE3" w:rsidRDefault="00956B13" w:rsidP="00956B13">
            <w:pPr>
              <w:pStyle w:val="ListBullet"/>
            </w:pPr>
            <w:r w:rsidRPr="00892DE3">
              <w:t>a statement of changes in equity; and</w:t>
            </w:r>
          </w:p>
          <w:p w:rsidR="00956B13" w:rsidRPr="00892DE3" w:rsidRDefault="00956B13" w:rsidP="00956B13">
            <w:pPr>
              <w:pStyle w:val="ListBullet"/>
            </w:pPr>
            <w:r w:rsidRPr="00892DE3">
              <w:t>a statement of cash flows.</w:t>
            </w:r>
          </w:p>
          <w:p w:rsidR="00956B13" w:rsidRPr="00892DE3" w:rsidRDefault="00956B13" w:rsidP="008A6BB6">
            <w:pPr>
              <w:pStyle w:val="ListBullet"/>
              <w:numPr>
                <w:ilvl w:val="0"/>
                <w:numId w:val="0"/>
              </w:numPr>
              <w:ind w:left="284"/>
            </w:pPr>
            <w:r w:rsidRPr="00892DE3">
              <w:t>(together the “</w:t>
            </w:r>
            <w:r w:rsidRPr="00892DE3">
              <w:rPr>
                <w:b/>
              </w:rPr>
              <w:t>Financial Statements</w:t>
            </w:r>
            <w:r w:rsidRPr="00892DE3">
              <w:t>”)</w:t>
            </w:r>
          </w:p>
          <w:p w:rsidR="00956B13" w:rsidRPr="00892DE3" w:rsidRDefault="00956B13" w:rsidP="00956B13">
            <w:pPr>
              <w:pStyle w:val="ListBullet"/>
            </w:pPr>
            <w:r w:rsidRPr="00892DE3">
              <w:t>notes, comprising a summary of significant accounting policies and other explanatory information; and</w:t>
            </w:r>
          </w:p>
          <w:p w:rsidR="00956B13" w:rsidRPr="00892DE3" w:rsidRDefault="00956B13" w:rsidP="00956B13">
            <w:pPr>
              <w:pStyle w:val="ListBullet"/>
            </w:pPr>
            <w:r w:rsidRPr="00892DE3">
              <w:t xml:space="preserve">comparative information in respect of the preceding period. </w:t>
            </w:r>
            <w:r w:rsidRPr="00892DE3">
              <w:rPr>
                <w:rStyle w:val="SourceReference"/>
              </w:rPr>
              <w:t>[AASB 101.10]</w:t>
            </w:r>
          </w:p>
          <w:p w:rsidR="00956B13" w:rsidRPr="00892DE3" w:rsidRDefault="00956B13" w:rsidP="00956B13">
            <w:pPr>
              <w:rPr>
                <w:b/>
              </w:rPr>
            </w:pPr>
            <w:r w:rsidRPr="00892DE3">
              <w:rPr>
                <w:b/>
              </w:rPr>
              <w:t>Contents of the notes to the financial statements</w:t>
            </w:r>
          </w:p>
          <w:p w:rsidR="00956B13" w:rsidRPr="00892DE3" w:rsidRDefault="00956B13" w:rsidP="00956B13">
            <w:r w:rsidRPr="00892DE3">
              <w:t>The notes to the financial statements of an entity shall:</w:t>
            </w:r>
          </w:p>
          <w:p w:rsidR="00956B13" w:rsidRPr="00892DE3" w:rsidRDefault="00956B13" w:rsidP="00956B13">
            <w:pPr>
              <w:pStyle w:val="ListBullet"/>
            </w:pPr>
            <w:r w:rsidRPr="00892DE3">
              <w:t>present information about the basis of preparation;</w:t>
            </w:r>
          </w:p>
          <w:p w:rsidR="00956B13" w:rsidRPr="00892DE3" w:rsidRDefault="00956B13" w:rsidP="00956B13">
            <w:pPr>
              <w:pStyle w:val="ListBullet"/>
            </w:pPr>
            <w:r w:rsidRPr="00892DE3">
              <w:t xml:space="preserve">disclose the information required by AASs that is not presented in the face of the financial statements; </w:t>
            </w:r>
          </w:p>
          <w:p w:rsidR="00956B13" w:rsidRPr="00892DE3" w:rsidRDefault="00956B13" w:rsidP="00956B13">
            <w:pPr>
              <w:pStyle w:val="ListBullet"/>
            </w:pPr>
            <w:r w:rsidRPr="00892DE3">
              <w:t xml:space="preserve">provide additional information that is relevant to an understanding of the financial statements and that is not disclosed elsewhere; and </w:t>
            </w:r>
          </w:p>
          <w:p w:rsidR="00956B13" w:rsidRPr="00892DE3" w:rsidRDefault="00956B13" w:rsidP="00956B13">
            <w:pPr>
              <w:pStyle w:val="ListBullet"/>
            </w:pPr>
            <w:r w:rsidRPr="00892DE3">
              <w:t xml:space="preserve">be presented in a systematic manner with cross references to the financial statements or any related information in the notes </w:t>
            </w:r>
            <w:r w:rsidRPr="00892DE3">
              <w:rPr>
                <w:rStyle w:val="SourceReference"/>
              </w:rPr>
              <w:t>[AASB 101.112 113]</w:t>
            </w:r>
            <w:r w:rsidRPr="00892DE3">
              <w:t xml:space="preserve">; </w:t>
            </w:r>
          </w:p>
          <w:p w:rsidR="00956B13" w:rsidRPr="00892DE3" w:rsidRDefault="008A6BB6" w:rsidP="00956B13">
            <w:pPr>
              <w:pStyle w:val="ListBullet"/>
            </w:pPr>
            <w:r w:rsidRPr="00892DE3">
              <w:t xml:space="preserve">contain </w:t>
            </w:r>
            <w:r w:rsidR="00956B13" w:rsidRPr="00892DE3">
              <w:t xml:space="preserve">a statement of compliance with AASs; </w:t>
            </w:r>
            <w:r w:rsidR="002274A8" w:rsidRPr="00892DE3">
              <w:rPr>
                <w:rStyle w:val="SourceReference"/>
              </w:rPr>
              <w:t>[AASB 1054.7]</w:t>
            </w:r>
            <w:r w:rsidR="002274A8" w:rsidRPr="00892DE3">
              <w:t xml:space="preserve"> and</w:t>
            </w:r>
          </w:p>
          <w:p w:rsidR="00956B13" w:rsidRPr="00892DE3" w:rsidRDefault="008A6BB6" w:rsidP="00956B13">
            <w:pPr>
              <w:pStyle w:val="ListBullet"/>
            </w:pPr>
            <w:r w:rsidRPr="00892DE3">
              <w:t xml:space="preserve">contain </w:t>
            </w:r>
            <w:r w:rsidR="00956B13" w:rsidRPr="00892DE3">
              <w:t xml:space="preserve">a summary of significant accounting policies relevant to understanding the information presented in the financial statements, including the measurement bases used in preparing the financial statements. </w:t>
            </w:r>
            <w:r w:rsidR="00956B13" w:rsidRPr="00892DE3">
              <w:rPr>
                <w:rStyle w:val="SourceReference"/>
              </w:rPr>
              <w:t>[AASB 101.117]</w:t>
            </w:r>
          </w:p>
        </w:tc>
      </w:tr>
    </w:tbl>
    <w:p w:rsidR="004A1BC8" w:rsidRPr="00892DE3" w:rsidRDefault="004A1BC8" w:rsidP="0006747E">
      <w:pPr>
        <w:sectPr w:rsidR="004A1BC8" w:rsidRPr="00892DE3" w:rsidSect="009C1D64">
          <w:headerReference w:type="even" r:id="rId72"/>
          <w:headerReference w:type="default" r:id="rId73"/>
          <w:footerReference w:type="even" r:id="rId74"/>
          <w:headerReference w:type="first" r:id="rId75"/>
          <w:footerReference w:type="first" r:id="rId76"/>
          <w:pgSz w:w="11906" w:h="16838" w:code="9"/>
          <w:pgMar w:top="1134" w:right="1134" w:bottom="1134" w:left="1134" w:header="624" w:footer="567" w:gutter="0"/>
          <w:cols w:sep="1" w:space="567"/>
          <w:titlePg/>
          <w:docGrid w:linePitch="360"/>
        </w:sectPr>
      </w:pPr>
    </w:p>
    <w:p w:rsidR="00C910BC" w:rsidRPr="00892DE3" w:rsidRDefault="00C910BC" w:rsidP="006422A1">
      <w:pPr>
        <w:pStyle w:val="Heading1nonTOC"/>
      </w:pPr>
      <w:r w:rsidRPr="00892DE3">
        <w:lastRenderedPageBreak/>
        <w:t>Declaration in the financial statements</w:t>
      </w:r>
    </w:p>
    <w:p w:rsidR="00C910BC" w:rsidRPr="00892DE3" w:rsidRDefault="00C910BC" w:rsidP="00C910BC">
      <w:r w:rsidRPr="00892DE3">
        <w:t xml:space="preserve">The attached financial statements for the Department of Technology have been prepared in accordance with Direction 5.2 of the Standing Directions of the Minister for Finance under the </w:t>
      </w:r>
      <w:r w:rsidRPr="00892DE3">
        <w:rPr>
          <w:i/>
        </w:rPr>
        <w:t>Financial Management Act 1994</w:t>
      </w:r>
      <w:r w:rsidRPr="00892DE3">
        <w:t xml:space="preserve">, applicable Financial Reporting Directions, Australian Accounting Standards including Interpretations, and other mandatory professional reporting requirements. </w:t>
      </w:r>
      <w:r w:rsidRPr="00892DE3">
        <w:rPr>
          <w:rStyle w:val="SourceReference"/>
        </w:rPr>
        <w:t>[SD 5.2.1, 5.2.2(b)]</w:t>
      </w:r>
    </w:p>
    <w:p w:rsidR="00C910BC" w:rsidRPr="00892DE3" w:rsidRDefault="00C910BC" w:rsidP="00C910BC">
      <w:r w:rsidRPr="00892DE3">
        <w:t>We further state that, in our opinion, the information set out in the comprehensive operating statement, balance sheet, statement of changes in equity, cash flow statement and accompanying notes, presents fairly the financial transactions during the year ended 30 June 2017 and financial position of the Department at 30 June 2017.</w:t>
      </w:r>
    </w:p>
    <w:p w:rsidR="00C910BC" w:rsidRPr="00892DE3" w:rsidRDefault="00C910BC" w:rsidP="00C910BC">
      <w:r w:rsidRPr="00892DE3">
        <w:t xml:space="preserve">At the time of signing, we are not aware of any circumstance which would render any particulars included in the financial statements to be misleading or inaccurate. </w:t>
      </w:r>
      <w:r w:rsidRPr="00892DE3">
        <w:rPr>
          <w:rStyle w:val="SourceReference"/>
        </w:rPr>
        <w:t>[SD 5.2.2(b)]</w:t>
      </w:r>
    </w:p>
    <w:p w:rsidR="00C910BC" w:rsidRPr="00892DE3" w:rsidRDefault="00C910BC" w:rsidP="00C910BC">
      <w:r w:rsidRPr="00892DE3">
        <w:t>We authorise the attached financial statements for issue on 14 August 2017.</w:t>
      </w:r>
    </w:p>
    <w:p w:rsidR="00C910BC" w:rsidRPr="00892DE3" w:rsidRDefault="00C910BC" w:rsidP="00C910BC"/>
    <w:p w:rsidR="00C910BC" w:rsidRPr="00892DE3" w:rsidRDefault="00C910BC" w:rsidP="00C910BC"/>
    <w:p w:rsidR="00C910BC" w:rsidRPr="00892DE3" w:rsidRDefault="00C910BC" w:rsidP="00C910BC">
      <w:pPr>
        <w:tabs>
          <w:tab w:val="left" w:leader="dot" w:pos="2835"/>
          <w:tab w:val="left" w:pos="5103"/>
          <w:tab w:val="left" w:leader="dot" w:pos="7938"/>
        </w:tabs>
      </w:pPr>
      <w:r w:rsidRPr="00892DE3">
        <w:tab/>
      </w:r>
      <w:r w:rsidRPr="00892DE3">
        <w:tab/>
      </w:r>
      <w:r w:rsidRPr="00892DE3">
        <w:tab/>
      </w:r>
    </w:p>
    <w:p w:rsidR="00C910BC" w:rsidRPr="00892DE3" w:rsidRDefault="00C910BC" w:rsidP="00C910BC">
      <w:pPr>
        <w:tabs>
          <w:tab w:val="left" w:pos="5103"/>
        </w:tabs>
      </w:pPr>
      <w:r w:rsidRPr="00892DE3">
        <w:t>R McIvor</w:t>
      </w:r>
      <w:r w:rsidRPr="00892DE3">
        <w:tab/>
        <w:t>J Smith</w:t>
      </w:r>
    </w:p>
    <w:p w:rsidR="00C910BC" w:rsidRPr="00892DE3" w:rsidRDefault="00C910BC" w:rsidP="00C910BC">
      <w:pPr>
        <w:tabs>
          <w:tab w:val="left" w:pos="5103"/>
        </w:tabs>
      </w:pPr>
    </w:p>
    <w:p w:rsidR="00C910BC" w:rsidRPr="00892DE3" w:rsidRDefault="00C910BC" w:rsidP="00C910BC">
      <w:pPr>
        <w:tabs>
          <w:tab w:val="left" w:pos="5103"/>
        </w:tabs>
        <w:spacing w:before="0"/>
      </w:pPr>
      <w:r w:rsidRPr="00892DE3">
        <w:t>Chief Finance Officer</w:t>
      </w:r>
      <w:r w:rsidRPr="00892DE3">
        <w:tab/>
        <w:t>Secretary</w:t>
      </w:r>
    </w:p>
    <w:p w:rsidR="00C910BC" w:rsidRPr="00892DE3" w:rsidRDefault="00C910BC" w:rsidP="00C910BC">
      <w:pPr>
        <w:tabs>
          <w:tab w:val="left" w:pos="5103"/>
        </w:tabs>
        <w:spacing w:before="0"/>
      </w:pPr>
      <w:r w:rsidRPr="00892DE3">
        <w:t>Department of Technology</w:t>
      </w:r>
      <w:r w:rsidRPr="00892DE3">
        <w:tab/>
        <w:t>Department of Technology</w:t>
      </w:r>
    </w:p>
    <w:p w:rsidR="00C910BC" w:rsidRPr="00892DE3" w:rsidRDefault="00C910BC" w:rsidP="00C910BC">
      <w:pPr>
        <w:tabs>
          <w:tab w:val="left" w:pos="5103"/>
        </w:tabs>
      </w:pPr>
    </w:p>
    <w:p w:rsidR="00C910BC" w:rsidRPr="00892DE3" w:rsidRDefault="00C910BC" w:rsidP="00C910BC">
      <w:pPr>
        <w:tabs>
          <w:tab w:val="left" w:pos="5103"/>
        </w:tabs>
        <w:spacing w:before="0"/>
      </w:pPr>
      <w:r w:rsidRPr="00892DE3">
        <w:t>Melbourne</w:t>
      </w:r>
      <w:r w:rsidRPr="00892DE3">
        <w:tab/>
        <w:t>Melbourne</w:t>
      </w:r>
    </w:p>
    <w:p w:rsidR="00C910BC" w:rsidRPr="00892DE3" w:rsidRDefault="00C910BC" w:rsidP="00C910BC">
      <w:pPr>
        <w:tabs>
          <w:tab w:val="left" w:pos="5103"/>
        </w:tabs>
        <w:spacing w:before="0"/>
      </w:pPr>
      <w:r w:rsidRPr="00892DE3">
        <w:t>14 August 2017</w:t>
      </w:r>
      <w:r w:rsidRPr="00892DE3">
        <w:tab/>
        <w:t>14 August 2017</w:t>
      </w:r>
    </w:p>
    <w:p w:rsidR="00C910BC" w:rsidRPr="00892DE3" w:rsidRDefault="00C910BC" w:rsidP="00C910BC"/>
    <w:tbl>
      <w:tblPr>
        <w:tblStyle w:val="ModelReportGuidanceTable"/>
        <w:tblW w:w="0" w:type="auto"/>
        <w:tblLayout w:type="fixed"/>
        <w:tblLook w:val="04A0" w:firstRow="1" w:lastRow="0" w:firstColumn="1" w:lastColumn="0" w:noHBand="0" w:noVBand="1"/>
      </w:tblPr>
      <w:tblGrid>
        <w:gridCol w:w="9854"/>
      </w:tblGrid>
      <w:tr w:rsidR="00C910BC" w:rsidRPr="00892DE3" w:rsidTr="00825A98">
        <w:trPr>
          <w:cnfStyle w:val="100000000000" w:firstRow="1" w:lastRow="0" w:firstColumn="0" w:lastColumn="0" w:oddVBand="0" w:evenVBand="0" w:oddHBand="0" w:evenHBand="0" w:firstRowFirstColumn="0" w:firstRowLastColumn="0" w:lastRowFirstColumn="0" w:lastRowLastColumn="0"/>
        </w:trPr>
        <w:tc>
          <w:tcPr>
            <w:tcW w:w="9854" w:type="dxa"/>
          </w:tcPr>
          <w:p w:rsidR="00C910BC" w:rsidRPr="00892DE3" w:rsidRDefault="00C910BC" w:rsidP="00825A98">
            <w:r w:rsidRPr="00892DE3">
              <w:t>Guidance: Declaration in financial statements</w:t>
            </w:r>
          </w:p>
        </w:tc>
      </w:tr>
      <w:tr w:rsidR="00C910BC" w:rsidRPr="00892DE3" w:rsidTr="00825A98">
        <w:tc>
          <w:tcPr>
            <w:tcW w:w="9854" w:type="dxa"/>
          </w:tcPr>
          <w:p w:rsidR="00C910BC" w:rsidRPr="00892DE3" w:rsidRDefault="00C910BC" w:rsidP="00825A98">
            <w:r w:rsidRPr="00892DE3">
              <w:t xml:space="preserve">The Accountable Officer is required to implement and maintain a process to ensure the agency’s annual report is prepared in accordance with the </w:t>
            </w:r>
            <w:r w:rsidRPr="00892DE3">
              <w:rPr>
                <w:i/>
              </w:rPr>
              <w:t>Financial Management Act 1994</w:t>
            </w:r>
            <w:r w:rsidRPr="00892DE3">
              <w:t xml:space="preserve"> (FMA), the Standing Directions (SD) and its supporting Instructions, applicable Australian Accounting Standards (AASs) and Financial Reporting Directions (FRDs). </w:t>
            </w:r>
            <w:r w:rsidRPr="00892DE3">
              <w:rPr>
                <w:rStyle w:val="SourceReference"/>
              </w:rPr>
              <w:t>[SD 5.2.1]</w:t>
            </w:r>
          </w:p>
          <w:p w:rsidR="00C910BC" w:rsidRPr="00892DE3" w:rsidRDefault="00C910BC" w:rsidP="00825A98">
            <w:r w:rsidRPr="00892DE3">
              <w:t xml:space="preserve">The general purpose financial statements of a government department should form part of, or be presented in a manner which enables it to be read in conjunction with, the annual report of that government department. To that end, SD 5.2.2 requires that the financial statements of agencies must, where applicable, be signed and dated by the Accountable Officer and Chief Finance Officer (CFO) and a member of the Responsible Body. </w:t>
            </w:r>
            <w:r w:rsidRPr="00892DE3">
              <w:rPr>
                <w:rStyle w:val="SourceReference"/>
              </w:rPr>
              <w:t>[SD 5.2.2]</w:t>
            </w:r>
          </w:p>
          <w:p w:rsidR="00C910BC" w:rsidRPr="00892DE3" w:rsidRDefault="00C910BC" w:rsidP="00825A98">
            <w:r w:rsidRPr="00892DE3">
              <w:t>For departments, as the Secretary also represents the responsible body, only two signatories are required for the departmental financial statements. For public bodies, if the Accountable Officer or the CFO is a member of the public body’s board, two signatories are required. However, if the Accountable Officer or the CFO is not a member of the public body’s board, then three signatures are required.</w:t>
            </w:r>
          </w:p>
          <w:p w:rsidR="00C910BC" w:rsidRPr="00892DE3" w:rsidRDefault="00C910BC" w:rsidP="00825A98">
            <w:r w:rsidRPr="00892DE3">
              <w:t xml:space="preserve">Direction 2.4.5 requires a CFO to be suitably experienced, hold a graduate or post graduate qualification in accounting or other relevant discipline granted by a tertiary provider, and keep their knowledge and expertise up to date with current developments in financial management and AASs. </w:t>
            </w:r>
            <w:r w:rsidRPr="00892DE3">
              <w:rPr>
                <w:rStyle w:val="SourceReference"/>
              </w:rPr>
              <w:t>[SD2.4.5]</w:t>
            </w:r>
          </w:p>
          <w:p w:rsidR="00C910BC" w:rsidRPr="00892DE3" w:rsidRDefault="00C910BC" w:rsidP="00825A98">
            <w:r w:rsidRPr="00892DE3">
              <w:t>What constitutes a relevant discipline will depend on the judgement of the Accountable Officer having regard to the circumstances of the entity. It may include a qualification in finance, business or economics and relevant prior experience.</w:t>
            </w:r>
          </w:p>
          <w:p w:rsidR="00C910BC" w:rsidRPr="00892DE3" w:rsidRDefault="00C910BC" w:rsidP="00825A98">
            <w:r w:rsidRPr="00892DE3">
              <w:t xml:space="preserve">It is recommended, but not mandatory, that CFOs hold a professional designation such as a membership of Certified Practising Accountants Australia or Chartered Accountants Australia and New Zealand as it will help them comply with the requirement to keep their knowledge and expertise up to date with current developments in financial management and AASs. </w:t>
            </w:r>
            <w:r w:rsidRPr="00892DE3">
              <w:rPr>
                <w:rStyle w:val="SourceReference"/>
              </w:rPr>
              <w:t>[SD 5.2.2]</w:t>
            </w:r>
          </w:p>
          <w:p w:rsidR="00C910BC" w:rsidRPr="00892DE3" w:rsidRDefault="00C910BC" w:rsidP="00825A98">
            <w:pPr>
              <w:rPr>
                <w:b/>
              </w:rPr>
            </w:pPr>
            <w:r w:rsidRPr="00892DE3">
              <w:rPr>
                <w:b/>
              </w:rPr>
              <w:t>Abolished agencies and declaration in financial statements required by SD 5.2.2</w:t>
            </w:r>
          </w:p>
          <w:p w:rsidR="00C910BC" w:rsidRPr="00892DE3" w:rsidRDefault="00C910BC" w:rsidP="00825A98">
            <w:pPr>
              <w:keepLines w:val="0"/>
            </w:pPr>
            <w:r w:rsidRPr="00892DE3">
              <w:t>In circumstances where an entity has been or is expected to be abolished, the entity is strongly encouraged to engage with the Department of Treasury and Finance (DTF) as early as practicable to determine the arrangements for reporting, including who will sign the declaration in financial statements as required by SD 5.2.2.</w:t>
            </w:r>
          </w:p>
          <w:p w:rsidR="00C910BC" w:rsidRPr="00892DE3" w:rsidRDefault="00C910BC" w:rsidP="00825A98">
            <w:r w:rsidRPr="00892DE3">
              <w:t>DTF expects that transitional arrangements (for instance, by way of legislation or legislative instrument) to make provisions for the authorisation of the final set of financial statements. In the absence of any such provisions, the agency taking on the bulk of the abolished agencies’ ongoing operations should take on the responsibility for meeting the requirements of SD 5.2.2.</w:t>
            </w:r>
          </w:p>
        </w:tc>
      </w:tr>
    </w:tbl>
    <w:p w:rsidR="00C910BC" w:rsidRPr="00892DE3" w:rsidRDefault="00C910BC" w:rsidP="00C910BC"/>
    <w:tbl>
      <w:tblPr>
        <w:tblStyle w:val="ModelReportGuidanceTable"/>
        <w:tblW w:w="9854" w:type="dxa"/>
        <w:tblLayout w:type="fixed"/>
        <w:tblLook w:val="04A0" w:firstRow="1" w:lastRow="0" w:firstColumn="1" w:lastColumn="0" w:noHBand="0" w:noVBand="1"/>
      </w:tblPr>
      <w:tblGrid>
        <w:gridCol w:w="9854"/>
      </w:tblGrid>
      <w:tr w:rsidR="00C910BC" w:rsidRPr="00892DE3" w:rsidTr="00825A98">
        <w:trPr>
          <w:cnfStyle w:val="100000000000" w:firstRow="1" w:lastRow="0" w:firstColumn="0" w:lastColumn="0" w:oddVBand="0" w:evenVBand="0" w:oddHBand="0" w:evenHBand="0" w:firstRowFirstColumn="0" w:firstRowLastColumn="0" w:lastRowFirstColumn="0" w:lastRowLastColumn="0"/>
        </w:trPr>
        <w:tc>
          <w:tcPr>
            <w:tcW w:w="9854" w:type="dxa"/>
          </w:tcPr>
          <w:p w:rsidR="00C910BC" w:rsidRPr="00892DE3" w:rsidRDefault="00C910BC" w:rsidP="00825A98">
            <w:r w:rsidRPr="00892DE3">
              <w:lastRenderedPageBreak/>
              <w:t xml:space="preserve">Guidance: Declaration in financial statements </w:t>
            </w:r>
            <w:r w:rsidRPr="0041634C">
              <w:rPr>
                <w:i/>
              </w:rPr>
              <w:t>(continued)</w:t>
            </w:r>
          </w:p>
        </w:tc>
      </w:tr>
      <w:tr w:rsidR="00C910BC" w:rsidRPr="00892DE3" w:rsidTr="00825A98">
        <w:tc>
          <w:tcPr>
            <w:tcW w:w="9854" w:type="dxa"/>
          </w:tcPr>
          <w:p w:rsidR="00C910BC" w:rsidRPr="00892DE3" w:rsidRDefault="00C910BC" w:rsidP="00825A98">
            <w:r w:rsidRPr="00892DE3">
              <w:t xml:space="preserve">If, for any reason, no such agency exists and no provision has been made regarding the final set of financial statements, the entity to be wound up should seek independent legal advice and liaise with DTF to agree to appropriate arrangements on a case by case basis. </w:t>
            </w:r>
          </w:p>
          <w:p w:rsidR="00C910BC" w:rsidRPr="00892DE3" w:rsidRDefault="00C910BC" w:rsidP="00825A98">
            <w:r w:rsidRPr="00892DE3">
              <w:t>In the absence of an existing CFO in the abolished entity, it is recommended that any one signing a declaration in the place of a CFO is required to have the experience and qualifications of CFOs as suggested above.</w:t>
            </w:r>
          </w:p>
          <w:p w:rsidR="00C910BC" w:rsidRPr="00892DE3" w:rsidRDefault="00C910BC" w:rsidP="00825A98">
            <w:pPr>
              <w:rPr>
                <w:b/>
              </w:rPr>
            </w:pPr>
            <w:r w:rsidRPr="00892DE3">
              <w:rPr>
                <w:b/>
              </w:rPr>
              <w:t>Declaration details</w:t>
            </w:r>
          </w:p>
          <w:p w:rsidR="00C910BC" w:rsidRPr="00892DE3" w:rsidRDefault="00C910BC" w:rsidP="00825A98">
            <w:r w:rsidRPr="00892DE3">
              <w:t>The declaration must state that in the joint opinion of the signing persons:</w:t>
            </w:r>
          </w:p>
          <w:p w:rsidR="00C910BC" w:rsidRPr="00892DE3" w:rsidRDefault="00C910BC" w:rsidP="00825A98">
            <w:pPr>
              <w:pStyle w:val="List"/>
            </w:pPr>
            <w:r w:rsidRPr="00892DE3">
              <w:t>(a)</w:t>
            </w:r>
            <w:r w:rsidRPr="00892DE3">
              <w:tab/>
              <w:t xml:space="preserve">the financial statements present fairly the financial position, financial performance and cash flows of an entity; </w:t>
            </w:r>
            <w:r w:rsidRPr="00892DE3">
              <w:rPr>
                <w:rStyle w:val="SourceReference"/>
              </w:rPr>
              <w:t>[AASB101.15]</w:t>
            </w:r>
            <w:r w:rsidRPr="00892DE3">
              <w:t xml:space="preserve"> and</w:t>
            </w:r>
          </w:p>
          <w:p w:rsidR="00C910BC" w:rsidRPr="00892DE3" w:rsidRDefault="00C910BC" w:rsidP="00825A98">
            <w:pPr>
              <w:pStyle w:val="List"/>
            </w:pPr>
            <w:r w:rsidRPr="00892DE3">
              <w:t>(b)</w:t>
            </w:r>
            <w:r w:rsidRPr="00892DE3">
              <w:tab/>
              <w:t xml:space="preserve">the date when the financial statements were authorised for issue and who gave that authorisation. If the entity’s owners or others have the power to amend the financial statements after issue, the entity shall disclose that fact. </w:t>
            </w:r>
            <w:r w:rsidRPr="00892DE3">
              <w:rPr>
                <w:rStyle w:val="SourceReference"/>
              </w:rPr>
              <w:t>[AASB101.17]</w:t>
            </w:r>
          </w:p>
        </w:tc>
      </w:tr>
    </w:tbl>
    <w:p w:rsidR="00C910BC" w:rsidRPr="00892DE3" w:rsidRDefault="00C910BC" w:rsidP="00C910BC">
      <w:pPr>
        <w:sectPr w:rsidR="00C910BC" w:rsidRPr="00892DE3" w:rsidSect="009C1D64">
          <w:headerReference w:type="first" r:id="rId77"/>
          <w:footerReference w:type="first" r:id="rId78"/>
          <w:pgSz w:w="11906" w:h="16838" w:code="9"/>
          <w:pgMar w:top="1134" w:right="1134" w:bottom="1134" w:left="1134" w:header="624" w:footer="567" w:gutter="0"/>
          <w:cols w:sep="1" w:space="567"/>
          <w:titlePg/>
          <w:docGrid w:linePitch="360"/>
        </w:sectPr>
      </w:pPr>
    </w:p>
    <w:p w:rsidR="00C2591E" w:rsidRPr="00892DE3" w:rsidRDefault="0098184B" w:rsidP="0098184B">
      <w:pPr>
        <w:jc w:val="center"/>
      </w:pPr>
      <w:r w:rsidRPr="00892DE3">
        <w:rPr>
          <w:noProof/>
          <w:lang w:eastAsia="en-AU"/>
        </w:rPr>
        <w:lastRenderedPageBreak/>
        <w:drawing>
          <wp:inline distT="0" distB="0" distL="0" distR="0" wp14:anchorId="54F1ECD8" wp14:editId="6017ED90">
            <wp:extent cx="6363930" cy="7920000"/>
            <wp:effectExtent l="0" t="0" r="0" b="5080"/>
            <wp:docPr id="240" name="Picture 240" descr="T:\Accounting Policy_BFM\STATE BUDGET (WoVG)\ACCOUNTING (WoVG)\MODEL DEPARTMENTAL REPORTS\2017\2015-16 MODEL REPORT DOCUMENTS\2016-17 Model Report files - updated templates\Opinion - Department of Technology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ccounting Policy_BFM\STATE BUDGET (WoVG)\ACCOUNTING (WoVG)\MODEL DEPARTMENTAL REPORTS\2017\2015-16 MODEL REPORT DOCUMENTS\2016-17 Model Report files - updated templates\Opinion - Department of Technology_Page_1.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511" t="3031" r="3511" b="15224"/>
                    <a:stretch/>
                  </pic:blipFill>
                  <pic:spPr bwMode="auto">
                    <a:xfrm>
                      <a:off x="0" y="0"/>
                      <a:ext cx="6363930" cy="7920000"/>
                    </a:xfrm>
                    <a:prstGeom prst="rect">
                      <a:avLst/>
                    </a:prstGeom>
                    <a:noFill/>
                    <a:ln>
                      <a:noFill/>
                    </a:ln>
                    <a:extLst>
                      <a:ext uri="{53640926-AAD7-44D8-BBD7-CCE9431645EC}">
                        <a14:shadowObscured xmlns:a14="http://schemas.microsoft.com/office/drawing/2010/main"/>
                      </a:ext>
                    </a:extLst>
                  </pic:spPr>
                </pic:pic>
              </a:graphicData>
            </a:graphic>
          </wp:inline>
        </w:drawing>
      </w:r>
    </w:p>
    <w:p w:rsidR="0098184B" w:rsidRPr="00892DE3" w:rsidRDefault="0098184B" w:rsidP="0098184B">
      <w:pPr>
        <w:jc w:val="center"/>
      </w:pPr>
      <w:r w:rsidRPr="00892DE3">
        <w:rPr>
          <w:noProof/>
          <w:lang w:eastAsia="en-AU"/>
        </w:rPr>
        <w:lastRenderedPageBreak/>
        <w:drawing>
          <wp:inline distT="0" distB="0" distL="0" distR="0" wp14:anchorId="11019803" wp14:editId="053177BF">
            <wp:extent cx="5904000" cy="7555364"/>
            <wp:effectExtent l="0" t="0" r="1905" b="7620"/>
            <wp:docPr id="241" name="Picture 241" descr="T:\Accounting Policy_BFM\STATE BUDGET (WoVG)\ACCOUNTING (WoVG)\MODEL DEPARTMENTAL REPORTS\2017\2015-16 MODEL REPORT DOCUMENTS\2016-17 Model Report files - updated templates\Opinion - Department of Technology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ccounting Policy_BFM\STATE BUDGET (WoVG)\ACCOUNTING (WoVG)\MODEL DEPARTMENTAL REPORTS\2017\2015-16 MODEL REPORT DOCUMENTS\2016-17 Model Report files - updated templates\Opinion - Department of Technology_Page_2.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072" t="2942" r="5072" b="15716"/>
                    <a:stretch/>
                  </pic:blipFill>
                  <pic:spPr bwMode="auto">
                    <a:xfrm>
                      <a:off x="0" y="0"/>
                      <a:ext cx="5904000" cy="7555364"/>
                    </a:xfrm>
                    <a:prstGeom prst="rect">
                      <a:avLst/>
                    </a:prstGeom>
                    <a:noFill/>
                    <a:ln>
                      <a:noFill/>
                    </a:ln>
                    <a:extLst>
                      <a:ext uri="{53640926-AAD7-44D8-BBD7-CCE9431645EC}">
                        <a14:shadowObscured xmlns:a14="http://schemas.microsoft.com/office/drawing/2010/main"/>
                      </a:ext>
                    </a:extLst>
                  </pic:spPr>
                </pic:pic>
              </a:graphicData>
            </a:graphic>
          </wp:inline>
        </w:drawing>
      </w:r>
    </w:p>
    <w:p w:rsidR="00C2591E" w:rsidRPr="00892DE3" w:rsidRDefault="00C2591E" w:rsidP="00C2591E"/>
    <w:tbl>
      <w:tblPr>
        <w:tblStyle w:val="ModelReportGuidanceTable"/>
        <w:tblW w:w="9854" w:type="dxa"/>
        <w:tblLayout w:type="fixed"/>
        <w:tblLook w:val="04A0" w:firstRow="1" w:lastRow="0" w:firstColumn="1" w:lastColumn="0" w:noHBand="0" w:noVBand="1"/>
      </w:tblPr>
      <w:tblGrid>
        <w:gridCol w:w="9854"/>
      </w:tblGrid>
      <w:tr w:rsidR="00C2591E" w:rsidRPr="00892DE3" w:rsidTr="00242B07">
        <w:trPr>
          <w:cnfStyle w:val="100000000000" w:firstRow="1" w:lastRow="0" w:firstColumn="0" w:lastColumn="0" w:oddVBand="0" w:evenVBand="0" w:oddHBand="0" w:evenHBand="0" w:firstRowFirstColumn="0" w:firstRowLastColumn="0" w:lastRowFirstColumn="0" w:lastRowLastColumn="0"/>
        </w:trPr>
        <w:tc>
          <w:tcPr>
            <w:tcW w:w="9854" w:type="dxa"/>
          </w:tcPr>
          <w:p w:rsidR="00C2591E" w:rsidRPr="00892DE3" w:rsidRDefault="00C2591E" w:rsidP="00242B07">
            <w:r w:rsidRPr="00892DE3">
              <w:t>Guidance: Understanding the new independent auditor’s report [New]</w:t>
            </w:r>
          </w:p>
        </w:tc>
      </w:tr>
      <w:tr w:rsidR="00C2591E" w:rsidRPr="00892DE3" w:rsidTr="00242B07">
        <w:tc>
          <w:tcPr>
            <w:tcW w:w="9854" w:type="dxa"/>
          </w:tcPr>
          <w:p w:rsidR="00C2591E" w:rsidRPr="00892DE3" w:rsidRDefault="00C2591E" w:rsidP="00C2591E">
            <w:pPr>
              <w:pStyle w:val="Heading30"/>
              <w:outlineLvl w:val="2"/>
            </w:pPr>
            <w:r w:rsidRPr="00892DE3">
              <w:t>Changes to auditor’s reports</w:t>
            </w:r>
          </w:p>
          <w:p w:rsidR="00C2591E" w:rsidRPr="00892DE3" w:rsidRDefault="00C2591E" w:rsidP="00C2591E">
            <w:r w:rsidRPr="00892DE3">
              <w:t xml:space="preserve">Victorian Auditor-General’s Office (VAGO) has advised that there will be changes to the layout and content of auditor’s reports for the 2016-17 reporting periods going forward. The changes reflect an update to the relevant Australian Auditing Standards. </w:t>
            </w:r>
          </w:p>
          <w:p w:rsidR="00C2591E" w:rsidRPr="00892DE3" w:rsidRDefault="00C2591E" w:rsidP="009C27B9">
            <w:r w:rsidRPr="00892DE3">
              <w:t xml:space="preserve">For more information, please refer to </w:t>
            </w:r>
            <w:r w:rsidR="005F5D50" w:rsidRPr="00892DE3">
              <w:t>A</w:t>
            </w:r>
            <w:r w:rsidRPr="00892DE3">
              <w:t xml:space="preserve">ppendix </w:t>
            </w:r>
            <w:r w:rsidR="009C27B9" w:rsidRPr="00892DE3">
              <w:t>3</w:t>
            </w:r>
            <w:r w:rsidRPr="00892DE3">
              <w:t xml:space="preserve"> </w:t>
            </w:r>
            <w:r w:rsidRPr="00892DE3">
              <w:rPr>
                <w:i/>
              </w:rPr>
              <w:t>Understanding the new independent auditor’s report</w:t>
            </w:r>
            <w:r w:rsidRPr="00892DE3">
              <w:t xml:space="preserve">. </w:t>
            </w:r>
          </w:p>
        </w:tc>
      </w:tr>
    </w:tbl>
    <w:p w:rsidR="004A1BC8" w:rsidRPr="00892DE3" w:rsidRDefault="004A1BC8" w:rsidP="00C2591E"/>
    <w:p w:rsidR="004A1BC8" w:rsidRPr="00892DE3" w:rsidRDefault="004A1BC8" w:rsidP="00C2591E">
      <w:pPr>
        <w:sectPr w:rsidR="004A1BC8" w:rsidRPr="00892DE3" w:rsidSect="009C1D64">
          <w:footerReference w:type="first" r:id="rId81"/>
          <w:pgSz w:w="11906" w:h="16838" w:code="9"/>
          <w:pgMar w:top="1134" w:right="1134" w:bottom="1134" w:left="1134" w:header="624" w:footer="567" w:gutter="0"/>
          <w:cols w:sep="1" w:space="567"/>
          <w:titlePg/>
          <w:docGrid w:linePitch="360"/>
        </w:sectPr>
      </w:pPr>
    </w:p>
    <w:p w:rsidR="00956B13" w:rsidRPr="00892DE3" w:rsidRDefault="00956B13" w:rsidP="00AD1758">
      <w:pPr>
        <w:pStyle w:val="Heading2nonTOC"/>
      </w:pPr>
      <w:bookmarkStart w:id="75" w:name="OperatingStatement"/>
      <w:r w:rsidRPr="00892DE3">
        <w:lastRenderedPageBreak/>
        <w:t>Comprehensive operating statement</w:t>
      </w:r>
      <w:bookmarkEnd w:id="75"/>
    </w:p>
    <w:p w:rsidR="00956B13" w:rsidRPr="00892DE3" w:rsidRDefault="00956B13" w:rsidP="00956B13">
      <w:pPr>
        <w:pStyle w:val="TableHeading"/>
      </w:pPr>
      <w:r w:rsidRPr="00892DE3">
        <w:t>For the financial year ended 30 June 2017</w:t>
      </w:r>
      <w:r w:rsidRPr="00892DE3">
        <w:tab/>
        <w:t>($ thousand)</w:t>
      </w:r>
    </w:p>
    <w:tbl>
      <w:tblPr>
        <w:tblStyle w:val="ModelReportFinancialTable"/>
        <w:tblW w:w="0" w:type="auto"/>
        <w:tblLayout w:type="fixed"/>
        <w:tblLook w:val="06A0" w:firstRow="1" w:lastRow="0" w:firstColumn="1" w:lastColumn="0" w:noHBand="1" w:noVBand="1"/>
      </w:tblPr>
      <w:tblGrid>
        <w:gridCol w:w="1510"/>
        <w:gridCol w:w="5512"/>
        <w:gridCol w:w="904"/>
        <w:gridCol w:w="899"/>
        <w:gridCol w:w="899"/>
      </w:tblGrid>
      <w:tr w:rsidR="000C5369" w:rsidRPr="00892DE3" w:rsidTr="000C53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Source reference</w:t>
            </w:r>
          </w:p>
        </w:tc>
        <w:tc>
          <w:tcPr>
            <w:tcW w:w="5512" w:type="dxa"/>
          </w:tcPr>
          <w:p w:rsidR="000C5369" w:rsidRPr="00892DE3" w:rsidRDefault="000C5369" w:rsidP="000C5369">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904" w:type="dxa"/>
          </w:tcPr>
          <w:p w:rsidR="000C5369" w:rsidRPr="00892DE3" w:rsidRDefault="000C5369" w:rsidP="000C5369">
            <w:pPr>
              <w:ind w:left="170" w:hanging="17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99" w:type="dxa"/>
          </w:tcPr>
          <w:p w:rsidR="000C5369" w:rsidRPr="00892DE3" w:rsidRDefault="000C5369" w:rsidP="000C5369">
            <w:pPr>
              <w:ind w:left="170" w:hanging="170"/>
              <w:cnfStyle w:val="100000000000" w:firstRow="1" w:lastRow="0" w:firstColumn="0" w:lastColumn="0" w:oddVBand="0" w:evenVBand="0" w:oddHBand="0" w:evenHBand="0" w:firstRowFirstColumn="0" w:firstRowLastColumn="0" w:lastRowFirstColumn="0" w:lastRowLastColumn="0"/>
            </w:pPr>
            <w:r w:rsidRPr="00892DE3">
              <w:t>2017</w:t>
            </w:r>
          </w:p>
        </w:tc>
        <w:tc>
          <w:tcPr>
            <w:tcW w:w="899" w:type="dxa"/>
          </w:tcPr>
          <w:p w:rsidR="000C5369" w:rsidRPr="00892DE3" w:rsidRDefault="000C5369" w:rsidP="000C5369">
            <w:pPr>
              <w:ind w:left="170" w:hanging="170"/>
              <w:cnfStyle w:val="100000000000" w:firstRow="1" w:lastRow="0" w:firstColumn="0" w:lastColumn="0" w:oddVBand="0" w:evenVBand="0" w:oddHBand="0" w:evenHBand="0" w:firstRowFirstColumn="0" w:firstRowLastColumn="0" w:lastRowFirstColumn="0" w:lastRowLastColumn="0"/>
            </w:pPr>
            <w:r w:rsidRPr="00892DE3">
              <w:t>2016</w:t>
            </w:r>
          </w:p>
        </w:tc>
      </w:tr>
      <w:tr w:rsidR="000C5369" w:rsidRPr="00892DE3" w:rsidTr="000C5369">
        <w:trPr>
          <w:trHeight w:val="113"/>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Continuing operations</w:t>
            </w:r>
          </w:p>
        </w:tc>
        <w:tc>
          <w:tcPr>
            <w:tcW w:w="904" w:type="dxa"/>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p>
        </w:tc>
      </w:tr>
      <w:tr w:rsidR="000C5369" w:rsidRPr="00892DE3" w:rsidTr="000C5369">
        <w:trPr>
          <w:trHeight w:val="57"/>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101.82(a)</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Income from transactions</w:t>
            </w:r>
          </w:p>
        </w:tc>
        <w:tc>
          <w:tcPr>
            <w:tcW w:w="904" w:type="dxa"/>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1004.63(a)</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Output appropriations</w:t>
            </w:r>
          </w:p>
        </w:tc>
        <w:tc>
          <w:tcPr>
            <w:tcW w:w="904" w:type="dxa"/>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85 535</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63 682</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1004.63(a)</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Special appropriations</w:t>
            </w:r>
          </w:p>
        </w:tc>
        <w:tc>
          <w:tcPr>
            <w:tcW w:w="904" w:type="dxa"/>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8 128</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11 396</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118.35(b)(iii)</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2.4.1</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3 864</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2 897</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118.35(b)(i)</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 of goods and services</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2.4.2</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1 839</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1 346</w:t>
            </w:r>
          </w:p>
        </w:tc>
      </w:tr>
      <w:tr w:rsidR="000C5369" w:rsidRPr="00892DE3" w:rsidTr="000C5369">
        <w:trPr>
          <w:trHeight w:val="260"/>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Grants</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2.4.3</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306</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140</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1004.62</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Fair value of assets and services received free of charge or for nominal consideration</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2.4.4</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1 589</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1 708</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101.85</w:t>
            </w:r>
          </w:p>
        </w:tc>
        <w:tc>
          <w:tcPr>
            <w:tcW w:w="5512" w:type="dxa"/>
            <w:tcBorders>
              <w:bottom w:val="single" w:sz="4"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income</w:t>
            </w:r>
          </w:p>
        </w:tc>
        <w:tc>
          <w:tcPr>
            <w:tcW w:w="904" w:type="dxa"/>
            <w:tcBorders>
              <w:bottom w:val="single" w:sz="4" w:space="0" w:color="auto"/>
            </w:tcBorders>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2.4.5</w:t>
            </w:r>
          </w:p>
        </w:tc>
        <w:tc>
          <w:tcPr>
            <w:tcW w:w="899" w:type="dxa"/>
            <w:tcBorders>
              <w:bottom w:val="single" w:sz="4"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6 213</w:t>
            </w:r>
          </w:p>
        </w:tc>
        <w:tc>
          <w:tcPr>
            <w:tcW w:w="899" w:type="dxa"/>
            <w:tcBorders>
              <w:bottom w:val="single" w:sz="4"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5 091</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p>
        </w:tc>
        <w:tc>
          <w:tcPr>
            <w:tcW w:w="5512" w:type="dxa"/>
            <w:tcBorders>
              <w:top w:val="single" w:sz="4" w:space="0" w:color="auto"/>
              <w:bottom w:val="nil"/>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income from transactions</w:t>
            </w:r>
          </w:p>
        </w:tc>
        <w:tc>
          <w:tcPr>
            <w:tcW w:w="904" w:type="dxa"/>
            <w:tcBorders>
              <w:top w:val="single" w:sz="4" w:space="0" w:color="auto"/>
              <w:bottom w:val="nil"/>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4" w:space="0" w:color="auto"/>
              <w:bottom w:val="nil"/>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107 474</w:t>
            </w:r>
          </w:p>
        </w:tc>
        <w:tc>
          <w:tcPr>
            <w:tcW w:w="899" w:type="dxa"/>
            <w:tcBorders>
              <w:top w:val="single" w:sz="4" w:space="0" w:color="auto"/>
              <w:bottom w:val="nil"/>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86 260</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p>
        </w:tc>
        <w:tc>
          <w:tcPr>
            <w:tcW w:w="5512" w:type="dxa"/>
            <w:tcBorders>
              <w:top w:val="nil"/>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Expenses from transactions</w:t>
            </w:r>
          </w:p>
        </w:tc>
        <w:tc>
          <w:tcPr>
            <w:tcW w:w="904" w:type="dxa"/>
            <w:tcBorders>
              <w:top w:val="nil"/>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tcBorders>
              <w:top w:val="nil"/>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99" w:type="dxa"/>
            <w:tcBorders>
              <w:top w:val="nil"/>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101.99</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Employee expenses</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3.1.1</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(13 767)</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(10 970)</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101.85</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Depreciation </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5.1.1</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(15 099)</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(12 157)</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101.85</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expense</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7.1</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(2 366)</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(2 336)</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101.82(b)</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Grant expenses </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3.2</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(32 883)</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(43 040)</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101.85</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Capital asset charge</w:t>
            </w:r>
          </w:p>
        </w:tc>
        <w:tc>
          <w:tcPr>
            <w:tcW w:w="904" w:type="dxa"/>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(1 309)</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( 720)</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101.82(b)</w:t>
            </w:r>
          </w:p>
        </w:tc>
        <w:tc>
          <w:tcPr>
            <w:tcW w:w="5512" w:type="dxa"/>
            <w:tcBorders>
              <w:bottom w:val="single" w:sz="4"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Other operating expenses </w:t>
            </w:r>
          </w:p>
        </w:tc>
        <w:tc>
          <w:tcPr>
            <w:tcW w:w="904" w:type="dxa"/>
            <w:tcBorders>
              <w:bottom w:val="single" w:sz="4" w:space="0" w:color="auto"/>
            </w:tcBorders>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3.4</w:t>
            </w:r>
          </w:p>
        </w:tc>
        <w:tc>
          <w:tcPr>
            <w:tcW w:w="899" w:type="dxa"/>
            <w:tcBorders>
              <w:bottom w:val="single" w:sz="4"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(15 828)</w:t>
            </w:r>
          </w:p>
        </w:tc>
        <w:tc>
          <w:tcPr>
            <w:tcW w:w="899" w:type="dxa"/>
            <w:tcBorders>
              <w:bottom w:val="single" w:sz="4"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(8 197)</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101.85</w:t>
            </w:r>
          </w:p>
        </w:tc>
        <w:tc>
          <w:tcPr>
            <w:tcW w:w="5512" w:type="dxa"/>
            <w:tcBorders>
              <w:top w:val="single" w:sz="4" w:space="0" w:color="auto"/>
              <w:bottom w:val="single" w:sz="4"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expenses from transactions</w:t>
            </w:r>
          </w:p>
        </w:tc>
        <w:tc>
          <w:tcPr>
            <w:tcW w:w="904" w:type="dxa"/>
            <w:tcBorders>
              <w:top w:val="single" w:sz="4" w:space="0" w:color="auto"/>
              <w:bottom w:val="single" w:sz="4" w:space="0" w:color="auto"/>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4" w:space="0" w:color="auto"/>
              <w:bottom w:val="single" w:sz="4"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(81 252)</w:t>
            </w:r>
          </w:p>
        </w:tc>
        <w:tc>
          <w:tcPr>
            <w:tcW w:w="899" w:type="dxa"/>
            <w:tcBorders>
              <w:top w:val="single" w:sz="4" w:space="0" w:color="auto"/>
              <w:bottom w:val="single" w:sz="4"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(77 421)</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p>
        </w:tc>
        <w:tc>
          <w:tcPr>
            <w:tcW w:w="5512" w:type="dxa"/>
            <w:tcBorders>
              <w:top w:val="single" w:sz="4" w:space="0" w:color="auto"/>
              <w:bottom w:val="single" w:sz="12"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transactions (net operating balance)</w:t>
            </w:r>
          </w:p>
        </w:tc>
        <w:tc>
          <w:tcPr>
            <w:tcW w:w="904" w:type="dxa"/>
            <w:tcBorders>
              <w:top w:val="single" w:sz="4" w:space="0" w:color="auto"/>
              <w:bottom w:val="single" w:sz="12" w:space="0" w:color="auto"/>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4" w:space="0" w:color="auto"/>
              <w:bottom w:val="single" w:sz="12"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26 223</w:t>
            </w:r>
          </w:p>
        </w:tc>
        <w:tc>
          <w:tcPr>
            <w:tcW w:w="899" w:type="dxa"/>
            <w:tcBorders>
              <w:top w:val="single" w:sz="4" w:space="0" w:color="auto"/>
              <w:bottom w:val="single" w:sz="12"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8 839</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1049.32</w:t>
            </w:r>
          </w:p>
        </w:tc>
        <w:tc>
          <w:tcPr>
            <w:tcW w:w="5512" w:type="dxa"/>
            <w:tcBorders>
              <w:top w:val="single" w:sz="12"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Other economic flows included in net result</w:t>
            </w:r>
          </w:p>
        </w:tc>
        <w:tc>
          <w:tcPr>
            <w:tcW w:w="904" w:type="dxa"/>
            <w:tcBorders>
              <w:top w:val="single" w:sz="12" w:space="0" w:color="auto"/>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12"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9" w:type="dxa"/>
            <w:tcBorders>
              <w:top w:val="single" w:sz="12"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101.85</w:t>
            </w:r>
            <w:r w:rsidRPr="00892DE3">
              <w:rPr>
                <w:rStyle w:val="SourceReference"/>
              </w:rPr>
              <w:noBreakHyphen/>
              <w:t>86</w:t>
            </w:r>
          </w:p>
        </w:tc>
        <w:tc>
          <w:tcPr>
            <w:tcW w:w="5512" w:type="dxa"/>
          </w:tcPr>
          <w:p w:rsidR="000C5369" w:rsidRPr="00892DE3" w:rsidRDefault="000C5369" w:rsidP="009D1EA3">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non</w:t>
            </w:r>
            <w:r w:rsidRPr="00892DE3">
              <w:noBreakHyphen/>
              <w:t xml:space="preserve">financial assets </w:t>
            </w:r>
            <w:r w:rsidRPr="00892DE3">
              <w:rPr>
                <w:vertAlign w:val="superscript"/>
              </w:rPr>
              <w:t>(</w:t>
            </w:r>
            <w:r w:rsidR="009D1EA3" w:rsidRPr="00892DE3">
              <w:rPr>
                <w:vertAlign w:val="superscript"/>
              </w:rPr>
              <w:t>a</w:t>
            </w:r>
            <w:r w:rsidRPr="00892DE3">
              <w:rPr>
                <w:vertAlign w:val="superscript"/>
              </w:rPr>
              <w:t>)</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9.2</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(5 161)</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1 805</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101.98(c)</w:t>
            </w:r>
          </w:p>
        </w:tc>
        <w:tc>
          <w:tcPr>
            <w:tcW w:w="5512" w:type="dxa"/>
          </w:tcPr>
          <w:p w:rsidR="000C5369" w:rsidRPr="00892DE3" w:rsidRDefault="000C5369" w:rsidP="009D1EA3">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Net gain/(loss) on financial instruments </w:t>
            </w:r>
            <w:r w:rsidRPr="00892DE3">
              <w:rPr>
                <w:vertAlign w:val="superscript"/>
              </w:rPr>
              <w:t>(</w:t>
            </w:r>
            <w:r w:rsidR="009D1EA3" w:rsidRPr="00892DE3">
              <w:rPr>
                <w:vertAlign w:val="superscript"/>
              </w:rPr>
              <w:t>b</w:t>
            </w:r>
            <w:r w:rsidRPr="00892DE3">
              <w:rPr>
                <w:vertAlign w:val="superscript"/>
              </w:rPr>
              <w:t>)</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9.2</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(5 891)</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(3 971)</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101.82(c)</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profits/(losses) of associates and joint entities, excluding dividends</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9.2</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1 286</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1 397</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p>
        </w:tc>
        <w:tc>
          <w:tcPr>
            <w:tcW w:w="5512" w:type="dxa"/>
            <w:tcBorders>
              <w:bottom w:val="single" w:sz="6"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gains/(losses) from other economic flows</w:t>
            </w:r>
          </w:p>
        </w:tc>
        <w:tc>
          <w:tcPr>
            <w:tcW w:w="904" w:type="dxa"/>
            <w:tcBorders>
              <w:bottom w:val="single" w:sz="6" w:space="0" w:color="auto"/>
            </w:tcBorders>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9.2</w:t>
            </w:r>
          </w:p>
        </w:tc>
        <w:tc>
          <w:tcPr>
            <w:tcW w:w="899" w:type="dxa"/>
            <w:tcBorders>
              <w:bottom w:val="single" w:sz="6"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(2 895)</w:t>
            </w:r>
          </w:p>
        </w:tc>
        <w:tc>
          <w:tcPr>
            <w:tcW w:w="899" w:type="dxa"/>
            <w:tcBorders>
              <w:bottom w:val="single" w:sz="6"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(2 047)</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p>
        </w:tc>
        <w:tc>
          <w:tcPr>
            <w:tcW w:w="5512" w:type="dxa"/>
            <w:tcBorders>
              <w:top w:val="single" w:sz="6" w:space="0" w:color="auto"/>
              <w:bottom w:val="single" w:sz="6"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economic flows included in net result</w:t>
            </w:r>
          </w:p>
        </w:tc>
        <w:tc>
          <w:tcPr>
            <w:tcW w:w="904" w:type="dxa"/>
            <w:tcBorders>
              <w:top w:val="single" w:sz="6" w:space="0" w:color="auto"/>
              <w:bottom w:val="single" w:sz="6" w:space="0" w:color="auto"/>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6" w:space="0" w:color="auto"/>
              <w:bottom w:val="single" w:sz="6"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(12 661)</w:t>
            </w:r>
          </w:p>
        </w:tc>
        <w:tc>
          <w:tcPr>
            <w:tcW w:w="899" w:type="dxa"/>
            <w:tcBorders>
              <w:top w:val="single" w:sz="6" w:space="0" w:color="auto"/>
              <w:bottom w:val="single" w:sz="6"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(2 816)</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101.85</w:t>
            </w:r>
          </w:p>
        </w:tc>
        <w:tc>
          <w:tcPr>
            <w:tcW w:w="5512" w:type="dxa"/>
            <w:tcBorders>
              <w:top w:val="single" w:sz="6"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continuing operations</w:t>
            </w:r>
          </w:p>
        </w:tc>
        <w:tc>
          <w:tcPr>
            <w:tcW w:w="904" w:type="dxa"/>
            <w:tcBorders>
              <w:top w:val="single" w:sz="6" w:space="0" w:color="auto"/>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6"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13 562</w:t>
            </w:r>
          </w:p>
        </w:tc>
        <w:tc>
          <w:tcPr>
            <w:tcW w:w="899" w:type="dxa"/>
            <w:tcBorders>
              <w:top w:val="single" w:sz="6"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6 023</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9C27B9" w:rsidP="000C5369">
            <w:pPr>
              <w:ind w:left="170" w:hanging="170"/>
              <w:rPr>
                <w:rStyle w:val="SourceReference"/>
              </w:rPr>
            </w:pPr>
            <w:r w:rsidRPr="00892DE3">
              <w:rPr>
                <w:rStyle w:val="SourceReference"/>
              </w:rPr>
              <w:t>AASB 5.33(a)</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discontinued operations</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9.3.3</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1 229</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3 856</w:t>
            </w:r>
          </w:p>
        </w:tc>
      </w:tr>
      <w:tr w:rsidR="000C5369" w:rsidRPr="00892DE3" w:rsidTr="006C45F6">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p>
        </w:tc>
        <w:tc>
          <w:tcPr>
            <w:tcW w:w="5512" w:type="dxa"/>
            <w:tcBorders>
              <w:bottom w:val="single" w:sz="6"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w:t>
            </w:r>
          </w:p>
        </w:tc>
        <w:tc>
          <w:tcPr>
            <w:tcW w:w="904" w:type="dxa"/>
            <w:tcBorders>
              <w:bottom w:val="single" w:sz="6" w:space="0" w:color="auto"/>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bottom w:val="single" w:sz="6"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14 790</w:t>
            </w:r>
          </w:p>
        </w:tc>
        <w:tc>
          <w:tcPr>
            <w:tcW w:w="899" w:type="dxa"/>
            <w:tcBorders>
              <w:bottom w:val="single" w:sz="6"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9 879</w:t>
            </w:r>
          </w:p>
        </w:tc>
      </w:tr>
      <w:tr w:rsidR="000C5369" w:rsidRPr="00892DE3" w:rsidTr="006C45F6">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101.85</w:t>
            </w:r>
          </w:p>
        </w:tc>
        <w:tc>
          <w:tcPr>
            <w:tcW w:w="5512" w:type="dxa"/>
            <w:tcBorders>
              <w:top w:val="single" w:sz="6"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Other economic flows – other comprehensive income</w:t>
            </w:r>
            <w:r w:rsidR="006C45F6" w:rsidRPr="00892DE3">
              <w:rPr>
                <w:b/>
              </w:rPr>
              <w:t>:</w:t>
            </w:r>
          </w:p>
        </w:tc>
        <w:tc>
          <w:tcPr>
            <w:tcW w:w="904" w:type="dxa"/>
            <w:tcBorders>
              <w:top w:val="single" w:sz="6" w:space="0" w:color="auto"/>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6"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9" w:type="dxa"/>
            <w:tcBorders>
              <w:top w:val="single" w:sz="6"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0C5369" w:rsidRPr="00892DE3" w:rsidTr="006C45F6">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Items that will not be reclassified to net result</w:t>
            </w:r>
          </w:p>
        </w:tc>
        <w:tc>
          <w:tcPr>
            <w:tcW w:w="904" w:type="dxa"/>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101.82A(a)</w:t>
            </w:r>
          </w:p>
        </w:tc>
        <w:tc>
          <w:tcPr>
            <w:tcW w:w="5512" w:type="dxa"/>
          </w:tcPr>
          <w:p w:rsidR="000C5369" w:rsidRPr="00892DE3" w:rsidRDefault="000C5369" w:rsidP="009D1EA3">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Changes in physical asset revaluation surplus </w:t>
            </w:r>
            <w:r w:rsidRPr="00892DE3">
              <w:rPr>
                <w:vertAlign w:val="superscript"/>
              </w:rPr>
              <w:t>(</w:t>
            </w:r>
            <w:r w:rsidR="009D1EA3" w:rsidRPr="00892DE3">
              <w:rPr>
                <w:vertAlign w:val="superscript"/>
              </w:rPr>
              <w:t>c</w:t>
            </w:r>
            <w:r w:rsidRPr="00892DE3">
              <w:rPr>
                <w:vertAlign w:val="superscript"/>
              </w:rPr>
              <w:t>)</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9.4</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7 403</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2 825</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101.82A(b)  AASB 128.39</w:t>
            </w: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movement in revaluation surplus of associates and joint ventures</w:t>
            </w:r>
          </w:p>
        </w:tc>
        <w:tc>
          <w:tcPr>
            <w:tcW w:w="904" w:type="dxa"/>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9.4</w:t>
            </w: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260</w:t>
            </w: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280</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p>
        </w:tc>
        <w:tc>
          <w:tcPr>
            <w:tcW w:w="5512" w:type="dxa"/>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Items that may be reclassified subsequently to net result</w:t>
            </w:r>
          </w:p>
        </w:tc>
        <w:tc>
          <w:tcPr>
            <w:tcW w:w="904" w:type="dxa"/>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99" w:type="dxa"/>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0C5369" w:rsidRPr="00892DE3" w:rsidRDefault="000C5369" w:rsidP="000C5369">
            <w:pPr>
              <w:ind w:left="170" w:hanging="170"/>
              <w:rPr>
                <w:rStyle w:val="SourceReference"/>
              </w:rPr>
            </w:pPr>
            <w:r w:rsidRPr="00892DE3">
              <w:rPr>
                <w:rStyle w:val="SourceReference"/>
              </w:rPr>
              <w:t>AASB 7.20(a)(ii)</w:t>
            </w:r>
          </w:p>
        </w:tc>
        <w:tc>
          <w:tcPr>
            <w:tcW w:w="5512" w:type="dxa"/>
            <w:tcBorders>
              <w:bottom w:val="single" w:sz="6"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pPr>
            <w:r w:rsidRPr="00892DE3">
              <w:t>Changes to financial assets available</w:t>
            </w:r>
            <w:r w:rsidRPr="00892DE3">
              <w:noBreakHyphen/>
              <w:t>for</w:t>
            </w:r>
            <w:r w:rsidRPr="00892DE3">
              <w:noBreakHyphen/>
              <w:t xml:space="preserve">sale revaluation surplus </w:t>
            </w:r>
            <w:r w:rsidR="009D1EA3" w:rsidRPr="00892DE3">
              <w:rPr>
                <w:vertAlign w:val="superscript"/>
              </w:rPr>
              <w:t>(c</w:t>
            </w:r>
            <w:r w:rsidRPr="00892DE3">
              <w:rPr>
                <w:vertAlign w:val="superscript"/>
              </w:rPr>
              <w:t>)</w:t>
            </w:r>
          </w:p>
        </w:tc>
        <w:tc>
          <w:tcPr>
            <w:tcW w:w="904" w:type="dxa"/>
            <w:tcBorders>
              <w:bottom w:val="single" w:sz="6" w:space="0" w:color="auto"/>
            </w:tcBorders>
          </w:tcPr>
          <w:p w:rsidR="000C5369" w:rsidRPr="00892DE3" w:rsidRDefault="00DB37B4" w:rsidP="000C5369">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9.4</w:t>
            </w:r>
          </w:p>
        </w:tc>
        <w:tc>
          <w:tcPr>
            <w:tcW w:w="899" w:type="dxa"/>
            <w:tcBorders>
              <w:bottom w:val="single" w:sz="6"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(1 250)</w:t>
            </w:r>
          </w:p>
        </w:tc>
        <w:tc>
          <w:tcPr>
            <w:tcW w:w="899" w:type="dxa"/>
            <w:tcBorders>
              <w:bottom w:val="single" w:sz="6"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996</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tcBorders>
              <w:bottom w:val="nil"/>
            </w:tcBorders>
            <w:shd w:val="clear" w:color="auto" w:fill="auto"/>
          </w:tcPr>
          <w:p w:rsidR="000C5369" w:rsidRPr="00892DE3" w:rsidRDefault="000C5369" w:rsidP="000C5369">
            <w:pPr>
              <w:ind w:left="170" w:hanging="170"/>
              <w:rPr>
                <w:rStyle w:val="SourceReference"/>
              </w:rPr>
            </w:pPr>
          </w:p>
        </w:tc>
        <w:tc>
          <w:tcPr>
            <w:tcW w:w="5512" w:type="dxa"/>
            <w:tcBorders>
              <w:top w:val="single" w:sz="6" w:space="0" w:color="auto"/>
              <w:bottom w:val="single" w:sz="6"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economic flows – other comprehensive income</w:t>
            </w:r>
          </w:p>
        </w:tc>
        <w:tc>
          <w:tcPr>
            <w:tcW w:w="904" w:type="dxa"/>
            <w:tcBorders>
              <w:top w:val="single" w:sz="6" w:space="0" w:color="auto"/>
              <w:bottom w:val="single" w:sz="6" w:space="0" w:color="auto"/>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6" w:space="0" w:color="auto"/>
              <w:bottom w:val="single" w:sz="6"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6 413</w:t>
            </w:r>
          </w:p>
        </w:tc>
        <w:tc>
          <w:tcPr>
            <w:tcW w:w="899" w:type="dxa"/>
            <w:tcBorders>
              <w:top w:val="single" w:sz="6" w:space="0" w:color="auto"/>
              <w:bottom w:val="single" w:sz="6"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4 101</w:t>
            </w:r>
          </w:p>
        </w:tc>
      </w:tr>
      <w:tr w:rsidR="000C5369" w:rsidRPr="00892DE3" w:rsidTr="000C5369">
        <w:tc>
          <w:tcPr>
            <w:cnfStyle w:val="001000000000" w:firstRow="0" w:lastRow="0" w:firstColumn="1" w:lastColumn="0" w:oddVBand="0" w:evenVBand="0" w:oddHBand="0" w:evenHBand="0" w:firstRowFirstColumn="0" w:firstRowLastColumn="0" w:lastRowFirstColumn="0" w:lastRowLastColumn="0"/>
            <w:tcW w:w="1510" w:type="dxa"/>
            <w:tcBorders>
              <w:bottom w:val="nil"/>
            </w:tcBorders>
            <w:shd w:val="clear" w:color="auto" w:fill="auto"/>
          </w:tcPr>
          <w:p w:rsidR="000C5369" w:rsidRPr="00892DE3" w:rsidRDefault="000C5369" w:rsidP="000C5369">
            <w:pPr>
              <w:ind w:left="170" w:hanging="170"/>
              <w:rPr>
                <w:rStyle w:val="SourceReference"/>
              </w:rPr>
            </w:pPr>
            <w:r w:rsidRPr="00892DE3">
              <w:rPr>
                <w:rStyle w:val="SourceReference"/>
              </w:rPr>
              <w:t>AASB 101.8</w:t>
            </w:r>
          </w:p>
        </w:tc>
        <w:tc>
          <w:tcPr>
            <w:tcW w:w="5512" w:type="dxa"/>
            <w:tcBorders>
              <w:top w:val="single" w:sz="6" w:space="0" w:color="auto"/>
              <w:bottom w:val="single" w:sz="12" w:space="0" w:color="auto"/>
            </w:tcBorders>
          </w:tcPr>
          <w:p w:rsidR="000C5369" w:rsidRPr="00892DE3" w:rsidRDefault="000C5369" w:rsidP="000C5369">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Comprehensive result</w:t>
            </w:r>
          </w:p>
        </w:tc>
        <w:tc>
          <w:tcPr>
            <w:tcW w:w="904" w:type="dxa"/>
            <w:tcBorders>
              <w:top w:val="single" w:sz="6" w:space="0" w:color="auto"/>
              <w:bottom w:val="single" w:sz="12" w:space="0" w:color="auto"/>
            </w:tcBorders>
          </w:tcPr>
          <w:p w:rsidR="000C5369" w:rsidRPr="00892DE3" w:rsidRDefault="000C5369" w:rsidP="000C5369">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6" w:space="0" w:color="auto"/>
              <w:bottom w:val="single" w:sz="12" w:space="0" w:color="auto"/>
            </w:tcBorders>
            <w:shd w:val="clear" w:color="auto" w:fill="EBEBEB" w:themeFill="background2"/>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21 203</w:t>
            </w:r>
          </w:p>
        </w:tc>
        <w:tc>
          <w:tcPr>
            <w:tcW w:w="899" w:type="dxa"/>
            <w:tcBorders>
              <w:top w:val="single" w:sz="6" w:space="0" w:color="auto"/>
              <w:bottom w:val="single" w:sz="12" w:space="0" w:color="auto"/>
            </w:tcBorders>
          </w:tcPr>
          <w:p w:rsidR="000C5369" w:rsidRPr="00892DE3" w:rsidRDefault="000C5369" w:rsidP="000C5369">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13 980</w:t>
            </w:r>
          </w:p>
        </w:tc>
      </w:tr>
    </w:tbl>
    <w:p w:rsidR="0037650C" w:rsidRPr="00892DE3" w:rsidRDefault="0037650C" w:rsidP="0037650C">
      <w:pPr>
        <w:pStyle w:val="Source"/>
      </w:pPr>
      <w:r w:rsidRPr="00892DE3">
        <w:t>The accompanying notes form part of these financial statements.</w:t>
      </w:r>
    </w:p>
    <w:p w:rsidR="0037650C" w:rsidRPr="00892DE3" w:rsidRDefault="0037650C" w:rsidP="0037650C">
      <w:pPr>
        <w:pStyle w:val="Note"/>
      </w:pPr>
      <w:r w:rsidRPr="00892DE3">
        <w:t>Notes:</w:t>
      </w:r>
    </w:p>
    <w:p w:rsidR="00C23F0A" w:rsidRPr="00892DE3" w:rsidRDefault="00C23F0A" w:rsidP="00C23F0A">
      <w:pPr>
        <w:pStyle w:val="Note"/>
      </w:pPr>
      <w:r w:rsidRPr="00892DE3">
        <w:t>(</w:t>
      </w:r>
      <w:r w:rsidR="009D1EA3" w:rsidRPr="00892DE3">
        <w:t>a</w:t>
      </w:r>
      <w:r w:rsidRPr="00892DE3">
        <w:t>)</w:t>
      </w:r>
      <w:r w:rsidRPr="00892DE3">
        <w:tab/>
        <w:t>‘Net gain/(loss) on non-financial assets’ includes unrealised and realised gains/(losses) from revaluations, impairments, and disposals of all physical assets and intangible assets, except when these are taken through the asset revaluation surplus.</w:t>
      </w:r>
    </w:p>
    <w:p w:rsidR="00C23F0A" w:rsidRPr="00892DE3" w:rsidRDefault="00C23F0A" w:rsidP="00C23F0A">
      <w:pPr>
        <w:pStyle w:val="Note"/>
      </w:pPr>
      <w:r w:rsidRPr="00892DE3">
        <w:t>(</w:t>
      </w:r>
      <w:r w:rsidR="009D1EA3" w:rsidRPr="00892DE3">
        <w:t>b</w:t>
      </w:r>
      <w:r w:rsidRPr="00892DE3">
        <w:t>)</w:t>
      </w:r>
      <w:r w:rsidRPr="00892DE3">
        <w:tab/>
        <w:t>‘Net gain/(loss)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available for sale revaluation surplus.</w:t>
      </w:r>
    </w:p>
    <w:p w:rsidR="00C23F0A" w:rsidRPr="00892DE3" w:rsidRDefault="00C23F0A" w:rsidP="00C23F0A">
      <w:pPr>
        <w:pStyle w:val="Note"/>
      </w:pPr>
      <w:r w:rsidRPr="00892DE3">
        <w:t>(</w:t>
      </w:r>
      <w:r w:rsidR="009D1EA3" w:rsidRPr="00892DE3">
        <w:t>c</w:t>
      </w:r>
      <w:r w:rsidRPr="00892DE3">
        <w:t>)</w:t>
      </w:r>
      <w:r w:rsidRPr="00892DE3">
        <w:tab/>
        <w:t>Changes in revaluation surplus excludes share of net movement in associates and joint ventures, which is disclosed separately.</w:t>
      </w:r>
    </w:p>
    <w:p w:rsidR="00C23F0A" w:rsidRPr="00892DE3" w:rsidRDefault="00C23F0A"/>
    <w:p w:rsidR="00C23F0A" w:rsidRPr="00892DE3" w:rsidRDefault="00C23F0A">
      <w:r w:rsidRPr="00892DE3">
        <w:rPr>
          <w:b/>
        </w:rPr>
        <w:br w:type="page"/>
      </w:r>
    </w:p>
    <w:tbl>
      <w:tblPr>
        <w:tblStyle w:val="ModelReportGuidanceTable"/>
        <w:tblW w:w="0" w:type="auto"/>
        <w:tblLook w:val="04A0" w:firstRow="1" w:lastRow="0" w:firstColumn="1" w:lastColumn="0" w:noHBand="0" w:noVBand="1"/>
      </w:tblPr>
      <w:tblGrid>
        <w:gridCol w:w="3241"/>
        <w:gridCol w:w="3241"/>
        <w:gridCol w:w="3242"/>
      </w:tblGrid>
      <w:tr w:rsidR="00C23F0A" w:rsidRPr="00892DE3" w:rsidTr="00C23F0A">
        <w:trPr>
          <w:cnfStyle w:val="100000000000" w:firstRow="1" w:lastRow="0" w:firstColumn="0" w:lastColumn="0" w:oddVBand="0" w:evenVBand="0" w:oddHBand="0" w:evenHBand="0" w:firstRowFirstColumn="0" w:firstRowLastColumn="0" w:lastRowFirstColumn="0" w:lastRowLastColumn="0"/>
        </w:trPr>
        <w:tc>
          <w:tcPr>
            <w:tcW w:w="9724" w:type="dxa"/>
            <w:gridSpan w:val="3"/>
          </w:tcPr>
          <w:p w:rsidR="00C23F0A" w:rsidRPr="00892DE3" w:rsidRDefault="00C23F0A" w:rsidP="00C23F0A">
            <w:pPr>
              <w:keepLines w:val="0"/>
            </w:pPr>
            <w:r w:rsidRPr="00892DE3">
              <w:lastRenderedPageBreak/>
              <w:t xml:space="preserve">Guidance – Comprehensive </w:t>
            </w:r>
            <w:r w:rsidR="002274A8" w:rsidRPr="00892DE3">
              <w:t>operating statement</w:t>
            </w:r>
          </w:p>
        </w:tc>
      </w:tr>
      <w:tr w:rsidR="00C23F0A" w:rsidRPr="00892DE3" w:rsidTr="00C23F0A">
        <w:tc>
          <w:tcPr>
            <w:tcW w:w="9724" w:type="dxa"/>
            <w:gridSpan w:val="3"/>
          </w:tcPr>
          <w:p w:rsidR="00C23F0A" w:rsidRPr="00892DE3" w:rsidRDefault="00C23F0A" w:rsidP="00C23F0A">
            <w:pPr>
              <w:keepLines w:val="0"/>
              <w:rPr>
                <w:b/>
              </w:rPr>
            </w:pPr>
            <w:r w:rsidRPr="00892DE3">
              <w:rPr>
                <w:b/>
              </w:rPr>
              <w:t>Presentation of comprehensive operating statement</w:t>
            </w:r>
          </w:p>
          <w:p w:rsidR="00C23F0A" w:rsidRPr="00892DE3" w:rsidRDefault="00C23F0A" w:rsidP="002274A8">
            <w:r w:rsidRPr="00892DE3">
              <w:t>Income and expense items are classified within the comprehensive operating statement depending on whether they arise from ‘</w:t>
            </w:r>
            <w:r w:rsidRPr="00892DE3">
              <w:rPr>
                <w:b/>
              </w:rPr>
              <w:t>transactions</w:t>
            </w:r>
            <w:r w:rsidRPr="00892DE3">
              <w:t>’ or ‘</w:t>
            </w:r>
            <w:r w:rsidRPr="00892DE3">
              <w:rPr>
                <w:b/>
              </w:rPr>
              <w:t>other economic flows included in net result</w:t>
            </w:r>
            <w:r w:rsidRPr="00892DE3">
              <w:t>’. In addition, the comprehensive operating statement also presents movements due to changes in non-owner equity under ‘</w:t>
            </w:r>
            <w:r w:rsidRPr="00892DE3">
              <w:rPr>
                <w:b/>
              </w:rPr>
              <w:t>other economic flows – other comprehensive income</w:t>
            </w:r>
            <w:r w:rsidRPr="00892DE3">
              <w:t xml:space="preserve">’. All owner changes in equity in their capacity as owners can be found in the statement of changes in equity. </w:t>
            </w:r>
            <w:r w:rsidRPr="00892DE3">
              <w:rPr>
                <w:rStyle w:val="SourceReference"/>
              </w:rPr>
              <w:t>[AASB 1049.29 and 1049.30]</w:t>
            </w:r>
            <w:r w:rsidRPr="00892DE3">
              <w:t xml:space="preserve"> </w:t>
            </w:r>
            <w:r w:rsidRPr="00892DE3">
              <w:rPr>
                <w:i/>
              </w:rPr>
              <w:t>(</w:t>
            </w:r>
            <w:r w:rsidR="002274A8" w:rsidRPr="00892DE3">
              <w:t>See</w:t>
            </w:r>
            <w:r w:rsidR="002274A8" w:rsidRPr="00892DE3">
              <w:rPr>
                <w:i/>
              </w:rPr>
              <w:t xml:space="preserve"> </w:t>
            </w:r>
            <w:r w:rsidRPr="00892DE3">
              <w:rPr>
                <w:i/>
              </w:rPr>
              <w:t>guidance below</w:t>
            </w:r>
            <w:r w:rsidR="002274A8" w:rsidRPr="00892DE3">
              <w:rPr>
                <w:i/>
              </w:rPr>
              <w:t>.</w:t>
            </w:r>
            <w:r w:rsidRPr="00892DE3">
              <w:rPr>
                <w:i/>
              </w:rPr>
              <w:t>)</w:t>
            </w:r>
          </w:p>
        </w:tc>
      </w:tr>
      <w:tr w:rsidR="00C23F0A" w:rsidRPr="00892DE3" w:rsidTr="009D1EA3">
        <w:tc>
          <w:tcPr>
            <w:tcW w:w="3241" w:type="dxa"/>
          </w:tcPr>
          <w:p w:rsidR="00C23F0A" w:rsidRPr="00892DE3" w:rsidRDefault="00C23F0A" w:rsidP="00C23F0A">
            <w:pPr>
              <w:keepLines w:val="0"/>
            </w:pPr>
            <w:r w:rsidRPr="00892DE3">
              <w:t>In the ‘</w:t>
            </w:r>
            <w:r w:rsidRPr="00892DE3">
              <w:rPr>
                <w:b/>
              </w:rPr>
              <w:t>net result from transactions</w:t>
            </w:r>
            <w:r w:rsidRPr="00892DE3">
              <w:t>’ section:</w:t>
            </w:r>
          </w:p>
        </w:tc>
        <w:tc>
          <w:tcPr>
            <w:tcW w:w="3241" w:type="dxa"/>
          </w:tcPr>
          <w:p w:rsidR="00C23F0A" w:rsidRPr="00892DE3" w:rsidRDefault="00C23F0A" w:rsidP="00C23F0A">
            <w:pPr>
              <w:keepLines w:val="0"/>
            </w:pPr>
            <w:r w:rsidRPr="00892DE3">
              <w:t>In the ‘</w:t>
            </w:r>
            <w:r w:rsidRPr="00892DE3">
              <w:rPr>
                <w:b/>
              </w:rPr>
              <w:t>other economic flow included in net result</w:t>
            </w:r>
            <w:r w:rsidRPr="00892DE3">
              <w:t>’ section:</w:t>
            </w:r>
          </w:p>
        </w:tc>
        <w:tc>
          <w:tcPr>
            <w:tcW w:w="3242" w:type="dxa"/>
          </w:tcPr>
          <w:p w:rsidR="00C23F0A" w:rsidRPr="00892DE3" w:rsidRDefault="00C23F0A" w:rsidP="00C23F0A">
            <w:pPr>
              <w:keepLines w:val="0"/>
            </w:pPr>
            <w:r w:rsidRPr="00892DE3">
              <w:t>In the ‘</w:t>
            </w:r>
            <w:r w:rsidRPr="00892DE3">
              <w:rPr>
                <w:b/>
              </w:rPr>
              <w:t>other economic flow other comprehensive income</w:t>
            </w:r>
            <w:r w:rsidRPr="00892DE3">
              <w:t>’ section:</w:t>
            </w:r>
          </w:p>
        </w:tc>
      </w:tr>
      <w:tr w:rsidR="00C23F0A" w:rsidRPr="00892DE3" w:rsidTr="009D1EA3">
        <w:tc>
          <w:tcPr>
            <w:tcW w:w="3241" w:type="dxa"/>
          </w:tcPr>
          <w:p w:rsidR="00C23F0A" w:rsidRPr="00892DE3" w:rsidRDefault="00CB16CC" w:rsidP="00C23F0A">
            <w:r w:rsidRPr="00892DE3">
              <w:t>Tr</w:t>
            </w:r>
            <w:r w:rsidR="00C23F0A" w:rsidRPr="00892DE3">
              <w:t>ansactions are those economic flows that arise as a result of policy decisions, usually interactions between two entities by mutual agreement, and also flows within an entity. Taxation is regarded as mutually agreed interactions between the Government and taxpayers. Transactions can be cash or in kind. In simple terms, transactions arise from the policy decisions of the Government.</w:t>
            </w:r>
          </w:p>
          <w:p w:rsidR="00C23F0A" w:rsidRPr="00892DE3" w:rsidRDefault="00C23F0A" w:rsidP="00C23F0A">
            <w:r w:rsidRPr="00892DE3">
              <w:t>Minimum requirements in AASB 101.82:</w:t>
            </w:r>
          </w:p>
          <w:p w:rsidR="00C23F0A" w:rsidRPr="00892DE3" w:rsidRDefault="00C23F0A" w:rsidP="00C23F0A">
            <w:pPr>
              <w:pStyle w:val="ListBullet"/>
            </w:pPr>
            <w:r w:rsidRPr="00892DE3">
              <w:t>revenue;</w:t>
            </w:r>
          </w:p>
          <w:p w:rsidR="00C23F0A" w:rsidRPr="00892DE3" w:rsidRDefault="00C23F0A" w:rsidP="00C23F0A">
            <w:pPr>
              <w:pStyle w:val="ListBullet"/>
            </w:pPr>
            <w:r w:rsidRPr="00892DE3">
              <w:t>finance costs;</w:t>
            </w:r>
            <w:r w:rsidR="002274A8" w:rsidRPr="00892DE3">
              <w:t xml:space="preserve"> </w:t>
            </w:r>
            <w:r w:rsidR="005D123E" w:rsidRPr="00892DE3">
              <w:t>and</w:t>
            </w:r>
          </w:p>
          <w:p w:rsidR="00C23F0A" w:rsidRPr="00892DE3" w:rsidRDefault="00C23F0A" w:rsidP="00C23F0A">
            <w:pPr>
              <w:pStyle w:val="ListBullet"/>
            </w:pPr>
            <w:r w:rsidRPr="00892DE3">
              <w:t>tax expense (NTER entities).</w:t>
            </w:r>
          </w:p>
        </w:tc>
        <w:tc>
          <w:tcPr>
            <w:tcW w:w="3241" w:type="dxa"/>
          </w:tcPr>
          <w:p w:rsidR="00C23F0A" w:rsidRPr="00892DE3" w:rsidRDefault="00CB16CC" w:rsidP="00C23F0A">
            <w:r w:rsidRPr="00892DE3">
              <w:t>Th</w:t>
            </w:r>
            <w:r w:rsidR="00C23F0A" w:rsidRPr="00892DE3">
              <w:t>is section includes changes in the volume or value of an asset or liability that do not result from transactions. It</w:t>
            </w:r>
            <w:r w:rsidR="002274A8" w:rsidRPr="00892DE3">
              <w:t> </w:t>
            </w:r>
            <w:r w:rsidR="00C23F0A" w:rsidRPr="00892DE3">
              <w:t>includes:</w:t>
            </w:r>
          </w:p>
          <w:p w:rsidR="00C23F0A" w:rsidRPr="00892DE3" w:rsidRDefault="00C23F0A" w:rsidP="00C23F0A">
            <w:pPr>
              <w:pStyle w:val="ListBullet"/>
            </w:pPr>
            <w:r w:rsidRPr="00892DE3">
              <w:t xml:space="preserve">gains and losses from disposals; revaluations and impairments of non-financial physical and intangible assets; </w:t>
            </w:r>
          </w:p>
          <w:p w:rsidR="00C23F0A" w:rsidRPr="00892DE3" w:rsidRDefault="00C23F0A" w:rsidP="00C23F0A">
            <w:pPr>
              <w:pStyle w:val="ListBullet"/>
            </w:pPr>
            <w:r w:rsidRPr="00892DE3">
              <w:t xml:space="preserve">fair value changes of financial instruments and agricultural assets;  </w:t>
            </w:r>
          </w:p>
          <w:p w:rsidR="00C23F0A" w:rsidRPr="00892DE3" w:rsidRDefault="00C23F0A" w:rsidP="00C23F0A">
            <w:pPr>
              <w:pStyle w:val="ListBullet"/>
            </w:pPr>
            <w:r w:rsidRPr="00892DE3">
              <w:t>depletion of natural assets (non</w:t>
            </w:r>
            <w:r w:rsidR="002274A8" w:rsidRPr="00892DE3">
              <w:noBreakHyphen/>
            </w:r>
            <w:r w:rsidRPr="00892DE3">
              <w:t xml:space="preserve">produced) from their use or removal; </w:t>
            </w:r>
          </w:p>
          <w:p w:rsidR="00C23F0A" w:rsidRPr="00892DE3" w:rsidRDefault="00C23F0A" w:rsidP="00C23F0A">
            <w:pPr>
              <w:pStyle w:val="ListBullet"/>
            </w:pPr>
            <w:r w:rsidRPr="00892DE3">
              <w:t>share of the profit or loss of equity accounted investments; and</w:t>
            </w:r>
          </w:p>
          <w:p w:rsidR="00C23F0A" w:rsidRPr="00892DE3" w:rsidRDefault="00C23F0A" w:rsidP="00C23F0A">
            <w:pPr>
              <w:pStyle w:val="ListBullet"/>
            </w:pPr>
            <w:r w:rsidRPr="00892DE3">
              <w:t>a single amount for the total of discontinued operations.</w:t>
            </w:r>
          </w:p>
        </w:tc>
        <w:tc>
          <w:tcPr>
            <w:tcW w:w="3242" w:type="dxa"/>
          </w:tcPr>
          <w:p w:rsidR="00C23F0A" w:rsidRPr="00892DE3" w:rsidRDefault="00CB16CC" w:rsidP="00C23F0A">
            <w:r w:rsidRPr="00892DE3">
              <w:t>It</w:t>
            </w:r>
            <w:r w:rsidR="00C23F0A" w:rsidRPr="00892DE3">
              <w:t xml:space="preserve"> presents line items for amounts classified by nature and grouped into those that:</w:t>
            </w:r>
          </w:p>
          <w:p w:rsidR="00C23F0A" w:rsidRPr="00892DE3" w:rsidRDefault="00C23F0A" w:rsidP="00C23F0A">
            <w:pPr>
              <w:pStyle w:val="ListBullet"/>
            </w:pPr>
            <w:r w:rsidRPr="00892DE3">
              <w:t>will not be reclassified subsequently to profit or loss; or</w:t>
            </w:r>
          </w:p>
          <w:p w:rsidR="00C23F0A" w:rsidRPr="00892DE3" w:rsidRDefault="00C23F0A" w:rsidP="00C23F0A">
            <w:pPr>
              <w:pStyle w:val="ListBullet"/>
            </w:pPr>
            <w:r w:rsidRPr="00892DE3">
              <w:t xml:space="preserve">will be reclassified subsequently to profit or loss when specific conditions are met. </w:t>
            </w:r>
          </w:p>
          <w:p w:rsidR="00C23F0A" w:rsidRPr="00892DE3" w:rsidRDefault="00C23F0A" w:rsidP="00C23F0A">
            <w:r w:rsidRPr="00892DE3">
              <w:t xml:space="preserve">It includes: </w:t>
            </w:r>
          </w:p>
          <w:p w:rsidR="00C23F0A" w:rsidRPr="00892DE3" w:rsidRDefault="00C23F0A" w:rsidP="00C23F0A">
            <w:pPr>
              <w:pStyle w:val="ListBullet"/>
            </w:pPr>
            <w:r w:rsidRPr="00892DE3">
              <w:t>changes in physical asset revaluation surpluses;</w:t>
            </w:r>
          </w:p>
          <w:p w:rsidR="00C23F0A" w:rsidRPr="00892DE3" w:rsidRDefault="00C23F0A" w:rsidP="00C23F0A">
            <w:pPr>
              <w:pStyle w:val="ListBullet"/>
            </w:pPr>
            <w:r w:rsidRPr="00892DE3">
              <w:t>share of movements of other comprehensive income of equity accounted investments; and</w:t>
            </w:r>
          </w:p>
          <w:p w:rsidR="00C23F0A" w:rsidRPr="00892DE3" w:rsidRDefault="00C23F0A" w:rsidP="00C23F0A">
            <w:pPr>
              <w:pStyle w:val="ListBullet"/>
            </w:pPr>
            <w:r w:rsidRPr="00892DE3">
              <w:t>changes in available for sale revaluation surplus.</w:t>
            </w:r>
          </w:p>
        </w:tc>
      </w:tr>
      <w:tr w:rsidR="00C23F0A" w:rsidRPr="00892DE3" w:rsidTr="00C23F0A">
        <w:tc>
          <w:tcPr>
            <w:tcW w:w="9724" w:type="dxa"/>
            <w:gridSpan w:val="3"/>
          </w:tcPr>
          <w:p w:rsidR="00CB16CC" w:rsidRPr="00892DE3" w:rsidRDefault="00CB16CC" w:rsidP="00CB16CC">
            <w:r w:rsidRPr="00892DE3">
              <w:rPr>
                <w:b/>
              </w:rPr>
              <w:t>Classification of expenses by nature or function</w:t>
            </w:r>
            <w:r w:rsidRPr="00892DE3">
              <w:t xml:space="preserve">: Expenses must be classified and presented (either in the comprehensive operating statement or in the related notes) based on either their nature or their function, whichever provides information that is reliable and more relevant. </w:t>
            </w:r>
            <w:r w:rsidRPr="00892DE3">
              <w:rPr>
                <w:rStyle w:val="SourceReference"/>
              </w:rPr>
              <w:t>[AASB 101.99 and 101.100]</w:t>
            </w:r>
          </w:p>
          <w:p w:rsidR="00CB16CC" w:rsidRPr="00892DE3" w:rsidRDefault="00CB16CC" w:rsidP="00CB16CC">
            <w:r w:rsidRPr="00892DE3">
              <w:t>Regardless of whether expenses are classified by nature or by function, each material class is separately disclosed.</w:t>
            </w:r>
          </w:p>
          <w:p w:rsidR="00CB16CC" w:rsidRPr="00892DE3" w:rsidRDefault="00CB16CC" w:rsidP="00CB16CC">
            <w:r w:rsidRPr="00892DE3">
              <w:rPr>
                <w:b/>
              </w:rPr>
              <w:t>National Tax Equivalent Regime (NTER)</w:t>
            </w:r>
            <w:r w:rsidR="009D1EA3" w:rsidRPr="00892DE3">
              <w:t>:</w:t>
            </w:r>
            <w:r w:rsidRPr="00892DE3">
              <w:t xml:space="preserve"> Those entities that are subject to NTER are required to disclose in the comprehensive operating statement ‘net result for the period before income tax’, ‘income tax expense’, and ‘net result for the period after income tax’. Similarly, items of other comprehensive income are required to be presented net of tax effects. </w:t>
            </w:r>
            <w:r w:rsidRPr="00892DE3">
              <w:rPr>
                <w:rStyle w:val="SourceReference"/>
              </w:rPr>
              <w:t>[AASB 101.90 91]</w:t>
            </w:r>
          </w:p>
          <w:p w:rsidR="00CB16CC" w:rsidRPr="00892DE3" w:rsidRDefault="00CB16CC" w:rsidP="00CB16CC">
            <w:r w:rsidRPr="00892DE3">
              <w:rPr>
                <w:b/>
              </w:rPr>
              <w:t>Material items of income and expense</w:t>
            </w:r>
            <w:r w:rsidRPr="00892DE3">
              <w:t xml:space="preserve">: When items of income and expense are material, their nature and amount shall be disclosed separately either in the comprehensive operating statement or in the notes to the financial statements. </w:t>
            </w:r>
            <w:r w:rsidRPr="00892DE3">
              <w:rPr>
                <w:rStyle w:val="SourceReference"/>
              </w:rPr>
              <w:t>[AASB 101.97]</w:t>
            </w:r>
          </w:p>
          <w:p w:rsidR="00CB16CC" w:rsidRPr="00892DE3" w:rsidRDefault="00CB16CC" w:rsidP="00CB16CC">
            <w:r w:rsidRPr="00892DE3">
              <w:t>Further, an entity shall disclose</w:t>
            </w:r>
            <w:r w:rsidR="002274A8" w:rsidRPr="00892DE3">
              <w:t>,</w:t>
            </w:r>
            <w:r w:rsidRPr="00892DE3">
              <w:t xml:space="preserve"> either in the comprehensive operating statement or in the notes</w:t>
            </w:r>
            <w:r w:rsidR="002274A8" w:rsidRPr="00892DE3">
              <w:t>,</w:t>
            </w:r>
            <w:r w:rsidRPr="00892DE3">
              <w:t xml:space="preserve"> any amounts related to components of other comprehensive income that are reclassified to net result in the current period, that were previously recognised in other comprehensive income in the current or previous periods.</w:t>
            </w:r>
          </w:p>
          <w:p w:rsidR="00C23F0A" w:rsidRPr="00892DE3" w:rsidRDefault="00CB16CC" w:rsidP="005D123E">
            <w:r w:rsidRPr="00892DE3">
              <w:rPr>
                <w:b/>
              </w:rPr>
              <w:t>Additional disclosures</w:t>
            </w:r>
            <w:r w:rsidR="005D123E" w:rsidRPr="00892DE3">
              <w:rPr>
                <w:b/>
              </w:rPr>
              <w:t>:</w:t>
            </w:r>
            <w:r w:rsidRPr="00892DE3">
              <w:t xml:space="preserve"> </w:t>
            </w:r>
            <w:r w:rsidR="005D123E" w:rsidRPr="00892DE3">
              <w:t>Additional disclosures (</w:t>
            </w:r>
            <w:r w:rsidRPr="00892DE3">
              <w:t>such as additional line items, headings and subtotals</w:t>
            </w:r>
            <w:r w:rsidR="005D123E" w:rsidRPr="00892DE3">
              <w:t>)</w:t>
            </w:r>
            <w:r w:rsidRPr="00892DE3">
              <w:t xml:space="preserve"> shall be presented on the face when it is relevant to an understanding of the financial performance of the entity </w:t>
            </w:r>
            <w:r w:rsidRPr="00892DE3">
              <w:rPr>
                <w:rStyle w:val="SourceReference"/>
              </w:rPr>
              <w:t>[AASB 101.85]</w:t>
            </w:r>
            <w:r w:rsidRPr="00892DE3">
              <w:t>, subject to those disclosures being consistent with requirements of AASB 1049</w:t>
            </w:r>
            <w:r w:rsidR="009C27B9" w:rsidRPr="00892DE3">
              <w:rPr>
                <w:i/>
              </w:rPr>
              <w:t xml:space="preserve"> Whole of Government and General Government Sector Financial Reporting</w:t>
            </w:r>
            <w:r w:rsidRPr="00892DE3">
              <w:t>.</w:t>
            </w:r>
          </w:p>
        </w:tc>
      </w:tr>
    </w:tbl>
    <w:p w:rsidR="00C23F0A" w:rsidRPr="00892DE3" w:rsidRDefault="00C23F0A" w:rsidP="00C23F0A">
      <w:pPr>
        <w:keepLines w:val="0"/>
      </w:pPr>
    </w:p>
    <w:p w:rsidR="00C23F0A" w:rsidRPr="00892DE3" w:rsidRDefault="00C23F0A" w:rsidP="00C23F0A">
      <w:pPr>
        <w:keepLines w:val="0"/>
      </w:pPr>
    </w:p>
    <w:p w:rsidR="00A1717E" w:rsidRPr="00892DE3" w:rsidRDefault="00A1717E" w:rsidP="00C23F0A">
      <w:pPr>
        <w:keepLines w:val="0"/>
        <w:sectPr w:rsidR="00A1717E" w:rsidRPr="00892DE3" w:rsidSect="009C1D64">
          <w:headerReference w:type="even" r:id="rId82"/>
          <w:headerReference w:type="default" r:id="rId83"/>
          <w:headerReference w:type="first" r:id="rId84"/>
          <w:footerReference w:type="first" r:id="rId85"/>
          <w:pgSz w:w="11906" w:h="16838" w:code="9"/>
          <w:pgMar w:top="1134" w:right="1134" w:bottom="1134" w:left="1134" w:header="624" w:footer="567" w:gutter="0"/>
          <w:cols w:sep="1" w:space="567"/>
          <w:titlePg/>
          <w:docGrid w:linePitch="360"/>
        </w:sectPr>
      </w:pPr>
    </w:p>
    <w:p w:rsidR="00CB16CC" w:rsidRPr="00892DE3" w:rsidRDefault="00CB16CC" w:rsidP="00AD1758">
      <w:pPr>
        <w:pStyle w:val="Heading2nonTOC"/>
      </w:pPr>
      <w:bookmarkStart w:id="76" w:name="BalanceSheet"/>
      <w:bookmarkStart w:id="77" w:name="_Toc477967528"/>
      <w:r w:rsidRPr="00892DE3">
        <w:lastRenderedPageBreak/>
        <w:t>Balance sheet</w:t>
      </w:r>
      <w:bookmarkEnd w:id="76"/>
      <w:bookmarkEnd w:id="77"/>
    </w:p>
    <w:p w:rsidR="00C23F0A" w:rsidRPr="00892DE3" w:rsidRDefault="00CB16CC" w:rsidP="00CB16CC">
      <w:pPr>
        <w:pStyle w:val="TableHeading"/>
      </w:pPr>
      <w:r w:rsidRPr="00892DE3">
        <w:t>As at 30 June 2017</w:t>
      </w:r>
      <w:r w:rsidRPr="00892DE3">
        <w:tab/>
        <w:t>($ thousand)</w:t>
      </w:r>
    </w:p>
    <w:tbl>
      <w:tblPr>
        <w:tblStyle w:val="ModelReportFinancialTable"/>
        <w:tblW w:w="0" w:type="auto"/>
        <w:tblLayout w:type="fixed"/>
        <w:tblLook w:val="06A0" w:firstRow="1" w:lastRow="0" w:firstColumn="1" w:lastColumn="0" w:noHBand="1" w:noVBand="1"/>
      </w:tblPr>
      <w:tblGrid>
        <w:gridCol w:w="1366"/>
        <w:gridCol w:w="5618"/>
        <w:gridCol w:w="904"/>
        <w:gridCol w:w="915"/>
        <w:gridCol w:w="921"/>
      </w:tblGrid>
      <w:tr w:rsidR="00CB16CC" w:rsidRPr="00892DE3" w:rsidTr="00CB16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Source reference</w:t>
            </w:r>
          </w:p>
        </w:tc>
        <w:tc>
          <w:tcPr>
            <w:tcW w:w="5618" w:type="dxa"/>
          </w:tcPr>
          <w:p w:rsidR="00CB16CC" w:rsidRPr="00892DE3" w:rsidRDefault="00CB16CC" w:rsidP="00CD713A">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904" w:type="dxa"/>
          </w:tcPr>
          <w:p w:rsidR="00CB16CC" w:rsidRPr="00892DE3" w:rsidRDefault="00CB16CC" w:rsidP="00CD713A">
            <w:pPr>
              <w:ind w:left="170" w:hanging="17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915" w:type="dxa"/>
          </w:tcPr>
          <w:p w:rsidR="00CB16CC" w:rsidRPr="00892DE3" w:rsidRDefault="00CB16CC" w:rsidP="00CD713A">
            <w:pPr>
              <w:ind w:left="170" w:hanging="170"/>
              <w:cnfStyle w:val="100000000000" w:firstRow="1" w:lastRow="0" w:firstColumn="0" w:lastColumn="0" w:oddVBand="0" w:evenVBand="0" w:oddHBand="0" w:evenHBand="0" w:firstRowFirstColumn="0" w:firstRowLastColumn="0" w:lastRowFirstColumn="0" w:lastRowLastColumn="0"/>
            </w:pPr>
            <w:r w:rsidRPr="00892DE3">
              <w:t>2017</w:t>
            </w:r>
          </w:p>
        </w:tc>
        <w:tc>
          <w:tcPr>
            <w:tcW w:w="921" w:type="dxa"/>
          </w:tcPr>
          <w:p w:rsidR="00CB16CC" w:rsidRPr="00892DE3" w:rsidRDefault="00CB16CC" w:rsidP="00CD713A">
            <w:pPr>
              <w:ind w:left="170" w:hanging="170"/>
              <w:cnfStyle w:val="100000000000" w:firstRow="1" w:lastRow="0" w:firstColumn="0" w:lastColumn="0" w:oddVBand="0" w:evenVBand="0" w:oddHBand="0" w:evenHBand="0" w:firstRowFirstColumn="0" w:firstRowLastColumn="0" w:lastRowFirstColumn="0" w:lastRowLastColumn="0"/>
            </w:pPr>
            <w:r w:rsidRPr="00892DE3">
              <w:t>2016</w:t>
            </w:r>
          </w:p>
        </w:tc>
      </w:tr>
      <w:tr w:rsidR="00CB16CC" w:rsidRPr="00892DE3" w:rsidTr="00CB16CC">
        <w:trPr>
          <w:trHeight w:val="113"/>
        </w:trPr>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 xml:space="preserve">AASB 101.60 </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Assets</w:t>
            </w:r>
          </w:p>
        </w:tc>
        <w:tc>
          <w:tcPr>
            <w:tcW w:w="904" w:type="dxa"/>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p>
        </w:tc>
      </w:tr>
      <w:tr w:rsidR="00CB16CC" w:rsidRPr="00892DE3" w:rsidTr="00CB16CC">
        <w:trPr>
          <w:trHeight w:val="57"/>
        </w:trPr>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101.58(a)</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Financial assets</w:t>
            </w:r>
          </w:p>
        </w:tc>
        <w:tc>
          <w:tcPr>
            <w:tcW w:w="904" w:type="dxa"/>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101.54(i)</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and deposits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7.3</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59 528</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48 648</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101.54(h)</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Receivables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6.1</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36 045</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20 544</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101.54(j)</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Financial assets classified as held for sale including disposal group assets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9.8</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8 572</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11 757</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101.54(d)</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Investments and other financial assets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5.6</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13 976</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16 731</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101.54(e)</w:t>
            </w:r>
          </w:p>
        </w:tc>
        <w:tc>
          <w:tcPr>
            <w:tcW w:w="5618" w:type="dxa"/>
            <w:tcBorders>
              <w:bottom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Investments accounted for using the equity method</w:t>
            </w:r>
          </w:p>
        </w:tc>
        <w:tc>
          <w:tcPr>
            <w:tcW w:w="904" w:type="dxa"/>
            <w:tcBorders>
              <w:bottom w:val="single" w:sz="4" w:space="0" w:color="auto"/>
            </w:tcBorders>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5.5</w:t>
            </w:r>
          </w:p>
        </w:tc>
        <w:tc>
          <w:tcPr>
            <w:tcW w:w="915" w:type="dxa"/>
            <w:tcBorders>
              <w:bottom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5 187</w:t>
            </w:r>
          </w:p>
        </w:tc>
        <w:tc>
          <w:tcPr>
            <w:tcW w:w="921" w:type="dxa"/>
            <w:tcBorders>
              <w:bottom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6 112</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Borders>
              <w:top w:val="single" w:sz="4" w:space="0" w:color="auto"/>
              <w:bottom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financial assets </w:t>
            </w:r>
          </w:p>
        </w:tc>
        <w:tc>
          <w:tcPr>
            <w:tcW w:w="904" w:type="dxa"/>
            <w:tcBorders>
              <w:top w:val="single" w:sz="4" w:space="0" w:color="auto"/>
              <w:bottom w:val="single" w:sz="4" w:space="0" w:color="auto"/>
            </w:tcBorders>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123 308</w:t>
            </w:r>
          </w:p>
        </w:tc>
        <w:tc>
          <w:tcPr>
            <w:tcW w:w="921" w:type="dxa"/>
            <w:tcBorders>
              <w:top w:val="single" w:sz="4" w:space="0" w:color="auto"/>
              <w:bottom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103 792</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101.58(a)</w:t>
            </w:r>
          </w:p>
        </w:tc>
        <w:tc>
          <w:tcPr>
            <w:tcW w:w="5618" w:type="dxa"/>
            <w:tcBorders>
              <w:top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financial assets</w:t>
            </w:r>
          </w:p>
        </w:tc>
        <w:tc>
          <w:tcPr>
            <w:tcW w:w="904" w:type="dxa"/>
            <w:tcBorders>
              <w:top w:val="single" w:sz="4" w:space="0" w:color="auto"/>
            </w:tcBorders>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21" w:type="dxa"/>
            <w:tcBorders>
              <w:top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101.54(g)</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Inventories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6.3</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12 056</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19 733</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101.54(j)</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financial physical assets classified as held for sale including disposal group assets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9.3.6</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6 781</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14 599</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101.54(a)</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Property, plant and equipment</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5.1</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83 044</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76 807</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101.54(f)</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Biological assets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5.3</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4 034</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101.54(b)</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 properties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5.2</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2 354</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5 029</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101.54(c)</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Intangible assets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5.4</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5 974</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7 447</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Borders>
              <w:bottom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non</w:t>
            </w:r>
            <w:r w:rsidRPr="00892DE3">
              <w:noBreakHyphen/>
              <w:t>financial assets</w:t>
            </w:r>
          </w:p>
        </w:tc>
        <w:tc>
          <w:tcPr>
            <w:tcW w:w="904" w:type="dxa"/>
            <w:tcBorders>
              <w:bottom w:val="single" w:sz="4" w:space="0" w:color="auto"/>
            </w:tcBorders>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6.4</w:t>
            </w:r>
          </w:p>
        </w:tc>
        <w:tc>
          <w:tcPr>
            <w:tcW w:w="915" w:type="dxa"/>
            <w:tcBorders>
              <w:bottom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1 483</w:t>
            </w:r>
          </w:p>
        </w:tc>
        <w:tc>
          <w:tcPr>
            <w:tcW w:w="921" w:type="dxa"/>
            <w:tcBorders>
              <w:bottom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380</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Borders>
              <w:top w:val="single" w:sz="4" w:space="0" w:color="auto"/>
              <w:bottom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non</w:t>
            </w:r>
            <w:r w:rsidRPr="00892DE3">
              <w:rPr>
                <w:b/>
              </w:rPr>
              <w:noBreakHyphen/>
              <w:t>financial assets</w:t>
            </w:r>
          </w:p>
        </w:tc>
        <w:tc>
          <w:tcPr>
            <w:tcW w:w="904" w:type="dxa"/>
            <w:tcBorders>
              <w:top w:val="single" w:sz="4" w:space="0" w:color="auto"/>
              <w:bottom w:val="single" w:sz="4" w:space="0" w:color="auto"/>
            </w:tcBorders>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115 726</w:t>
            </w:r>
          </w:p>
        </w:tc>
        <w:tc>
          <w:tcPr>
            <w:tcW w:w="921" w:type="dxa"/>
            <w:tcBorders>
              <w:top w:val="single" w:sz="4" w:space="0" w:color="auto"/>
              <w:bottom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123.995</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Borders>
              <w:top w:val="single" w:sz="4" w:space="0" w:color="auto"/>
              <w:bottom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assets</w:t>
            </w:r>
          </w:p>
        </w:tc>
        <w:tc>
          <w:tcPr>
            <w:tcW w:w="904" w:type="dxa"/>
            <w:tcBorders>
              <w:top w:val="single" w:sz="4" w:space="0" w:color="auto"/>
              <w:bottom w:val="single" w:sz="4" w:space="0" w:color="auto"/>
            </w:tcBorders>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239 034</w:t>
            </w:r>
          </w:p>
        </w:tc>
        <w:tc>
          <w:tcPr>
            <w:tcW w:w="921" w:type="dxa"/>
            <w:tcBorders>
              <w:top w:val="single" w:sz="4" w:space="0" w:color="auto"/>
              <w:bottom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227 787</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101.58(a)</w:t>
            </w:r>
          </w:p>
        </w:tc>
        <w:tc>
          <w:tcPr>
            <w:tcW w:w="5618" w:type="dxa"/>
            <w:tcBorders>
              <w:top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Liabilities</w:t>
            </w:r>
          </w:p>
        </w:tc>
        <w:tc>
          <w:tcPr>
            <w:tcW w:w="904" w:type="dxa"/>
            <w:tcBorders>
              <w:top w:val="single" w:sz="4" w:space="0" w:color="auto"/>
            </w:tcBorders>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21" w:type="dxa"/>
            <w:tcBorders>
              <w:top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101.54(k)</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Payables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6.2</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17 591</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16 704</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101.54(m)</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Borrowings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7.1</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62 074</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65 548</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Employee related provisions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3.1.1</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10 754</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17 073 </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101.54(l)</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provisions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6.5</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2 152</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3 938</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liabilities</w:t>
            </w:r>
          </w:p>
        </w:tc>
        <w:tc>
          <w:tcPr>
            <w:tcW w:w="904" w:type="dxa"/>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592</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583</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101.54(p)</w:t>
            </w:r>
          </w:p>
        </w:tc>
        <w:tc>
          <w:tcPr>
            <w:tcW w:w="5618" w:type="dxa"/>
            <w:tcBorders>
              <w:bottom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Liabilities directly associated with assets classified as held for sale including disposal groups</w:t>
            </w:r>
          </w:p>
        </w:tc>
        <w:tc>
          <w:tcPr>
            <w:tcW w:w="904" w:type="dxa"/>
            <w:tcBorders>
              <w:bottom w:val="single" w:sz="4" w:space="0" w:color="auto"/>
            </w:tcBorders>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9.3.6</w:t>
            </w:r>
          </w:p>
        </w:tc>
        <w:tc>
          <w:tcPr>
            <w:tcW w:w="915" w:type="dxa"/>
            <w:tcBorders>
              <w:bottom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4 438</w:t>
            </w:r>
          </w:p>
        </w:tc>
        <w:tc>
          <w:tcPr>
            <w:tcW w:w="921" w:type="dxa"/>
            <w:tcBorders>
              <w:bottom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8 980</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Borders>
              <w:top w:val="single" w:sz="4" w:space="0" w:color="auto"/>
              <w:bottom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liabilities</w:t>
            </w:r>
          </w:p>
        </w:tc>
        <w:tc>
          <w:tcPr>
            <w:tcW w:w="904" w:type="dxa"/>
            <w:tcBorders>
              <w:top w:val="single" w:sz="4" w:space="0" w:color="auto"/>
              <w:bottom w:val="single" w:sz="4" w:space="0" w:color="auto"/>
            </w:tcBorders>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97 601</w:t>
            </w:r>
          </w:p>
        </w:tc>
        <w:tc>
          <w:tcPr>
            <w:tcW w:w="921" w:type="dxa"/>
            <w:tcBorders>
              <w:top w:val="single" w:sz="4" w:space="0" w:color="auto"/>
              <w:bottom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112 826</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Borders>
              <w:top w:val="single" w:sz="4" w:space="0" w:color="auto"/>
              <w:bottom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assets</w:t>
            </w:r>
          </w:p>
        </w:tc>
        <w:tc>
          <w:tcPr>
            <w:tcW w:w="904" w:type="dxa"/>
            <w:tcBorders>
              <w:top w:val="single" w:sz="4" w:space="0" w:color="auto"/>
              <w:bottom w:val="single" w:sz="4" w:space="0" w:color="auto"/>
            </w:tcBorders>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141 432</w:t>
            </w:r>
          </w:p>
        </w:tc>
        <w:tc>
          <w:tcPr>
            <w:tcW w:w="921" w:type="dxa"/>
            <w:tcBorders>
              <w:top w:val="single" w:sz="4" w:space="0" w:color="auto"/>
              <w:bottom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114 961</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Borders>
              <w:top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Equity</w:t>
            </w:r>
          </w:p>
        </w:tc>
        <w:tc>
          <w:tcPr>
            <w:tcW w:w="904" w:type="dxa"/>
            <w:tcBorders>
              <w:top w:val="single" w:sz="4" w:space="0" w:color="auto"/>
            </w:tcBorders>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21" w:type="dxa"/>
            <w:tcBorders>
              <w:top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Accumulated surplus/(deficit)</w:t>
            </w:r>
          </w:p>
        </w:tc>
        <w:tc>
          <w:tcPr>
            <w:tcW w:w="904" w:type="dxa"/>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76 434</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71 113</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101.54(r)</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Physical asset revaluation surplus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9.4</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7 338</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3 759</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101.54(r)</w:t>
            </w:r>
          </w:p>
        </w:tc>
        <w:tc>
          <w:tcPr>
            <w:tcW w:w="5618" w:type="dxa"/>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Financial assets available for sale revaluation surplus</w:t>
            </w:r>
          </w:p>
        </w:tc>
        <w:tc>
          <w:tcPr>
            <w:tcW w:w="904" w:type="dxa"/>
          </w:tcPr>
          <w:p w:rsidR="00CB16CC" w:rsidRPr="00892DE3" w:rsidRDefault="00DB37B4" w:rsidP="00CD713A">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9.4</w:t>
            </w:r>
          </w:p>
        </w:tc>
        <w:tc>
          <w:tcPr>
            <w:tcW w:w="915" w:type="dxa"/>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200</w:t>
            </w:r>
          </w:p>
        </w:tc>
        <w:tc>
          <w:tcPr>
            <w:tcW w:w="921" w:type="dxa"/>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1 723</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r w:rsidRPr="00892DE3">
              <w:t>AASB 101.54(r)</w:t>
            </w:r>
          </w:p>
        </w:tc>
        <w:tc>
          <w:tcPr>
            <w:tcW w:w="5618" w:type="dxa"/>
            <w:tcBorders>
              <w:bottom w:val="single" w:sz="4"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pPr>
            <w:r w:rsidRPr="00892DE3">
              <w:t>Contributed capital</w:t>
            </w:r>
          </w:p>
        </w:tc>
        <w:tc>
          <w:tcPr>
            <w:tcW w:w="904" w:type="dxa"/>
            <w:tcBorders>
              <w:bottom w:val="single" w:sz="4" w:space="0" w:color="auto"/>
            </w:tcBorders>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15" w:type="dxa"/>
            <w:tcBorders>
              <w:bottom w:val="single" w:sz="4"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57 460</w:t>
            </w:r>
          </w:p>
        </w:tc>
        <w:tc>
          <w:tcPr>
            <w:tcW w:w="921" w:type="dxa"/>
            <w:tcBorders>
              <w:bottom w:val="single" w:sz="4"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pPr>
            <w:r w:rsidRPr="00892DE3">
              <w:t>38 345</w:t>
            </w:r>
          </w:p>
        </w:tc>
      </w:tr>
      <w:tr w:rsidR="00CB16CC" w:rsidRPr="00892DE3" w:rsidTr="00CB16CC">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CB16CC" w:rsidRPr="00892DE3" w:rsidRDefault="00CB16CC" w:rsidP="00CD713A">
            <w:pPr>
              <w:ind w:left="170" w:hanging="170"/>
            </w:pPr>
          </w:p>
        </w:tc>
        <w:tc>
          <w:tcPr>
            <w:tcW w:w="5618" w:type="dxa"/>
            <w:tcBorders>
              <w:top w:val="single" w:sz="4" w:space="0" w:color="auto"/>
              <w:bottom w:val="single" w:sz="12" w:space="0" w:color="auto"/>
            </w:tcBorders>
          </w:tcPr>
          <w:p w:rsidR="00CB16CC" w:rsidRPr="00892DE3" w:rsidRDefault="00CB16CC" w:rsidP="00CD713A">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worth</w:t>
            </w:r>
          </w:p>
        </w:tc>
        <w:tc>
          <w:tcPr>
            <w:tcW w:w="904" w:type="dxa"/>
            <w:tcBorders>
              <w:top w:val="single" w:sz="4" w:space="0" w:color="auto"/>
              <w:bottom w:val="single" w:sz="12" w:space="0" w:color="auto"/>
            </w:tcBorders>
          </w:tcPr>
          <w:p w:rsidR="00CB16CC" w:rsidRPr="00892DE3" w:rsidRDefault="00CB16CC" w:rsidP="00CD713A">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12" w:space="0" w:color="auto"/>
            </w:tcBorders>
            <w:shd w:val="clear" w:color="auto" w:fill="EBEBEB" w:themeFill="background2"/>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141 432</w:t>
            </w:r>
          </w:p>
        </w:tc>
        <w:tc>
          <w:tcPr>
            <w:tcW w:w="921" w:type="dxa"/>
            <w:tcBorders>
              <w:top w:val="single" w:sz="4" w:space="0" w:color="auto"/>
              <w:bottom w:val="single" w:sz="12" w:space="0" w:color="auto"/>
            </w:tcBorders>
          </w:tcPr>
          <w:p w:rsidR="00CB16CC" w:rsidRPr="00892DE3" w:rsidRDefault="00CB16CC" w:rsidP="00CD713A">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114 961</w:t>
            </w:r>
          </w:p>
        </w:tc>
      </w:tr>
    </w:tbl>
    <w:p w:rsidR="00CB16CC" w:rsidRPr="00892DE3" w:rsidRDefault="00283B36" w:rsidP="00283B36">
      <w:pPr>
        <w:pStyle w:val="Source"/>
      </w:pPr>
      <w:r w:rsidRPr="00892DE3">
        <w:t>The accompanying notes form part of these financial statements.</w:t>
      </w:r>
    </w:p>
    <w:p w:rsidR="00CB16CC" w:rsidRPr="00892DE3" w:rsidRDefault="00CB16CC">
      <w:pPr>
        <w:keepLines w:val="0"/>
      </w:pPr>
      <w:r w:rsidRPr="00892DE3">
        <w:br w:type="page"/>
      </w:r>
    </w:p>
    <w:tbl>
      <w:tblPr>
        <w:tblStyle w:val="ModelReportGuidanceTable"/>
        <w:tblW w:w="0" w:type="auto"/>
        <w:tblLook w:val="04A0" w:firstRow="1" w:lastRow="0" w:firstColumn="1" w:lastColumn="0" w:noHBand="0" w:noVBand="1"/>
      </w:tblPr>
      <w:tblGrid>
        <w:gridCol w:w="4877"/>
        <w:gridCol w:w="4875"/>
      </w:tblGrid>
      <w:tr w:rsidR="00CB16CC" w:rsidRPr="00892DE3" w:rsidTr="00CB16CC">
        <w:trPr>
          <w:cnfStyle w:val="100000000000" w:firstRow="1" w:lastRow="0" w:firstColumn="0" w:lastColumn="0" w:oddVBand="0" w:evenVBand="0" w:oddHBand="0" w:evenHBand="0" w:firstRowFirstColumn="0" w:firstRowLastColumn="0" w:lastRowFirstColumn="0" w:lastRowLastColumn="0"/>
        </w:trPr>
        <w:tc>
          <w:tcPr>
            <w:tcW w:w="9854" w:type="dxa"/>
            <w:gridSpan w:val="2"/>
          </w:tcPr>
          <w:p w:rsidR="00CB16CC" w:rsidRPr="00892DE3" w:rsidRDefault="00CB16CC" w:rsidP="00C23F0A">
            <w:pPr>
              <w:keepLines w:val="0"/>
            </w:pPr>
            <w:r w:rsidRPr="00892DE3">
              <w:lastRenderedPageBreak/>
              <w:t>Guidance – Balance sheet</w:t>
            </w:r>
          </w:p>
        </w:tc>
      </w:tr>
      <w:tr w:rsidR="00CB16CC" w:rsidRPr="00892DE3" w:rsidTr="00CB16CC">
        <w:tc>
          <w:tcPr>
            <w:tcW w:w="9854" w:type="dxa"/>
            <w:gridSpan w:val="2"/>
          </w:tcPr>
          <w:p w:rsidR="00CB16CC" w:rsidRPr="00892DE3" w:rsidRDefault="00CB16CC" w:rsidP="00CB16CC">
            <w:pPr>
              <w:keepLines w:val="0"/>
              <w:rPr>
                <w:b/>
              </w:rPr>
            </w:pPr>
            <w:r w:rsidRPr="00892DE3">
              <w:rPr>
                <w:b/>
              </w:rPr>
              <w:t xml:space="preserve">Presentation of the balance sheet </w:t>
            </w:r>
          </w:p>
          <w:p w:rsidR="00CB16CC" w:rsidRPr="00892DE3" w:rsidRDefault="00CB16CC" w:rsidP="00CB16CC">
            <w:pPr>
              <w:keepLines w:val="0"/>
            </w:pPr>
            <w:r w:rsidRPr="00892DE3">
              <w:t>The balance sheet (face) presents:</w:t>
            </w:r>
          </w:p>
          <w:p w:rsidR="00CB16CC" w:rsidRPr="00892DE3" w:rsidRDefault="00CB16CC" w:rsidP="00CB16CC">
            <w:pPr>
              <w:pStyle w:val="ListBullet"/>
            </w:pPr>
            <w:r w:rsidRPr="00892DE3">
              <w:t>line items in liquidity order; and</w:t>
            </w:r>
          </w:p>
          <w:p w:rsidR="00CB16CC" w:rsidRPr="00892DE3" w:rsidRDefault="00CB16CC" w:rsidP="00CB16CC">
            <w:pPr>
              <w:pStyle w:val="ListBullet"/>
            </w:pPr>
            <w:r w:rsidRPr="00892DE3">
              <w:t>assets split into financial and non-financial assets.</w:t>
            </w:r>
          </w:p>
          <w:p w:rsidR="00CB16CC" w:rsidRPr="00892DE3" w:rsidRDefault="00CB16CC" w:rsidP="00CB16CC">
            <w:pPr>
              <w:keepLines w:val="0"/>
            </w:pPr>
            <w:r w:rsidRPr="00892DE3">
              <w:t xml:space="preserve">Assets and liabilities are presented based on the order of liquidity in the balance sheet. The presentation of ‘current’ and ‘non-current’ assets and liabilities are in the notes. </w:t>
            </w:r>
            <w:r w:rsidRPr="00892DE3">
              <w:rPr>
                <w:rStyle w:val="SourceReference"/>
              </w:rPr>
              <w:t>[AASB 101.60, 61 and AASB 1049]</w:t>
            </w:r>
          </w:p>
          <w:p w:rsidR="00CB16CC" w:rsidRPr="00892DE3" w:rsidRDefault="00CF175A" w:rsidP="00CB16CC">
            <w:pPr>
              <w:keepLines w:val="0"/>
            </w:pPr>
            <w:r w:rsidRPr="00892DE3">
              <w:rPr>
                <w:b/>
              </w:rPr>
              <w:t>Sub-</w:t>
            </w:r>
            <w:r w:rsidR="00CB16CC" w:rsidRPr="00892DE3">
              <w:rPr>
                <w:b/>
              </w:rPr>
              <w:t>classification of line items</w:t>
            </w:r>
            <w:r w:rsidR="00CB16CC" w:rsidRPr="00892DE3">
              <w:t xml:space="preserve">: Depending on the size, nature and function of the amounts involved and requirements of AAS, the balance sheet line items must be </w:t>
            </w:r>
            <w:r w:rsidR="00217A5D" w:rsidRPr="00892DE3">
              <w:t>sub-</w:t>
            </w:r>
            <w:r w:rsidR="00CB16CC" w:rsidRPr="00892DE3">
              <w:t xml:space="preserve">classified in a manner appropriate to the entity’s operations (either in the balance sheet or in the related notes). </w:t>
            </w:r>
            <w:r w:rsidR="00CB16CC" w:rsidRPr="00892DE3">
              <w:rPr>
                <w:rStyle w:val="SourceReference"/>
              </w:rPr>
              <w:t>[AASB 101.77 and 101.78]</w:t>
            </w:r>
          </w:p>
          <w:p w:rsidR="00CB16CC" w:rsidRPr="00892DE3" w:rsidRDefault="00CB16CC" w:rsidP="00CB16CC">
            <w:pPr>
              <w:keepLines w:val="0"/>
            </w:pPr>
            <w:r w:rsidRPr="00892DE3">
              <w:rPr>
                <w:b/>
              </w:rPr>
              <w:t>Refinancing liabilities – Classification</w:t>
            </w:r>
            <w:r w:rsidRPr="00892DE3">
              <w:t>: Financial liabilities shall be categorised as current (notes) when they are due to be settled within 12 months of reporting period, even if:</w:t>
            </w:r>
          </w:p>
          <w:p w:rsidR="00CB16CC" w:rsidRPr="00892DE3" w:rsidRDefault="00CB16CC" w:rsidP="00CB16CC">
            <w:pPr>
              <w:pStyle w:val="List"/>
            </w:pPr>
            <w:r w:rsidRPr="00892DE3">
              <w:t>(a)</w:t>
            </w:r>
            <w:r w:rsidRPr="00892DE3">
              <w:tab/>
              <w:t>the original term was for a period longer than 12 months; and</w:t>
            </w:r>
          </w:p>
          <w:p w:rsidR="00CB16CC" w:rsidRPr="00892DE3" w:rsidRDefault="00CB16CC" w:rsidP="00CB16CC">
            <w:pPr>
              <w:pStyle w:val="List"/>
            </w:pPr>
            <w:r w:rsidRPr="00892DE3">
              <w:t>(b)</w:t>
            </w:r>
            <w:r w:rsidRPr="00892DE3">
              <w:tab/>
              <w:t xml:space="preserve">an agreement to refinance, or to reschedule payments, beyond 12 months, is completed after the reporting period but before the financial statements are authorised for issue. </w:t>
            </w:r>
          </w:p>
          <w:p w:rsidR="00CB16CC" w:rsidRPr="00892DE3" w:rsidRDefault="00A62633" w:rsidP="00CB16CC">
            <w:pPr>
              <w:keepLines w:val="0"/>
            </w:pPr>
            <w:r w:rsidRPr="00892DE3">
              <w:t xml:space="preserve">If an entity expects, and has the discretion, to refinance or roll over an obligation for at least twelve months after the reporting period under an existing facility, the obligation will be classified as non-current. However, when refinancing or rolling over the obligation is not at the discretion of the entity, the obligation will be classified as current. </w:t>
            </w:r>
            <w:r w:rsidRPr="00892DE3">
              <w:rPr>
                <w:rStyle w:val="SourceReference"/>
              </w:rPr>
              <w:t>[AASB 101.72 and 101.73]</w:t>
            </w:r>
            <w:r w:rsidRPr="00892DE3">
              <w:t xml:space="preserve"> </w:t>
            </w:r>
            <w:r w:rsidR="00CB16CC" w:rsidRPr="00892DE3">
              <w:rPr>
                <w:b/>
              </w:rPr>
              <w:t>Breach of loan covenants – Classification</w:t>
            </w:r>
            <w:r w:rsidR="00CB16CC" w:rsidRPr="00892DE3">
              <w:t xml:space="preserve">: Where an undertaking, including a covenant included in a borrowing agreement, is breached such that the obligation becomes payable on demand, the liability shall be categorised as current (even if the lender has agreed, after the reporting period not to demand payment as a consequence of the breach). </w:t>
            </w:r>
          </w:p>
          <w:p w:rsidR="00CB16CC" w:rsidRPr="00892DE3" w:rsidRDefault="00CB16CC" w:rsidP="00CB16CC">
            <w:pPr>
              <w:keepLines w:val="0"/>
            </w:pPr>
            <w:r w:rsidRPr="00892DE3">
              <w:t xml:space="preserve">Conversely, the obligation is classified as non-current if the lender agreed by the end of the reporting period to provide a period of grace ending at least 12 months after the reporting period, in which the breach could be rectified and during which the lender cannot demand immediate repayment. </w:t>
            </w:r>
            <w:r w:rsidRPr="00892DE3">
              <w:rPr>
                <w:rStyle w:val="SourceReference"/>
              </w:rPr>
              <w:t>[AASB 101.74 and 101.75]</w:t>
            </w:r>
          </w:p>
        </w:tc>
      </w:tr>
      <w:tr w:rsidR="00CB16CC" w:rsidRPr="00892DE3" w:rsidTr="00CB16CC">
        <w:tc>
          <w:tcPr>
            <w:tcW w:w="9854" w:type="dxa"/>
            <w:gridSpan w:val="2"/>
          </w:tcPr>
          <w:p w:rsidR="00CB16CC" w:rsidRPr="00892DE3" w:rsidRDefault="00CB16CC" w:rsidP="00CB16CC">
            <w:pPr>
              <w:keepLines w:val="0"/>
              <w:rPr>
                <w:b/>
              </w:rPr>
            </w:pPr>
            <w:r w:rsidRPr="00892DE3">
              <w:rPr>
                <w:b/>
              </w:rPr>
              <w:t xml:space="preserve">Minimum information to be presented </w:t>
            </w:r>
            <w:r w:rsidRPr="00892DE3">
              <w:rPr>
                <w:rStyle w:val="SourceReference"/>
              </w:rPr>
              <w:t>[AASB 101.54, 55]</w:t>
            </w:r>
          </w:p>
        </w:tc>
      </w:tr>
      <w:tr w:rsidR="00CB16CC" w:rsidRPr="00892DE3" w:rsidTr="009D1EA3">
        <w:tc>
          <w:tcPr>
            <w:tcW w:w="4927" w:type="dxa"/>
          </w:tcPr>
          <w:p w:rsidR="00CB16CC" w:rsidRPr="00892DE3" w:rsidRDefault="00CB16CC" w:rsidP="00CB16CC">
            <w:pPr>
              <w:keepLines w:val="0"/>
              <w:rPr>
                <w:b/>
              </w:rPr>
            </w:pPr>
            <w:r w:rsidRPr="00892DE3">
              <w:rPr>
                <w:b/>
              </w:rPr>
              <w:t>Assets</w:t>
            </w:r>
          </w:p>
        </w:tc>
        <w:tc>
          <w:tcPr>
            <w:tcW w:w="4927" w:type="dxa"/>
          </w:tcPr>
          <w:p w:rsidR="00CB16CC" w:rsidRPr="00892DE3" w:rsidRDefault="00CB16CC" w:rsidP="00CB16CC">
            <w:pPr>
              <w:keepLines w:val="0"/>
              <w:rPr>
                <w:b/>
              </w:rPr>
            </w:pPr>
            <w:r w:rsidRPr="00892DE3">
              <w:rPr>
                <w:b/>
              </w:rPr>
              <w:t>Liabilities</w:t>
            </w:r>
          </w:p>
        </w:tc>
      </w:tr>
      <w:tr w:rsidR="00CB16CC" w:rsidRPr="00892DE3" w:rsidTr="009D1EA3">
        <w:tc>
          <w:tcPr>
            <w:tcW w:w="4927" w:type="dxa"/>
          </w:tcPr>
          <w:p w:rsidR="00CB16CC" w:rsidRPr="00892DE3" w:rsidRDefault="00CB16CC" w:rsidP="00CB16CC">
            <w:pPr>
              <w:pStyle w:val="ListBullet"/>
            </w:pPr>
            <w:r w:rsidRPr="00892DE3">
              <w:t>Cash and cash equivalents;</w:t>
            </w:r>
          </w:p>
          <w:p w:rsidR="00CB16CC" w:rsidRPr="00892DE3" w:rsidRDefault="00CB16CC" w:rsidP="00CB16CC">
            <w:pPr>
              <w:pStyle w:val="ListBullet"/>
            </w:pPr>
            <w:r w:rsidRPr="00892DE3">
              <w:t>trade and other receivables;</w:t>
            </w:r>
          </w:p>
          <w:p w:rsidR="00CB16CC" w:rsidRPr="00892DE3" w:rsidRDefault="00CB16CC" w:rsidP="00CB16CC">
            <w:pPr>
              <w:pStyle w:val="ListBullet"/>
            </w:pPr>
            <w:r w:rsidRPr="00892DE3">
              <w:t>inventories;</w:t>
            </w:r>
          </w:p>
          <w:p w:rsidR="00CB16CC" w:rsidRPr="00892DE3" w:rsidRDefault="00CB16CC" w:rsidP="00CB16CC">
            <w:pPr>
              <w:pStyle w:val="ListBullet"/>
            </w:pPr>
            <w:r w:rsidRPr="00892DE3">
              <w:t>assets held for sale;</w:t>
            </w:r>
          </w:p>
          <w:p w:rsidR="00CB16CC" w:rsidRPr="00892DE3" w:rsidRDefault="00CB16CC" w:rsidP="00CB16CC">
            <w:pPr>
              <w:pStyle w:val="ListBullet"/>
            </w:pPr>
            <w:r w:rsidRPr="00892DE3">
              <w:t>investment property;</w:t>
            </w:r>
          </w:p>
          <w:p w:rsidR="00CB16CC" w:rsidRPr="00892DE3" w:rsidRDefault="00CB16CC" w:rsidP="00CB16CC">
            <w:pPr>
              <w:pStyle w:val="ListBullet"/>
            </w:pPr>
            <w:r w:rsidRPr="00892DE3">
              <w:t>biological assets;</w:t>
            </w:r>
          </w:p>
          <w:p w:rsidR="00CB16CC" w:rsidRPr="00892DE3" w:rsidRDefault="00CB16CC" w:rsidP="00CB16CC">
            <w:pPr>
              <w:pStyle w:val="ListBullet"/>
            </w:pPr>
            <w:r w:rsidRPr="00892DE3">
              <w:t>current tax assets;</w:t>
            </w:r>
          </w:p>
          <w:p w:rsidR="00CB16CC" w:rsidRPr="00892DE3" w:rsidRDefault="00CB16CC" w:rsidP="00CB16CC">
            <w:pPr>
              <w:pStyle w:val="ListBullet"/>
            </w:pPr>
            <w:r w:rsidRPr="00892DE3">
              <w:t>deferred tax assets;</w:t>
            </w:r>
          </w:p>
          <w:p w:rsidR="00CB16CC" w:rsidRPr="00892DE3" w:rsidRDefault="00CB16CC" w:rsidP="00CB16CC">
            <w:pPr>
              <w:pStyle w:val="ListBullet"/>
            </w:pPr>
            <w:r w:rsidRPr="00892DE3">
              <w:t>investments accounted for using the equity method;</w:t>
            </w:r>
          </w:p>
          <w:p w:rsidR="00CB16CC" w:rsidRPr="00892DE3" w:rsidRDefault="00CB16CC" w:rsidP="00CB16CC">
            <w:pPr>
              <w:pStyle w:val="ListBullet"/>
            </w:pPr>
            <w:r w:rsidRPr="00892DE3">
              <w:t>financial assets (not elsewhere presented);</w:t>
            </w:r>
          </w:p>
          <w:p w:rsidR="00CB16CC" w:rsidRPr="00892DE3" w:rsidRDefault="00CB16CC" w:rsidP="00CB16CC">
            <w:pPr>
              <w:pStyle w:val="ListBullet"/>
            </w:pPr>
            <w:r w:rsidRPr="00892DE3">
              <w:t>the total assets classified as held for sale and assets included in disposal groups classified as held for sale</w:t>
            </w:r>
            <w:r w:rsidR="00CF175A" w:rsidRPr="00892DE3">
              <w:t>;</w:t>
            </w:r>
            <w:r w:rsidRPr="00892DE3">
              <w:t xml:space="preserve"> </w:t>
            </w:r>
            <w:r w:rsidRPr="00892DE3">
              <w:rPr>
                <w:rStyle w:val="SourceReference"/>
              </w:rPr>
              <w:t>[AASB 5]</w:t>
            </w:r>
          </w:p>
          <w:p w:rsidR="00CB16CC" w:rsidRPr="00892DE3" w:rsidRDefault="00CB16CC" w:rsidP="00CB16CC">
            <w:pPr>
              <w:pStyle w:val="ListBullet"/>
            </w:pPr>
            <w:r w:rsidRPr="00892DE3">
              <w:t>property, plant and equipment; and</w:t>
            </w:r>
          </w:p>
          <w:p w:rsidR="00CB16CC" w:rsidRPr="00892DE3" w:rsidRDefault="00CB16CC" w:rsidP="00CB16CC">
            <w:pPr>
              <w:pStyle w:val="ListBullet"/>
            </w:pPr>
            <w:r w:rsidRPr="00892DE3">
              <w:t>intangible assets.</w:t>
            </w:r>
          </w:p>
        </w:tc>
        <w:tc>
          <w:tcPr>
            <w:tcW w:w="4927" w:type="dxa"/>
          </w:tcPr>
          <w:p w:rsidR="00CB16CC" w:rsidRPr="00892DE3" w:rsidRDefault="00CB16CC" w:rsidP="00CB16CC">
            <w:pPr>
              <w:pStyle w:val="ListBullet"/>
            </w:pPr>
            <w:r w:rsidRPr="00892DE3">
              <w:t xml:space="preserve">Trade and other payables; </w:t>
            </w:r>
          </w:p>
          <w:p w:rsidR="00CB16CC" w:rsidRPr="00892DE3" w:rsidRDefault="00CB16CC" w:rsidP="00CB16CC">
            <w:pPr>
              <w:pStyle w:val="ListBullet"/>
            </w:pPr>
            <w:r w:rsidRPr="00892DE3">
              <w:t>liabilities held for sale;</w:t>
            </w:r>
          </w:p>
          <w:p w:rsidR="00CB16CC" w:rsidRPr="00892DE3" w:rsidRDefault="00CB16CC" w:rsidP="00CB16CC">
            <w:pPr>
              <w:pStyle w:val="ListBullet"/>
            </w:pPr>
            <w:r w:rsidRPr="00892DE3">
              <w:t>current tax liabilities;</w:t>
            </w:r>
          </w:p>
          <w:p w:rsidR="00CB16CC" w:rsidRPr="00892DE3" w:rsidRDefault="00CB16CC" w:rsidP="00CB16CC">
            <w:pPr>
              <w:pStyle w:val="ListBullet"/>
            </w:pPr>
            <w:r w:rsidRPr="00892DE3">
              <w:t>deferred tax liabilities;</w:t>
            </w:r>
          </w:p>
          <w:p w:rsidR="00CB16CC" w:rsidRPr="00892DE3" w:rsidRDefault="00CB16CC" w:rsidP="00CB16CC">
            <w:pPr>
              <w:pStyle w:val="ListBullet"/>
            </w:pPr>
            <w:r w:rsidRPr="00892DE3">
              <w:t>liabilities included in disposal groups classified as held for sale</w:t>
            </w:r>
            <w:r w:rsidR="00CF175A" w:rsidRPr="00892DE3">
              <w:t>;</w:t>
            </w:r>
            <w:r w:rsidRPr="00892DE3">
              <w:t xml:space="preserve"> </w:t>
            </w:r>
            <w:r w:rsidRPr="00892DE3">
              <w:rPr>
                <w:rStyle w:val="SourceReference"/>
              </w:rPr>
              <w:t>[AASB 5]</w:t>
            </w:r>
          </w:p>
          <w:p w:rsidR="00CB16CC" w:rsidRPr="00892DE3" w:rsidRDefault="00CB16CC" w:rsidP="00CB16CC">
            <w:pPr>
              <w:pStyle w:val="ListBullet"/>
            </w:pPr>
            <w:r w:rsidRPr="00892DE3">
              <w:t>financial liabilities; and</w:t>
            </w:r>
          </w:p>
          <w:p w:rsidR="00CB16CC" w:rsidRPr="00892DE3" w:rsidRDefault="00CB16CC" w:rsidP="00CB16CC">
            <w:pPr>
              <w:pStyle w:val="ListBullet"/>
            </w:pPr>
            <w:r w:rsidRPr="00892DE3">
              <w:t>provisions.</w:t>
            </w:r>
          </w:p>
        </w:tc>
      </w:tr>
      <w:tr w:rsidR="00CB16CC" w:rsidRPr="00892DE3" w:rsidTr="009D1EA3">
        <w:tc>
          <w:tcPr>
            <w:tcW w:w="9854" w:type="dxa"/>
            <w:gridSpan w:val="2"/>
          </w:tcPr>
          <w:p w:rsidR="00CB16CC" w:rsidRPr="00892DE3" w:rsidRDefault="00CB16CC" w:rsidP="00CB16CC">
            <w:pPr>
              <w:rPr>
                <w:b/>
              </w:rPr>
            </w:pPr>
            <w:r w:rsidRPr="00892DE3">
              <w:rPr>
                <w:b/>
              </w:rPr>
              <w:t>Reminders</w:t>
            </w:r>
          </w:p>
          <w:p w:rsidR="00CB16CC" w:rsidRPr="00892DE3" w:rsidRDefault="00CB16CC" w:rsidP="00CB16CC">
            <w:pPr>
              <w:pStyle w:val="ListBullet"/>
            </w:pPr>
            <w:r w:rsidRPr="00892DE3">
              <w:t>Where there are no amounts applicable to any individual line item, that line item should be omitted from the balance sheet.</w:t>
            </w:r>
          </w:p>
          <w:p w:rsidR="00CB16CC" w:rsidRPr="00892DE3" w:rsidRDefault="00CB16CC" w:rsidP="00CB16CC">
            <w:pPr>
              <w:pStyle w:val="ListBullet"/>
            </w:pPr>
            <w:r w:rsidRPr="00892DE3">
              <w:t>Additional line items, headings and subtotals shall be presented in the balance sheet when such presentation is relevant to an understanding of the entity's financial position.</w:t>
            </w:r>
          </w:p>
        </w:tc>
      </w:tr>
    </w:tbl>
    <w:p w:rsidR="00C23F0A" w:rsidRPr="00892DE3" w:rsidRDefault="00C23F0A" w:rsidP="00C23F0A">
      <w:pPr>
        <w:keepLines w:val="0"/>
      </w:pPr>
    </w:p>
    <w:p w:rsidR="00A1717E" w:rsidRPr="00892DE3" w:rsidRDefault="00A1717E" w:rsidP="00C23F0A">
      <w:pPr>
        <w:keepLines w:val="0"/>
        <w:sectPr w:rsidR="00A1717E" w:rsidRPr="00892DE3" w:rsidSect="009C1D64">
          <w:footerReference w:type="first" r:id="rId86"/>
          <w:pgSz w:w="11906" w:h="16838" w:code="9"/>
          <w:pgMar w:top="1134" w:right="1134" w:bottom="1134" w:left="1134" w:header="624" w:footer="567" w:gutter="0"/>
          <w:cols w:sep="1" w:space="567"/>
          <w:titlePg/>
          <w:docGrid w:linePitch="360"/>
        </w:sectPr>
      </w:pPr>
    </w:p>
    <w:p w:rsidR="00283B36" w:rsidRPr="00892DE3" w:rsidRDefault="00283B36" w:rsidP="00AD1758">
      <w:pPr>
        <w:pStyle w:val="Heading2nonTOC"/>
      </w:pPr>
      <w:bookmarkStart w:id="78" w:name="CashFlowStatement"/>
      <w:bookmarkStart w:id="79" w:name="_Toc477967529"/>
      <w:r w:rsidRPr="00892DE3">
        <w:lastRenderedPageBreak/>
        <w:t>Cash flow statement</w:t>
      </w:r>
      <w:bookmarkEnd w:id="78"/>
      <w:bookmarkEnd w:id="79"/>
    </w:p>
    <w:p w:rsidR="00283B36" w:rsidRPr="00892DE3" w:rsidRDefault="00283B36" w:rsidP="00283B36">
      <w:pPr>
        <w:pStyle w:val="TableHeading"/>
      </w:pPr>
      <w:r w:rsidRPr="00892DE3">
        <w:t>For the financial year ended 30 June 2017</w:t>
      </w:r>
      <w:r w:rsidRPr="00892DE3">
        <w:tab/>
        <w:t>($ thousand)</w:t>
      </w:r>
    </w:p>
    <w:tbl>
      <w:tblPr>
        <w:tblStyle w:val="ModelReportFinancialTable"/>
        <w:tblW w:w="0" w:type="auto"/>
        <w:tblLayout w:type="fixed"/>
        <w:tblLook w:val="06A0" w:firstRow="1" w:lastRow="0" w:firstColumn="1" w:lastColumn="0" w:noHBand="1" w:noVBand="1"/>
      </w:tblPr>
      <w:tblGrid>
        <w:gridCol w:w="1583"/>
        <w:gridCol w:w="5429"/>
        <w:gridCol w:w="904"/>
        <w:gridCol w:w="896"/>
        <w:gridCol w:w="912"/>
      </w:tblGrid>
      <w:tr w:rsidR="00283B36" w:rsidRPr="00892DE3" w:rsidTr="00CF17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Source reference</w:t>
            </w:r>
          </w:p>
        </w:tc>
        <w:tc>
          <w:tcPr>
            <w:tcW w:w="5429" w:type="dxa"/>
          </w:tcPr>
          <w:p w:rsidR="00283B36" w:rsidRPr="00892DE3" w:rsidRDefault="00283B36" w:rsidP="00236530">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904" w:type="dxa"/>
          </w:tcPr>
          <w:p w:rsidR="00283B36" w:rsidRPr="00892DE3" w:rsidRDefault="00283B36" w:rsidP="00236530">
            <w:pPr>
              <w:ind w:left="170" w:hanging="17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96" w:type="dxa"/>
          </w:tcPr>
          <w:p w:rsidR="00283B36" w:rsidRPr="00892DE3" w:rsidRDefault="00283B36" w:rsidP="00236530">
            <w:pPr>
              <w:ind w:left="170" w:hanging="170"/>
              <w:cnfStyle w:val="100000000000" w:firstRow="1" w:lastRow="0" w:firstColumn="0" w:lastColumn="0" w:oddVBand="0" w:evenVBand="0" w:oddHBand="0" w:evenHBand="0" w:firstRowFirstColumn="0" w:firstRowLastColumn="0" w:lastRowFirstColumn="0" w:lastRowLastColumn="0"/>
            </w:pPr>
            <w:r w:rsidRPr="00892DE3">
              <w:t>2017</w:t>
            </w:r>
          </w:p>
        </w:tc>
        <w:tc>
          <w:tcPr>
            <w:tcW w:w="912" w:type="dxa"/>
          </w:tcPr>
          <w:p w:rsidR="00283B36" w:rsidRPr="00892DE3" w:rsidRDefault="00283B36" w:rsidP="00236530">
            <w:pPr>
              <w:ind w:left="170" w:hanging="170"/>
              <w:cnfStyle w:val="100000000000" w:firstRow="1" w:lastRow="0" w:firstColumn="0" w:lastColumn="0" w:oddVBand="0" w:evenVBand="0" w:oddHBand="0" w:evenHBand="0" w:firstRowFirstColumn="0" w:firstRowLastColumn="0" w:lastRowFirstColumn="0" w:lastRowLastColumn="0"/>
            </w:pPr>
            <w:r w:rsidRPr="00892DE3">
              <w:t>2016</w:t>
            </w:r>
          </w:p>
        </w:tc>
      </w:tr>
      <w:tr w:rsidR="00283B36" w:rsidRPr="00892DE3" w:rsidTr="00CF175A">
        <w:trPr>
          <w:trHeight w:val="113"/>
        </w:trPr>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107.10</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Cash flows from operating activities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283B36" w:rsidRPr="00892DE3" w:rsidTr="00CF175A">
        <w:trPr>
          <w:trHeight w:val="57"/>
        </w:trPr>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Receipts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Receipts from government</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78 344</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87 135</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Receipts from other entities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5 536</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4 373</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107.31</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received</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1 749</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1 606</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107.31</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Dividends received </w:t>
            </w:r>
            <w:r w:rsidR="00CF175A" w:rsidRPr="00892DE3">
              <w:rPr>
                <w:vertAlign w:val="superscript"/>
              </w:rPr>
              <w:t>(a</w:t>
            </w:r>
            <w:r w:rsidRPr="00892DE3">
              <w:rPr>
                <w:vertAlign w:val="superscript"/>
              </w:rPr>
              <w:t>)</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1 698</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1 611</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bottom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receipts</w:t>
            </w:r>
          </w:p>
        </w:tc>
        <w:tc>
          <w:tcPr>
            <w:tcW w:w="904" w:type="dxa"/>
            <w:tcBorders>
              <w:bottom w:val="single" w:sz="6" w:space="0" w:color="auto"/>
            </w:tcBorders>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516</w:t>
            </w:r>
          </w:p>
        </w:tc>
        <w:tc>
          <w:tcPr>
            <w:tcW w:w="912" w:type="dxa"/>
            <w:tcBorders>
              <w:bottom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262</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top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receipts </w:t>
            </w:r>
          </w:p>
        </w:tc>
        <w:tc>
          <w:tcPr>
            <w:tcW w:w="904" w:type="dxa"/>
            <w:tcBorders>
              <w:top w:val="single" w:sz="6" w:space="0" w:color="auto"/>
            </w:tcBorders>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tcBorders>
              <w:top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87 843</w:t>
            </w:r>
          </w:p>
        </w:tc>
        <w:tc>
          <w:tcPr>
            <w:tcW w:w="912" w:type="dxa"/>
            <w:tcBorders>
              <w:top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94 987</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Payments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of grant expenses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(36 227)</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(47 011)</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101.14(c)(d)</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to suppliers and employees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(22 979)</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(19 167)</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Interpretation 1031.11</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Goods and services tax paid to the ATO </w:t>
            </w:r>
            <w:r w:rsidR="00CF175A" w:rsidRPr="00892DE3">
              <w:rPr>
                <w:vertAlign w:val="superscript"/>
              </w:rPr>
              <w:t>(b</w:t>
            </w:r>
            <w:r w:rsidRPr="00892DE3">
              <w:rPr>
                <w:vertAlign w:val="superscript"/>
              </w:rPr>
              <w:t>)</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(3 055)</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(3 497)</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Capital asset charge payments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(1 567)</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( 952)</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107.31</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and other costs of finance paid</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(2 427)</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(2 507)</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bottom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payments</w:t>
            </w:r>
          </w:p>
        </w:tc>
        <w:tc>
          <w:tcPr>
            <w:tcW w:w="904" w:type="dxa"/>
            <w:tcBorders>
              <w:bottom w:val="single" w:sz="6" w:space="0" w:color="auto"/>
            </w:tcBorders>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(6 382)</w:t>
            </w:r>
          </w:p>
        </w:tc>
        <w:tc>
          <w:tcPr>
            <w:tcW w:w="912" w:type="dxa"/>
            <w:tcBorders>
              <w:bottom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(3 200)</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top w:val="single" w:sz="6" w:space="0" w:color="auto"/>
              <w:bottom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payments</w:t>
            </w:r>
          </w:p>
        </w:tc>
        <w:tc>
          <w:tcPr>
            <w:tcW w:w="904" w:type="dxa"/>
            <w:tcBorders>
              <w:top w:val="single" w:sz="6" w:space="0" w:color="auto"/>
              <w:bottom w:val="single" w:sz="6" w:space="0" w:color="auto"/>
            </w:tcBorders>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tcBorders>
              <w:top w:val="single" w:sz="6" w:space="0" w:color="auto"/>
              <w:bottom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(72 637)</w:t>
            </w:r>
          </w:p>
        </w:tc>
        <w:tc>
          <w:tcPr>
            <w:tcW w:w="912" w:type="dxa"/>
            <w:tcBorders>
              <w:top w:val="single" w:sz="6" w:space="0" w:color="auto"/>
              <w:bottom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(76 334)</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top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cash flows from/(used in) operating activities</w:t>
            </w:r>
          </w:p>
        </w:tc>
        <w:tc>
          <w:tcPr>
            <w:tcW w:w="904" w:type="dxa"/>
            <w:tcBorders>
              <w:top w:val="single" w:sz="6" w:space="0" w:color="auto"/>
            </w:tcBorders>
          </w:tcPr>
          <w:p w:rsidR="00283B36" w:rsidRPr="00892DE3" w:rsidRDefault="00DB37B4" w:rsidP="00236530">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7.3.1</w:t>
            </w:r>
          </w:p>
        </w:tc>
        <w:tc>
          <w:tcPr>
            <w:tcW w:w="896" w:type="dxa"/>
            <w:tcBorders>
              <w:top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15 207</w:t>
            </w:r>
          </w:p>
        </w:tc>
        <w:tc>
          <w:tcPr>
            <w:tcW w:w="912" w:type="dxa"/>
            <w:tcBorders>
              <w:top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18 654</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107.10</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Cash flows from investing activities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sz w:val="17"/>
                <w:szCs w:val="17"/>
              </w:rPr>
            </w:pPr>
            <w:r w:rsidRPr="00892DE3">
              <w:rPr>
                <w:b/>
                <w:sz w:val="17"/>
                <w:szCs w:val="17"/>
              </w:rPr>
              <w:t xml:space="preserve"> </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sz w:val="17"/>
                <w:szCs w:val="17"/>
              </w:rPr>
            </w:pPr>
            <w:r w:rsidRPr="00892DE3">
              <w:rPr>
                <w:b/>
                <w:sz w:val="17"/>
                <w:szCs w:val="17"/>
              </w:rPr>
              <w:t xml:space="preserve"> </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107.16(c)</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Payments for investments </w:t>
            </w:r>
            <w:r w:rsidRPr="00892DE3">
              <w:rPr>
                <w:vertAlign w:val="superscript"/>
              </w:rPr>
              <w:t>(</w:t>
            </w:r>
            <w:r w:rsidR="00CF175A" w:rsidRPr="00892DE3">
              <w:rPr>
                <w:vertAlign w:val="superscript"/>
              </w:rPr>
              <w:t>c</w:t>
            </w:r>
            <w:r w:rsidRPr="00892DE3">
              <w:rPr>
                <w:vertAlign w:val="superscript"/>
              </w:rPr>
              <w:t>)</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(6 364)</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(13 386)</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107.16(d)</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Proceeds from sale of investments </w:t>
            </w:r>
            <w:r w:rsidRPr="00892DE3">
              <w:rPr>
                <w:vertAlign w:val="superscript"/>
              </w:rPr>
              <w:t>(</w:t>
            </w:r>
            <w:r w:rsidR="00CF175A" w:rsidRPr="00892DE3">
              <w:rPr>
                <w:vertAlign w:val="superscript"/>
              </w:rPr>
              <w:t>c</w:t>
            </w:r>
            <w:r w:rsidRPr="00892DE3">
              <w:rPr>
                <w:vertAlign w:val="superscript"/>
              </w:rPr>
              <w:t>)</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7 857</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2 409</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107.16(a)</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Purchases of non</w:t>
            </w:r>
            <w:r w:rsidRPr="00892DE3">
              <w:noBreakHyphen/>
              <w:t>financial assets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(23 828)</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(19 438)</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107.16(b)</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Sales of non</w:t>
            </w:r>
            <w:r w:rsidRPr="00892DE3">
              <w:noBreakHyphen/>
              <w:t>financial assets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2 855</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7 428</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107.16(e)</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Loans granted to other parties </w:t>
            </w:r>
            <w:r w:rsidRPr="00892DE3">
              <w:rPr>
                <w:vertAlign w:val="superscript"/>
              </w:rPr>
              <w:t>(</w:t>
            </w:r>
            <w:r w:rsidR="00CF175A" w:rsidRPr="00892DE3">
              <w:rPr>
                <w:vertAlign w:val="superscript"/>
              </w:rPr>
              <w:t>d</w:t>
            </w:r>
            <w:r w:rsidRPr="00892DE3">
              <w:rPr>
                <w:vertAlign w:val="superscript"/>
              </w:rPr>
              <w:t>)</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( 390)</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( 277)</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107.16(f)</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Repayments of loans from other parties </w:t>
            </w:r>
            <w:r w:rsidRPr="00892DE3">
              <w:rPr>
                <w:vertAlign w:val="superscript"/>
              </w:rPr>
              <w:t>(</w:t>
            </w:r>
            <w:r w:rsidR="00CF175A" w:rsidRPr="00892DE3">
              <w:rPr>
                <w:vertAlign w:val="superscript"/>
              </w:rPr>
              <w:t>d</w:t>
            </w:r>
            <w:r w:rsidRPr="00892DE3">
              <w:rPr>
                <w:vertAlign w:val="superscript"/>
              </w:rPr>
              <w:t>)</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78</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140</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Proceeds from disposal of activity</w:t>
            </w:r>
          </w:p>
        </w:tc>
        <w:tc>
          <w:tcPr>
            <w:tcW w:w="904" w:type="dxa"/>
          </w:tcPr>
          <w:p w:rsidR="00283B36" w:rsidRPr="00892DE3" w:rsidRDefault="00DB37B4" w:rsidP="00236530">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5.7.2</w:t>
            </w: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17 795</w:t>
            </w:r>
          </w:p>
        </w:tc>
        <w:tc>
          <w:tcPr>
            <w:tcW w:w="912" w:type="dxa"/>
          </w:tcPr>
          <w:p w:rsidR="00283B36" w:rsidRPr="00892DE3" w:rsidRDefault="00B617DA" w:rsidP="0023653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bottom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for purchase of activity</w:t>
            </w:r>
          </w:p>
        </w:tc>
        <w:tc>
          <w:tcPr>
            <w:tcW w:w="904" w:type="dxa"/>
            <w:tcBorders>
              <w:bottom w:val="single" w:sz="6" w:space="0" w:color="auto"/>
            </w:tcBorders>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(23 407)</w:t>
            </w:r>
          </w:p>
        </w:tc>
        <w:tc>
          <w:tcPr>
            <w:tcW w:w="912" w:type="dxa"/>
            <w:tcBorders>
              <w:bottom w:val="single" w:sz="6" w:space="0" w:color="auto"/>
            </w:tcBorders>
          </w:tcPr>
          <w:p w:rsidR="00283B36" w:rsidRPr="00892DE3" w:rsidRDefault="00B617DA" w:rsidP="0023653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top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cash flows from/(used in) investing activities</w:t>
            </w:r>
          </w:p>
        </w:tc>
        <w:tc>
          <w:tcPr>
            <w:tcW w:w="904" w:type="dxa"/>
            <w:tcBorders>
              <w:top w:val="single" w:sz="6" w:space="0" w:color="auto"/>
            </w:tcBorders>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tcBorders>
              <w:top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(25 403)</w:t>
            </w:r>
          </w:p>
        </w:tc>
        <w:tc>
          <w:tcPr>
            <w:tcW w:w="912" w:type="dxa"/>
            <w:tcBorders>
              <w:top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(23 124)</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107.10</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Cash flows from financing activities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Cash received from activities transferred in – </w:t>
            </w:r>
            <w:r w:rsidR="00236530" w:rsidRPr="00892DE3">
              <w:t xml:space="preserve">machinery </w:t>
            </w:r>
            <w:r w:rsidRPr="00892DE3">
              <w:t>o</w:t>
            </w:r>
            <w:r w:rsidR="00236530" w:rsidRPr="00892DE3">
              <w:t>f government</w:t>
            </w:r>
            <w:r w:rsidRPr="00892DE3">
              <w:t xml:space="preserve"> changes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w:t>
            </w:r>
          </w:p>
        </w:tc>
        <w:tc>
          <w:tcPr>
            <w:tcW w:w="912" w:type="dxa"/>
          </w:tcPr>
          <w:p w:rsidR="00283B36" w:rsidRPr="00892DE3" w:rsidRDefault="00B617DA" w:rsidP="0023653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transferred on activities transferred out –</w:t>
            </w:r>
            <w:r w:rsidR="00236530" w:rsidRPr="00892DE3">
              <w:t xml:space="preserve"> machinery </w:t>
            </w:r>
            <w:r w:rsidRPr="00892DE3">
              <w:t>o</w:t>
            </w:r>
            <w:r w:rsidR="00236530" w:rsidRPr="00892DE3">
              <w:t>f government</w:t>
            </w:r>
            <w:r w:rsidRPr="00892DE3">
              <w:t xml:space="preserve"> changes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(3 072)</w:t>
            </w:r>
          </w:p>
        </w:tc>
        <w:tc>
          <w:tcPr>
            <w:tcW w:w="912" w:type="dxa"/>
          </w:tcPr>
          <w:p w:rsidR="00283B36" w:rsidRPr="00892DE3" w:rsidRDefault="00B617DA" w:rsidP="0023653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Owner contributions by State Government – appropriation for capital expenditure purposes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5 750</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10 500</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107.17(c)</w:t>
            </w: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Proceeds from borrowings</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34 673</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7 255</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107.17(d)(e)</w:t>
            </w:r>
          </w:p>
        </w:tc>
        <w:tc>
          <w:tcPr>
            <w:tcW w:w="5429" w:type="dxa"/>
            <w:tcBorders>
              <w:bottom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Repayment of borrowings and finance leases</w:t>
            </w:r>
          </w:p>
        </w:tc>
        <w:tc>
          <w:tcPr>
            <w:tcW w:w="904" w:type="dxa"/>
            <w:tcBorders>
              <w:bottom w:val="single" w:sz="6" w:space="0" w:color="auto"/>
            </w:tcBorders>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(6 749)</w:t>
            </w:r>
          </w:p>
        </w:tc>
        <w:tc>
          <w:tcPr>
            <w:tcW w:w="912" w:type="dxa"/>
            <w:tcBorders>
              <w:bottom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(4 044)</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top w:val="single" w:sz="6" w:space="0" w:color="auto"/>
              <w:bottom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Net cash flows from/(used in) financing activities</w:t>
            </w:r>
          </w:p>
        </w:tc>
        <w:tc>
          <w:tcPr>
            <w:tcW w:w="904" w:type="dxa"/>
            <w:tcBorders>
              <w:top w:val="single" w:sz="6" w:space="0" w:color="auto"/>
              <w:bottom w:val="single" w:sz="6" w:space="0" w:color="auto"/>
            </w:tcBorders>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rPr>
                <w:b/>
                <w:sz w:val="17"/>
                <w:szCs w:val="17"/>
              </w:rPr>
            </w:pPr>
          </w:p>
        </w:tc>
        <w:tc>
          <w:tcPr>
            <w:tcW w:w="896" w:type="dxa"/>
            <w:tcBorders>
              <w:top w:val="single" w:sz="6" w:space="0" w:color="auto"/>
              <w:bottom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30 607</w:t>
            </w:r>
          </w:p>
        </w:tc>
        <w:tc>
          <w:tcPr>
            <w:tcW w:w="912" w:type="dxa"/>
            <w:tcBorders>
              <w:top w:val="single" w:sz="6" w:space="0" w:color="auto"/>
              <w:bottom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13 711</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top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Net increase/(decrease) in cash and cash equivalents</w:t>
            </w:r>
          </w:p>
        </w:tc>
        <w:tc>
          <w:tcPr>
            <w:tcW w:w="904" w:type="dxa"/>
            <w:tcBorders>
              <w:top w:val="single" w:sz="6" w:space="0" w:color="auto"/>
            </w:tcBorders>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rPr>
                <w:b/>
                <w:sz w:val="17"/>
                <w:szCs w:val="17"/>
              </w:rPr>
            </w:pPr>
          </w:p>
        </w:tc>
        <w:tc>
          <w:tcPr>
            <w:tcW w:w="896" w:type="dxa"/>
            <w:tcBorders>
              <w:top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20 411</w:t>
            </w:r>
          </w:p>
        </w:tc>
        <w:tc>
          <w:tcPr>
            <w:tcW w:w="912" w:type="dxa"/>
            <w:tcBorders>
              <w:top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9 241</w:t>
            </w:r>
          </w:p>
        </w:tc>
      </w:tr>
      <w:tr w:rsidR="00283B36" w:rsidRPr="00892DE3" w:rsidTr="00CF175A">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and cash equivalents at beginning of financial year</w:t>
            </w:r>
          </w:p>
        </w:tc>
        <w:tc>
          <w:tcPr>
            <w:tcW w:w="904" w:type="dxa"/>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44 494</w:t>
            </w:r>
          </w:p>
        </w:tc>
        <w:tc>
          <w:tcPr>
            <w:tcW w:w="912" w:type="dxa"/>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35 094</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r w:rsidRPr="00892DE3">
              <w:t>AASB 107.28</w:t>
            </w:r>
          </w:p>
        </w:tc>
        <w:tc>
          <w:tcPr>
            <w:tcW w:w="5429" w:type="dxa"/>
            <w:tcBorders>
              <w:bottom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pPr>
            <w:r w:rsidRPr="00892DE3">
              <w:t>Effect of exchange rate fluctuations on cash held in foreign currency</w:t>
            </w:r>
          </w:p>
        </w:tc>
        <w:tc>
          <w:tcPr>
            <w:tcW w:w="904" w:type="dxa"/>
            <w:tcBorders>
              <w:bottom w:val="single" w:sz="6" w:space="0" w:color="auto"/>
            </w:tcBorders>
          </w:tcPr>
          <w:p w:rsidR="00283B36" w:rsidRPr="00892DE3" w:rsidRDefault="00283B36" w:rsidP="00236530">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( 471)</w:t>
            </w:r>
          </w:p>
        </w:tc>
        <w:tc>
          <w:tcPr>
            <w:tcW w:w="912" w:type="dxa"/>
            <w:tcBorders>
              <w:bottom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160</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top w:val="single" w:sz="6" w:space="0" w:color="auto"/>
              <w:bottom w:val="single" w:sz="6"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Cash and cash equivalents at end of financial year</w:t>
            </w:r>
          </w:p>
        </w:tc>
        <w:tc>
          <w:tcPr>
            <w:tcW w:w="904" w:type="dxa"/>
            <w:tcBorders>
              <w:top w:val="single" w:sz="6" w:space="0" w:color="auto"/>
              <w:bottom w:val="single" w:sz="6" w:space="0" w:color="auto"/>
            </w:tcBorders>
          </w:tcPr>
          <w:p w:rsidR="00283B36" w:rsidRPr="00892DE3" w:rsidRDefault="00DB37B4" w:rsidP="00236530">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7.3</w:t>
            </w:r>
          </w:p>
        </w:tc>
        <w:tc>
          <w:tcPr>
            <w:tcW w:w="896" w:type="dxa"/>
            <w:tcBorders>
              <w:top w:val="single" w:sz="6" w:space="0" w:color="auto"/>
              <w:bottom w:val="single" w:sz="6"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64 434</w:t>
            </w:r>
          </w:p>
        </w:tc>
        <w:tc>
          <w:tcPr>
            <w:tcW w:w="912" w:type="dxa"/>
            <w:tcBorders>
              <w:top w:val="single" w:sz="6" w:space="0" w:color="auto"/>
              <w:bottom w:val="single" w:sz="6"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44 494</w:t>
            </w:r>
          </w:p>
        </w:tc>
      </w:tr>
      <w:tr w:rsidR="00283B36" w:rsidRPr="00892DE3" w:rsidTr="00881DC0">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283B36" w:rsidRPr="00892DE3" w:rsidRDefault="00283B36" w:rsidP="00236530">
            <w:pPr>
              <w:ind w:left="170" w:hanging="170"/>
            </w:pPr>
          </w:p>
        </w:tc>
        <w:tc>
          <w:tcPr>
            <w:tcW w:w="5429" w:type="dxa"/>
            <w:tcBorders>
              <w:top w:val="single" w:sz="6" w:space="0" w:color="auto"/>
              <w:bottom w:val="single" w:sz="12" w:space="0" w:color="auto"/>
            </w:tcBorders>
          </w:tcPr>
          <w:p w:rsidR="00283B36" w:rsidRPr="00892DE3" w:rsidRDefault="00283B36" w:rsidP="00236530">
            <w:pPr>
              <w:ind w:left="170" w:hanging="170"/>
              <w:jc w:val="left"/>
              <w:cnfStyle w:val="000000000000" w:firstRow="0" w:lastRow="0" w:firstColumn="0" w:lastColumn="0" w:oddVBand="0" w:evenVBand="0" w:oddHBand="0" w:evenHBand="0" w:firstRowFirstColumn="0" w:firstRowLastColumn="0" w:lastRowFirstColumn="0" w:lastRowLastColumn="0"/>
              <w:rPr>
                <w:sz w:val="17"/>
                <w:szCs w:val="17"/>
              </w:rPr>
            </w:pPr>
            <w:r w:rsidRPr="00892DE3">
              <w:t>Non</w:t>
            </w:r>
            <w:r w:rsidRPr="00892DE3">
              <w:noBreakHyphen/>
              <w:t>cash transactions</w:t>
            </w:r>
          </w:p>
        </w:tc>
        <w:tc>
          <w:tcPr>
            <w:tcW w:w="904" w:type="dxa"/>
            <w:tcBorders>
              <w:top w:val="single" w:sz="6" w:space="0" w:color="auto"/>
              <w:bottom w:val="single" w:sz="12" w:space="0" w:color="auto"/>
            </w:tcBorders>
          </w:tcPr>
          <w:p w:rsidR="00283B36" w:rsidRPr="00892DE3" w:rsidRDefault="00DB37B4" w:rsidP="00236530">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7.3.2</w:t>
            </w:r>
          </w:p>
        </w:tc>
        <w:tc>
          <w:tcPr>
            <w:tcW w:w="896" w:type="dxa"/>
            <w:tcBorders>
              <w:top w:val="single" w:sz="6" w:space="0" w:color="auto"/>
              <w:bottom w:val="single" w:sz="12" w:space="0" w:color="auto"/>
            </w:tcBorders>
            <w:shd w:val="clear" w:color="auto" w:fill="EBEBEB" w:themeFill="background2"/>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sz w:val="17"/>
                <w:szCs w:val="17"/>
              </w:rPr>
            </w:pPr>
            <w:r w:rsidRPr="00892DE3">
              <w:rPr>
                <w:sz w:val="17"/>
                <w:szCs w:val="17"/>
              </w:rPr>
              <w:t xml:space="preserve"> </w:t>
            </w:r>
          </w:p>
        </w:tc>
        <w:tc>
          <w:tcPr>
            <w:tcW w:w="912" w:type="dxa"/>
            <w:tcBorders>
              <w:top w:val="single" w:sz="6" w:space="0" w:color="auto"/>
              <w:bottom w:val="single" w:sz="12" w:space="0" w:color="auto"/>
            </w:tcBorders>
          </w:tcPr>
          <w:p w:rsidR="00283B36" w:rsidRPr="00892DE3" w:rsidRDefault="00283B36" w:rsidP="00236530">
            <w:pPr>
              <w:ind w:left="170" w:hanging="170"/>
              <w:cnfStyle w:val="000000000000" w:firstRow="0" w:lastRow="0" w:firstColumn="0" w:lastColumn="0" w:oddVBand="0" w:evenVBand="0" w:oddHBand="0" w:evenHBand="0" w:firstRowFirstColumn="0" w:firstRowLastColumn="0" w:lastRowFirstColumn="0" w:lastRowLastColumn="0"/>
              <w:rPr>
                <w:sz w:val="17"/>
                <w:szCs w:val="17"/>
              </w:rPr>
            </w:pPr>
            <w:r w:rsidRPr="00892DE3">
              <w:rPr>
                <w:sz w:val="17"/>
                <w:szCs w:val="17"/>
              </w:rPr>
              <w:t xml:space="preserve"> </w:t>
            </w:r>
          </w:p>
        </w:tc>
      </w:tr>
    </w:tbl>
    <w:p w:rsidR="00283B36" w:rsidRPr="00892DE3" w:rsidRDefault="00283B36" w:rsidP="00283B36">
      <w:pPr>
        <w:pStyle w:val="Source"/>
      </w:pPr>
      <w:r w:rsidRPr="00892DE3">
        <w:t>The accompanying notes form part of these financial statements.</w:t>
      </w:r>
    </w:p>
    <w:p w:rsidR="00283B36" w:rsidRPr="00892DE3" w:rsidRDefault="00283B36" w:rsidP="00283B36">
      <w:pPr>
        <w:pStyle w:val="Note"/>
      </w:pPr>
      <w:r w:rsidRPr="00892DE3">
        <w:t>Notes:</w:t>
      </w:r>
    </w:p>
    <w:p w:rsidR="00283B36" w:rsidRPr="00892DE3" w:rsidRDefault="00283B36" w:rsidP="00283B36">
      <w:pPr>
        <w:pStyle w:val="Note"/>
      </w:pPr>
      <w:r w:rsidRPr="00892DE3">
        <w:t>(</w:t>
      </w:r>
      <w:r w:rsidR="00CF175A" w:rsidRPr="00892DE3">
        <w:t>a</w:t>
      </w:r>
      <w:r w:rsidRPr="00892DE3">
        <w:t>)</w:t>
      </w:r>
      <w:r w:rsidRPr="00892DE3">
        <w:tab/>
        <w:t>‘Dividends received’ is recognised as cash flow from operating activities. In contrast, ‘dividends paid’ is recognised as cash flow from financing activities.</w:t>
      </w:r>
    </w:p>
    <w:p w:rsidR="00283B36" w:rsidRPr="00892DE3" w:rsidRDefault="00283B36" w:rsidP="00283B36">
      <w:pPr>
        <w:pStyle w:val="Note"/>
      </w:pPr>
      <w:r w:rsidRPr="00892DE3">
        <w:t>(</w:t>
      </w:r>
      <w:r w:rsidR="00CF175A" w:rsidRPr="00892DE3">
        <w:t>b</w:t>
      </w:r>
      <w:r w:rsidR="00236530" w:rsidRPr="00892DE3">
        <w:t>)</w:t>
      </w:r>
      <w:r w:rsidR="00236530" w:rsidRPr="00892DE3">
        <w:tab/>
        <w:t>GST paid to the Australian Taxation Office</w:t>
      </w:r>
      <w:r w:rsidRPr="00892DE3">
        <w:t xml:space="preserve"> is presented on a net basis.</w:t>
      </w:r>
    </w:p>
    <w:p w:rsidR="00283B36" w:rsidRPr="00892DE3" w:rsidRDefault="00CF175A" w:rsidP="00283B36">
      <w:pPr>
        <w:pStyle w:val="Note"/>
      </w:pPr>
      <w:r w:rsidRPr="00892DE3">
        <w:t>(c</w:t>
      </w:r>
      <w:r w:rsidR="00283B36" w:rsidRPr="00892DE3">
        <w:t>)</w:t>
      </w:r>
      <w:r w:rsidR="00283B36" w:rsidRPr="00892DE3">
        <w:tab/>
        <w:t>Includes equity and debt instruments of other entities and interests in joint ventures, other than for those instruments considered to be cash equivalents and those held for dealing or trading purposes.</w:t>
      </w:r>
    </w:p>
    <w:p w:rsidR="00283B36" w:rsidRPr="00892DE3" w:rsidRDefault="00283B36" w:rsidP="00283B36">
      <w:pPr>
        <w:pStyle w:val="Note"/>
      </w:pPr>
      <w:r w:rsidRPr="00892DE3">
        <w:t>(</w:t>
      </w:r>
      <w:r w:rsidR="00CF175A" w:rsidRPr="00892DE3">
        <w:t>d</w:t>
      </w:r>
      <w:r w:rsidRPr="00892DE3">
        <w:t>)</w:t>
      </w:r>
      <w:r w:rsidRPr="00892DE3">
        <w:tab/>
        <w:t>Includes loans granted to/from entities external to the Department and related entities.</w:t>
      </w:r>
    </w:p>
    <w:p w:rsidR="00283B36" w:rsidRPr="00892DE3" w:rsidRDefault="00283B36">
      <w:r w:rsidRPr="00892DE3">
        <w:rPr>
          <w:b/>
        </w:rPr>
        <w:br w:type="page"/>
      </w:r>
    </w:p>
    <w:tbl>
      <w:tblPr>
        <w:tblStyle w:val="ModelReportGuidanceTable"/>
        <w:tblW w:w="0" w:type="auto"/>
        <w:tblLayout w:type="fixed"/>
        <w:tblLook w:val="04A0" w:firstRow="1" w:lastRow="0" w:firstColumn="1" w:lastColumn="0" w:noHBand="0" w:noVBand="1"/>
      </w:tblPr>
      <w:tblGrid>
        <w:gridCol w:w="9854"/>
      </w:tblGrid>
      <w:tr w:rsidR="0037650C"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37650C" w:rsidRPr="00892DE3" w:rsidRDefault="0037650C" w:rsidP="00694CC5">
            <w:r w:rsidRPr="00892DE3">
              <w:lastRenderedPageBreak/>
              <w:t>Guidance – Cash flow statement</w:t>
            </w:r>
          </w:p>
        </w:tc>
      </w:tr>
      <w:tr w:rsidR="0037650C" w:rsidRPr="00892DE3" w:rsidTr="0044350A">
        <w:tc>
          <w:tcPr>
            <w:tcW w:w="9854" w:type="dxa"/>
          </w:tcPr>
          <w:p w:rsidR="0037650C" w:rsidRPr="00892DE3" w:rsidRDefault="0037650C" w:rsidP="0037650C">
            <w:pPr>
              <w:rPr>
                <w:b/>
              </w:rPr>
            </w:pPr>
            <w:r w:rsidRPr="00892DE3">
              <w:rPr>
                <w:b/>
              </w:rPr>
              <w:t xml:space="preserve">Reporting cash flows </w:t>
            </w:r>
          </w:p>
          <w:p w:rsidR="0037650C" w:rsidRPr="00892DE3" w:rsidRDefault="0037650C" w:rsidP="0037650C">
            <w:r w:rsidRPr="00892DE3">
              <w:t xml:space="preserve">An entity presents its cash flows from </w:t>
            </w:r>
            <w:r w:rsidRPr="00892DE3">
              <w:rPr>
                <w:b/>
              </w:rPr>
              <w:t>operating, investing</w:t>
            </w:r>
            <w:r w:rsidRPr="00892DE3">
              <w:t xml:space="preserve"> and </w:t>
            </w:r>
            <w:r w:rsidRPr="00892DE3">
              <w:rPr>
                <w:b/>
              </w:rPr>
              <w:t>financing activities in a manner which is most appropriate to its business</w:t>
            </w:r>
            <w:r w:rsidRPr="00892DE3">
              <w:t xml:space="preserve">. </w:t>
            </w:r>
          </w:p>
          <w:p w:rsidR="0037650C" w:rsidRPr="00892DE3" w:rsidRDefault="0037650C" w:rsidP="0037650C">
            <w:r w:rsidRPr="00892DE3">
              <w:t xml:space="preserve">Although there are two methods for reporting cash flows, the direct or indirect method. DTF supports the use of the direct method, and this method is adopted for this Model. </w:t>
            </w:r>
            <w:r w:rsidRPr="00892DE3">
              <w:rPr>
                <w:rStyle w:val="SourceReference"/>
              </w:rPr>
              <w:t>[AASB 107.11, 107.18]</w:t>
            </w:r>
            <w:r w:rsidRPr="00892DE3">
              <w:t xml:space="preserve"> </w:t>
            </w:r>
          </w:p>
          <w:p w:rsidR="0037650C" w:rsidRPr="00892DE3" w:rsidRDefault="0037650C" w:rsidP="0037650C">
            <w:r w:rsidRPr="00892DE3">
              <w:rPr>
                <w:b/>
              </w:rPr>
              <w:t>Operating activities</w:t>
            </w:r>
            <w:r w:rsidRPr="00892DE3">
              <w:t xml:space="preserve"> </w:t>
            </w:r>
            <w:r w:rsidRPr="00892DE3">
              <w:rPr>
                <w:rStyle w:val="SourceReference"/>
              </w:rPr>
              <w:t>[AASB 107.14]</w:t>
            </w:r>
            <w:r w:rsidRPr="00892DE3">
              <w:t>: Cash flows from operating activities are primarily derived from principal income generating activities and therefore generally arise from transactions and other events used in the determination of net result. Examples of cash inflows and/or outflows from operating activities are associated with:</w:t>
            </w:r>
          </w:p>
          <w:p w:rsidR="0037650C" w:rsidRPr="00892DE3" w:rsidRDefault="0037650C" w:rsidP="0037650C">
            <w:pPr>
              <w:pStyle w:val="List"/>
            </w:pPr>
            <w:r w:rsidRPr="00892DE3">
              <w:t>(a)</w:t>
            </w:r>
            <w:r w:rsidRPr="00892DE3">
              <w:tab/>
              <w:t>the sale of goods and the rendering of services;</w:t>
            </w:r>
          </w:p>
          <w:p w:rsidR="0037650C" w:rsidRPr="00892DE3" w:rsidRDefault="0037650C" w:rsidP="0037650C">
            <w:pPr>
              <w:pStyle w:val="List"/>
            </w:pPr>
            <w:r w:rsidRPr="00892DE3">
              <w:t>(b)</w:t>
            </w:r>
            <w:r w:rsidRPr="00892DE3">
              <w:tab/>
              <w:t>royalty, fees, commissions and other income;</w:t>
            </w:r>
          </w:p>
          <w:p w:rsidR="0037650C" w:rsidRPr="00892DE3" w:rsidRDefault="0037650C" w:rsidP="0037650C">
            <w:pPr>
              <w:pStyle w:val="List"/>
            </w:pPr>
            <w:r w:rsidRPr="00892DE3">
              <w:t>(c)</w:t>
            </w:r>
            <w:r w:rsidRPr="00892DE3">
              <w:tab/>
              <w:t>payments to suppliers for goods and services, including purchases of inventory;</w:t>
            </w:r>
          </w:p>
          <w:p w:rsidR="0037650C" w:rsidRPr="00892DE3" w:rsidRDefault="0037650C" w:rsidP="0037650C">
            <w:pPr>
              <w:pStyle w:val="List"/>
            </w:pPr>
            <w:r w:rsidRPr="00892DE3">
              <w:t>(d)</w:t>
            </w:r>
            <w:r w:rsidRPr="00892DE3">
              <w:tab/>
              <w:t>cash payments to and on behalf of employees;</w:t>
            </w:r>
          </w:p>
          <w:p w:rsidR="0037650C" w:rsidRPr="00892DE3" w:rsidRDefault="0037650C" w:rsidP="0037650C">
            <w:pPr>
              <w:pStyle w:val="List"/>
            </w:pPr>
            <w:r w:rsidRPr="00892DE3">
              <w:t>(e)</w:t>
            </w:r>
            <w:r w:rsidRPr="00892DE3">
              <w:tab/>
              <w:t>premiums and claims, annuities and other policy benefits (for insurance entities);</w:t>
            </w:r>
          </w:p>
          <w:p w:rsidR="0037650C" w:rsidRPr="00892DE3" w:rsidRDefault="0037650C" w:rsidP="0037650C">
            <w:pPr>
              <w:pStyle w:val="List"/>
            </w:pPr>
            <w:r w:rsidRPr="00892DE3">
              <w:t>(f)</w:t>
            </w:r>
            <w:r w:rsidRPr="00892DE3">
              <w:tab/>
              <w:t>income taxes (</w:t>
            </w:r>
            <w:r w:rsidR="00CF175A" w:rsidRPr="00892DE3">
              <w:t xml:space="preserve">only applicable to those entities subject to the </w:t>
            </w:r>
            <w:r w:rsidRPr="00892DE3">
              <w:t xml:space="preserve">National Tax Equivalent Regime); </w:t>
            </w:r>
          </w:p>
          <w:p w:rsidR="0037650C" w:rsidRPr="00892DE3" w:rsidRDefault="0037650C" w:rsidP="0037650C">
            <w:pPr>
              <w:pStyle w:val="List"/>
            </w:pPr>
            <w:r w:rsidRPr="00892DE3">
              <w:t>(g)</w:t>
            </w:r>
            <w:r w:rsidRPr="00892DE3">
              <w:tab/>
              <w:t xml:space="preserve">contracts held for dealing or trading purposes; </w:t>
            </w:r>
          </w:p>
          <w:p w:rsidR="0037650C" w:rsidRPr="00892DE3" w:rsidRDefault="0037650C" w:rsidP="0037650C">
            <w:pPr>
              <w:pStyle w:val="List"/>
            </w:pPr>
            <w:r w:rsidRPr="00892DE3">
              <w:t>(h)</w:t>
            </w:r>
            <w:r w:rsidRPr="00892DE3">
              <w:tab/>
              <w:t>cash dividends received</w:t>
            </w:r>
            <w:r w:rsidR="00CF175A" w:rsidRPr="00892DE3">
              <w:t>; and</w:t>
            </w:r>
            <w:r w:rsidRPr="00892DE3">
              <w:t xml:space="preserve"> </w:t>
            </w:r>
            <w:r w:rsidRPr="00892DE3">
              <w:rPr>
                <w:rStyle w:val="SourceReference"/>
              </w:rPr>
              <w:t>[FRD 110]</w:t>
            </w:r>
          </w:p>
          <w:p w:rsidR="0037650C" w:rsidRPr="00892DE3" w:rsidRDefault="0037650C" w:rsidP="0037650C">
            <w:pPr>
              <w:pStyle w:val="List"/>
            </w:pPr>
            <w:r w:rsidRPr="00892DE3">
              <w:t>(i)</w:t>
            </w:r>
            <w:r w:rsidRPr="00892DE3">
              <w:tab/>
              <w:t xml:space="preserve">interest income and expense </w:t>
            </w:r>
            <w:r w:rsidRPr="00892DE3">
              <w:rPr>
                <w:i/>
              </w:rPr>
              <w:t>separately</w:t>
            </w:r>
            <w:r w:rsidR="00CF175A" w:rsidRPr="00892DE3">
              <w:t>.</w:t>
            </w:r>
            <w:r w:rsidRPr="00892DE3">
              <w:t xml:space="preserve"> </w:t>
            </w:r>
            <w:r w:rsidRPr="00892DE3">
              <w:rPr>
                <w:rStyle w:val="SourceReference"/>
              </w:rPr>
              <w:t>[FRD 110]</w:t>
            </w:r>
          </w:p>
          <w:p w:rsidR="0037650C" w:rsidRPr="00892DE3" w:rsidRDefault="0037650C" w:rsidP="0037650C">
            <w:r w:rsidRPr="00892DE3">
              <w:rPr>
                <w:b/>
              </w:rPr>
              <w:t>Investing activities</w:t>
            </w:r>
            <w:r w:rsidRPr="00892DE3">
              <w:t xml:space="preserve"> </w:t>
            </w:r>
            <w:r w:rsidRPr="00892DE3">
              <w:rPr>
                <w:rStyle w:val="SourceReference"/>
              </w:rPr>
              <w:t>[AASB 107.16]</w:t>
            </w:r>
            <w:r w:rsidRPr="00892DE3">
              <w:t xml:space="preserve">: These cash flows are used in acquiring assets (or disposal of those assets) intended to generate future income and cash flows. For cash outflows, unless it gives rise to an asset on the balance sheet, it cannot be classified as part of ‘investing activities’. For instance, cash expended on research and development activities, can only be disclosed as cash flows from investing activity when the asset is recognised on the balance sheet. </w:t>
            </w:r>
          </w:p>
          <w:p w:rsidR="0037650C" w:rsidRPr="00892DE3" w:rsidRDefault="0037650C" w:rsidP="0037650C">
            <w:r w:rsidRPr="00892DE3">
              <w:t>Examples of cash flows arising from investing activities are cash inflows (disposals) or cash payments (acquisition) associated with:</w:t>
            </w:r>
          </w:p>
          <w:p w:rsidR="0037650C" w:rsidRPr="00892DE3" w:rsidRDefault="0037650C" w:rsidP="003A113D">
            <w:pPr>
              <w:pStyle w:val="List"/>
            </w:pPr>
            <w:r w:rsidRPr="00892DE3">
              <w:t>(a)</w:t>
            </w:r>
            <w:r w:rsidRPr="00892DE3">
              <w:tab/>
              <w:t>acquisition (outflow) or disposal (inflow) of property, plant and equipm</w:t>
            </w:r>
            <w:r w:rsidR="004A3F79" w:rsidRPr="00892DE3">
              <w:t>ent, intangibles and other long-</w:t>
            </w:r>
            <w:r w:rsidRPr="00892DE3">
              <w:t>term assets (inclu</w:t>
            </w:r>
            <w:r w:rsidR="003A113D" w:rsidRPr="00892DE3">
              <w:t>ding development costs and self-</w:t>
            </w:r>
            <w:r w:rsidRPr="00892DE3">
              <w:t>constructed property, plant and equipment);</w:t>
            </w:r>
            <w:r w:rsidR="008A6BB6" w:rsidRPr="00892DE3">
              <w:t xml:space="preserve"> and</w:t>
            </w:r>
          </w:p>
          <w:p w:rsidR="0037650C" w:rsidRPr="00892DE3" w:rsidRDefault="0037650C" w:rsidP="003A113D">
            <w:pPr>
              <w:pStyle w:val="List"/>
            </w:pPr>
            <w:r w:rsidRPr="00892DE3">
              <w:t>(b)</w:t>
            </w:r>
            <w:r w:rsidRPr="00892DE3">
              <w:tab/>
              <w:t xml:space="preserve">acquisition (outflow) or disposal (inflow) of equity or debt instruments of other entities and interests in joint ventures. </w:t>
            </w:r>
          </w:p>
          <w:p w:rsidR="0037650C" w:rsidRPr="00892DE3" w:rsidRDefault="0037650C" w:rsidP="0037650C">
            <w:r w:rsidRPr="00892DE3">
              <w:t>However, if the debt or equity instrument is classified as ‘cash equivalents’ or held for dealing or trading purposes, then these are not recorded as</w:t>
            </w:r>
            <w:r w:rsidR="008A6BB6" w:rsidRPr="00892DE3">
              <w:t xml:space="preserve"> part of ‘investing activities’</w:t>
            </w:r>
            <w:r w:rsidR="000417DA" w:rsidRPr="00892DE3">
              <w:t>. This includes</w:t>
            </w:r>
            <w:r w:rsidR="008A6BB6" w:rsidRPr="00892DE3">
              <w:t>:</w:t>
            </w:r>
          </w:p>
          <w:p w:rsidR="0037650C" w:rsidRPr="00892DE3" w:rsidRDefault="008A6BB6" w:rsidP="003A113D">
            <w:pPr>
              <w:pStyle w:val="List"/>
            </w:pPr>
            <w:r w:rsidRPr="00892DE3">
              <w:t>(a</w:t>
            </w:r>
            <w:r w:rsidR="0037650C" w:rsidRPr="00892DE3">
              <w:t>)</w:t>
            </w:r>
            <w:r w:rsidR="0037650C" w:rsidRPr="00892DE3">
              <w:tab/>
              <w:t>cash advances and loans made (outflows) and receipts from the repayment of advances or loans made (inflows) to other parties (unless those advances are made by a financial institution);</w:t>
            </w:r>
            <w:r w:rsidRPr="00892DE3">
              <w:t xml:space="preserve"> and</w:t>
            </w:r>
          </w:p>
          <w:p w:rsidR="0037650C" w:rsidRPr="00892DE3" w:rsidRDefault="008A6BB6" w:rsidP="003A113D">
            <w:pPr>
              <w:pStyle w:val="List"/>
            </w:pPr>
            <w:r w:rsidRPr="00892DE3">
              <w:t>(b</w:t>
            </w:r>
            <w:r w:rsidR="0037650C" w:rsidRPr="00892DE3">
              <w:t>)</w:t>
            </w:r>
            <w:r w:rsidR="0037650C" w:rsidRPr="00892DE3">
              <w:tab/>
              <w:t>payments (outflows) or receipts (inflows) associated with futures contracts, forward contracts, option contracts and swap contracts (unless those contracts are classified as ‘held for dealing or trading purposes’, or the payments are classified as financing activities in accordance with the guidance below.</w:t>
            </w:r>
          </w:p>
          <w:p w:rsidR="0037650C" w:rsidRPr="00892DE3" w:rsidRDefault="0037650C" w:rsidP="0037650C">
            <w:r w:rsidRPr="00892DE3">
              <w:rPr>
                <w:b/>
              </w:rPr>
              <w:t>Financing activities</w:t>
            </w:r>
            <w:r w:rsidRPr="00892DE3">
              <w:t xml:space="preserve"> </w:t>
            </w:r>
            <w:r w:rsidRPr="00892DE3">
              <w:rPr>
                <w:rStyle w:val="SourceReference"/>
              </w:rPr>
              <w:t>[AASB 107.21, 107.17]</w:t>
            </w:r>
            <w:r w:rsidRPr="00892DE3">
              <w:t>: Cash flows from financing activities provide information on sources of financing (debt and equity) and could also be indicative of how the providers of capital will claim future cash flows. Examples of cash inflows or cash outflows associated with financing activities are:</w:t>
            </w:r>
          </w:p>
          <w:p w:rsidR="0037650C" w:rsidRPr="00892DE3" w:rsidRDefault="0037650C" w:rsidP="003A113D">
            <w:pPr>
              <w:pStyle w:val="List"/>
            </w:pPr>
            <w:r w:rsidRPr="00892DE3">
              <w:t>(a)</w:t>
            </w:r>
            <w:r w:rsidRPr="00892DE3">
              <w:tab/>
              <w:t>proceeds from issuing shares or other equity instruments and cash payments to owners to acquire or redeem shares or other equity instruments;</w:t>
            </w:r>
          </w:p>
          <w:p w:rsidR="0037650C" w:rsidRPr="00892DE3" w:rsidRDefault="0037650C" w:rsidP="003A113D">
            <w:pPr>
              <w:pStyle w:val="List"/>
            </w:pPr>
            <w:r w:rsidRPr="00892DE3">
              <w:t>(b)</w:t>
            </w:r>
            <w:r w:rsidRPr="00892DE3">
              <w:tab/>
              <w:t>cash proceeds from issuing debentures, loans, notes, bonds, mo</w:t>
            </w:r>
            <w:r w:rsidR="004A3F79" w:rsidRPr="00892DE3">
              <w:t>rtgages and other short or long-</w:t>
            </w:r>
            <w:r w:rsidRPr="00892DE3">
              <w:t>term borrowings or repayments of those amounts borrowed; and</w:t>
            </w:r>
          </w:p>
          <w:p w:rsidR="0037650C" w:rsidRPr="00892DE3" w:rsidRDefault="0037650C" w:rsidP="003A113D">
            <w:pPr>
              <w:pStyle w:val="List"/>
            </w:pPr>
            <w:r w:rsidRPr="00892DE3">
              <w:t>(c)</w:t>
            </w:r>
            <w:r w:rsidRPr="00892DE3">
              <w:tab/>
              <w:t xml:space="preserve">cash payments by a lessee for the reduction of the outstanding liability relating to a finance lease. </w:t>
            </w:r>
          </w:p>
          <w:p w:rsidR="0037650C" w:rsidRPr="00892DE3" w:rsidRDefault="0037650C" w:rsidP="0037650C">
            <w:pPr>
              <w:rPr>
                <w:b/>
              </w:rPr>
            </w:pPr>
            <w:r w:rsidRPr="00892DE3">
              <w:rPr>
                <w:b/>
              </w:rPr>
              <w:t>Cash received/transferred out due to machinery of government changes</w:t>
            </w:r>
          </w:p>
          <w:p w:rsidR="0037650C" w:rsidRPr="00892DE3" w:rsidRDefault="0037650C" w:rsidP="003A113D">
            <w:r w:rsidRPr="00892DE3">
              <w:t>Where applicable, entities should classify ‘cash received from activities transferred in’ and ‘cash transferred from activities transferred out’ due to machinery of government (MoG) changes under financing activities rather than investing activities. Those two cash flow items are separately disclosed from ‘owner contributions by State Government’ as the former reflects cash flows as a result of MoG changes whereas the latter captures appropriations received directly from the State as contributed capital for capital expenditure purposes.</w:t>
            </w:r>
          </w:p>
        </w:tc>
      </w:tr>
    </w:tbl>
    <w:p w:rsidR="003A113D" w:rsidRPr="00892DE3" w:rsidRDefault="003A113D"/>
    <w:p w:rsidR="003A113D" w:rsidRPr="00892DE3" w:rsidRDefault="003A113D">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3A113D" w:rsidRPr="00892DE3" w:rsidTr="000C3404">
        <w:trPr>
          <w:cnfStyle w:val="100000000000" w:firstRow="1" w:lastRow="0" w:firstColumn="0" w:lastColumn="0" w:oddVBand="0" w:evenVBand="0" w:oddHBand="0" w:evenHBand="0" w:firstRowFirstColumn="0" w:firstRowLastColumn="0" w:lastRowFirstColumn="0" w:lastRowLastColumn="0"/>
        </w:trPr>
        <w:tc>
          <w:tcPr>
            <w:tcW w:w="9854" w:type="dxa"/>
          </w:tcPr>
          <w:p w:rsidR="003A113D" w:rsidRPr="00892DE3" w:rsidRDefault="003A113D" w:rsidP="003A113D">
            <w:r w:rsidRPr="00892DE3">
              <w:lastRenderedPageBreak/>
              <w:t xml:space="preserve">Guidance – Cash flow statement </w:t>
            </w:r>
            <w:r w:rsidRPr="0041634C">
              <w:rPr>
                <w:i/>
              </w:rPr>
              <w:t>(continued)</w:t>
            </w:r>
          </w:p>
        </w:tc>
      </w:tr>
      <w:tr w:rsidR="003A113D" w:rsidRPr="00892DE3" w:rsidTr="000C3404">
        <w:tc>
          <w:tcPr>
            <w:tcW w:w="9854" w:type="dxa"/>
          </w:tcPr>
          <w:p w:rsidR="003A113D" w:rsidRPr="00892DE3" w:rsidRDefault="003A113D" w:rsidP="003A113D">
            <w:pPr>
              <w:rPr>
                <w:b/>
              </w:rPr>
            </w:pPr>
            <w:r w:rsidRPr="00892DE3">
              <w:rPr>
                <w:b/>
              </w:rPr>
              <w:t xml:space="preserve">Reporting cash flows on a net basis </w:t>
            </w:r>
            <w:r w:rsidRPr="00892DE3">
              <w:rPr>
                <w:rStyle w:val="SourceReference"/>
              </w:rPr>
              <w:t>[AASB 107.21 – 107.24]</w:t>
            </w:r>
          </w:p>
          <w:p w:rsidR="003A113D" w:rsidRPr="00892DE3" w:rsidRDefault="003A113D" w:rsidP="003A113D">
            <w:r w:rsidRPr="00892DE3">
              <w:t>Cash inflows and cash outflows shall be reported separately (gross), except when:</w:t>
            </w:r>
          </w:p>
          <w:p w:rsidR="003A113D" w:rsidRPr="00892DE3" w:rsidRDefault="003A113D" w:rsidP="003A113D">
            <w:pPr>
              <w:pStyle w:val="List"/>
            </w:pPr>
            <w:r w:rsidRPr="00892DE3">
              <w:t>(a)</w:t>
            </w:r>
            <w:r w:rsidRPr="00892DE3">
              <w:tab/>
              <w:t>cash receipts and payments on behalf of customers when the cash flows reflect the activities of the customer rather than those of the entity; and</w:t>
            </w:r>
          </w:p>
          <w:p w:rsidR="003A113D" w:rsidRPr="00892DE3" w:rsidRDefault="003A113D" w:rsidP="003A113D">
            <w:pPr>
              <w:pStyle w:val="List"/>
            </w:pPr>
            <w:r w:rsidRPr="00892DE3">
              <w:t>(b)</w:t>
            </w:r>
            <w:r w:rsidRPr="00892DE3">
              <w:tab/>
              <w:t>cash receipts and payments for items in which the turnover is quick, the amounts are large, and the maturities are short.</w:t>
            </w:r>
          </w:p>
          <w:p w:rsidR="003A113D" w:rsidRPr="00892DE3" w:rsidRDefault="003A113D" w:rsidP="003A113D">
            <w:r w:rsidRPr="00892DE3">
              <w:t>Cash flows arising from each of the following activities of a financial institution are to be reported on a net basis:</w:t>
            </w:r>
          </w:p>
          <w:p w:rsidR="003A113D" w:rsidRPr="00892DE3" w:rsidRDefault="003A113D" w:rsidP="003A113D">
            <w:pPr>
              <w:pStyle w:val="List"/>
            </w:pPr>
            <w:r w:rsidRPr="00892DE3">
              <w:t>(a)</w:t>
            </w:r>
            <w:r w:rsidRPr="00892DE3">
              <w:tab/>
              <w:t>cash receipts and payments for the acceptance and repayment of deposits with a fixed maturity date;</w:t>
            </w:r>
          </w:p>
          <w:p w:rsidR="003A113D" w:rsidRPr="00892DE3" w:rsidRDefault="003A113D" w:rsidP="003A113D">
            <w:pPr>
              <w:pStyle w:val="List"/>
            </w:pPr>
            <w:r w:rsidRPr="00892DE3">
              <w:t>(b)</w:t>
            </w:r>
            <w:r w:rsidRPr="00892DE3">
              <w:tab/>
              <w:t>the placement of deposits with and withdrawal of deposits from other financial institutions; and</w:t>
            </w:r>
          </w:p>
          <w:p w:rsidR="003A113D" w:rsidRPr="00892DE3" w:rsidRDefault="003A113D" w:rsidP="003A113D">
            <w:pPr>
              <w:pStyle w:val="List"/>
            </w:pPr>
            <w:r w:rsidRPr="00892DE3">
              <w:t>(c)</w:t>
            </w:r>
            <w:r w:rsidRPr="00892DE3">
              <w:tab/>
              <w:t>cash advances and loans made to customers and the repayment of those advances and loans.</w:t>
            </w:r>
          </w:p>
          <w:p w:rsidR="003A113D" w:rsidRPr="00892DE3" w:rsidRDefault="003A113D" w:rsidP="003A113D">
            <w:pPr>
              <w:rPr>
                <w:b/>
              </w:rPr>
            </w:pPr>
            <w:r w:rsidRPr="00892DE3">
              <w:rPr>
                <w:b/>
              </w:rPr>
              <w:t xml:space="preserve">Investments in subsidiaries (at cost), associates and joint ventures (using the equity method) </w:t>
            </w:r>
            <w:r w:rsidR="00C37276" w:rsidRPr="00892DE3">
              <w:rPr>
                <w:b/>
              </w:rPr>
              <w:br/>
            </w:r>
            <w:r w:rsidRPr="00892DE3">
              <w:rPr>
                <w:rStyle w:val="SourceReference"/>
              </w:rPr>
              <w:t>[AASB 107.37 and 107.38]</w:t>
            </w:r>
          </w:p>
          <w:p w:rsidR="003A113D" w:rsidRPr="00892DE3" w:rsidRDefault="003A113D" w:rsidP="003A113D">
            <w:r w:rsidRPr="00892DE3">
              <w:t xml:space="preserve">The cash flow statement should reflect the cash flows between the investor and either the equity accounted or the cost accounted investments. For example, where the investment is reported using the equity method, the cash flow statement of the investor reflects investments, distributions and other payments or receipts between the investor and the associate or joint venture. </w:t>
            </w:r>
          </w:p>
          <w:p w:rsidR="003A113D" w:rsidRPr="00892DE3" w:rsidRDefault="003A113D" w:rsidP="003A113D">
            <w:r w:rsidRPr="00892DE3">
              <w:rPr>
                <w:b/>
              </w:rPr>
              <w:t>Non-cash transactions</w:t>
            </w:r>
            <w:r w:rsidRPr="00892DE3">
              <w:t xml:space="preserve"> </w:t>
            </w:r>
            <w:r w:rsidRPr="00892DE3">
              <w:rPr>
                <w:rStyle w:val="SourceReference"/>
              </w:rPr>
              <w:t>[AASB 107.43]</w:t>
            </w:r>
            <w:r w:rsidRPr="00892DE3">
              <w:t>: Investing and financing transactions that do not require the use of cash or cash equivalents shall be excluded from a cash flow statement. Such transactions shall be disclosed elsewhere in the financial statements in a way that provides all the relevant information about these investing and financing activities.</w:t>
            </w:r>
          </w:p>
        </w:tc>
      </w:tr>
    </w:tbl>
    <w:p w:rsidR="000C3404" w:rsidRPr="00892DE3" w:rsidRDefault="000C3404" w:rsidP="000C3404">
      <w:pPr>
        <w:keepLines w:val="0"/>
        <w:sectPr w:rsidR="000C3404" w:rsidRPr="00892DE3" w:rsidSect="009C1D64">
          <w:pgSz w:w="11906" w:h="16838" w:code="9"/>
          <w:pgMar w:top="1134" w:right="1134" w:bottom="1134" w:left="1134" w:header="624" w:footer="567" w:gutter="0"/>
          <w:cols w:sep="1" w:space="567"/>
          <w:titlePg/>
          <w:docGrid w:linePitch="360"/>
        </w:sectPr>
      </w:pPr>
    </w:p>
    <w:p w:rsidR="000C3404" w:rsidRPr="00892DE3" w:rsidRDefault="000C3404" w:rsidP="00AD1758">
      <w:pPr>
        <w:pStyle w:val="Heading2nonTOC"/>
      </w:pPr>
      <w:bookmarkStart w:id="80" w:name="SOCIE"/>
      <w:bookmarkStart w:id="81" w:name="_Toc477967530"/>
      <w:r w:rsidRPr="00892DE3">
        <w:lastRenderedPageBreak/>
        <w:t>Statement of changes in equity</w:t>
      </w:r>
      <w:bookmarkEnd w:id="80"/>
      <w:bookmarkEnd w:id="81"/>
    </w:p>
    <w:p w:rsidR="000C3404" w:rsidRPr="00892DE3" w:rsidRDefault="000C3404" w:rsidP="000C3404">
      <w:pPr>
        <w:pStyle w:val="TableHeading"/>
      </w:pPr>
      <w:r w:rsidRPr="00892DE3">
        <w:t>For the financial year ended 30 June 2017</w:t>
      </w:r>
      <w:r w:rsidRPr="00892DE3">
        <w:tab/>
      </w:r>
      <w:r w:rsidRPr="00892DE3">
        <w:tab/>
        <w:t>($ thousand)</w:t>
      </w:r>
    </w:p>
    <w:tbl>
      <w:tblPr>
        <w:tblStyle w:val="ModelReportFinancialTable"/>
        <w:tblW w:w="14742" w:type="dxa"/>
        <w:tblLayout w:type="fixed"/>
        <w:tblLook w:val="06A0" w:firstRow="1" w:lastRow="0" w:firstColumn="1" w:lastColumn="0" w:noHBand="1" w:noVBand="1"/>
      </w:tblPr>
      <w:tblGrid>
        <w:gridCol w:w="1478"/>
        <w:gridCol w:w="4729"/>
        <w:gridCol w:w="732"/>
        <w:gridCol w:w="1674"/>
        <w:gridCol w:w="2281"/>
        <w:gridCol w:w="1426"/>
        <w:gridCol w:w="1425"/>
        <w:gridCol w:w="997"/>
      </w:tblGrid>
      <w:tr w:rsidR="000C3404" w:rsidRPr="00892DE3" w:rsidTr="003432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8" w:type="dxa"/>
            <w:tcBorders>
              <w:bottom w:val="nil"/>
            </w:tcBorders>
            <w:shd w:val="clear" w:color="auto" w:fill="auto"/>
          </w:tcPr>
          <w:p w:rsidR="000C3404" w:rsidRPr="00892DE3" w:rsidRDefault="000C3404" w:rsidP="003432FE">
            <w:r w:rsidRPr="00892DE3">
              <w:t>Source reference</w:t>
            </w:r>
          </w:p>
          <w:p w:rsidR="000C3404" w:rsidRPr="00892DE3" w:rsidRDefault="000C3404" w:rsidP="003432FE">
            <w:pPr>
              <w:rPr>
                <w:i w:val="0"/>
              </w:rPr>
            </w:pPr>
            <w:r w:rsidRPr="00892DE3">
              <w:rPr>
                <w:i w:val="0"/>
              </w:rPr>
              <w:t>AASB 101.106(d)</w:t>
            </w:r>
          </w:p>
        </w:tc>
        <w:tc>
          <w:tcPr>
            <w:tcW w:w="4729" w:type="dxa"/>
          </w:tcPr>
          <w:p w:rsidR="000C3404" w:rsidRPr="00892DE3" w:rsidRDefault="000C3404" w:rsidP="003432FE">
            <w:pPr>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732" w:type="dxa"/>
          </w:tcPr>
          <w:p w:rsidR="000C3404" w:rsidRPr="00892DE3" w:rsidRDefault="000C3404" w:rsidP="003432FE">
            <w:pPr>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1674" w:type="dxa"/>
          </w:tcPr>
          <w:p w:rsidR="000C3404" w:rsidRPr="00892DE3" w:rsidRDefault="000C3404" w:rsidP="003432FE">
            <w:pPr>
              <w:cnfStyle w:val="100000000000" w:firstRow="1" w:lastRow="0" w:firstColumn="0" w:lastColumn="0" w:oddVBand="0" w:evenVBand="0" w:oddHBand="0" w:evenHBand="0" w:firstRowFirstColumn="0" w:firstRowLastColumn="0" w:lastRowFirstColumn="0" w:lastRowLastColumn="0"/>
            </w:pPr>
            <w:r w:rsidRPr="00892DE3">
              <w:t>Physical asset revaluation surplus</w:t>
            </w:r>
          </w:p>
        </w:tc>
        <w:tc>
          <w:tcPr>
            <w:tcW w:w="2281" w:type="dxa"/>
          </w:tcPr>
          <w:p w:rsidR="000C3404" w:rsidRPr="00892DE3" w:rsidRDefault="000C3404" w:rsidP="003432FE">
            <w:pPr>
              <w:cnfStyle w:val="100000000000" w:firstRow="1" w:lastRow="0" w:firstColumn="0" w:lastColumn="0" w:oddVBand="0" w:evenVBand="0" w:oddHBand="0" w:evenHBand="0" w:firstRowFirstColumn="0" w:firstRowLastColumn="0" w:lastRowFirstColumn="0" w:lastRowLastColumn="0"/>
            </w:pPr>
            <w:r w:rsidRPr="00892DE3">
              <w:t>Available for sale financial asset revaluation surplus</w:t>
            </w:r>
          </w:p>
        </w:tc>
        <w:tc>
          <w:tcPr>
            <w:tcW w:w="1426" w:type="dxa"/>
          </w:tcPr>
          <w:p w:rsidR="000C3404" w:rsidRPr="00892DE3" w:rsidRDefault="000C3404" w:rsidP="003432FE">
            <w:pPr>
              <w:cnfStyle w:val="100000000000" w:firstRow="1" w:lastRow="0" w:firstColumn="0" w:lastColumn="0" w:oddVBand="0" w:evenVBand="0" w:oddHBand="0" w:evenHBand="0" w:firstRowFirstColumn="0" w:firstRowLastColumn="0" w:lastRowFirstColumn="0" w:lastRowLastColumn="0"/>
            </w:pPr>
            <w:r w:rsidRPr="00892DE3">
              <w:t>Accumulated surplus</w:t>
            </w:r>
          </w:p>
        </w:tc>
        <w:tc>
          <w:tcPr>
            <w:tcW w:w="1425" w:type="dxa"/>
          </w:tcPr>
          <w:p w:rsidR="000C3404" w:rsidRPr="00892DE3" w:rsidRDefault="000C3404" w:rsidP="003432FE">
            <w:pPr>
              <w:cnfStyle w:val="100000000000" w:firstRow="1" w:lastRow="0" w:firstColumn="0" w:lastColumn="0" w:oddVBand="0" w:evenVBand="0" w:oddHBand="0" w:evenHBand="0" w:firstRowFirstColumn="0" w:firstRowLastColumn="0" w:lastRowFirstColumn="0" w:lastRowLastColumn="0"/>
            </w:pPr>
            <w:r w:rsidRPr="00892DE3">
              <w:t xml:space="preserve">Contributions </w:t>
            </w:r>
            <w:r w:rsidRPr="00892DE3">
              <w:br/>
              <w:t>by owner</w:t>
            </w:r>
          </w:p>
        </w:tc>
        <w:tc>
          <w:tcPr>
            <w:tcW w:w="997" w:type="dxa"/>
          </w:tcPr>
          <w:p w:rsidR="000C3404" w:rsidRPr="00892DE3" w:rsidRDefault="000C3404" w:rsidP="003432FE">
            <w:pPr>
              <w:cnfStyle w:val="100000000000" w:firstRow="1" w:lastRow="0" w:firstColumn="0" w:lastColumn="0" w:oddVBand="0" w:evenVBand="0" w:oddHBand="0" w:evenHBand="0" w:firstRowFirstColumn="0" w:firstRowLastColumn="0" w:lastRowFirstColumn="0" w:lastRowLastColumn="0"/>
            </w:pPr>
            <w:r w:rsidRPr="00892DE3">
              <w:t>Total</w:t>
            </w:r>
          </w:p>
        </w:tc>
      </w:tr>
      <w:tr w:rsidR="000C3404" w:rsidRPr="00892DE3" w:rsidTr="003432FE">
        <w:trPr>
          <w:trHeight w:val="113"/>
        </w:trPr>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1 July 2015</w:t>
            </w:r>
          </w:p>
        </w:tc>
        <w:tc>
          <w:tcPr>
            <w:tcW w:w="732" w:type="dxa"/>
          </w:tcPr>
          <w:p w:rsidR="000C3404" w:rsidRPr="00892DE3" w:rsidRDefault="000C3404" w:rsidP="003432FE">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2 626</w:t>
            </w:r>
          </w:p>
        </w:tc>
        <w:tc>
          <w:tcPr>
            <w:tcW w:w="2281"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 xml:space="preserve"> 577</w:t>
            </w:r>
          </w:p>
        </w:tc>
        <w:tc>
          <w:tcPr>
            <w:tcW w:w="1426"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59 433</w:t>
            </w:r>
          </w:p>
        </w:tc>
        <w:tc>
          <w:tcPr>
            <w:tcW w:w="1425"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27 845</w:t>
            </w:r>
          </w:p>
        </w:tc>
        <w:tc>
          <w:tcPr>
            <w:tcW w:w="997" w:type="dxa"/>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90 480</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Net result for the year</w:t>
            </w:r>
          </w:p>
        </w:tc>
        <w:tc>
          <w:tcPr>
            <w:tcW w:w="732" w:type="dxa"/>
          </w:tcPr>
          <w:p w:rsidR="000C3404" w:rsidRPr="00892DE3" w:rsidRDefault="000C3404" w:rsidP="003432FE">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9 879</w:t>
            </w:r>
          </w:p>
        </w:tc>
        <w:tc>
          <w:tcPr>
            <w:tcW w:w="1425"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9 879</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Other comprehensive income for the year</w:t>
            </w:r>
          </w:p>
        </w:tc>
        <w:tc>
          <w:tcPr>
            <w:tcW w:w="732" w:type="dxa"/>
          </w:tcPr>
          <w:p w:rsidR="000C3404" w:rsidRPr="00892DE3" w:rsidRDefault="000C3404" w:rsidP="003432FE">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2 955</w:t>
            </w:r>
          </w:p>
        </w:tc>
        <w:tc>
          <w:tcPr>
            <w:tcW w:w="2281"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1 146</w:t>
            </w:r>
          </w:p>
        </w:tc>
        <w:tc>
          <w:tcPr>
            <w:tcW w:w="1426"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4 101</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w:t>
            </w:r>
          </w:p>
        </w:tc>
        <w:tc>
          <w:tcPr>
            <w:tcW w:w="732" w:type="dxa"/>
          </w:tcPr>
          <w:p w:rsidR="000C3404" w:rsidRPr="00892DE3" w:rsidRDefault="000C3404" w:rsidP="003432FE">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(1 822)</w:t>
            </w:r>
          </w:p>
        </w:tc>
        <w:tc>
          <w:tcPr>
            <w:tcW w:w="2281"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1 822</w:t>
            </w:r>
          </w:p>
        </w:tc>
        <w:tc>
          <w:tcPr>
            <w:tcW w:w="1425"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Borders>
              <w:bottom w:val="single" w:sz="6" w:space="0" w:color="auto"/>
            </w:tcBorders>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Capital appropriations</w:t>
            </w:r>
          </w:p>
        </w:tc>
        <w:tc>
          <w:tcPr>
            <w:tcW w:w="732" w:type="dxa"/>
            <w:tcBorders>
              <w:bottom w:val="single" w:sz="6" w:space="0" w:color="auto"/>
            </w:tcBorders>
          </w:tcPr>
          <w:p w:rsidR="000C3404" w:rsidRPr="00892DE3" w:rsidRDefault="000C3404" w:rsidP="003432FE">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Borders>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Borders>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Borders>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Borders>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10 500</w:t>
            </w:r>
          </w:p>
        </w:tc>
        <w:tc>
          <w:tcPr>
            <w:tcW w:w="997" w:type="dxa"/>
            <w:tcBorders>
              <w:bottom w:val="single" w:sz="6" w:space="0" w:color="auto"/>
            </w:tcBorders>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10 500</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Borders>
              <w:top w:val="single" w:sz="6" w:space="0" w:color="auto"/>
              <w:bottom w:val="single" w:sz="6" w:space="0" w:color="auto"/>
            </w:tcBorders>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30 June 2016</w:t>
            </w:r>
          </w:p>
        </w:tc>
        <w:tc>
          <w:tcPr>
            <w:tcW w:w="732" w:type="dxa"/>
            <w:tcBorders>
              <w:top w:val="single" w:sz="6" w:space="0" w:color="auto"/>
              <w:bottom w:val="single" w:sz="6" w:space="0" w:color="auto"/>
            </w:tcBorders>
          </w:tcPr>
          <w:p w:rsidR="000C3404" w:rsidRPr="00892DE3" w:rsidRDefault="000C3404" w:rsidP="003432FE">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Borders>
              <w:top w:val="single" w:sz="6" w:space="0" w:color="auto"/>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3 759</w:t>
            </w:r>
          </w:p>
        </w:tc>
        <w:tc>
          <w:tcPr>
            <w:tcW w:w="2281" w:type="dxa"/>
            <w:tcBorders>
              <w:top w:val="single" w:sz="6" w:space="0" w:color="auto"/>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1 723</w:t>
            </w:r>
          </w:p>
        </w:tc>
        <w:tc>
          <w:tcPr>
            <w:tcW w:w="1426" w:type="dxa"/>
            <w:tcBorders>
              <w:top w:val="single" w:sz="6" w:space="0" w:color="auto"/>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71 133</w:t>
            </w:r>
          </w:p>
        </w:tc>
        <w:tc>
          <w:tcPr>
            <w:tcW w:w="1425" w:type="dxa"/>
            <w:tcBorders>
              <w:top w:val="single" w:sz="6" w:space="0" w:color="auto"/>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38 345</w:t>
            </w:r>
          </w:p>
        </w:tc>
        <w:tc>
          <w:tcPr>
            <w:tcW w:w="997" w:type="dxa"/>
            <w:tcBorders>
              <w:top w:val="single" w:sz="6" w:space="0" w:color="auto"/>
              <w:bottom w:val="single" w:sz="6" w:space="0" w:color="auto"/>
            </w:tcBorders>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114 960</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Borders>
              <w:top w:val="single" w:sz="6" w:space="0" w:color="auto"/>
            </w:tcBorders>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for the year</w:t>
            </w:r>
          </w:p>
        </w:tc>
        <w:tc>
          <w:tcPr>
            <w:tcW w:w="732" w:type="dxa"/>
            <w:tcBorders>
              <w:top w:val="single" w:sz="6" w:space="0" w:color="auto"/>
            </w:tcBorders>
          </w:tcPr>
          <w:p w:rsidR="000C3404" w:rsidRPr="00892DE3" w:rsidRDefault="000C3404" w:rsidP="003432FE">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Borders>
              <w:top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p>
        </w:tc>
        <w:tc>
          <w:tcPr>
            <w:tcW w:w="2281" w:type="dxa"/>
            <w:tcBorders>
              <w:top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p>
        </w:tc>
        <w:tc>
          <w:tcPr>
            <w:tcW w:w="1426" w:type="dxa"/>
            <w:tcBorders>
              <w:top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14 790</w:t>
            </w:r>
          </w:p>
        </w:tc>
        <w:tc>
          <w:tcPr>
            <w:tcW w:w="1425" w:type="dxa"/>
            <w:tcBorders>
              <w:top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p>
        </w:tc>
        <w:tc>
          <w:tcPr>
            <w:tcW w:w="997" w:type="dxa"/>
            <w:tcBorders>
              <w:top w:val="single" w:sz="6" w:space="0" w:color="auto"/>
            </w:tcBorders>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14 790</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Other comprehensive income for the year</w:t>
            </w:r>
          </w:p>
        </w:tc>
        <w:tc>
          <w:tcPr>
            <w:tcW w:w="732" w:type="dxa"/>
          </w:tcPr>
          <w:p w:rsidR="000C3404" w:rsidRPr="00892DE3" w:rsidRDefault="000C3404" w:rsidP="003432FE">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7 613</w:t>
            </w:r>
          </w:p>
        </w:tc>
        <w:tc>
          <w:tcPr>
            <w:tcW w:w="2281"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(1 200)</w:t>
            </w:r>
          </w:p>
        </w:tc>
        <w:tc>
          <w:tcPr>
            <w:tcW w:w="1426"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6 413</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 – on disposal of business</w:t>
            </w:r>
          </w:p>
        </w:tc>
        <w:tc>
          <w:tcPr>
            <w:tcW w:w="732" w:type="dxa"/>
          </w:tcPr>
          <w:p w:rsidR="000C3404" w:rsidRPr="00892DE3" w:rsidRDefault="00F93D84" w:rsidP="003432FE">
            <w:pPr>
              <w:jc w:val="center"/>
              <w:cnfStyle w:val="000000000000" w:firstRow="0" w:lastRow="0" w:firstColumn="0" w:lastColumn="0" w:oddVBand="0" w:evenVBand="0" w:oddHBand="0" w:evenHBand="0" w:firstRowFirstColumn="0" w:firstRowLastColumn="0" w:lastRowFirstColumn="0" w:lastRowLastColumn="0"/>
              <w:rPr>
                <w:szCs w:val="20"/>
              </w:rPr>
            </w:pPr>
            <w:r w:rsidRPr="00892DE3">
              <w:rPr>
                <w:szCs w:val="20"/>
              </w:rPr>
              <w:t>9.4</w:t>
            </w:r>
          </w:p>
        </w:tc>
        <w:tc>
          <w:tcPr>
            <w:tcW w:w="1674"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(3 396)</w:t>
            </w:r>
          </w:p>
        </w:tc>
        <w:tc>
          <w:tcPr>
            <w:tcW w:w="2281"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(323)</w:t>
            </w:r>
          </w:p>
        </w:tc>
        <w:tc>
          <w:tcPr>
            <w:tcW w:w="1426"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3 719</w:t>
            </w:r>
          </w:p>
        </w:tc>
        <w:tc>
          <w:tcPr>
            <w:tcW w:w="1425"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w:t>
            </w:r>
          </w:p>
        </w:tc>
        <w:tc>
          <w:tcPr>
            <w:tcW w:w="732" w:type="dxa"/>
          </w:tcPr>
          <w:p w:rsidR="000C3404" w:rsidRPr="00892DE3" w:rsidRDefault="00F93D84" w:rsidP="003432FE">
            <w:pPr>
              <w:jc w:val="center"/>
              <w:cnfStyle w:val="000000000000" w:firstRow="0" w:lastRow="0" w:firstColumn="0" w:lastColumn="0" w:oddVBand="0" w:evenVBand="0" w:oddHBand="0" w:evenHBand="0" w:firstRowFirstColumn="0" w:firstRowLastColumn="0" w:lastRowFirstColumn="0" w:lastRowLastColumn="0"/>
              <w:rPr>
                <w:szCs w:val="20"/>
              </w:rPr>
            </w:pPr>
            <w:r w:rsidRPr="00892DE3">
              <w:rPr>
                <w:szCs w:val="20"/>
              </w:rPr>
              <w:t>9.4</w:t>
            </w:r>
          </w:p>
        </w:tc>
        <w:tc>
          <w:tcPr>
            <w:tcW w:w="1674"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(637)</w:t>
            </w:r>
          </w:p>
        </w:tc>
        <w:tc>
          <w:tcPr>
            <w:tcW w:w="2281"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 xml:space="preserve"> 637</w:t>
            </w:r>
          </w:p>
        </w:tc>
        <w:tc>
          <w:tcPr>
            <w:tcW w:w="1425"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Transfer to contributed capital</w:t>
            </w:r>
            <w:r w:rsidRPr="00892DE3">
              <w:rPr>
                <w:vertAlign w:val="superscript"/>
              </w:rPr>
              <w:t xml:space="preserve"> (a)</w:t>
            </w:r>
          </w:p>
        </w:tc>
        <w:tc>
          <w:tcPr>
            <w:tcW w:w="732" w:type="dxa"/>
          </w:tcPr>
          <w:p w:rsidR="000C3404" w:rsidRPr="00892DE3" w:rsidRDefault="00F93D84" w:rsidP="003432FE">
            <w:pPr>
              <w:jc w:val="center"/>
              <w:cnfStyle w:val="000000000000" w:firstRow="0" w:lastRow="0" w:firstColumn="0" w:lastColumn="0" w:oddVBand="0" w:evenVBand="0" w:oddHBand="0" w:evenHBand="0" w:firstRowFirstColumn="0" w:firstRowLastColumn="0" w:lastRowFirstColumn="0" w:lastRowLastColumn="0"/>
              <w:rPr>
                <w:szCs w:val="20"/>
              </w:rPr>
            </w:pPr>
            <w:r w:rsidRPr="00892DE3">
              <w:rPr>
                <w:szCs w:val="20"/>
              </w:rPr>
              <w:t>9.4</w:t>
            </w:r>
          </w:p>
        </w:tc>
        <w:tc>
          <w:tcPr>
            <w:tcW w:w="1674"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(13 847)</w:t>
            </w:r>
          </w:p>
        </w:tc>
        <w:tc>
          <w:tcPr>
            <w:tcW w:w="1425"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13 847</w:t>
            </w:r>
          </w:p>
        </w:tc>
        <w:tc>
          <w:tcPr>
            <w:tcW w:w="997" w:type="dxa"/>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Capital appropriations</w:t>
            </w:r>
          </w:p>
        </w:tc>
        <w:tc>
          <w:tcPr>
            <w:tcW w:w="732" w:type="dxa"/>
          </w:tcPr>
          <w:p w:rsidR="000C3404" w:rsidRPr="00892DE3" w:rsidRDefault="000C3404" w:rsidP="003432FE">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5 750</w:t>
            </w:r>
          </w:p>
        </w:tc>
        <w:tc>
          <w:tcPr>
            <w:tcW w:w="997" w:type="dxa"/>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5 750</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r w:rsidRPr="00892DE3">
              <w:t>AASB 1004.48</w:t>
            </w:r>
          </w:p>
        </w:tc>
        <w:tc>
          <w:tcPr>
            <w:tcW w:w="4729" w:type="dxa"/>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received</w:t>
            </w:r>
          </w:p>
        </w:tc>
        <w:tc>
          <w:tcPr>
            <w:tcW w:w="732" w:type="dxa"/>
          </w:tcPr>
          <w:p w:rsidR="000C3404" w:rsidRPr="00892DE3" w:rsidRDefault="00F93D84" w:rsidP="003432FE">
            <w:pPr>
              <w:jc w:val="center"/>
              <w:cnfStyle w:val="000000000000" w:firstRow="0" w:lastRow="0" w:firstColumn="0" w:lastColumn="0" w:oddVBand="0" w:evenVBand="0" w:oddHBand="0" w:evenHBand="0" w:firstRowFirstColumn="0" w:firstRowLastColumn="0" w:lastRowFirstColumn="0" w:lastRowLastColumn="0"/>
              <w:rPr>
                <w:szCs w:val="20"/>
              </w:rPr>
            </w:pPr>
            <w:r w:rsidRPr="00892DE3">
              <w:rPr>
                <w:szCs w:val="20"/>
              </w:rPr>
              <w:t>4.3</w:t>
            </w:r>
          </w:p>
        </w:tc>
        <w:tc>
          <w:tcPr>
            <w:tcW w:w="1674"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19 616</w:t>
            </w:r>
          </w:p>
        </w:tc>
        <w:tc>
          <w:tcPr>
            <w:tcW w:w="997" w:type="dxa"/>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19 616</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r w:rsidRPr="00892DE3">
              <w:t>AASB 1004.49</w:t>
            </w:r>
          </w:p>
        </w:tc>
        <w:tc>
          <w:tcPr>
            <w:tcW w:w="4729" w:type="dxa"/>
            <w:tcBorders>
              <w:bottom w:val="single" w:sz="6" w:space="0" w:color="auto"/>
            </w:tcBorders>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transferred</w:t>
            </w:r>
          </w:p>
        </w:tc>
        <w:tc>
          <w:tcPr>
            <w:tcW w:w="732" w:type="dxa"/>
            <w:tcBorders>
              <w:bottom w:val="single" w:sz="6" w:space="0" w:color="auto"/>
            </w:tcBorders>
          </w:tcPr>
          <w:p w:rsidR="000C3404" w:rsidRPr="00892DE3" w:rsidRDefault="00F93D84" w:rsidP="003432FE">
            <w:pPr>
              <w:jc w:val="center"/>
              <w:cnfStyle w:val="000000000000" w:firstRow="0" w:lastRow="0" w:firstColumn="0" w:lastColumn="0" w:oddVBand="0" w:evenVBand="0" w:oddHBand="0" w:evenHBand="0" w:firstRowFirstColumn="0" w:firstRowLastColumn="0" w:lastRowFirstColumn="0" w:lastRowLastColumn="0"/>
              <w:rPr>
                <w:szCs w:val="20"/>
              </w:rPr>
            </w:pPr>
            <w:r w:rsidRPr="00892DE3">
              <w:rPr>
                <w:szCs w:val="20"/>
              </w:rPr>
              <w:t>4.3</w:t>
            </w:r>
          </w:p>
        </w:tc>
        <w:tc>
          <w:tcPr>
            <w:tcW w:w="1674" w:type="dxa"/>
            <w:tcBorders>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Borders>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Borders>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Borders>
              <w:bottom w:val="single" w:sz="6"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(20 097)</w:t>
            </w:r>
          </w:p>
        </w:tc>
        <w:tc>
          <w:tcPr>
            <w:tcW w:w="997" w:type="dxa"/>
            <w:tcBorders>
              <w:bottom w:val="single" w:sz="6" w:space="0" w:color="auto"/>
            </w:tcBorders>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(20 097)</w:t>
            </w:r>
          </w:p>
        </w:tc>
      </w:tr>
      <w:tr w:rsidR="000C3404" w:rsidRPr="00892DE3" w:rsidTr="003432FE">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0C3404" w:rsidRPr="00892DE3" w:rsidRDefault="000C3404" w:rsidP="003432FE"/>
        </w:tc>
        <w:tc>
          <w:tcPr>
            <w:tcW w:w="4729" w:type="dxa"/>
            <w:tcBorders>
              <w:top w:val="single" w:sz="6" w:space="0" w:color="auto"/>
              <w:bottom w:val="single" w:sz="12" w:space="0" w:color="auto"/>
            </w:tcBorders>
          </w:tcPr>
          <w:p w:rsidR="000C3404" w:rsidRPr="00892DE3" w:rsidRDefault="000C3404" w:rsidP="003432FE">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30 June 2017</w:t>
            </w:r>
          </w:p>
        </w:tc>
        <w:tc>
          <w:tcPr>
            <w:tcW w:w="732" w:type="dxa"/>
            <w:tcBorders>
              <w:top w:val="single" w:sz="6" w:space="0" w:color="auto"/>
              <w:bottom w:val="single" w:sz="12" w:space="0" w:color="auto"/>
            </w:tcBorders>
          </w:tcPr>
          <w:p w:rsidR="000C3404" w:rsidRPr="00892DE3" w:rsidRDefault="000C3404" w:rsidP="003432FE">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Borders>
              <w:top w:val="single" w:sz="6" w:space="0" w:color="auto"/>
              <w:bottom w:val="single" w:sz="12"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7 338</w:t>
            </w:r>
          </w:p>
        </w:tc>
        <w:tc>
          <w:tcPr>
            <w:tcW w:w="2281" w:type="dxa"/>
            <w:tcBorders>
              <w:top w:val="single" w:sz="6" w:space="0" w:color="auto"/>
              <w:bottom w:val="single" w:sz="12"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 xml:space="preserve"> 200</w:t>
            </w:r>
          </w:p>
        </w:tc>
        <w:tc>
          <w:tcPr>
            <w:tcW w:w="1426" w:type="dxa"/>
            <w:tcBorders>
              <w:top w:val="single" w:sz="6" w:space="0" w:color="auto"/>
              <w:bottom w:val="single" w:sz="12"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76 433</w:t>
            </w:r>
          </w:p>
        </w:tc>
        <w:tc>
          <w:tcPr>
            <w:tcW w:w="1425" w:type="dxa"/>
            <w:tcBorders>
              <w:top w:val="single" w:sz="6" w:space="0" w:color="auto"/>
              <w:bottom w:val="single" w:sz="12" w:space="0" w:color="auto"/>
            </w:tcBorders>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57 461</w:t>
            </w:r>
          </w:p>
        </w:tc>
        <w:tc>
          <w:tcPr>
            <w:tcW w:w="997" w:type="dxa"/>
            <w:tcBorders>
              <w:top w:val="single" w:sz="6" w:space="0" w:color="auto"/>
              <w:bottom w:val="single" w:sz="12" w:space="0" w:color="auto"/>
            </w:tcBorders>
            <w:shd w:val="clear" w:color="auto" w:fill="EBEBEB" w:themeFill="background2"/>
          </w:tcPr>
          <w:p w:rsidR="000C3404" w:rsidRPr="00892DE3" w:rsidRDefault="000C3404" w:rsidP="003432FE">
            <w:pPr>
              <w:cnfStyle w:val="000000000000" w:firstRow="0" w:lastRow="0" w:firstColumn="0" w:lastColumn="0" w:oddVBand="0" w:evenVBand="0" w:oddHBand="0" w:evenHBand="0" w:firstRowFirstColumn="0" w:firstRowLastColumn="0" w:lastRowFirstColumn="0" w:lastRowLastColumn="0"/>
            </w:pPr>
            <w:r w:rsidRPr="00892DE3">
              <w:t>141 432</w:t>
            </w:r>
          </w:p>
        </w:tc>
      </w:tr>
    </w:tbl>
    <w:p w:rsidR="000C3404" w:rsidRPr="00892DE3" w:rsidRDefault="000C3404" w:rsidP="000C3404">
      <w:pPr>
        <w:pStyle w:val="Source"/>
      </w:pPr>
      <w:r w:rsidRPr="00892DE3">
        <w:t>The accompanying notes form part of these financial statement.</w:t>
      </w:r>
    </w:p>
    <w:p w:rsidR="000C3404" w:rsidRPr="00892DE3" w:rsidRDefault="000C3404" w:rsidP="000C3404">
      <w:pPr>
        <w:pStyle w:val="Note"/>
      </w:pPr>
      <w:r w:rsidRPr="00892DE3">
        <w:t>Note:</w:t>
      </w:r>
    </w:p>
    <w:p w:rsidR="000C3404" w:rsidRPr="00892DE3" w:rsidRDefault="000C3404" w:rsidP="000C3404">
      <w:pPr>
        <w:pStyle w:val="Note"/>
      </w:pPr>
      <w:r w:rsidRPr="00892DE3">
        <w:t>(a)</w:t>
      </w:r>
      <w:r w:rsidRPr="00892DE3">
        <w:tab/>
        <w:t>These are amounts transferred from accumulated surplus to contributed capital due to insufficient contributed capital for the purpose of the machinery of government transfer to the Department of Cabinet Administration on 2 August 2016.</w:t>
      </w:r>
    </w:p>
    <w:p w:rsidR="000C3404" w:rsidRPr="00892DE3" w:rsidRDefault="000C3404" w:rsidP="000C3404">
      <w:pPr>
        <w:keepLines w:val="0"/>
      </w:pPr>
    </w:p>
    <w:p w:rsidR="000C3404" w:rsidRPr="00892DE3" w:rsidRDefault="000C3404" w:rsidP="000C3404">
      <w:pPr>
        <w:keepLines w:val="0"/>
        <w:sectPr w:rsidR="000C3404" w:rsidRPr="00892DE3" w:rsidSect="00811099">
          <w:headerReference w:type="even" r:id="rId87"/>
          <w:headerReference w:type="default" r:id="rId88"/>
          <w:footerReference w:type="even" r:id="rId89"/>
          <w:footerReference w:type="default" r:id="rId90"/>
          <w:pgSz w:w="16838" w:h="11906" w:orient="landscape" w:code="9"/>
          <w:pgMar w:top="1134" w:right="1134" w:bottom="1134" w:left="1134" w:header="624" w:footer="567" w:gutter="0"/>
          <w:cols w:sep="1" w:space="567"/>
          <w:docGrid w:linePitch="360"/>
        </w:sectPr>
      </w:pPr>
    </w:p>
    <w:tbl>
      <w:tblPr>
        <w:tblStyle w:val="ModelReportGuidanceTable"/>
        <w:tblW w:w="0" w:type="auto"/>
        <w:tblLook w:val="04A0" w:firstRow="1" w:lastRow="0" w:firstColumn="1" w:lastColumn="0" w:noHBand="0" w:noVBand="1"/>
      </w:tblPr>
      <w:tblGrid>
        <w:gridCol w:w="9752"/>
      </w:tblGrid>
      <w:tr w:rsidR="000C3404" w:rsidRPr="00892DE3" w:rsidTr="003432FE">
        <w:trPr>
          <w:cnfStyle w:val="100000000000" w:firstRow="1" w:lastRow="0" w:firstColumn="0" w:lastColumn="0" w:oddVBand="0" w:evenVBand="0" w:oddHBand="0" w:evenHBand="0" w:firstRowFirstColumn="0" w:firstRowLastColumn="0" w:lastRowFirstColumn="0" w:lastRowLastColumn="0"/>
        </w:trPr>
        <w:tc>
          <w:tcPr>
            <w:tcW w:w="9854" w:type="dxa"/>
          </w:tcPr>
          <w:p w:rsidR="000C3404" w:rsidRPr="00892DE3" w:rsidRDefault="000C3404" w:rsidP="003432FE">
            <w:pPr>
              <w:keepLines w:val="0"/>
            </w:pPr>
            <w:r w:rsidRPr="00892DE3">
              <w:lastRenderedPageBreak/>
              <w:t>Guidance – Statement of changes in equity</w:t>
            </w:r>
          </w:p>
        </w:tc>
      </w:tr>
      <w:tr w:rsidR="000C3404" w:rsidRPr="00892DE3" w:rsidTr="003432FE">
        <w:tc>
          <w:tcPr>
            <w:tcW w:w="9854" w:type="dxa"/>
          </w:tcPr>
          <w:p w:rsidR="000C3404" w:rsidRPr="00892DE3" w:rsidRDefault="000C3404" w:rsidP="003432FE">
            <w:pPr>
              <w:keepLines w:val="0"/>
              <w:rPr>
                <w:b/>
              </w:rPr>
            </w:pPr>
            <w:r w:rsidRPr="00892DE3">
              <w:rPr>
                <w:b/>
              </w:rPr>
              <w:t>Information to be disclosed:</w:t>
            </w:r>
          </w:p>
          <w:p w:rsidR="000C3404" w:rsidRPr="00892DE3" w:rsidRDefault="000C3404" w:rsidP="003432FE">
            <w:pPr>
              <w:pStyle w:val="List"/>
            </w:pPr>
            <w:r w:rsidRPr="00892DE3">
              <w:t>(a)</w:t>
            </w:r>
            <w:r w:rsidRPr="00892DE3">
              <w:tab/>
              <w:t>total comprehensive result for the period, showing separately the total amounts attributable to owners of the parent and to minority interest;</w:t>
            </w:r>
          </w:p>
          <w:p w:rsidR="000C3404" w:rsidRPr="00892DE3" w:rsidRDefault="000C3404" w:rsidP="003432FE">
            <w:pPr>
              <w:pStyle w:val="List"/>
            </w:pPr>
            <w:r w:rsidRPr="00892DE3">
              <w:t>(b)</w:t>
            </w:r>
            <w:r w:rsidRPr="00892DE3">
              <w:tab/>
              <w:t>for each component of equity, the effects of retrospective application or retrospective restatement recognised in accordance with AASB 108; and</w:t>
            </w:r>
          </w:p>
          <w:p w:rsidR="000C3404" w:rsidRPr="00892DE3" w:rsidRDefault="000C3404" w:rsidP="003432FE">
            <w:pPr>
              <w:pStyle w:val="List"/>
            </w:pPr>
            <w:r w:rsidRPr="00892DE3">
              <w:t>(c)</w:t>
            </w:r>
            <w:r w:rsidRPr="00892DE3">
              <w:tab/>
              <w:t>for each component of equity, a reconciliation between the carrying amount at the beginning and the end of the period, separately disclosing changes resulting from:</w:t>
            </w:r>
          </w:p>
          <w:p w:rsidR="000C3404" w:rsidRPr="00892DE3" w:rsidRDefault="000C3404" w:rsidP="003432FE">
            <w:pPr>
              <w:pStyle w:val="List2"/>
            </w:pPr>
            <w:r w:rsidRPr="00892DE3">
              <w:t>(i)</w:t>
            </w:r>
            <w:r w:rsidRPr="00892DE3">
              <w:tab/>
              <w:t xml:space="preserve">profit or loss; </w:t>
            </w:r>
          </w:p>
          <w:p w:rsidR="000C3404" w:rsidRPr="00892DE3" w:rsidRDefault="000C3404" w:rsidP="003432FE">
            <w:pPr>
              <w:pStyle w:val="List2"/>
            </w:pPr>
            <w:r w:rsidRPr="00892DE3">
              <w:t>(ii)</w:t>
            </w:r>
            <w:r w:rsidRPr="00892DE3">
              <w:tab/>
              <w:t>each item of other comprehensive income; and/or</w:t>
            </w:r>
          </w:p>
          <w:p w:rsidR="000C3404" w:rsidRPr="00892DE3" w:rsidRDefault="000C3404" w:rsidP="003432FE">
            <w:pPr>
              <w:pStyle w:val="List2"/>
            </w:pPr>
            <w:r w:rsidRPr="00892DE3">
              <w:t>(iii)</w:t>
            </w:r>
            <w:r w:rsidRPr="00892DE3">
              <w:tab/>
              <w:t>transactions with owners in their capacity as owners, showing separately contributions by and distributions to owners and changes in ownership interests in subsidiaries that do not result in a loss of control.</w:t>
            </w:r>
          </w:p>
          <w:p w:rsidR="000C3404" w:rsidRPr="00892DE3" w:rsidRDefault="000C3404" w:rsidP="003432FE">
            <w:pPr>
              <w:rPr>
                <w:b/>
              </w:rPr>
            </w:pPr>
            <w:r w:rsidRPr="00892DE3">
              <w:rPr>
                <w:b/>
              </w:rPr>
              <w:t xml:space="preserve">Presentation of statement of changes in equity </w:t>
            </w:r>
          </w:p>
          <w:p w:rsidR="000C3404" w:rsidRPr="00892DE3" w:rsidRDefault="000C3404" w:rsidP="003432FE">
            <w:pPr>
              <w:keepLines w:val="0"/>
            </w:pPr>
            <w:r w:rsidRPr="00892DE3">
              <w:t>The statement of changes in equity presents reconciliation between the carrying amount of each non-owner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rsidR="000C3404" w:rsidRPr="00892DE3" w:rsidRDefault="000C3404" w:rsidP="003432FE">
            <w:pPr>
              <w:keepLines w:val="0"/>
            </w:pPr>
            <w:r w:rsidRPr="00892DE3">
              <w:rPr>
                <w:b/>
              </w:rPr>
              <w:t>Adjustments for changes in accounting policies or correction of prior period errors</w:t>
            </w:r>
            <w:r w:rsidRPr="00892DE3">
              <w:t xml:space="preserve">: Retrospective adjustments as required under AASB 108 are not changes in equity but they are adjustments to the opening balance of retained earnings, except when an AAS requires retrospective adjustment of another component of equity. </w:t>
            </w:r>
          </w:p>
          <w:p w:rsidR="000C3404" w:rsidRPr="00892DE3" w:rsidRDefault="000C3404" w:rsidP="003432FE">
            <w:pPr>
              <w:keepLines w:val="0"/>
            </w:pPr>
            <w:r w:rsidRPr="00892DE3">
              <w:t>Disclosure is required of the total adjustment to each component of equity resulting from changes in accounting policies and from corrections of errors, separately. These adjustments are disclosed for each prior period and the beginning of the period.</w:t>
            </w:r>
          </w:p>
          <w:p w:rsidR="000C3404" w:rsidRPr="00892DE3" w:rsidRDefault="000C3404" w:rsidP="003432FE">
            <w:pPr>
              <w:keepLines w:val="0"/>
            </w:pPr>
            <w:r w:rsidRPr="00892DE3">
              <w:rPr>
                <w:b/>
              </w:rPr>
              <w:t>For profit guidance</w:t>
            </w:r>
            <w:r w:rsidRPr="00892DE3">
              <w:t xml:space="preserve">: Other entities such as public non-financial corporations (PNFCs) and public financial corporations (PFCs) who pay dividends shall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 </w:t>
            </w:r>
            <w:r w:rsidRPr="00892DE3">
              <w:rPr>
                <w:rStyle w:val="SourceReference"/>
              </w:rPr>
              <w:t>[AASB 101.107]</w:t>
            </w:r>
          </w:p>
          <w:p w:rsidR="000C3404" w:rsidRPr="00892DE3" w:rsidRDefault="000C3404" w:rsidP="003432FE">
            <w:pPr>
              <w:keepLines w:val="0"/>
            </w:pPr>
            <w:r w:rsidRPr="00892DE3">
              <w:rPr>
                <w:b/>
              </w:rPr>
              <w:t>Events affecting changes in equity</w:t>
            </w:r>
            <w:r w:rsidRPr="00892DE3">
              <w:t xml:space="preserve">: Changes in an entity’s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entity’s activities during that period (whether those items of income and expenses are recognised in net result or directly as changes in equity). </w:t>
            </w:r>
            <w:r w:rsidRPr="00892DE3">
              <w:rPr>
                <w:rStyle w:val="SourceReference"/>
              </w:rPr>
              <w:t>[AASB 101.109]</w:t>
            </w:r>
          </w:p>
        </w:tc>
      </w:tr>
    </w:tbl>
    <w:p w:rsidR="000C3404" w:rsidRPr="00892DE3" w:rsidRDefault="000C3404" w:rsidP="000C3404">
      <w:pPr>
        <w:keepLines w:val="0"/>
      </w:pPr>
    </w:p>
    <w:p w:rsidR="00DB6CF1" w:rsidRPr="00892DE3" w:rsidRDefault="00DB6CF1" w:rsidP="00694CC5"/>
    <w:p w:rsidR="00DB6CF1" w:rsidRPr="00892DE3" w:rsidRDefault="00DB6CF1" w:rsidP="00694CC5"/>
    <w:p w:rsidR="00DB6CF1" w:rsidRPr="00892DE3" w:rsidRDefault="00DB6CF1" w:rsidP="00694CC5">
      <w:pPr>
        <w:sectPr w:rsidR="00DB6CF1" w:rsidRPr="00892DE3" w:rsidSect="005072E2">
          <w:headerReference w:type="even" r:id="rId91"/>
          <w:headerReference w:type="default" r:id="rId92"/>
          <w:footerReference w:type="even" r:id="rId93"/>
          <w:footerReference w:type="default" r:id="rId94"/>
          <w:headerReference w:type="first" r:id="rId95"/>
          <w:footerReference w:type="first" r:id="rId96"/>
          <w:pgSz w:w="11906" w:h="16838" w:code="9"/>
          <w:pgMar w:top="1134" w:right="1134" w:bottom="1134" w:left="1134" w:header="624" w:footer="567" w:gutter="0"/>
          <w:cols w:sep="1" w:space="567"/>
          <w:titlePg/>
          <w:docGrid w:linePitch="360"/>
        </w:sectPr>
      </w:pPr>
    </w:p>
    <w:p w:rsidR="003A113D" w:rsidRPr="00892DE3" w:rsidRDefault="00DB6CF1" w:rsidP="003A113D">
      <w:pPr>
        <w:pStyle w:val="Heading1"/>
      </w:pPr>
      <w:bookmarkStart w:id="82" w:name="Section1"/>
      <w:r w:rsidRPr="00892DE3">
        <w:lastRenderedPageBreak/>
        <w:t>ABOUT THIS REPORT</w:t>
      </w:r>
    </w:p>
    <w:p w:rsidR="00C37276" w:rsidRPr="00892DE3" w:rsidRDefault="00C37276" w:rsidP="003A113D">
      <w:pPr>
        <w:sectPr w:rsidR="00C37276" w:rsidRPr="00892DE3" w:rsidSect="005072E2">
          <w:headerReference w:type="first" r:id="rId97"/>
          <w:footerReference w:type="first" r:id="rId98"/>
          <w:pgSz w:w="11906" w:h="16838" w:code="9"/>
          <w:pgMar w:top="1134" w:right="1134" w:bottom="1134" w:left="1134" w:header="624" w:footer="567" w:gutter="0"/>
          <w:cols w:sep="1" w:space="567"/>
          <w:titlePg/>
          <w:docGrid w:linePitch="360"/>
        </w:sectPr>
      </w:pPr>
    </w:p>
    <w:p w:rsidR="003A113D" w:rsidRPr="00892DE3" w:rsidRDefault="003A113D" w:rsidP="003A113D">
      <w:r w:rsidRPr="00892DE3">
        <w:lastRenderedPageBreak/>
        <w:t xml:space="preserve">The Department of Technology </w:t>
      </w:r>
      <w:r w:rsidR="004A3F79" w:rsidRPr="00892DE3">
        <w:t xml:space="preserve">(the Department) </w:t>
      </w:r>
      <w:r w:rsidRPr="00892DE3">
        <w:t xml:space="preserve">is a government department of the State of Victoria, established pursuant to an order made by the Premier under the </w:t>
      </w:r>
      <w:r w:rsidRPr="00892DE3">
        <w:rPr>
          <w:i/>
        </w:rPr>
        <w:t>Administrative Arrangements Act 1983</w:t>
      </w:r>
      <w:r w:rsidRPr="00892DE3">
        <w:t>. It is an administrative agency acting on behalf of the Crown.</w:t>
      </w:r>
    </w:p>
    <w:p w:rsidR="00DB6CF1" w:rsidRPr="00892DE3" w:rsidRDefault="00DB6CF1" w:rsidP="003A113D">
      <w:r w:rsidRPr="00892DE3">
        <w:t>Its principal address is:</w:t>
      </w:r>
    </w:p>
    <w:p w:rsidR="003A113D" w:rsidRPr="00892DE3" w:rsidRDefault="00DB6CF1" w:rsidP="003A113D">
      <w:r w:rsidRPr="00892DE3">
        <w:tab/>
      </w:r>
      <w:r w:rsidR="003A113D" w:rsidRPr="00892DE3">
        <w:t>Department of Technology</w:t>
      </w:r>
    </w:p>
    <w:p w:rsidR="003A113D" w:rsidRPr="00892DE3" w:rsidRDefault="003A113D" w:rsidP="00DB6CF1">
      <w:pPr>
        <w:spacing w:before="0"/>
      </w:pPr>
      <w:r w:rsidRPr="00892DE3">
        <w:tab/>
        <w:t>1 Victoria Place</w:t>
      </w:r>
    </w:p>
    <w:p w:rsidR="003A113D" w:rsidRPr="00892DE3" w:rsidRDefault="003A113D" w:rsidP="00DB6CF1">
      <w:pPr>
        <w:spacing w:before="0"/>
      </w:pPr>
      <w:r w:rsidRPr="00892DE3">
        <w:tab/>
        <w:t>Melbourne VIC 3000</w:t>
      </w:r>
    </w:p>
    <w:p w:rsidR="003A113D" w:rsidRPr="00892DE3" w:rsidRDefault="00C37276" w:rsidP="003A113D">
      <w:r w:rsidRPr="00892DE3">
        <w:br w:type="column"/>
      </w:r>
      <w:r w:rsidR="003A113D" w:rsidRPr="00892DE3">
        <w:lastRenderedPageBreak/>
        <w:t xml:space="preserve">A description of the nature of its operations and its principal activities is included in the </w:t>
      </w:r>
      <w:r w:rsidR="003A113D" w:rsidRPr="00892DE3">
        <w:rPr>
          <w:b/>
        </w:rPr>
        <w:t>Report of operations</w:t>
      </w:r>
      <w:r w:rsidR="003A113D" w:rsidRPr="00892DE3">
        <w:t xml:space="preserve">, which does not form part of these financial statements. </w:t>
      </w:r>
      <w:r w:rsidR="003A113D" w:rsidRPr="00892DE3">
        <w:rPr>
          <w:rStyle w:val="SourceReference"/>
        </w:rPr>
        <w:t>[AASB 101.138]</w:t>
      </w:r>
    </w:p>
    <w:p w:rsidR="00C37276" w:rsidRPr="00892DE3" w:rsidRDefault="00C37276" w:rsidP="003A113D">
      <w:pPr>
        <w:pStyle w:val="Heading20"/>
        <w:sectPr w:rsidR="00C37276" w:rsidRPr="00892DE3" w:rsidSect="00C37276">
          <w:type w:val="continuous"/>
          <w:pgSz w:w="11906" w:h="16838" w:code="9"/>
          <w:pgMar w:top="1134" w:right="1134" w:bottom="1134" w:left="1134" w:header="624" w:footer="567" w:gutter="0"/>
          <w:cols w:num="2" w:space="567"/>
          <w:titlePg/>
          <w:docGrid w:linePitch="360"/>
        </w:sectPr>
      </w:pPr>
    </w:p>
    <w:p w:rsidR="003A113D" w:rsidRPr="00892DE3" w:rsidRDefault="003A113D" w:rsidP="00AD1758">
      <w:pPr>
        <w:pStyle w:val="Heading2nonTOC"/>
      </w:pPr>
      <w:bookmarkStart w:id="83" w:name="_Toc477967531"/>
      <w:r w:rsidRPr="00892DE3">
        <w:lastRenderedPageBreak/>
        <w:t>Basis of preparation</w:t>
      </w:r>
      <w:bookmarkEnd w:id="83"/>
    </w:p>
    <w:p w:rsidR="003A113D" w:rsidRPr="00892DE3" w:rsidRDefault="003A113D" w:rsidP="003A113D">
      <w:r w:rsidRPr="00892DE3">
        <w:t xml:space="preserve">These financial statements are in Australian dollars and the historical cost convention is used unless a different measurement basis is specifically disclosed in the note associated with the item measured on a different basis. </w:t>
      </w:r>
      <w:r w:rsidRPr="00892DE3">
        <w:rPr>
          <w:rStyle w:val="SourceReference"/>
        </w:rPr>
        <w:t>[AASB</w:t>
      </w:r>
      <w:r w:rsidR="00C37276" w:rsidRPr="00892DE3">
        <w:rPr>
          <w:rStyle w:val="SourceReference"/>
        </w:rPr>
        <w:t> </w:t>
      </w:r>
      <w:r w:rsidRPr="00892DE3">
        <w:rPr>
          <w:rStyle w:val="SourceReference"/>
        </w:rPr>
        <w:t>101.51(d) and AASB 121.11 and 121.53; FRD 104]</w:t>
      </w:r>
    </w:p>
    <w:p w:rsidR="003A113D" w:rsidRPr="00892DE3" w:rsidRDefault="003A113D" w:rsidP="003A113D">
      <w:r w:rsidRPr="00892DE3">
        <w:t xml:space="preserve">The accrual basis of accounting has been applied in preparing these financial statements, whereby assets, liabilities, equity, income and expenses are recognised in the reporting period to which they relate, regardless of when cash is received or paid. </w:t>
      </w:r>
      <w:r w:rsidRPr="00892DE3">
        <w:rPr>
          <w:rStyle w:val="SourceReference"/>
        </w:rPr>
        <w:t>[AASB 101.117(a)]</w:t>
      </w:r>
    </w:p>
    <w:p w:rsidR="00C819FE" w:rsidRPr="00892DE3" w:rsidRDefault="00C819FE" w:rsidP="00C819FE">
      <w:r w:rsidRPr="00892DE3">
        <w:t>Consistent with the requirements of AASB 1004 Contributions, contributions by owners (that is, contributed capital and its repayment) are treated as equity transactions and, therefore, do not form part of the income and expenses of the Department.</w:t>
      </w:r>
    </w:p>
    <w:p w:rsidR="00C819FE" w:rsidRPr="00892DE3" w:rsidRDefault="00C819FE" w:rsidP="00C819FE">
      <w:r w:rsidRPr="00892DE3">
        <w:t xml:space="preserve">Additions to net assets which have been designated as contributions by owners are recognised as contributed capital. Other transfers that are in the nature of contributions to or distributions by owners have also been designated as contributions by owners. </w:t>
      </w:r>
    </w:p>
    <w:p w:rsidR="00C819FE" w:rsidRPr="00892DE3" w:rsidRDefault="00C819FE" w:rsidP="00C819FE">
      <w:r w:rsidRPr="00892DE3">
        <w:t xml:space="preserve">Transfers of net assets arising from administrative restructurings are treated as distributions to or contributions by owners. Transfers of net liabilities arising from administrative restructurings are treated as distributions to owners. </w:t>
      </w:r>
      <w:r w:rsidRPr="00892DE3">
        <w:rPr>
          <w:rStyle w:val="SourceReference"/>
        </w:rPr>
        <w:t>[FRD 119A, AASB Interpretation 1038.7]</w:t>
      </w:r>
    </w:p>
    <w:p w:rsidR="003A113D" w:rsidRPr="00892DE3" w:rsidRDefault="003A113D" w:rsidP="003A113D">
      <w:r w:rsidRPr="00892DE3">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r w:rsidRPr="00892DE3">
        <w:rPr>
          <w:rStyle w:val="SourceReference"/>
        </w:rPr>
        <w:t>[AASB 101.122 and 101.125]</w:t>
      </w:r>
      <w:r w:rsidRPr="00892DE3">
        <w:t xml:space="preserve"> </w:t>
      </w:r>
    </w:p>
    <w:p w:rsidR="003A113D" w:rsidRPr="00892DE3" w:rsidRDefault="003A113D" w:rsidP="003A113D">
      <w:r w:rsidRPr="00892DE3">
        <w:t xml:space="preserve">Revisions to accounting estimates are recognised in the period in which the estimate is revised and also in future periods that are affected by the revision. </w:t>
      </w:r>
      <w:r w:rsidRPr="00892DE3">
        <w:rPr>
          <w:rStyle w:val="SourceReference"/>
        </w:rPr>
        <w:t>[AASB 108.36]</w:t>
      </w:r>
      <w:r w:rsidRPr="00892DE3">
        <w:t xml:space="preserve"> Judgements and assumptions made by management in applying AAS that have significant effects on the financial statements and estimates are disclosed in the notes under the heading: ‘Significant judgement or estimates’. </w:t>
      </w:r>
    </w:p>
    <w:p w:rsidR="003A113D" w:rsidRPr="00892DE3" w:rsidRDefault="003A113D" w:rsidP="003A113D">
      <w:r w:rsidRPr="00892DE3">
        <w:t xml:space="preserve">These financial statements cover the Department of Technology as an individual reporting entity and include all the controlled activities of the Department. </w:t>
      </w:r>
    </w:p>
    <w:p w:rsidR="003A113D" w:rsidRPr="00892DE3" w:rsidRDefault="003A113D" w:rsidP="003A113D">
      <w:r w:rsidRPr="00892DE3">
        <w:t xml:space="preserve">The following agencies have been consolidated into the Department’s financial statements pursuant to a determination made by the Minister for Finance under section 53(1)(b) of the </w:t>
      </w:r>
      <w:r w:rsidR="00C37276" w:rsidRPr="00892DE3">
        <w:rPr>
          <w:i/>
        </w:rPr>
        <w:t>Financial Management Act 1994</w:t>
      </w:r>
      <w:r w:rsidR="00C37276" w:rsidRPr="00892DE3">
        <w:t xml:space="preserve"> (</w:t>
      </w:r>
      <w:r w:rsidRPr="00892DE3">
        <w:t>FMA</w:t>
      </w:r>
      <w:r w:rsidR="00C37276" w:rsidRPr="00892DE3">
        <w:t>)</w:t>
      </w:r>
      <w:r w:rsidRPr="00892DE3">
        <w:t>. These agencies are reported in aggregate and are not controlled by the Department:</w:t>
      </w:r>
    </w:p>
    <w:p w:rsidR="003A113D" w:rsidRPr="00892DE3" w:rsidRDefault="003A113D" w:rsidP="003A113D">
      <w:pPr>
        <w:pStyle w:val="ListBullet"/>
      </w:pPr>
      <w:r w:rsidRPr="00892DE3">
        <w:rPr>
          <w:b/>
        </w:rPr>
        <w:t>Gene Sciences Victoria</w:t>
      </w:r>
      <w:r w:rsidRPr="00892DE3">
        <w:t xml:space="preserve">, a business unit, established under the </w:t>
      </w:r>
      <w:r w:rsidRPr="00892DE3">
        <w:rPr>
          <w:i/>
        </w:rPr>
        <w:t>Biological Technology Act 1998</w:t>
      </w:r>
      <w:r w:rsidRPr="00892DE3">
        <w:t>.</w:t>
      </w:r>
    </w:p>
    <w:p w:rsidR="003A113D" w:rsidRPr="00892DE3" w:rsidRDefault="003A113D" w:rsidP="003A113D">
      <w:pPr>
        <w:pStyle w:val="ListBullet"/>
      </w:pPr>
      <w:r w:rsidRPr="00892DE3">
        <w:rPr>
          <w:b/>
        </w:rPr>
        <w:t>The Office of the Commissioner of New Technology</w:t>
      </w:r>
      <w:r w:rsidRPr="00892DE3">
        <w:t xml:space="preserve"> is an administrative unit established under the </w:t>
      </w:r>
      <w:r w:rsidRPr="00892DE3">
        <w:rPr>
          <w:i/>
        </w:rPr>
        <w:t>New Technology Act 1999</w:t>
      </w:r>
      <w:r w:rsidRPr="00892DE3">
        <w:t>.</w:t>
      </w:r>
    </w:p>
    <w:p w:rsidR="003A113D" w:rsidRPr="00892DE3" w:rsidRDefault="003A113D" w:rsidP="003A113D">
      <w:pPr>
        <w:pStyle w:val="ListBullet"/>
      </w:pPr>
      <w:r w:rsidRPr="00892DE3">
        <w:rPr>
          <w:b/>
        </w:rPr>
        <w:t>Innovation Victoria</w:t>
      </w:r>
      <w:r w:rsidRPr="00892DE3">
        <w:t xml:space="preserve"> is an entity established under the Innovation </w:t>
      </w:r>
      <w:r w:rsidRPr="00892DE3">
        <w:rPr>
          <w:i/>
        </w:rPr>
        <w:t>Victoria Act 2015</w:t>
      </w:r>
      <w:r w:rsidRPr="00892DE3">
        <w:t>.</w:t>
      </w:r>
    </w:p>
    <w:p w:rsidR="00F560AE" w:rsidRPr="00892DE3" w:rsidRDefault="00F560AE" w:rsidP="00F560AE">
      <w:pPr>
        <w:pStyle w:val="ListBullet"/>
        <w:numPr>
          <w:ilvl w:val="0"/>
          <w:numId w:val="0"/>
        </w:numPr>
      </w:pPr>
    </w:p>
    <w:p w:rsidR="00F560AE" w:rsidRPr="00892DE3" w:rsidRDefault="00F560AE" w:rsidP="00F560AE">
      <w:pPr>
        <w:pStyle w:val="ListBullet"/>
        <w:numPr>
          <w:ilvl w:val="0"/>
          <w:numId w:val="0"/>
        </w:numPr>
      </w:pPr>
      <w:r w:rsidRPr="00892DE3">
        <w:t>Where control of an entity is obtained during the financial period, its results are included in the comprehensive operating statement from the date on which control commenced.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rsidR="00F560AE" w:rsidRPr="00892DE3" w:rsidRDefault="00F560AE" w:rsidP="00F560AE">
      <w:pPr>
        <w:pStyle w:val="ListBullet"/>
        <w:numPr>
          <w:ilvl w:val="0"/>
          <w:numId w:val="0"/>
        </w:numPr>
      </w:pPr>
    </w:p>
    <w:p w:rsidR="00F560AE" w:rsidRPr="00892DE3" w:rsidRDefault="00F560AE" w:rsidP="00F560AE">
      <w:pPr>
        <w:pStyle w:val="ListBullet"/>
        <w:numPr>
          <w:ilvl w:val="0"/>
          <w:numId w:val="0"/>
        </w:numPr>
      </w:pPr>
      <w:r w:rsidRPr="00892DE3">
        <w:t>In preparing consolidated financial statements for the Department, all material transactions and balances between consolidated entities are eliminated.</w:t>
      </w:r>
    </w:p>
    <w:p w:rsidR="003A113D" w:rsidRPr="00892DE3" w:rsidRDefault="003A113D" w:rsidP="003A113D">
      <w:pPr>
        <w:rPr>
          <w:rStyle w:val="SourceReference"/>
        </w:rPr>
      </w:pPr>
      <w:r w:rsidRPr="00892DE3">
        <w:t xml:space="preserve">All amounts in the financial statements have been rounded to the nearest $1 000 unless otherwise stated. </w:t>
      </w:r>
      <w:r w:rsidR="00C37276" w:rsidRPr="00892DE3">
        <w:rPr>
          <w:rStyle w:val="SourceReference"/>
        </w:rPr>
        <w:t>[AASB </w:t>
      </w:r>
      <w:r w:rsidRPr="00892DE3">
        <w:rPr>
          <w:rStyle w:val="SourceReference"/>
        </w:rPr>
        <w:t>101.51(e)]</w:t>
      </w:r>
    </w:p>
    <w:p w:rsidR="003A113D" w:rsidRPr="00892DE3" w:rsidRDefault="003A113D" w:rsidP="00AD1758">
      <w:pPr>
        <w:pStyle w:val="Heading2nonTOC"/>
      </w:pPr>
      <w:bookmarkStart w:id="84" w:name="_Toc477967532"/>
      <w:r w:rsidRPr="00892DE3">
        <w:lastRenderedPageBreak/>
        <w:t>Compliance information</w:t>
      </w:r>
      <w:bookmarkEnd w:id="84"/>
    </w:p>
    <w:p w:rsidR="003A113D" w:rsidRPr="00892DE3" w:rsidRDefault="003A113D" w:rsidP="003A113D">
      <w:r w:rsidRPr="00892DE3">
        <w:t xml:space="preserve">These general purpose financial statements have been prepared in accordance with the FMA and applicable Australian Accounting Standards (AASs) which include Interpretations, issued by the Australian Accounting Standards Board (AASB). In particular, they are presented in a manner consistent with the requirements of AASB 1049 </w:t>
      </w:r>
      <w:r w:rsidRPr="00892DE3">
        <w:rPr>
          <w:i/>
        </w:rPr>
        <w:t>Whole of Government and General Government Sector Financial Reporting</w:t>
      </w:r>
      <w:r w:rsidRPr="00892DE3">
        <w:t xml:space="preserve"> (AASB 1049). </w:t>
      </w:r>
      <w:r w:rsidRPr="00892DE3">
        <w:rPr>
          <w:rStyle w:val="SourceReference"/>
        </w:rPr>
        <w:t>[AASB 1054.7]</w:t>
      </w:r>
    </w:p>
    <w:p w:rsidR="003A113D" w:rsidRPr="00892DE3" w:rsidRDefault="003A113D" w:rsidP="003A113D">
      <w:r w:rsidRPr="00892DE3">
        <w:t xml:space="preserve">Where appropriate, those AASs paragraphs applicable to </w:t>
      </w:r>
      <w:r w:rsidR="004A3F79" w:rsidRPr="00892DE3">
        <w:t>not-for-profit</w:t>
      </w:r>
      <w:r w:rsidRPr="00892DE3">
        <w:t xml:space="preserve">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r w:rsidRPr="00892DE3">
        <w:rPr>
          <w:rStyle w:val="SourceReference"/>
        </w:rPr>
        <w:t>[AASB 101.17]</w:t>
      </w:r>
    </w:p>
    <w:tbl>
      <w:tblPr>
        <w:tblStyle w:val="ModelReportGuidanceTable"/>
        <w:tblW w:w="9854" w:type="dxa"/>
        <w:tblLayout w:type="fixed"/>
        <w:tblLook w:val="0620" w:firstRow="1" w:lastRow="0" w:firstColumn="0" w:lastColumn="0" w:noHBand="1" w:noVBand="1"/>
      </w:tblPr>
      <w:tblGrid>
        <w:gridCol w:w="9854"/>
      </w:tblGrid>
      <w:tr w:rsidR="003A113D" w:rsidRPr="00892DE3" w:rsidTr="006A1BDC">
        <w:trPr>
          <w:cnfStyle w:val="100000000000" w:firstRow="1" w:lastRow="0" w:firstColumn="0" w:lastColumn="0" w:oddVBand="0" w:evenVBand="0" w:oddHBand="0" w:evenHBand="0" w:firstRowFirstColumn="0" w:firstRowLastColumn="0" w:lastRowFirstColumn="0" w:lastRowLastColumn="0"/>
          <w:tblHeader/>
        </w:trPr>
        <w:tc>
          <w:tcPr>
            <w:tcW w:w="9854" w:type="dxa"/>
          </w:tcPr>
          <w:p w:rsidR="003A113D" w:rsidRPr="00892DE3" w:rsidRDefault="003A113D" w:rsidP="003A113D">
            <w:r w:rsidRPr="00892DE3">
              <w:t>Guidance – Basis of preparation and compliance information</w:t>
            </w:r>
          </w:p>
        </w:tc>
      </w:tr>
      <w:tr w:rsidR="006F16D1" w:rsidRPr="00892DE3" w:rsidTr="006A1BDC">
        <w:tc>
          <w:tcPr>
            <w:tcW w:w="9854" w:type="dxa"/>
          </w:tcPr>
          <w:p w:rsidR="006F16D1" w:rsidRPr="00892DE3" w:rsidRDefault="006F16D1" w:rsidP="006F16D1">
            <w:pPr>
              <w:rPr>
                <w:b/>
              </w:rPr>
            </w:pPr>
            <w:r w:rsidRPr="00892DE3">
              <w:rPr>
                <w:b/>
              </w:rPr>
              <w:t>Reporting entity</w:t>
            </w:r>
          </w:p>
          <w:p w:rsidR="006F16D1" w:rsidRPr="00892DE3" w:rsidRDefault="006F16D1" w:rsidP="006F16D1">
            <w:r w:rsidRPr="00892DE3">
              <w:t xml:space="preserve">Government departments may conduct activities through a variety of administrative and organisational structures. </w:t>
            </w:r>
            <w:r w:rsidR="00C37276" w:rsidRPr="00892DE3">
              <w:br/>
            </w:r>
            <w:r w:rsidRPr="00892DE3">
              <w:t>For example, they may manage commercial activities separately from non-commercial activities, operate one or more trust accounts and may undertake a number of activities.</w:t>
            </w:r>
          </w:p>
          <w:p w:rsidR="006F16D1" w:rsidRPr="00892DE3" w:rsidRDefault="006F16D1" w:rsidP="006F16D1">
            <w:r w:rsidRPr="00892DE3">
              <w:t xml:space="preserve">Where a department administers activities on behalf of parties external to the Victorian Government, the nature and amount of the funds under management should be disclosed separately from income, expenses, assets and liabilities in the notes. </w:t>
            </w:r>
            <w:r w:rsidRPr="00892DE3">
              <w:rPr>
                <w:rStyle w:val="SourceReference"/>
              </w:rPr>
              <w:t>[AASB 1050.25]</w:t>
            </w:r>
          </w:p>
          <w:p w:rsidR="006F16D1" w:rsidRPr="00892DE3" w:rsidRDefault="006F16D1" w:rsidP="006F16D1">
            <w:pPr>
              <w:rPr>
                <w:b/>
              </w:rPr>
            </w:pPr>
            <w:r w:rsidRPr="00892DE3">
              <w:rPr>
                <w:b/>
              </w:rPr>
              <w:t>Judgem</w:t>
            </w:r>
            <w:r w:rsidR="00C819FE" w:rsidRPr="00892DE3">
              <w:rPr>
                <w:b/>
              </w:rPr>
              <w:t>ents, estimates and assumptions</w:t>
            </w:r>
          </w:p>
          <w:p w:rsidR="006F16D1" w:rsidRPr="00892DE3" w:rsidRDefault="006F16D1" w:rsidP="006F16D1">
            <w:r w:rsidRPr="00892DE3">
              <w:t>In preparing financial statements, the nature of significant judgements, estimates and assumptions made by management need to be disclosed. The following disclosures are required:</w:t>
            </w:r>
          </w:p>
          <w:p w:rsidR="006F16D1" w:rsidRPr="00892DE3" w:rsidRDefault="006F16D1" w:rsidP="006F16D1">
            <w:pPr>
              <w:pStyle w:val="ListBullet"/>
            </w:pPr>
            <w:r w:rsidRPr="00892DE3">
              <w:t xml:space="preserve">the </w:t>
            </w:r>
            <w:r w:rsidRPr="00892DE3">
              <w:rPr>
                <w:i/>
              </w:rPr>
              <w:t>fact</w:t>
            </w:r>
            <w:r w:rsidRPr="00892DE3">
              <w:t xml:space="preserve"> that significant assumptions, judgements and estimates were made;</w:t>
            </w:r>
          </w:p>
          <w:p w:rsidR="006F16D1" w:rsidRPr="00892DE3" w:rsidRDefault="006F16D1" w:rsidP="006F16D1">
            <w:pPr>
              <w:pStyle w:val="ListBullet"/>
            </w:pPr>
            <w:r w:rsidRPr="00892DE3">
              <w:t xml:space="preserve">the </w:t>
            </w:r>
            <w:r w:rsidRPr="00892DE3">
              <w:rPr>
                <w:i/>
              </w:rPr>
              <w:t>nature</w:t>
            </w:r>
            <w:r w:rsidRPr="00892DE3">
              <w:t xml:space="preserve"> of the significant assumptions, judgements and estimates; and</w:t>
            </w:r>
          </w:p>
          <w:p w:rsidR="006F16D1" w:rsidRPr="00892DE3" w:rsidRDefault="006F16D1" w:rsidP="006F16D1">
            <w:pPr>
              <w:pStyle w:val="ListBullet"/>
            </w:pPr>
            <w:r w:rsidRPr="00892DE3">
              <w:rPr>
                <w:i/>
              </w:rPr>
              <w:t>how</w:t>
            </w:r>
            <w:r w:rsidRPr="00892DE3">
              <w:t xml:space="preserve"> these were made (the method used). </w:t>
            </w:r>
          </w:p>
          <w:p w:rsidR="006F16D1" w:rsidRPr="00892DE3" w:rsidRDefault="006F16D1" w:rsidP="006F16D1">
            <w:r w:rsidRPr="00892DE3">
              <w:t xml:space="preserve">Examples include operating lease commitments, valuation of investments, impairment of </w:t>
            </w:r>
            <w:r w:rsidR="0013097E" w:rsidRPr="00892DE3">
              <w:t>property</w:t>
            </w:r>
            <w:r w:rsidRPr="00892DE3">
              <w:t xml:space="preserve">, </w:t>
            </w:r>
            <w:r w:rsidR="0013097E" w:rsidRPr="00892DE3">
              <w:t xml:space="preserve">plant </w:t>
            </w:r>
            <w:r w:rsidRPr="00892DE3">
              <w:t xml:space="preserve">and </w:t>
            </w:r>
            <w:r w:rsidR="0013097E" w:rsidRPr="00892DE3">
              <w:t xml:space="preserve">equipment </w:t>
            </w:r>
            <w:r w:rsidRPr="00892DE3">
              <w:t xml:space="preserve">etc. </w:t>
            </w:r>
            <w:r w:rsidRPr="00892DE3">
              <w:rPr>
                <w:rStyle w:val="SourceReference"/>
              </w:rPr>
              <w:t>[AASB 101.122 and 101.125]</w:t>
            </w:r>
          </w:p>
          <w:p w:rsidR="006F16D1" w:rsidRPr="00892DE3" w:rsidRDefault="006F16D1" w:rsidP="006F16D1">
            <w:pPr>
              <w:rPr>
                <w:b/>
              </w:rPr>
            </w:pPr>
            <w:r w:rsidRPr="00892DE3">
              <w:rPr>
                <w:b/>
              </w:rPr>
              <w:t xml:space="preserve">Key sources of estimation uncertainty </w:t>
            </w:r>
            <w:r w:rsidRPr="00892DE3">
              <w:rPr>
                <w:rStyle w:val="SourceReference"/>
              </w:rPr>
              <w:t>[AASB 101.125]</w:t>
            </w:r>
          </w:p>
          <w:p w:rsidR="006F16D1" w:rsidRPr="00892DE3" w:rsidRDefault="006F16D1" w:rsidP="006F16D1">
            <w:r w:rsidRPr="00892DE3">
              <w:t>An entity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rsidR="006F16D1" w:rsidRPr="00892DE3" w:rsidRDefault="006F16D1" w:rsidP="006F16D1">
            <w:pPr>
              <w:pStyle w:val="List"/>
            </w:pPr>
            <w:r w:rsidRPr="00892DE3">
              <w:t>(a)</w:t>
            </w:r>
            <w:r w:rsidRPr="00892DE3">
              <w:tab/>
              <w:t>their nature; and</w:t>
            </w:r>
          </w:p>
          <w:p w:rsidR="006F16D1" w:rsidRPr="00892DE3" w:rsidRDefault="006F16D1" w:rsidP="006F16D1">
            <w:pPr>
              <w:pStyle w:val="List"/>
            </w:pPr>
            <w:r w:rsidRPr="00892DE3">
              <w:t>(b)</w:t>
            </w:r>
            <w:r w:rsidRPr="00892DE3">
              <w:tab/>
              <w:t>their carrying amount at the end of the reporting period.</w:t>
            </w:r>
          </w:p>
          <w:p w:rsidR="006F16D1" w:rsidRPr="00892DE3" w:rsidRDefault="006F16D1" w:rsidP="006F16D1">
            <w:r w:rsidRPr="00892DE3">
              <w:t xml:space="preserve">Determining the carrying amounts of some assets and liabilities requires estimation of the effects of uncertain future events on those assets and liabilities at the end of the reporting period. </w:t>
            </w:r>
            <w:r w:rsidRPr="00892DE3">
              <w:rPr>
                <w:rStyle w:val="SourceReference"/>
              </w:rPr>
              <w:t>[AASB 101.126]</w:t>
            </w:r>
          </w:p>
          <w:p w:rsidR="006F16D1" w:rsidRPr="00892DE3" w:rsidRDefault="006F16D1" w:rsidP="006F16D1">
            <w:r w:rsidRPr="00892DE3">
              <w:t xml:space="preserve">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 </w:t>
            </w:r>
            <w:r w:rsidRPr="00892DE3">
              <w:rPr>
                <w:rStyle w:val="SourceReference"/>
              </w:rPr>
              <w:t>[AASB 101.128]</w:t>
            </w:r>
          </w:p>
          <w:p w:rsidR="006F16D1" w:rsidRPr="00892DE3" w:rsidRDefault="006F16D1" w:rsidP="006F16D1">
            <w:pPr>
              <w:rPr>
                <w:b/>
              </w:rPr>
            </w:pPr>
            <w:r w:rsidRPr="00892DE3">
              <w:rPr>
                <w:b/>
              </w:rPr>
              <w:t>Other significant judgements</w:t>
            </w:r>
          </w:p>
          <w:p w:rsidR="006F16D1" w:rsidRPr="00892DE3" w:rsidRDefault="006F16D1" w:rsidP="006F16D1">
            <w:r w:rsidRPr="00892DE3">
              <w:t>In addition, significant judgements and assumptions made (and changes to those judgements and assumptions) need to be disclosed in determining:</w:t>
            </w:r>
          </w:p>
          <w:p w:rsidR="006F16D1" w:rsidRPr="00892DE3" w:rsidRDefault="005E6F0D" w:rsidP="006F16D1">
            <w:pPr>
              <w:pStyle w:val="ListBullet"/>
            </w:pPr>
            <w:r w:rsidRPr="00892DE3">
              <w:t xml:space="preserve">whether </w:t>
            </w:r>
            <w:r w:rsidR="006F16D1" w:rsidRPr="00892DE3">
              <w:t>it controls another entity;</w:t>
            </w:r>
          </w:p>
          <w:p w:rsidR="006F16D1" w:rsidRPr="00892DE3" w:rsidRDefault="005E6F0D" w:rsidP="006F16D1">
            <w:pPr>
              <w:pStyle w:val="ListBullet"/>
            </w:pPr>
            <w:r w:rsidRPr="00892DE3">
              <w:t xml:space="preserve">whether </w:t>
            </w:r>
            <w:r w:rsidR="006F16D1" w:rsidRPr="00892DE3">
              <w:t xml:space="preserve">it has joint control of an arrangement or significant influence over another entity; </w:t>
            </w:r>
          </w:p>
          <w:p w:rsidR="006F16D1" w:rsidRPr="00892DE3" w:rsidRDefault="006F16D1" w:rsidP="006F16D1">
            <w:pPr>
              <w:pStyle w:val="ListBullet"/>
            </w:pPr>
            <w:r w:rsidRPr="00892DE3">
              <w:t>the type of joint arrangement (i.e. joint operation or joint venture) when the arrangement has been structured through a separate vehicle</w:t>
            </w:r>
            <w:r w:rsidR="006A6687" w:rsidRPr="00892DE3">
              <w:t xml:space="preserve">; </w:t>
            </w:r>
            <w:r w:rsidRPr="00892DE3">
              <w:rPr>
                <w:rStyle w:val="SourceReference"/>
              </w:rPr>
              <w:t>[AASB 12.7]</w:t>
            </w:r>
          </w:p>
          <w:p w:rsidR="006F16D1" w:rsidRPr="00892DE3" w:rsidRDefault="006F16D1" w:rsidP="006F16D1">
            <w:pPr>
              <w:pStyle w:val="ListBullet"/>
            </w:pPr>
            <w:r w:rsidRPr="00892DE3">
              <w:t>whether financial assets are held to maturity investments;</w:t>
            </w:r>
          </w:p>
          <w:p w:rsidR="006F16D1" w:rsidRPr="00892DE3" w:rsidRDefault="006F16D1" w:rsidP="006F16D1">
            <w:pPr>
              <w:pStyle w:val="ListBullet"/>
            </w:pPr>
            <w:r w:rsidRPr="00892DE3">
              <w:t>when substantially all the significant risks and rewards of ownership of financial assets and lease assets are transferred to other entities;</w:t>
            </w:r>
          </w:p>
          <w:p w:rsidR="006F16D1" w:rsidRPr="00892DE3" w:rsidRDefault="006F16D1" w:rsidP="006F16D1">
            <w:pPr>
              <w:pStyle w:val="ListBullet"/>
            </w:pPr>
            <w:r w:rsidRPr="00892DE3">
              <w:t>whether, in substance, particular sales of goods are financing arrangements and therefore do not give rise to income; and</w:t>
            </w:r>
          </w:p>
          <w:p w:rsidR="00F560AE" w:rsidRPr="00892DE3" w:rsidRDefault="006F16D1" w:rsidP="0041634C">
            <w:pPr>
              <w:pStyle w:val="ListBullet"/>
            </w:pPr>
            <w:r w:rsidRPr="00892DE3">
              <w:t xml:space="preserve">whether the substance of the relationship between the entity and a special purpose entity indicates that the special purpose entity is controlled by the entity. </w:t>
            </w:r>
            <w:r w:rsidRPr="00892DE3">
              <w:rPr>
                <w:rStyle w:val="SourceReference"/>
              </w:rPr>
              <w:t>[AASB 101.123]</w:t>
            </w:r>
            <w:r w:rsidRPr="00892DE3">
              <w:t xml:space="preserve"> </w:t>
            </w:r>
          </w:p>
        </w:tc>
      </w:tr>
    </w:tbl>
    <w:p w:rsidR="0041634C" w:rsidRDefault="0041634C"/>
    <w:p w:rsidR="0041634C" w:rsidRDefault="0041634C"/>
    <w:p w:rsidR="0041634C" w:rsidRDefault="0041634C">
      <w:r>
        <w:rPr>
          <w:b/>
        </w:rPr>
        <w:br w:type="page"/>
      </w:r>
    </w:p>
    <w:tbl>
      <w:tblPr>
        <w:tblStyle w:val="ModelReportGuidanceTable"/>
        <w:tblW w:w="9854" w:type="dxa"/>
        <w:tblLayout w:type="fixed"/>
        <w:tblLook w:val="0620" w:firstRow="1" w:lastRow="0" w:firstColumn="0" w:lastColumn="0" w:noHBand="1" w:noVBand="1"/>
      </w:tblPr>
      <w:tblGrid>
        <w:gridCol w:w="9854"/>
      </w:tblGrid>
      <w:tr w:rsidR="0041634C" w:rsidRPr="00892DE3" w:rsidTr="006A1BDC">
        <w:trPr>
          <w:cnfStyle w:val="100000000000" w:firstRow="1" w:lastRow="0" w:firstColumn="0" w:lastColumn="0" w:oddVBand="0" w:evenVBand="0" w:oddHBand="0" w:evenHBand="0" w:firstRowFirstColumn="0" w:firstRowLastColumn="0" w:lastRowFirstColumn="0" w:lastRowLastColumn="0"/>
        </w:trPr>
        <w:tc>
          <w:tcPr>
            <w:tcW w:w="9854" w:type="dxa"/>
          </w:tcPr>
          <w:p w:rsidR="0041634C" w:rsidRPr="00892DE3" w:rsidRDefault="0041634C" w:rsidP="0041634C">
            <w:pPr>
              <w:rPr>
                <w:b w:val="0"/>
              </w:rPr>
            </w:pPr>
            <w:r w:rsidRPr="00892DE3">
              <w:lastRenderedPageBreak/>
              <w:t>Guidance – Basis of preparation and compliance information</w:t>
            </w:r>
            <w:r>
              <w:t xml:space="preserve"> </w:t>
            </w:r>
            <w:r w:rsidRPr="0041634C">
              <w:rPr>
                <w:i/>
              </w:rPr>
              <w:t>(continued)</w:t>
            </w:r>
          </w:p>
        </w:tc>
      </w:tr>
      <w:tr w:rsidR="0041634C" w:rsidRPr="00892DE3" w:rsidTr="006A1BDC">
        <w:tc>
          <w:tcPr>
            <w:tcW w:w="9854" w:type="dxa"/>
          </w:tcPr>
          <w:p w:rsidR="0041634C" w:rsidRPr="00892DE3" w:rsidRDefault="0041634C" w:rsidP="0041634C">
            <w:pPr>
              <w:rPr>
                <w:b/>
              </w:rPr>
            </w:pPr>
            <w:r w:rsidRPr="00892DE3">
              <w:rPr>
                <w:b/>
              </w:rPr>
              <w:t>Basis of consolidation</w:t>
            </w:r>
          </w:p>
          <w:p w:rsidR="0041634C" w:rsidRPr="00892DE3" w:rsidRDefault="0041634C" w:rsidP="0041634C">
            <w:r w:rsidRPr="00892DE3">
              <w:t xml:space="preserve">AASB 10 </w:t>
            </w:r>
            <w:r w:rsidRPr="00892DE3">
              <w:rPr>
                <w:i/>
              </w:rPr>
              <w:t>Consolidated Financial Statements</w:t>
            </w:r>
            <w:r w:rsidRPr="00892DE3">
              <w:t xml:space="preserve"> defines the principle of control, and establishes control as the basis for consolidation. Please refer to Appendix </w:t>
            </w:r>
            <w:r w:rsidR="006A58CA">
              <w:t>4</w:t>
            </w:r>
            <w:r w:rsidR="006A58CA" w:rsidRPr="00892DE3">
              <w:t xml:space="preserve"> </w:t>
            </w:r>
            <w:r w:rsidRPr="00892DE3">
              <w:t>on the detailed guidance for application of AASB 10 in the not-for-profit context.</w:t>
            </w:r>
          </w:p>
          <w:p w:rsidR="0041634C" w:rsidRPr="00892DE3" w:rsidRDefault="0041634C" w:rsidP="0041634C">
            <w:r w:rsidRPr="00892DE3">
              <w:t xml:space="preserve">An entity shall disclose information about significant judgements and assumptions it has made (and changes to those judgements and assumptions) in determining that it has control of another entity (e.g. an investee as described in paragraphs 5 and 6 of AASB 10). </w:t>
            </w:r>
          </w:p>
          <w:p w:rsidR="0041634C" w:rsidRPr="00892DE3" w:rsidRDefault="0041634C" w:rsidP="0041634C">
            <w:r w:rsidRPr="00892DE3">
              <w:t>For departments that aggregate entities under section 53(1)(b) of the</w:t>
            </w:r>
            <w:r w:rsidRPr="00892DE3">
              <w:rPr>
                <w:i/>
              </w:rPr>
              <w:t xml:space="preserve"> Financial Management Act 1994</w:t>
            </w:r>
            <w:r w:rsidRPr="00892DE3">
              <w:t xml:space="preserve"> in their annual report, this following guidance has been provided for use in the relevant note: </w:t>
            </w:r>
          </w:p>
          <w:p w:rsidR="0041634C" w:rsidRPr="00892DE3" w:rsidRDefault="0041634C" w:rsidP="0041634C">
            <w:r w:rsidRPr="00892DE3">
              <w:t xml:space="preserve">“Pursuant to section 53(1)(b) of the </w:t>
            </w:r>
            <w:r w:rsidRPr="00892DE3">
              <w:rPr>
                <w:i/>
              </w:rPr>
              <w:t>Financial Management Act 1994</w:t>
            </w:r>
            <w:r w:rsidRPr="00892DE3">
              <w:t xml:space="preserve">, the results of the following entities are reported in aggregate as part of the department’s financial statements. These entities are not controlled by the department. </w:t>
            </w:r>
          </w:p>
          <w:p w:rsidR="0041634C" w:rsidRPr="00892DE3" w:rsidRDefault="0041634C" w:rsidP="0041634C">
            <w:r w:rsidRPr="00892DE3">
              <w:t>[insert names]”</w:t>
            </w:r>
          </w:p>
          <w:p w:rsidR="0041634C" w:rsidRPr="00892DE3" w:rsidRDefault="0041634C" w:rsidP="0041634C">
            <w:pPr>
              <w:pageBreakBefore/>
              <w:rPr>
                <w:b/>
              </w:rPr>
            </w:pPr>
            <w:r w:rsidRPr="00892DE3">
              <w:rPr>
                <w:b/>
              </w:rPr>
              <w:t xml:space="preserve">Rounding of amounts </w:t>
            </w:r>
            <w:r w:rsidRPr="00892DE3">
              <w:rPr>
                <w:rStyle w:val="SourceReference"/>
              </w:rPr>
              <w:t>[AASB101.51(e)]</w:t>
            </w:r>
          </w:p>
          <w:p w:rsidR="0041634C" w:rsidRPr="00892DE3" w:rsidRDefault="0041634C" w:rsidP="0041634C">
            <w:pPr>
              <w:rPr>
                <w:b/>
              </w:rPr>
            </w:pPr>
            <w:r w:rsidRPr="00892DE3">
              <w:t>The rounding used in the presentation of amounts in this model financial statements must be prominently displayed. Amounts in the financial statements have been rounded to the nearest $1 000, unless otherwise stated. Figures in the financial statements may not equate due to rounding. Refer to Note 9.15 for a style convention guide and explanation of minor discrepancies resulting from rounding.</w:t>
            </w:r>
          </w:p>
        </w:tc>
      </w:tr>
      <w:bookmarkEnd w:id="82"/>
    </w:tbl>
    <w:p w:rsidR="00F73D4D" w:rsidRPr="00892DE3" w:rsidRDefault="00F73D4D" w:rsidP="003A113D">
      <w:pPr>
        <w:sectPr w:rsidR="00F73D4D" w:rsidRPr="00892DE3" w:rsidSect="00C37276">
          <w:type w:val="continuous"/>
          <w:pgSz w:w="11906" w:h="16838" w:code="9"/>
          <w:pgMar w:top="1134" w:right="1134" w:bottom="1134" w:left="1134" w:header="624" w:footer="567" w:gutter="0"/>
          <w:cols w:sep="1" w:space="567"/>
          <w:titlePg/>
          <w:docGrid w:linePitch="360"/>
        </w:sectPr>
      </w:pPr>
    </w:p>
    <w:p w:rsidR="006F16D1" w:rsidRPr="00892DE3" w:rsidRDefault="006F16D1" w:rsidP="006F16D1">
      <w:pPr>
        <w:pStyle w:val="Heading1"/>
      </w:pPr>
      <w:bookmarkStart w:id="85" w:name="Section2"/>
      <w:r w:rsidRPr="00892DE3">
        <w:lastRenderedPageBreak/>
        <w:t>FUNDING DELIVERY OF OUR SERVICES</w:t>
      </w:r>
    </w:p>
    <w:p w:rsidR="00BB5097" w:rsidRPr="00892DE3" w:rsidRDefault="00BB5097" w:rsidP="00BB5097">
      <w:pPr>
        <w:pStyle w:val="Heading30"/>
        <w:sectPr w:rsidR="00BB5097" w:rsidRPr="00892DE3" w:rsidSect="00F73D4D">
          <w:footerReference w:type="first" r:id="rId99"/>
          <w:pgSz w:w="11906" w:h="16838" w:code="9"/>
          <w:pgMar w:top="1134" w:right="1134" w:bottom="1134" w:left="1134" w:header="624" w:footer="567" w:gutter="0"/>
          <w:cols w:sep="1" w:space="567"/>
          <w:titlePg/>
          <w:docGrid w:linePitch="360"/>
        </w:sectPr>
      </w:pPr>
    </w:p>
    <w:p w:rsidR="006F16D1" w:rsidRPr="00892DE3" w:rsidRDefault="006F16D1" w:rsidP="00BB5097">
      <w:pPr>
        <w:pStyle w:val="Heading30"/>
      </w:pPr>
      <w:r w:rsidRPr="00892DE3">
        <w:lastRenderedPageBreak/>
        <w:t>Introduction</w:t>
      </w:r>
    </w:p>
    <w:p w:rsidR="006F16D1" w:rsidRPr="00892DE3" w:rsidRDefault="006F16D1" w:rsidP="006F16D1">
      <w:r w:rsidRPr="00892DE3">
        <w:t>The Department</w:t>
      </w:r>
      <w:r w:rsidR="004A3F79" w:rsidRPr="00892DE3">
        <w:t xml:space="preserve"> of Technology</w:t>
      </w:r>
      <w:r w:rsidRPr="00892DE3">
        <w:t>’s</w:t>
      </w:r>
      <w:r w:rsidR="00154F17" w:rsidRPr="00892DE3">
        <w:t xml:space="preserve"> (the Department)</w:t>
      </w:r>
      <w:r w:rsidRPr="00892DE3">
        <w:t xml:space="preserve"> overall objective is to research, develop, promote and support the use of leading edge information, biological technology and telecommunications that bring improvements to the efficiency and effectiveness of government operation, and improvements to the quality of life of Victorians. </w:t>
      </w:r>
      <w:r w:rsidRPr="00892DE3">
        <w:rPr>
          <w:rStyle w:val="SourceReference"/>
        </w:rPr>
        <w:t>[FRD 9A, AASB 1052.15(b), AASB 1050.7]</w:t>
      </w:r>
      <w:r w:rsidRPr="00892DE3">
        <w:t xml:space="preserve"> </w:t>
      </w:r>
    </w:p>
    <w:p w:rsidR="006F16D1" w:rsidRPr="00892DE3" w:rsidRDefault="006F16D1" w:rsidP="006F16D1">
      <w:r w:rsidRPr="00892DE3">
        <w:t xml:space="preserve">To enable the Department to fulfil its objective and provide outputs as described in </w:t>
      </w:r>
      <w:r w:rsidR="00837C1E" w:rsidRPr="00892DE3">
        <w:t>Section</w:t>
      </w:r>
      <w:r w:rsidRPr="00892DE3">
        <w:t xml:space="preserve"> 4, it receives income (predominantly accrual based parliamentary appropriations). The Department also receives market based fees providing advice and other services in relation to information technology and telecommunications.</w:t>
      </w:r>
    </w:p>
    <w:p w:rsidR="00BB5097" w:rsidRPr="00892DE3" w:rsidRDefault="00BB5097" w:rsidP="00BB5097">
      <w:pPr>
        <w:pStyle w:val="Heading30"/>
      </w:pPr>
      <w:r w:rsidRPr="00892DE3">
        <w:br w:type="column"/>
      </w:r>
      <w:r w:rsidRPr="00892DE3">
        <w:lastRenderedPageBreak/>
        <w:t>Structure</w:t>
      </w:r>
    </w:p>
    <w:p w:rsidR="00AD1758" w:rsidRPr="00892DE3" w:rsidRDefault="00BB5097">
      <w:pPr>
        <w:pStyle w:val="TOC9"/>
        <w:rPr>
          <w:rFonts w:eastAsiaTheme="minorEastAsia"/>
          <w:spacing w:val="0"/>
          <w:sz w:val="22"/>
          <w:szCs w:val="22"/>
          <w:lang w:eastAsia="en-AU"/>
        </w:rPr>
      </w:pPr>
      <w:r w:rsidRPr="00892DE3">
        <w:fldChar w:fldCharType="begin"/>
      </w:r>
      <w:r w:rsidRPr="00892DE3">
        <w:instrText xml:space="preserve"> TOC \h \z \t "Heading 2 (#),9" \b Section2 \* MERGEFORMAT </w:instrText>
      </w:r>
      <w:r w:rsidRPr="00892DE3">
        <w:fldChar w:fldCharType="separate"/>
      </w:r>
      <w:hyperlink w:anchor="_Toc478047454" w:history="1">
        <w:r w:rsidR="00AD1758" w:rsidRPr="00892DE3">
          <w:rPr>
            <w:rStyle w:val="Hyperlink"/>
          </w:rPr>
          <w:t>2.1</w:t>
        </w:r>
        <w:r w:rsidR="00AD1758" w:rsidRPr="00892DE3">
          <w:rPr>
            <w:rFonts w:eastAsiaTheme="minorEastAsia"/>
            <w:spacing w:val="0"/>
            <w:sz w:val="22"/>
            <w:szCs w:val="22"/>
            <w:lang w:eastAsia="en-AU"/>
          </w:rPr>
          <w:tab/>
        </w:r>
        <w:r w:rsidR="00AD1758" w:rsidRPr="00892DE3">
          <w:rPr>
            <w:rStyle w:val="Hyperlink"/>
          </w:rPr>
          <w:t xml:space="preserve">Summary of income that funds the delivery of our services </w:t>
        </w:r>
        <w:r w:rsidR="00AD1758" w:rsidRPr="00892DE3">
          <w:rPr>
            <w:webHidden/>
          </w:rPr>
          <w:tab/>
        </w:r>
        <w:r w:rsidR="00AD1758" w:rsidRPr="00892DE3">
          <w:rPr>
            <w:webHidden/>
          </w:rPr>
          <w:fldChar w:fldCharType="begin"/>
        </w:r>
        <w:r w:rsidR="00AD1758" w:rsidRPr="00892DE3">
          <w:rPr>
            <w:webHidden/>
          </w:rPr>
          <w:instrText xml:space="preserve"> PAGEREF _Toc478047454 \h </w:instrText>
        </w:r>
        <w:r w:rsidR="00AD1758" w:rsidRPr="00892DE3">
          <w:rPr>
            <w:webHidden/>
          </w:rPr>
        </w:r>
        <w:r w:rsidR="00AD1758" w:rsidRPr="00892DE3">
          <w:rPr>
            <w:webHidden/>
          </w:rPr>
          <w:fldChar w:fldCharType="separate"/>
        </w:r>
        <w:r w:rsidR="00F63B17">
          <w:rPr>
            <w:webHidden/>
          </w:rPr>
          <w:t>88</w:t>
        </w:r>
        <w:r w:rsidR="00AD1758" w:rsidRPr="00892DE3">
          <w:rPr>
            <w:webHidden/>
          </w:rPr>
          <w:fldChar w:fldCharType="end"/>
        </w:r>
      </w:hyperlink>
    </w:p>
    <w:p w:rsidR="00AD1758" w:rsidRPr="00892DE3" w:rsidRDefault="003C212D">
      <w:pPr>
        <w:pStyle w:val="TOC9"/>
        <w:rPr>
          <w:rFonts w:eastAsiaTheme="minorEastAsia"/>
          <w:spacing w:val="0"/>
          <w:sz w:val="22"/>
          <w:szCs w:val="22"/>
          <w:lang w:eastAsia="en-AU"/>
        </w:rPr>
      </w:pPr>
      <w:hyperlink w:anchor="_Toc478047455" w:history="1">
        <w:r w:rsidR="00AD1758" w:rsidRPr="00892DE3">
          <w:rPr>
            <w:rStyle w:val="Hyperlink"/>
          </w:rPr>
          <w:t>2.2</w:t>
        </w:r>
        <w:r w:rsidR="00AD1758" w:rsidRPr="00892DE3">
          <w:rPr>
            <w:rFonts w:eastAsiaTheme="minorEastAsia"/>
            <w:spacing w:val="0"/>
            <w:sz w:val="22"/>
            <w:szCs w:val="22"/>
            <w:lang w:eastAsia="en-AU"/>
          </w:rPr>
          <w:tab/>
        </w:r>
        <w:r w:rsidR="00AD1758" w:rsidRPr="00892DE3">
          <w:rPr>
            <w:rStyle w:val="Hyperlink"/>
          </w:rPr>
          <w:t>Appropriations</w:t>
        </w:r>
        <w:r w:rsidR="00AD1758" w:rsidRPr="00892DE3">
          <w:rPr>
            <w:webHidden/>
          </w:rPr>
          <w:tab/>
        </w:r>
        <w:r w:rsidR="00AD1758" w:rsidRPr="00892DE3">
          <w:rPr>
            <w:webHidden/>
          </w:rPr>
          <w:fldChar w:fldCharType="begin"/>
        </w:r>
        <w:r w:rsidR="00AD1758" w:rsidRPr="00892DE3">
          <w:rPr>
            <w:webHidden/>
          </w:rPr>
          <w:instrText xml:space="preserve"> PAGEREF _Toc478047455 \h </w:instrText>
        </w:r>
        <w:r w:rsidR="00AD1758" w:rsidRPr="00892DE3">
          <w:rPr>
            <w:webHidden/>
          </w:rPr>
        </w:r>
        <w:r w:rsidR="00AD1758" w:rsidRPr="00892DE3">
          <w:rPr>
            <w:webHidden/>
          </w:rPr>
          <w:fldChar w:fldCharType="separate"/>
        </w:r>
        <w:r w:rsidR="00F63B17">
          <w:rPr>
            <w:webHidden/>
          </w:rPr>
          <w:t>88</w:t>
        </w:r>
        <w:r w:rsidR="00AD1758" w:rsidRPr="00892DE3">
          <w:rPr>
            <w:webHidden/>
          </w:rPr>
          <w:fldChar w:fldCharType="end"/>
        </w:r>
      </w:hyperlink>
    </w:p>
    <w:p w:rsidR="00AD1758" w:rsidRPr="00892DE3" w:rsidRDefault="003C212D">
      <w:pPr>
        <w:pStyle w:val="TOC9"/>
        <w:rPr>
          <w:rFonts w:eastAsiaTheme="minorEastAsia"/>
          <w:spacing w:val="0"/>
          <w:sz w:val="22"/>
          <w:szCs w:val="22"/>
          <w:lang w:eastAsia="en-AU"/>
        </w:rPr>
      </w:pPr>
      <w:hyperlink w:anchor="_Toc478047456" w:history="1">
        <w:r w:rsidR="00AD1758" w:rsidRPr="00892DE3">
          <w:rPr>
            <w:rStyle w:val="Hyperlink"/>
          </w:rPr>
          <w:t>2.3</w:t>
        </w:r>
        <w:r w:rsidR="00AD1758" w:rsidRPr="00892DE3">
          <w:rPr>
            <w:rFonts w:eastAsiaTheme="minorEastAsia"/>
            <w:spacing w:val="0"/>
            <w:sz w:val="22"/>
            <w:szCs w:val="22"/>
            <w:lang w:eastAsia="en-AU"/>
          </w:rPr>
          <w:tab/>
        </w:r>
        <w:r w:rsidR="00AD1758" w:rsidRPr="00892DE3">
          <w:rPr>
            <w:rStyle w:val="Hyperlink"/>
          </w:rPr>
          <w:t>Summary of compliance with annual Parliamentary and special appropriations</w:t>
        </w:r>
        <w:r w:rsidR="00AD1758" w:rsidRPr="00892DE3">
          <w:rPr>
            <w:webHidden/>
          </w:rPr>
          <w:tab/>
        </w:r>
        <w:r w:rsidR="00AD1758" w:rsidRPr="00892DE3">
          <w:rPr>
            <w:webHidden/>
          </w:rPr>
          <w:fldChar w:fldCharType="begin"/>
        </w:r>
        <w:r w:rsidR="00AD1758" w:rsidRPr="00892DE3">
          <w:rPr>
            <w:webHidden/>
          </w:rPr>
          <w:instrText xml:space="preserve"> PAGEREF _Toc478047456 \h </w:instrText>
        </w:r>
        <w:r w:rsidR="00AD1758" w:rsidRPr="00892DE3">
          <w:rPr>
            <w:webHidden/>
          </w:rPr>
        </w:r>
        <w:r w:rsidR="00AD1758" w:rsidRPr="00892DE3">
          <w:rPr>
            <w:webHidden/>
          </w:rPr>
          <w:fldChar w:fldCharType="separate"/>
        </w:r>
        <w:r w:rsidR="00F63B17">
          <w:rPr>
            <w:webHidden/>
          </w:rPr>
          <w:t>89</w:t>
        </w:r>
        <w:r w:rsidR="00AD1758" w:rsidRPr="00892DE3">
          <w:rPr>
            <w:webHidden/>
          </w:rPr>
          <w:fldChar w:fldCharType="end"/>
        </w:r>
      </w:hyperlink>
    </w:p>
    <w:p w:rsidR="00AD1758" w:rsidRPr="00892DE3" w:rsidRDefault="003C212D">
      <w:pPr>
        <w:pStyle w:val="TOC9"/>
        <w:rPr>
          <w:rFonts w:eastAsiaTheme="minorEastAsia"/>
          <w:spacing w:val="0"/>
          <w:sz w:val="22"/>
          <w:szCs w:val="22"/>
          <w:lang w:eastAsia="en-AU"/>
        </w:rPr>
      </w:pPr>
      <w:hyperlink w:anchor="_Toc478047457" w:history="1">
        <w:r w:rsidR="00AD1758" w:rsidRPr="00892DE3">
          <w:rPr>
            <w:rStyle w:val="Hyperlink"/>
          </w:rPr>
          <w:t>2.4</w:t>
        </w:r>
        <w:r w:rsidR="00AD1758" w:rsidRPr="00892DE3">
          <w:rPr>
            <w:rFonts w:eastAsiaTheme="minorEastAsia"/>
            <w:spacing w:val="0"/>
            <w:sz w:val="22"/>
            <w:szCs w:val="22"/>
            <w:lang w:eastAsia="en-AU"/>
          </w:rPr>
          <w:tab/>
        </w:r>
        <w:r w:rsidR="00AD1758" w:rsidRPr="00892DE3">
          <w:rPr>
            <w:rStyle w:val="Hyperlink"/>
          </w:rPr>
          <w:t>Income from transactions</w:t>
        </w:r>
        <w:r w:rsidR="00AD1758" w:rsidRPr="00892DE3">
          <w:rPr>
            <w:webHidden/>
          </w:rPr>
          <w:tab/>
        </w:r>
        <w:r w:rsidR="00AD1758" w:rsidRPr="00892DE3">
          <w:rPr>
            <w:webHidden/>
          </w:rPr>
          <w:fldChar w:fldCharType="begin"/>
        </w:r>
        <w:r w:rsidR="00AD1758" w:rsidRPr="00892DE3">
          <w:rPr>
            <w:webHidden/>
          </w:rPr>
          <w:instrText xml:space="preserve"> PAGEREF _Toc478047457 \h </w:instrText>
        </w:r>
        <w:r w:rsidR="00AD1758" w:rsidRPr="00892DE3">
          <w:rPr>
            <w:webHidden/>
          </w:rPr>
        </w:r>
        <w:r w:rsidR="00AD1758" w:rsidRPr="00892DE3">
          <w:rPr>
            <w:webHidden/>
          </w:rPr>
          <w:fldChar w:fldCharType="separate"/>
        </w:r>
        <w:r w:rsidR="00F63B17">
          <w:rPr>
            <w:webHidden/>
          </w:rPr>
          <w:t>90</w:t>
        </w:r>
        <w:r w:rsidR="00AD1758" w:rsidRPr="00892DE3">
          <w:rPr>
            <w:webHidden/>
          </w:rPr>
          <w:fldChar w:fldCharType="end"/>
        </w:r>
      </w:hyperlink>
    </w:p>
    <w:p w:rsidR="00AD1758" w:rsidRPr="00892DE3" w:rsidRDefault="003C212D">
      <w:pPr>
        <w:pStyle w:val="TOC9"/>
        <w:rPr>
          <w:rFonts w:eastAsiaTheme="minorEastAsia"/>
          <w:spacing w:val="0"/>
          <w:sz w:val="22"/>
          <w:szCs w:val="22"/>
          <w:lang w:eastAsia="en-AU"/>
        </w:rPr>
      </w:pPr>
      <w:hyperlink w:anchor="_Toc478047458" w:history="1">
        <w:r w:rsidR="00AD1758" w:rsidRPr="00892DE3">
          <w:rPr>
            <w:rStyle w:val="Hyperlink"/>
          </w:rPr>
          <w:t>2.5</w:t>
        </w:r>
        <w:r w:rsidR="00AD1758" w:rsidRPr="00892DE3">
          <w:rPr>
            <w:rFonts w:eastAsiaTheme="minorEastAsia"/>
            <w:spacing w:val="0"/>
            <w:sz w:val="22"/>
            <w:szCs w:val="22"/>
            <w:lang w:eastAsia="en-AU"/>
          </w:rPr>
          <w:tab/>
        </w:r>
        <w:r w:rsidR="00AD1758" w:rsidRPr="00892DE3">
          <w:rPr>
            <w:rStyle w:val="Hyperlink"/>
          </w:rPr>
          <w:t>Annotated income agreements</w:t>
        </w:r>
        <w:r w:rsidR="00AD1758" w:rsidRPr="00892DE3">
          <w:rPr>
            <w:webHidden/>
          </w:rPr>
          <w:tab/>
        </w:r>
        <w:r w:rsidR="00AD1758" w:rsidRPr="00892DE3">
          <w:rPr>
            <w:webHidden/>
          </w:rPr>
          <w:fldChar w:fldCharType="begin"/>
        </w:r>
        <w:r w:rsidR="00AD1758" w:rsidRPr="00892DE3">
          <w:rPr>
            <w:webHidden/>
          </w:rPr>
          <w:instrText xml:space="preserve"> PAGEREF _Toc478047458 \h </w:instrText>
        </w:r>
        <w:r w:rsidR="00AD1758" w:rsidRPr="00892DE3">
          <w:rPr>
            <w:webHidden/>
          </w:rPr>
        </w:r>
        <w:r w:rsidR="00AD1758" w:rsidRPr="00892DE3">
          <w:rPr>
            <w:webHidden/>
          </w:rPr>
          <w:fldChar w:fldCharType="separate"/>
        </w:r>
        <w:r w:rsidR="00F63B17">
          <w:rPr>
            <w:webHidden/>
          </w:rPr>
          <w:t>94</w:t>
        </w:r>
        <w:r w:rsidR="00AD1758" w:rsidRPr="00892DE3">
          <w:rPr>
            <w:webHidden/>
          </w:rPr>
          <w:fldChar w:fldCharType="end"/>
        </w:r>
      </w:hyperlink>
    </w:p>
    <w:p w:rsidR="00BB5097" w:rsidRPr="00892DE3" w:rsidRDefault="00BB5097" w:rsidP="00BB5097">
      <w:r w:rsidRPr="00892DE3">
        <w:fldChar w:fldCharType="end"/>
      </w:r>
    </w:p>
    <w:p w:rsidR="00BB5097" w:rsidRPr="00892DE3" w:rsidRDefault="00BB5097" w:rsidP="00BB5097"/>
    <w:p w:rsidR="00BB5097" w:rsidRPr="00892DE3" w:rsidRDefault="00BB5097" w:rsidP="0019303F">
      <w:pPr>
        <w:pStyle w:val="Heading2"/>
        <w:sectPr w:rsidR="00BB5097" w:rsidRPr="00892DE3" w:rsidSect="00BB5097">
          <w:type w:val="continuous"/>
          <w:pgSz w:w="11906" w:h="16838" w:code="9"/>
          <w:pgMar w:top="1134" w:right="1134" w:bottom="1134" w:left="1134" w:header="624" w:footer="567" w:gutter="0"/>
          <w:cols w:num="2" w:space="567"/>
          <w:titlePg/>
          <w:docGrid w:linePitch="360"/>
        </w:sectPr>
      </w:pPr>
    </w:p>
    <w:p w:rsidR="006F16D1" w:rsidRPr="00892DE3" w:rsidRDefault="00C819FE" w:rsidP="0019303F">
      <w:pPr>
        <w:pStyle w:val="Heading2"/>
      </w:pPr>
      <w:bookmarkStart w:id="86" w:name="_Toc478047454"/>
      <w:bookmarkStart w:id="87" w:name="_Toc478055712"/>
      <w:r w:rsidRPr="00892DE3">
        <w:lastRenderedPageBreak/>
        <w:t xml:space="preserve">Summary of </w:t>
      </w:r>
      <w:r w:rsidR="00B4084E" w:rsidRPr="00892DE3">
        <w:t>i</w:t>
      </w:r>
      <w:r w:rsidR="006F16D1" w:rsidRPr="00892DE3">
        <w:t>ncome that funds the delivery of our services</w:t>
      </w:r>
      <w:r w:rsidR="00181CBA" w:rsidRPr="00892DE3">
        <w:t xml:space="preserve"> </w:t>
      </w:r>
      <w:r w:rsidR="00181CBA" w:rsidRPr="00892DE3">
        <w:rPr>
          <w:color w:val="C00000"/>
          <w:sz w:val="16"/>
        </w:rPr>
        <w:t>[New]</w:t>
      </w:r>
      <w:bookmarkEnd w:id="86"/>
      <w:bookmarkEnd w:id="87"/>
    </w:p>
    <w:p w:rsidR="006F16D1" w:rsidRPr="00892DE3" w:rsidRDefault="006F16D1" w:rsidP="006F16D1">
      <w:pPr>
        <w:pStyle w:val="TableUnits"/>
      </w:pPr>
      <w:r w:rsidRPr="00892DE3">
        <w:t>($ thousand)</w:t>
      </w:r>
    </w:p>
    <w:tbl>
      <w:tblPr>
        <w:tblStyle w:val="ModelReportFinancialTable"/>
        <w:tblW w:w="9716" w:type="dxa"/>
        <w:tblLayout w:type="fixed"/>
        <w:tblLook w:val="06A0" w:firstRow="1" w:lastRow="0" w:firstColumn="1" w:lastColumn="0" w:noHBand="1" w:noVBand="1"/>
      </w:tblPr>
      <w:tblGrid>
        <w:gridCol w:w="1497"/>
        <w:gridCol w:w="5580"/>
        <w:gridCol w:w="839"/>
        <w:gridCol w:w="900"/>
        <w:gridCol w:w="900"/>
      </w:tblGrid>
      <w:tr w:rsidR="006F16D1" w:rsidRPr="00892DE3" w:rsidTr="004435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7" w:type="dxa"/>
            <w:tcBorders>
              <w:bottom w:val="nil"/>
            </w:tcBorders>
            <w:shd w:val="clear" w:color="auto" w:fill="auto"/>
          </w:tcPr>
          <w:p w:rsidR="006F16D1" w:rsidRPr="00892DE3" w:rsidRDefault="006F16D1" w:rsidP="006F16D1">
            <w:r w:rsidRPr="00892DE3">
              <w:t>Source reference</w:t>
            </w:r>
          </w:p>
        </w:tc>
        <w:tc>
          <w:tcPr>
            <w:tcW w:w="5580" w:type="dxa"/>
            <w:hideMark/>
          </w:tcPr>
          <w:p w:rsidR="006F16D1" w:rsidRPr="00892DE3" w:rsidRDefault="006F16D1" w:rsidP="006F16D1">
            <w:pPr>
              <w:ind w:left="170" w:hanging="170"/>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39" w:type="dxa"/>
          </w:tcPr>
          <w:p w:rsidR="006F16D1" w:rsidRPr="00892DE3" w:rsidRDefault="006F16D1" w:rsidP="006F16D1">
            <w:pPr>
              <w:ind w:left="170" w:hanging="17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900" w:type="dxa"/>
            <w:noWrap/>
            <w:hideMark/>
          </w:tcPr>
          <w:p w:rsidR="006F16D1" w:rsidRPr="00892DE3" w:rsidRDefault="006F16D1" w:rsidP="006F16D1">
            <w:pPr>
              <w:ind w:left="170" w:hanging="170"/>
              <w:cnfStyle w:val="100000000000" w:firstRow="1" w:lastRow="0" w:firstColumn="0" w:lastColumn="0" w:oddVBand="0" w:evenVBand="0" w:oddHBand="0" w:evenHBand="0" w:firstRowFirstColumn="0" w:firstRowLastColumn="0" w:lastRowFirstColumn="0" w:lastRowLastColumn="0"/>
            </w:pPr>
            <w:r w:rsidRPr="00892DE3">
              <w:t>2017</w:t>
            </w:r>
          </w:p>
        </w:tc>
        <w:tc>
          <w:tcPr>
            <w:tcW w:w="900" w:type="dxa"/>
            <w:noWrap/>
            <w:hideMark/>
          </w:tcPr>
          <w:p w:rsidR="006F16D1" w:rsidRPr="00892DE3" w:rsidRDefault="006F16D1" w:rsidP="006F16D1">
            <w:pPr>
              <w:ind w:left="170" w:hanging="170"/>
              <w:cnfStyle w:val="100000000000" w:firstRow="1" w:lastRow="0" w:firstColumn="0" w:lastColumn="0" w:oddVBand="0" w:evenVBand="0" w:oddHBand="0" w:evenHBand="0" w:firstRowFirstColumn="0" w:firstRowLastColumn="0" w:lastRowFirstColumn="0" w:lastRowLastColumn="0"/>
            </w:pPr>
            <w:r w:rsidRPr="00892DE3">
              <w:t>2016</w:t>
            </w:r>
          </w:p>
        </w:tc>
      </w:tr>
      <w:tr w:rsidR="006F16D1" w:rsidRPr="00892DE3" w:rsidTr="0044350A">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5580" w:type="dxa"/>
            <w:hideMark/>
          </w:tcPr>
          <w:p w:rsidR="006F16D1" w:rsidRPr="00892DE3" w:rsidRDefault="006F16D1" w:rsidP="006F16D1">
            <w:pPr>
              <w:ind w:left="170" w:hanging="170"/>
              <w:jc w:val="left"/>
              <w:cnfStyle w:val="000000000000" w:firstRow="0" w:lastRow="0" w:firstColumn="0" w:lastColumn="0" w:oddVBand="0" w:evenVBand="0" w:oddHBand="0" w:evenHBand="0" w:firstRowFirstColumn="0" w:firstRowLastColumn="0" w:lastRowFirstColumn="0" w:lastRowLastColumn="0"/>
            </w:pPr>
            <w:r w:rsidRPr="00892DE3">
              <w:t>Output appropriations</w:t>
            </w:r>
          </w:p>
        </w:tc>
        <w:tc>
          <w:tcPr>
            <w:tcW w:w="839" w:type="dxa"/>
          </w:tcPr>
          <w:p w:rsidR="006F16D1" w:rsidRPr="00892DE3" w:rsidRDefault="006F16D1" w:rsidP="006F16D1">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2.2</w:t>
            </w:r>
          </w:p>
        </w:tc>
        <w:tc>
          <w:tcPr>
            <w:tcW w:w="900" w:type="dxa"/>
            <w:shd w:val="clear" w:color="auto" w:fill="EBEBEB" w:themeFill="background2"/>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85 535</w:t>
            </w:r>
          </w:p>
        </w:tc>
        <w:tc>
          <w:tcPr>
            <w:tcW w:w="900" w:type="dxa"/>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63 682</w:t>
            </w:r>
          </w:p>
        </w:tc>
      </w:tr>
      <w:tr w:rsidR="006F16D1" w:rsidRPr="00892DE3" w:rsidTr="0044350A">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5580" w:type="dxa"/>
            <w:hideMark/>
          </w:tcPr>
          <w:p w:rsidR="006F16D1" w:rsidRPr="00892DE3" w:rsidRDefault="006F16D1" w:rsidP="006F16D1">
            <w:pPr>
              <w:ind w:left="170" w:hanging="170"/>
              <w:jc w:val="left"/>
              <w:cnfStyle w:val="000000000000" w:firstRow="0" w:lastRow="0" w:firstColumn="0" w:lastColumn="0" w:oddVBand="0" w:evenVBand="0" w:oddHBand="0" w:evenHBand="0" w:firstRowFirstColumn="0" w:firstRowLastColumn="0" w:lastRowFirstColumn="0" w:lastRowLastColumn="0"/>
            </w:pPr>
            <w:r w:rsidRPr="00892DE3">
              <w:t>Special appropriations</w:t>
            </w:r>
          </w:p>
        </w:tc>
        <w:tc>
          <w:tcPr>
            <w:tcW w:w="839" w:type="dxa"/>
          </w:tcPr>
          <w:p w:rsidR="006F16D1" w:rsidRPr="00892DE3" w:rsidRDefault="006F16D1" w:rsidP="006F16D1">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2.3</w:t>
            </w:r>
          </w:p>
        </w:tc>
        <w:tc>
          <w:tcPr>
            <w:tcW w:w="900" w:type="dxa"/>
            <w:shd w:val="clear" w:color="auto" w:fill="EBEBEB" w:themeFill="background2"/>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8 128</w:t>
            </w:r>
          </w:p>
        </w:tc>
        <w:tc>
          <w:tcPr>
            <w:tcW w:w="900" w:type="dxa"/>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11 396</w:t>
            </w:r>
          </w:p>
        </w:tc>
      </w:tr>
      <w:tr w:rsidR="006F16D1" w:rsidRPr="00892DE3" w:rsidTr="0044350A">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5580" w:type="dxa"/>
            <w:hideMark/>
          </w:tcPr>
          <w:p w:rsidR="006F16D1" w:rsidRPr="00892DE3" w:rsidRDefault="006F16D1" w:rsidP="006F16D1">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w:t>
            </w:r>
          </w:p>
        </w:tc>
        <w:tc>
          <w:tcPr>
            <w:tcW w:w="839" w:type="dxa"/>
          </w:tcPr>
          <w:p w:rsidR="006F16D1" w:rsidRPr="00892DE3" w:rsidRDefault="006F16D1" w:rsidP="006F16D1">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2.4.1</w:t>
            </w:r>
          </w:p>
        </w:tc>
        <w:tc>
          <w:tcPr>
            <w:tcW w:w="900" w:type="dxa"/>
            <w:shd w:val="clear" w:color="auto" w:fill="EBEBEB" w:themeFill="background2"/>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3 864</w:t>
            </w:r>
          </w:p>
        </w:tc>
        <w:tc>
          <w:tcPr>
            <w:tcW w:w="900" w:type="dxa"/>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2 897</w:t>
            </w:r>
          </w:p>
        </w:tc>
      </w:tr>
      <w:tr w:rsidR="006F16D1" w:rsidRPr="00892DE3" w:rsidTr="0044350A">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5580" w:type="dxa"/>
            <w:hideMark/>
          </w:tcPr>
          <w:p w:rsidR="006F16D1" w:rsidRPr="00892DE3" w:rsidRDefault="006F16D1" w:rsidP="006F16D1">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 of goods and services</w:t>
            </w:r>
          </w:p>
        </w:tc>
        <w:tc>
          <w:tcPr>
            <w:tcW w:w="839" w:type="dxa"/>
          </w:tcPr>
          <w:p w:rsidR="006F16D1" w:rsidRPr="00892DE3" w:rsidRDefault="006F16D1" w:rsidP="006F16D1">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2.4.2</w:t>
            </w:r>
          </w:p>
        </w:tc>
        <w:tc>
          <w:tcPr>
            <w:tcW w:w="900" w:type="dxa"/>
            <w:shd w:val="clear" w:color="auto" w:fill="EBEBEB" w:themeFill="background2"/>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1 839</w:t>
            </w:r>
          </w:p>
        </w:tc>
        <w:tc>
          <w:tcPr>
            <w:tcW w:w="900" w:type="dxa"/>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1 346</w:t>
            </w:r>
          </w:p>
        </w:tc>
      </w:tr>
      <w:tr w:rsidR="006F16D1" w:rsidRPr="00892DE3" w:rsidTr="0044350A">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5580" w:type="dxa"/>
            <w:hideMark/>
          </w:tcPr>
          <w:p w:rsidR="006F16D1" w:rsidRPr="00892DE3" w:rsidRDefault="006F16D1" w:rsidP="006F16D1">
            <w:pPr>
              <w:ind w:left="170" w:hanging="170"/>
              <w:jc w:val="left"/>
              <w:cnfStyle w:val="000000000000" w:firstRow="0" w:lastRow="0" w:firstColumn="0" w:lastColumn="0" w:oddVBand="0" w:evenVBand="0" w:oddHBand="0" w:evenHBand="0" w:firstRowFirstColumn="0" w:firstRowLastColumn="0" w:lastRowFirstColumn="0" w:lastRowLastColumn="0"/>
            </w:pPr>
            <w:r w:rsidRPr="00892DE3">
              <w:t>Grants</w:t>
            </w:r>
          </w:p>
        </w:tc>
        <w:tc>
          <w:tcPr>
            <w:tcW w:w="839" w:type="dxa"/>
          </w:tcPr>
          <w:p w:rsidR="006F16D1" w:rsidRPr="00892DE3" w:rsidRDefault="006F16D1" w:rsidP="006F16D1">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2.4.3</w:t>
            </w:r>
          </w:p>
        </w:tc>
        <w:tc>
          <w:tcPr>
            <w:tcW w:w="900" w:type="dxa"/>
            <w:shd w:val="clear" w:color="auto" w:fill="EBEBEB" w:themeFill="background2"/>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306</w:t>
            </w:r>
          </w:p>
        </w:tc>
        <w:tc>
          <w:tcPr>
            <w:tcW w:w="900" w:type="dxa"/>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140</w:t>
            </w:r>
          </w:p>
        </w:tc>
      </w:tr>
      <w:tr w:rsidR="006F16D1" w:rsidRPr="00892DE3" w:rsidTr="0044350A">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5580" w:type="dxa"/>
            <w:hideMark/>
          </w:tcPr>
          <w:p w:rsidR="006F16D1" w:rsidRPr="00892DE3" w:rsidRDefault="006F16D1" w:rsidP="006F16D1">
            <w:pPr>
              <w:ind w:left="170" w:hanging="170"/>
              <w:jc w:val="left"/>
              <w:cnfStyle w:val="000000000000" w:firstRow="0" w:lastRow="0" w:firstColumn="0" w:lastColumn="0" w:oddVBand="0" w:evenVBand="0" w:oddHBand="0" w:evenHBand="0" w:firstRowFirstColumn="0" w:firstRowLastColumn="0" w:lastRowFirstColumn="0" w:lastRowLastColumn="0"/>
            </w:pPr>
            <w:r w:rsidRPr="00892DE3">
              <w:t>Fair value of assets and services received free of charge or for nominal consideration</w:t>
            </w:r>
          </w:p>
        </w:tc>
        <w:tc>
          <w:tcPr>
            <w:tcW w:w="839" w:type="dxa"/>
          </w:tcPr>
          <w:p w:rsidR="006F16D1" w:rsidRPr="00892DE3" w:rsidRDefault="006F16D1" w:rsidP="006F16D1">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2.4.4</w:t>
            </w:r>
          </w:p>
        </w:tc>
        <w:tc>
          <w:tcPr>
            <w:tcW w:w="900" w:type="dxa"/>
            <w:shd w:val="clear" w:color="auto" w:fill="EBEBEB" w:themeFill="background2"/>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1 589</w:t>
            </w:r>
          </w:p>
        </w:tc>
        <w:tc>
          <w:tcPr>
            <w:tcW w:w="900" w:type="dxa"/>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1 708</w:t>
            </w:r>
          </w:p>
        </w:tc>
      </w:tr>
      <w:tr w:rsidR="006F16D1" w:rsidRPr="00892DE3" w:rsidTr="0044350A">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5580" w:type="dxa"/>
            <w:tcBorders>
              <w:bottom w:val="single" w:sz="6" w:space="0" w:color="auto"/>
            </w:tcBorders>
            <w:hideMark/>
          </w:tcPr>
          <w:p w:rsidR="006F16D1" w:rsidRPr="00892DE3" w:rsidRDefault="006F16D1" w:rsidP="006F16D1">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income</w:t>
            </w:r>
          </w:p>
        </w:tc>
        <w:tc>
          <w:tcPr>
            <w:tcW w:w="839" w:type="dxa"/>
            <w:tcBorders>
              <w:bottom w:val="single" w:sz="6" w:space="0" w:color="auto"/>
            </w:tcBorders>
          </w:tcPr>
          <w:p w:rsidR="006F16D1" w:rsidRPr="00892DE3" w:rsidRDefault="006F16D1" w:rsidP="006F16D1">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2.4.5</w:t>
            </w:r>
          </w:p>
        </w:tc>
        <w:tc>
          <w:tcPr>
            <w:tcW w:w="900" w:type="dxa"/>
            <w:tcBorders>
              <w:bottom w:val="single" w:sz="6" w:space="0" w:color="auto"/>
            </w:tcBorders>
            <w:shd w:val="clear" w:color="auto" w:fill="EBEBEB" w:themeFill="background2"/>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6 213</w:t>
            </w:r>
          </w:p>
        </w:tc>
        <w:tc>
          <w:tcPr>
            <w:tcW w:w="900" w:type="dxa"/>
            <w:tcBorders>
              <w:bottom w:val="single" w:sz="6" w:space="0" w:color="auto"/>
            </w:tcBorders>
            <w:noWrap/>
            <w:hideMark/>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pPr>
            <w:r w:rsidRPr="00892DE3">
              <w:t>5 091</w:t>
            </w:r>
          </w:p>
        </w:tc>
      </w:tr>
      <w:tr w:rsidR="006F16D1" w:rsidRPr="00892DE3" w:rsidTr="0044350A">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r w:rsidRPr="00892DE3">
              <w:t>AASB 101.97</w:t>
            </w:r>
          </w:p>
        </w:tc>
        <w:tc>
          <w:tcPr>
            <w:tcW w:w="5580" w:type="dxa"/>
            <w:tcBorders>
              <w:top w:val="single" w:sz="6" w:space="0" w:color="auto"/>
              <w:bottom w:val="single" w:sz="12" w:space="0" w:color="auto"/>
            </w:tcBorders>
          </w:tcPr>
          <w:p w:rsidR="006F16D1" w:rsidRPr="00892DE3" w:rsidRDefault="006F16D1" w:rsidP="006F16D1">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income from transactions</w:t>
            </w:r>
          </w:p>
        </w:tc>
        <w:tc>
          <w:tcPr>
            <w:tcW w:w="839" w:type="dxa"/>
            <w:tcBorders>
              <w:top w:val="single" w:sz="6" w:space="0" w:color="auto"/>
              <w:bottom w:val="single" w:sz="12" w:space="0" w:color="auto"/>
            </w:tcBorders>
          </w:tcPr>
          <w:p w:rsidR="006F16D1" w:rsidRPr="00892DE3" w:rsidRDefault="006F16D1" w:rsidP="006F16D1">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0" w:type="dxa"/>
            <w:tcBorders>
              <w:top w:val="single" w:sz="6" w:space="0" w:color="auto"/>
              <w:bottom w:val="single" w:sz="12" w:space="0" w:color="auto"/>
            </w:tcBorders>
            <w:shd w:val="clear" w:color="auto" w:fill="EBEBEB" w:themeFill="background2"/>
            <w:noWrap/>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107 474</w:t>
            </w:r>
          </w:p>
        </w:tc>
        <w:tc>
          <w:tcPr>
            <w:tcW w:w="900" w:type="dxa"/>
            <w:tcBorders>
              <w:top w:val="single" w:sz="6" w:space="0" w:color="auto"/>
              <w:bottom w:val="single" w:sz="12" w:space="0" w:color="auto"/>
            </w:tcBorders>
            <w:noWrap/>
          </w:tcPr>
          <w:p w:rsidR="006F16D1" w:rsidRPr="00892DE3" w:rsidRDefault="006F16D1" w:rsidP="006F16D1">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86 260</w:t>
            </w:r>
          </w:p>
        </w:tc>
      </w:tr>
    </w:tbl>
    <w:p w:rsidR="006F16D1" w:rsidRPr="00892DE3" w:rsidRDefault="006F16D1" w:rsidP="006F16D1"/>
    <w:p w:rsidR="006F16D1" w:rsidRPr="00892DE3" w:rsidRDefault="006F16D1" w:rsidP="006F16D1">
      <w:r w:rsidRPr="00892DE3">
        <w:t xml:space="preserve">Income is recognised to the extent it is probable the economic benefits will flow to the Department and the income can be reliably measured at fair value. Where applicable, amounts disclosed as income are net of returns, allowances, duties and taxes. All amounts of income over which the Department does not have control are disclosed as administered income (see </w:t>
      </w:r>
      <w:r w:rsidR="00D7340A" w:rsidRPr="00892DE3">
        <w:t xml:space="preserve">Note </w:t>
      </w:r>
      <w:r w:rsidRPr="00892DE3">
        <w:t>4</w:t>
      </w:r>
      <w:r w:rsidR="00D7340A" w:rsidRPr="00892DE3">
        <w:t>.2</w:t>
      </w:r>
      <w:r w:rsidRPr="00892DE3">
        <w:t>).</w:t>
      </w:r>
    </w:p>
    <w:p w:rsidR="006F16D1" w:rsidRPr="00892DE3" w:rsidRDefault="006F16D1" w:rsidP="0019303F">
      <w:pPr>
        <w:pStyle w:val="Heading2"/>
      </w:pPr>
      <w:bookmarkStart w:id="88" w:name="_Toc478047455"/>
      <w:bookmarkStart w:id="89" w:name="_Toc478055713"/>
      <w:r w:rsidRPr="00892DE3">
        <w:t>Appropriations</w:t>
      </w:r>
      <w:bookmarkEnd w:id="88"/>
      <w:bookmarkEnd w:id="89"/>
    </w:p>
    <w:p w:rsidR="006F16D1" w:rsidRPr="00892DE3" w:rsidRDefault="005E3C78" w:rsidP="006F16D1">
      <w:r w:rsidRPr="00892DE3">
        <w:t>Once annual Parliamentary appropriations are applied by the Treasurer, they become</w:t>
      </w:r>
      <w:r w:rsidR="006F16D1" w:rsidRPr="00892DE3">
        <w:t xml:space="preserve"> controlled by the Department and is recognised as income when applied to the purposes defined under the relevant Appropriations Act. </w:t>
      </w:r>
      <w:r w:rsidR="006F16D1" w:rsidRPr="00892DE3">
        <w:rPr>
          <w:rStyle w:val="SourceReference"/>
        </w:rPr>
        <w:t>[AASB 1004.32 37]</w:t>
      </w:r>
    </w:p>
    <w:p w:rsidR="006F16D1" w:rsidRPr="00892DE3" w:rsidRDefault="006F16D1" w:rsidP="006F16D1">
      <w:r w:rsidRPr="00892DE3">
        <w:rPr>
          <w:b/>
        </w:rPr>
        <w:t>Output appropriations</w:t>
      </w:r>
      <w:r w:rsidRPr="00892DE3">
        <w:t>: Income from the outputs the Department provides to the Government is recognised when those outputs have been delivered and the relevant minister has certified delivery of those outputs in accordance with specified performance criteria.</w:t>
      </w:r>
    </w:p>
    <w:p w:rsidR="006F16D1" w:rsidRPr="00892DE3" w:rsidRDefault="006F16D1" w:rsidP="006F16D1">
      <w:r w:rsidRPr="00892DE3">
        <w:rPr>
          <w:b/>
        </w:rPr>
        <w:t>Special appropriations</w:t>
      </w:r>
      <w:r w:rsidRPr="00892DE3">
        <w:t>: Under section [x] of the [Appropriations] Act, income related to [special appropriation] is recognised when the amount appropriated for that purpose is due and payable by the Department.</w:t>
      </w:r>
    </w:p>
    <w:p w:rsidR="006F16D1" w:rsidRPr="00892DE3" w:rsidRDefault="006F16D1" w:rsidP="006F16D1"/>
    <w:p w:rsidR="006F16D1" w:rsidRPr="00892DE3" w:rsidRDefault="006F16D1" w:rsidP="006F16D1"/>
    <w:p w:rsidR="006F16D1" w:rsidRPr="00892DE3" w:rsidRDefault="006F16D1" w:rsidP="006F16D1">
      <w:pPr>
        <w:sectPr w:rsidR="006F16D1" w:rsidRPr="00892DE3" w:rsidSect="00BB5097">
          <w:type w:val="continuous"/>
          <w:pgSz w:w="11906" w:h="16838" w:code="9"/>
          <w:pgMar w:top="1134" w:right="1134" w:bottom="1134" w:left="1134" w:header="624" w:footer="567" w:gutter="0"/>
          <w:cols w:sep="1" w:space="567"/>
          <w:titlePg/>
          <w:docGrid w:linePitch="360"/>
        </w:sectPr>
      </w:pPr>
    </w:p>
    <w:p w:rsidR="006F16D1" w:rsidRPr="00892DE3" w:rsidRDefault="006F16D1" w:rsidP="0019303F">
      <w:pPr>
        <w:pStyle w:val="Heading2"/>
      </w:pPr>
      <w:bookmarkStart w:id="90" w:name="_Toc478047456"/>
      <w:bookmarkStart w:id="91" w:name="_Toc478055714"/>
      <w:r w:rsidRPr="00892DE3">
        <w:lastRenderedPageBreak/>
        <w:t>Summary of compliance with annual Parliamentary and special appropriations</w:t>
      </w:r>
      <w:bookmarkEnd w:id="90"/>
      <w:bookmarkEnd w:id="91"/>
    </w:p>
    <w:p w:rsidR="006F16D1" w:rsidRPr="00892DE3" w:rsidRDefault="006F16D1" w:rsidP="006F16D1">
      <w:pPr>
        <w:rPr>
          <w:rStyle w:val="SourceReference"/>
        </w:rPr>
      </w:pPr>
      <w:r w:rsidRPr="00892DE3">
        <w:t>The following table discloses the details of the various annual Parliamentary appropriations received by the Department for the year</w:t>
      </w:r>
      <w:r w:rsidR="00891FC4" w:rsidRPr="00892DE3">
        <w:t>.</w:t>
      </w:r>
      <w:r w:rsidRPr="00892DE3">
        <w:t xml:space="preserve"> </w:t>
      </w:r>
      <w:r w:rsidRPr="00892DE3">
        <w:rPr>
          <w:rStyle w:val="SourceReference"/>
        </w:rPr>
        <w:t>[FRD 13, AASB 1004.64]</w:t>
      </w:r>
    </w:p>
    <w:p w:rsidR="00891FC4" w:rsidRPr="00892DE3" w:rsidRDefault="00891FC4" w:rsidP="006F16D1">
      <w:r w:rsidRPr="00892DE3">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w:t>
      </w:r>
    </w:p>
    <w:p w:rsidR="006F16D1" w:rsidRPr="00892DE3" w:rsidRDefault="006F16D1" w:rsidP="006F16D1">
      <w:pPr>
        <w:pStyle w:val="TableUnits"/>
      </w:pPr>
      <w:r w:rsidRPr="00892DE3">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2756"/>
        <w:gridCol w:w="1233"/>
        <w:gridCol w:w="1376"/>
        <w:gridCol w:w="1242"/>
        <w:gridCol w:w="1103"/>
        <w:gridCol w:w="1103"/>
        <w:gridCol w:w="1094"/>
        <w:gridCol w:w="1104"/>
        <w:gridCol w:w="1355"/>
        <w:gridCol w:w="1230"/>
        <w:gridCol w:w="976"/>
      </w:tblGrid>
      <w:tr w:rsidR="006F16D1" w:rsidRPr="00892DE3" w:rsidTr="00547E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dxa"/>
          </w:tcPr>
          <w:p w:rsidR="006F16D1" w:rsidRPr="00892DE3" w:rsidRDefault="006F16D1" w:rsidP="006F16D1">
            <w:pPr>
              <w:ind w:left="0" w:firstLine="0"/>
            </w:pPr>
          </w:p>
        </w:tc>
        <w:tc>
          <w:tcPr>
            <w:tcW w:w="3895" w:type="dxa"/>
            <w:gridSpan w:val="3"/>
            <w:noWrap/>
          </w:tcPr>
          <w:p w:rsidR="006F16D1" w:rsidRPr="00892DE3" w:rsidRDefault="006F16D1" w:rsidP="006F16D1">
            <w:pPr>
              <w:jc w:val="center"/>
              <w:cnfStyle w:val="100000000000" w:firstRow="1" w:lastRow="0" w:firstColumn="0" w:lastColumn="0" w:oddVBand="0" w:evenVBand="0" w:oddHBand="0" w:evenHBand="0" w:firstRowFirstColumn="0" w:firstRowLastColumn="0" w:lastRowFirstColumn="0" w:lastRowLastColumn="0"/>
            </w:pPr>
            <w:r w:rsidRPr="00892DE3">
              <w:t>Appropriations Act</w:t>
            </w:r>
          </w:p>
        </w:tc>
        <w:tc>
          <w:tcPr>
            <w:tcW w:w="4453" w:type="dxa"/>
            <w:gridSpan w:val="4"/>
          </w:tcPr>
          <w:p w:rsidR="006F16D1" w:rsidRPr="00892DE3" w:rsidRDefault="006F16D1" w:rsidP="006F16D1">
            <w:pPr>
              <w:jc w:val="center"/>
              <w:cnfStyle w:val="100000000000" w:firstRow="1" w:lastRow="0" w:firstColumn="0" w:lastColumn="0" w:oddVBand="0" w:evenVBand="0" w:oddHBand="0" w:evenHBand="0" w:firstRowFirstColumn="0" w:firstRowLastColumn="0" w:lastRowFirstColumn="0" w:lastRowLastColumn="0"/>
            </w:pPr>
            <w:r w:rsidRPr="00892DE3">
              <w:t>Financial Management Act</w:t>
            </w:r>
          </w:p>
        </w:tc>
        <w:tc>
          <w:tcPr>
            <w:tcW w:w="1371" w:type="dxa"/>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p>
        </w:tc>
        <w:tc>
          <w:tcPr>
            <w:tcW w:w="1244" w:type="dxa"/>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p>
        </w:tc>
        <w:tc>
          <w:tcPr>
            <w:tcW w:w="987" w:type="dxa"/>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p>
        </w:tc>
      </w:tr>
      <w:tr w:rsidR="006F16D1" w:rsidRPr="00892DE3" w:rsidTr="00547E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dxa"/>
          </w:tcPr>
          <w:p w:rsidR="006F16D1" w:rsidRPr="00892DE3" w:rsidRDefault="006F16D1" w:rsidP="006F16D1">
            <w:pPr>
              <w:ind w:left="0" w:firstLine="0"/>
            </w:pPr>
          </w:p>
        </w:tc>
        <w:tc>
          <w:tcPr>
            <w:tcW w:w="1247" w:type="dxa"/>
            <w:noWrap/>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r w:rsidRPr="00892DE3">
              <w:t xml:space="preserve">Annual  </w:t>
            </w:r>
            <w:r w:rsidR="00A06302" w:rsidRPr="00892DE3">
              <w:t>appropriation</w:t>
            </w:r>
          </w:p>
        </w:tc>
        <w:tc>
          <w:tcPr>
            <w:tcW w:w="1392" w:type="dxa"/>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r w:rsidRPr="00892DE3">
              <w:t>Advance from Treasurer</w:t>
            </w:r>
          </w:p>
        </w:tc>
        <w:tc>
          <w:tcPr>
            <w:tcW w:w="1256" w:type="dxa"/>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r w:rsidRPr="00892DE3">
              <w:t>Section 3(2)</w:t>
            </w:r>
          </w:p>
        </w:tc>
        <w:tc>
          <w:tcPr>
            <w:tcW w:w="1115" w:type="dxa"/>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r w:rsidRPr="00892DE3">
              <w:t>Section 29</w:t>
            </w:r>
          </w:p>
        </w:tc>
        <w:tc>
          <w:tcPr>
            <w:tcW w:w="1115" w:type="dxa"/>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r w:rsidRPr="00892DE3">
              <w:t>Section 30</w:t>
            </w:r>
          </w:p>
        </w:tc>
        <w:tc>
          <w:tcPr>
            <w:tcW w:w="1106" w:type="dxa"/>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r w:rsidRPr="00892DE3">
              <w:t>Section 32</w:t>
            </w:r>
          </w:p>
        </w:tc>
        <w:tc>
          <w:tcPr>
            <w:tcW w:w="1117" w:type="dxa"/>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r w:rsidRPr="00892DE3">
              <w:t>Section 35</w:t>
            </w:r>
          </w:p>
        </w:tc>
        <w:tc>
          <w:tcPr>
            <w:tcW w:w="1371" w:type="dxa"/>
          </w:tcPr>
          <w:p w:rsidR="006F16D1" w:rsidRPr="00892DE3" w:rsidRDefault="006F16D1" w:rsidP="00015419">
            <w:pPr>
              <w:cnfStyle w:val="100000000000" w:firstRow="1" w:lastRow="0" w:firstColumn="0" w:lastColumn="0" w:oddVBand="0" w:evenVBand="0" w:oddHBand="0" w:evenHBand="0" w:firstRowFirstColumn="0" w:firstRowLastColumn="0" w:lastRowFirstColumn="0" w:lastRowLastColumn="0"/>
            </w:pPr>
            <w:r w:rsidRPr="00892DE3">
              <w:t xml:space="preserve">Total Parliamentary </w:t>
            </w:r>
            <w:r w:rsidR="00015419" w:rsidRPr="00892DE3">
              <w:t>authority</w:t>
            </w:r>
          </w:p>
        </w:tc>
        <w:tc>
          <w:tcPr>
            <w:tcW w:w="1244" w:type="dxa"/>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r w:rsidRPr="00892DE3">
              <w:t>Appropriations applied</w:t>
            </w:r>
          </w:p>
        </w:tc>
        <w:tc>
          <w:tcPr>
            <w:tcW w:w="987" w:type="dxa"/>
          </w:tcPr>
          <w:p w:rsidR="006F16D1" w:rsidRPr="00892DE3" w:rsidRDefault="006F16D1" w:rsidP="00547E22">
            <w:pPr>
              <w:cnfStyle w:val="100000000000" w:firstRow="1" w:lastRow="0" w:firstColumn="0" w:lastColumn="0" w:oddVBand="0" w:evenVBand="0" w:oddHBand="0" w:evenHBand="0" w:firstRowFirstColumn="0" w:firstRowLastColumn="0" w:lastRowFirstColumn="0" w:lastRowLastColumn="0"/>
            </w:pPr>
            <w:r w:rsidRPr="00892DE3">
              <w:t xml:space="preserve">Variance </w:t>
            </w:r>
            <w:r w:rsidRPr="00892DE3">
              <w:rPr>
                <w:vertAlign w:val="superscript"/>
              </w:rPr>
              <w:t>(</w:t>
            </w:r>
            <w:r w:rsidR="00547E22" w:rsidRPr="00892DE3">
              <w:rPr>
                <w:vertAlign w:val="superscript"/>
              </w:rPr>
              <w:t>a</w:t>
            </w:r>
            <w:r w:rsidRPr="00892DE3">
              <w:rPr>
                <w:vertAlign w:val="superscript"/>
              </w:rPr>
              <w:t>)</w:t>
            </w: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Pr>
          <w:p w:rsidR="006F16D1" w:rsidRPr="00892DE3" w:rsidRDefault="006F16D1" w:rsidP="006F16D1">
            <w:pPr>
              <w:rPr>
                <w:rFonts w:cstheme="majorHAnsi"/>
                <w:b/>
                <w:i/>
              </w:rPr>
            </w:pPr>
            <w:r w:rsidRPr="00892DE3">
              <w:rPr>
                <w:rFonts w:cstheme="majorHAnsi"/>
                <w:b/>
                <w:i/>
              </w:rPr>
              <w:t>2017</w:t>
            </w:r>
          </w:p>
          <w:p w:rsidR="006F16D1" w:rsidRPr="00892DE3" w:rsidRDefault="006F16D1" w:rsidP="006F16D1">
            <w:pPr>
              <w:rPr>
                <w:rFonts w:cstheme="majorHAnsi"/>
                <w:b/>
              </w:rPr>
            </w:pPr>
            <w:r w:rsidRPr="00892DE3">
              <w:rPr>
                <w:rFonts w:cstheme="majorHAnsi"/>
                <w:b/>
              </w:rPr>
              <w:t>Controlled</w:t>
            </w:r>
          </w:p>
        </w:tc>
        <w:tc>
          <w:tcPr>
            <w:tcW w:w="1247" w:type="dxa"/>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92"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56"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06"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7"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71"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44"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7"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Pr>
          <w:p w:rsidR="006F16D1" w:rsidRPr="00892DE3" w:rsidRDefault="006F16D1" w:rsidP="006F16D1">
            <w:pPr>
              <w:rPr>
                <w:rFonts w:cstheme="majorHAnsi"/>
              </w:rPr>
            </w:pPr>
            <w:r w:rsidRPr="00892DE3">
              <w:rPr>
                <w:rFonts w:cstheme="majorHAnsi"/>
              </w:rPr>
              <w:t>Provision for outputs</w:t>
            </w:r>
          </w:p>
        </w:tc>
        <w:tc>
          <w:tcPr>
            <w:tcW w:w="1247" w:type="dxa"/>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110 889</w:t>
            </w:r>
          </w:p>
        </w:tc>
        <w:tc>
          <w:tcPr>
            <w:tcW w:w="1392"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1 963</w:t>
            </w:r>
          </w:p>
        </w:tc>
        <w:tc>
          <w:tcPr>
            <w:tcW w:w="1256" w:type="dxa"/>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10 037</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1106" w:type="dxa"/>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7" w:type="dxa"/>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101 156</w:t>
            </w:r>
          </w:p>
        </w:tc>
        <w:tc>
          <w:tcPr>
            <w:tcW w:w="1244"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93 663</w:t>
            </w:r>
          </w:p>
        </w:tc>
        <w:tc>
          <w:tcPr>
            <w:tcW w:w="987"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7 493</w:t>
            </w: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Pr>
          <w:p w:rsidR="006F16D1" w:rsidRPr="00892DE3" w:rsidRDefault="006F16D1" w:rsidP="006F16D1">
            <w:pPr>
              <w:rPr>
                <w:rFonts w:cstheme="majorHAnsi"/>
              </w:rPr>
            </w:pPr>
            <w:r w:rsidRPr="00892DE3">
              <w:rPr>
                <w:rFonts w:cstheme="majorHAnsi"/>
              </w:rPr>
              <w:t>Addition to net assets</w:t>
            </w:r>
          </w:p>
        </w:tc>
        <w:tc>
          <w:tcPr>
            <w:tcW w:w="1247" w:type="dxa"/>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6 210</w:t>
            </w:r>
          </w:p>
        </w:tc>
        <w:tc>
          <w:tcPr>
            <w:tcW w:w="1392" w:type="dxa"/>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56" w:type="dxa"/>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06" w:type="dxa"/>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7" w:type="dxa"/>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6 210</w:t>
            </w:r>
          </w:p>
        </w:tc>
        <w:tc>
          <w:tcPr>
            <w:tcW w:w="1244"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5 750</w:t>
            </w:r>
          </w:p>
        </w:tc>
        <w:tc>
          <w:tcPr>
            <w:tcW w:w="987"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460</w:t>
            </w: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Pr>
          <w:p w:rsidR="006F16D1" w:rsidRPr="00892DE3" w:rsidRDefault="006F16D1" w:rsidP="006F16D1">
            <w:pPr>
              <w:rPr>
                <w:rFonts w:cstheme="majorHAnsi"/>
              </w:rPr>
            </w:pPr>
            <w:r w:rsidRPr="00892DE3">
              <w:rPr>
                <w:rFonts w:cstheme="majorHAnsi"/>
                <w:b/>
              </w:rPr>
              <w:t>Administered</w:t>
            </w:r>
          </w:p>
        </w:tc>
        <w:tc>
          <w:tcPr>
            <w:tcW w:w="1247" w:type="dxa"/>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92"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56"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06"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7"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71"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44"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7"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tcBorders>
          </w:tcPr>
          <w:p w:rsidR="006F16D1" w:rsidRPr="00892DE3" w:rsidRDefault="006F16D1" w:rsidP="006F16D1">
            <w:pPr>
              <w:rPr>
                <w:rFonts w:cstheme="majorHAnsi"/>
              </w:rPr>
            </w:pPr>
            <w:r w:rsidRPr="00892DE3">
              <w:rPr>
                <w:rFonts w:cstheme="majorHAnsi"/>
              </w:rPr>
              <w:t>Payments made on behalf of the State</w:t>
            </w:r>
          </w:p>
        </w:tc>
        <w:tc>
          <w:tcPr>
            <w:tcW w:w="1247" w:type="dxa"/>
            <w:tcBorders>
              <w:bottom w:val="single" w:sz="4" w:space="0" w:color="auto"/>
            </w:tcBorders>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noBreakHyphen/>
            </w:r>
          </w:p>
        </w:tc>
        <w:tc>
          <w:tcPr>
            <w:tcW w:w="1392" w:type="dxa"/>
            <w:tcBorders>
              <w:bottom w:val="single" w:sz="4" w:space="0" w:color="auto"/>
            </w:tcBorders>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56" w:type="dxa"/>
            <w:tcBorders>
              <w:bottom w:val="single" w:sz="4" w:space="0" w:color="auto"/>
            </w:tcBorders>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Borders>
              <w:bottom w:val="single" w:sz="4" w:space="0" w:color="auto"/>
            </w:tcBorders>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Borders>
              <w:bottom w:val="single" w:sz="4" w:space="0" w:color="auto"/>
            </w:tcBorders>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1106" w:type="dxa"/>
            <w:tcBorders>
              <w:bottom w:val="single" w:sz="4" w:space="0" w:color="auto"/>
            </w:tcBorders>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7" w:type="dxa"/>
            <w:tcBorders>
              <w:bottom w:val="single" w:sz="4" w:space="0" w:color="auto"/>
            </w:tcBorders>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tcBorders>
              <w:bottom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1244" w:type="dxa"/>
            <w:tcBorders>
              <w:bottom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987" w:type="dxa"/>
            <w:tcBorders>
              <w:bottom w:val="single" w:sz="4" w:space="0" w:color="auto"/>
            </w:tcBorders>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tcBorders>
          </w:tcPr>
          <w:p w:rsidR="006F16D1" w:rsidRPr="00892DE3" w:rsidRDefault="006F16D1" w:rsidP="006F16D1">
            <w:pPr>
              <w:rPr>
                <w:rFonts w:cstheme="majorHAnsi"/>
                <w:b/>
              </w:rPr>
            </w:pPr>
            <w:r w:rsidRPr="00892DE3">
              <w:rPr>
                <w:rFonts w:cstheme="majorHAnsi"/>
                <w:b/>
              </w:rPr>
              <w:t xml:space="preserve">2017 </w:t>
            </w:r>
            <w:r w:rsidR="00547E22" w:rsidRPr="00892DE3">
              <w:rPr>
                <w:rFonts w:cstheme="majorHAnsi"/>
                <w:b/>
              </w:rPr>
              <w:t>total</w:t>
            </w:r>
          </w:p>
        </w:tc>
        <w:tc>
          <w:tcPr>
            <w:tcW w:w="1247" w:type="dxa"/>
            <w:tcBorders>
              <w:top w:val="single" w:sz="4" w:space="0" w:color="auto"/>
              <w:bottom w:val="single" w:sz="4" w:space="0" w:color="auto"/>
            </w:tcBorders>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117 099</w:t>
            </w:r>
          </w:p>
        </w:tc>
        <w:tc>
          <w:tcPr>
            <w:tcW w:w="1392" w:type="dxa"/>
            <w:tcBorders>
              <w:top w:val="single" w:sz="4" w:space="0" w:color="auto"/>
              <w:bottom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1 963</w:t>
            </w:r>
          </w:p>
        </w:tc>
        <w:tc>
          <w:tcPr>
            <w:tcW w:w="1256" w:type="dxa"/>
            <w:tcBorders>
              <w:top w:val="single" w:sz="4" w:space="0" w:color="auto"/>
              <w:bottom w:val="single" w:sz="4" w:space="0" w:color="auto"/>
            </w:tcBorders>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115" w:type="dxa"/>
            <w:tcBorders>
              <w:top w:val="single" w:sz="4" w:space="0" w:color="auto"/>
              <w:bottom w:val="single" w:sz="4" w:space="0" w:color="auto"/>
            </w:tcBorders>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10 037</w:t>
            </w:r>
          </w:p>
        </w:tc>
        <w:tc>
          <w:tcPr>
            <w:tcW w:w="1115" w:type="dxa"/>
            <w:tcBorders>
              <w:top w:val="single" w:sz="4" w:space="0" w:color="auto"/>
              <w:bottom w:val="single" w:sz="4" w:space="0" w:color="auto"/>
            </w:tcBorders>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106" w:type="dxa"/>
            <w:tcBorders>
              <w:top w:val="single" w:sz="4" w:space="0" w:color="auto"/>
              <w:bottom w:val="single" w:sz="4" w:space="0" w:color="auto"/>
            </w:tcBorders>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117" w:type="dxa"/>
            <w:tcBorders>
              <w:top w:val="single" w:sz="4" w:space="0" w:color="auto"/>
              <w:bottom w:val="single" w:sz="4" w:space="0" w:color="auto"/>
            </w:tcBorders>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371" w:type="dxa"/>
            <w:tcBorders>
              <w:top w:val="single" w:sz="4" w:space="0" w:color="auto"/>
              <w:bottom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119 385</w:t>
            </w:r>
          </w:p>
        </w:tc>
        <w:tc>
          <w:tcPr>
            <w:tcW w:w="1244" w:type="dxa"/>
            <w:tcBorders>
              <w:top w:val="single" w:sz="4" w:space="0" w:color="auto"/>
              <w:bottom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111 432</w:t>
            </w:r>
          </w:p>
        </w:tc>
        <w:tc>
          <w:tcPr>
            <w:tcW w:w="987" w:type="dxa"/>
            <w:tcBorders>
              <w:top w:val="single" w:sz="4" w:space="0" w:color="auto"/>
              <w:bottom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7 953</w:t>
            </w: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tcBorders>
          </w:tcPr>
          <w:p w:rsidR="006F16D1" w:rsidRPr="00892DE3" w:rsidRDefault="006F16D1" w:rsidP="006F16D1">
            <w:pPr>
              <w:rPr>
                <w:rFonts w:cstheme="majorHAnsi"/>
                <w:b/>
                <w:i/>
              </w:rPr>
            </w:pPr>
            <w:r w:rsidRPr="00892DE3">
              <w:rPr>
                <w:rFonts w:cstheme="majorHAnsi"/>
                <w:b/>
                <w:i/>
              </w:rPr>
              <w:t>2016</w:t>
            </w:r>
          </w:p>
          <w:p w:rsidR="006F16D1" w:rsidRPr="00892DE3" w:rsidRDefault="006F16D1" w:rsidP="006F16D1">
            <w:pPr>
              <w:rPr>
                <w:rFonts w:cstheme="majorHAnsi"/>
              </w:rPr>
            </w:pPr>
            <w:r w:rsidRPr="00892DE3">
              <w:rPr>
                <w:rFonts w:cstheme="majorHAnsi"/>
                <w:b/>
              </w:rPr>
              <w:t>Controlled</w:t>
            </w:r>
          </w:p>
        </w:tc>
        <w:tc>
          <w:tcPr>
            <w:tcW w:w="1247" w:type="dxa"/>
            <w:tcBorders>
              <w:top w:val="single" w:sz="4" w:space="0" w:color="auto"/>
            </w:tcBorders>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92" w:type="dxa"/>
            <w:tcBorders>
              <w:top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56" w:type="dxa"/>
            <w:tcBorders>
              <w:top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Borders>
              <w:top w:val="single" w:sz="4" w:space="0" w:color="auto"/>
            </w:tcBorders>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Borders>
              <w:top w:val="single" w:sz="4" w:space="0" w:color="auto"/>
            </w:tcBorders>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06" w:type="dxa"/>
            <w:tcBorders>
              <w:top w:val="single" w:sz="4" w:space="0" w:color="auto"/>
            </w:tcBorders>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7" w:type="dxa"/>
            <w:tcBorders>
              <w:top w:val="single" w:sz="4" w:space="0" w:color="auto"/>
            </w:tcBorders>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71" w:type="dxa"/>
            <w:tcBorders>
              <w:top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44" w:type="dxa"/>
            <w:tcBorders>
              <w:top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7" w:type="dxa"/>
            <w:tcBorders>
              <w:top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Pr>
          <w:p w:rsidR="006F16D1" w:rsidRPr="00892DE3" w:rsidRDefault="006F16D1" w:rsidP="006F16D1">
            <w:pPr>
              <w:rPr>
                <w:rFonts w:cstheme="majorHAnsi"/>
              </w:rPr>
            </w:pPr>
            <w:r w:rsidRPr="00892DE3">
              <w:rPr>
                <w:rFonts w:cstheme="majorHAnsi"/>
              </w:rPr>
              <w:t>Provision for outputs</w:t>
            </w:r>
          </w:p>
        </w:tc>
        <w:tc>
          <w:tcPr>
            <w:tcW w:w="1247" w:type="dxa"/>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79 854</w:t>
            </w:r>
          </w:p>
        </w:tc>
        <w:tc>
          <w:tcPr>
            <w:tcW w:w="1392" w:type="dxa"/>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56"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1 000</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11 403</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c>
          <w:tcPr>
            <w:tcW w:w="1106"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697</w:t>
            </w:r>
          </w:p>
        </w:tc>
        <w:tc>
          <w:tcPr>
            <w:tcW w:w="1117" w:type="dxa"/>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81 084</w:t>
            </w:r>
          </w:p>
        </w:tc>
        <w:tc>
          <w:tcPr>
            <w:tcW w:w="1244"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75 078</w:t>
            </w:r>
          </w:p>
        </w:tc>
        <w:tc>
          <w:tcPr>
            <w:tcW w:w="987"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6 006</w:t>
            </w: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Pr>
          <w:p w:rsidR="006F16D1" w:rsidRPr="00892DE3" w:rsidRDefault="006F16D1" w:rsidP="006F16D1">
            <w:pPr>
              <w:rPr>
                <w:rFonts w:cstheme="majorHAnsi"/>
              </w:rPr>
            </w:pPr>
            <w:r w:rsidRPr="00892DE3">
              <w:rPr>
                <w:rFonts w:cstheme="majorHAnsi"/>
              </w:rPr>
              <w:t>Addition to net assets</w:t>
            </w:r>
          </w:p>
        </w:tc>
        <w:tc>
          <w:tcPr>
            <w:tcW w:w="1247" w:type="dxa"/>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noBreakHyphen/>
            </w:r>
          </w:p>
        </w:tc>
        <w:tc>
          <w:tcPr>
            <w:tcW w:w="1392" w:type="dxa"/>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56" w:type="dxa"/>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06" w:type="dxa"/>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7" w:type="dxa"/>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4" w:type="dxa"/>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7" w:type="dxa"/>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Pr>
          <w:p w:rsidR="006F16D1" w:rsidRPr="00892DE3" w:rsidRDefault="006F16D1" w:rsidP="006F16D1">
            <w:pPr>
              <w:rPr>
                <w:rFonts w:cstheme="majorHAnsi"/>
              </w:rPr>
            </w:pPr>
            <w:r w:rsidRPr="00892DE3">
              <w:rPr>
                <w:rFonts w:cstheme="majorHAnsi"/>
                <w:b/>
              </w:rPr>
              <w:t>Administered</w:t>
            </w:r>
          </w:p>
        </w:tc>
        <w:tc>
          <w:tcPr>
            <w:tcW w:w="1247" w:type="dxa"/>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p>
        </w:tc>
        <w:tc>
          <w:tcPr>
            <w:tcW w:w="1392"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56"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06"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7" w:type="dxa"/>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71"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44"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7" w:type="dxa"/>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6F16D1" w:rsidRPr="00892DE3" w:rsidTr="00547E22">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tcBorders>
          </w:tcPr>
          <w:p w:rsidR="006F16D1" w:rsidRPr="00892DE3" w:rsidRDefault="006F16D1" w:rsidP="006F16D1">
            <w:pPr>
              <w:rPr>
                <w:rFonts w:cstheme="majorHAnsi"/>
              </w:rPr>
            </w:pPr>
            <w:r w:rsidRPr="00892DE3">
              <w:rPr>
                <w:rFonts w:cstheme="majorHAnsi"/>
              </w:rPr>
              <w:t>Payments made on behalf of the State</w:t>
            </w:r>
          </w:p>
        </w:tc>
        <w:tc>
          <w:tcPr>
            <w:tcW w:w="1247" w:type="dxa"/>
            <w:tcBorders>
              <w:bottom w:val="single" w:sz="4" w:space="0" w:color="auto"/>
            </w:tcBorders>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noBreakHyphen/>
            </w:r>
          </w:p>
        </w:tc>
        <w:tc>
          <w:tcPr>
            <w:tcW w:w="1392" w:type="dxa"/>
            <w:tcBorders>
              <w:bottom w:val="single" w:sz="4" w:space="0" w:color="auto"/>
            </w:tcBorders>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56" w:type="dxa"/>
            <w:tcBorders>
              <w:bottom w:val="single" w:sz="4" w:space="0" w:color="auto"/>
            </w:tcBorders>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Borders>
              <w:bottom w:val="single" w:sz="4" w:space="0" w:color="auto"/>
            </w:tcBorders>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Borders>
              <w:bottom w:val="single" w:sz="4" w:space="0" w:color="auto"/>
            </w:tcBorders>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c>
          <w:tcPr>
            <w:tcW w:w="1106" w:type="dxa"/>
            <w:tcBorders>
              <w:bottom w:val="single" w:sz="4" w:space="0" w:color="auto"/>
            </w:tcBorders>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7" w:type="dxa"/>
            <w:tcBorders>
              <w:bottom w:val="single" w:sz="4" w:space="0" w:color="auto"/>
            </w:tcBorders>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tcBorders>
              <w:bottom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c>
          <w:tcPr>
            <w:tcW w:w="1244" w:type="dxa"/>
            <w:tcBorders>
              <w:bottom w:val="single" w:sz="4" w:space="0" w:color="auto"/>
            </w:tcBorders>
            <w:shd w:val="clear" w:color="auto" w:fill="EBEBEB" w:themeFill="background2"/>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c>
          <w:tcPr>
            <w:tcW w:w="987" w:type="dxa"/>
            <w:tcBorders>
              <w:bottom w:val="single" w:sz="4" w:space="0" w:color="auto"/>
            </w:tcBorders>
            <w:shd w:val="clear" w:color="auto" w:fill="EBEBEB" w:themeFill="background2"/>
          </w:tcPr>
          <w:p w:rsidR="006F16D1" w:rsidRPr="00892DE3" w:rsidRDefault="00547E22"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6F16D1" w:rsidRPr="00892DE3" w:rsidTr="00547E2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12" w:space="0" w:color="auto"/>
            </w:tcBorders>
          </w:tcPr>
          <w:p w:rsidR="006F16D1" w:rsidRPr="00892DE3" w:rsidRDefault="006F16D1" w:rsidP="006F16D1">
            <w:pPr>
              <w:ind w:left="0" w:firstLine="0"/>
            </w:pPr>
            <w:r w:rsidRPr="00892DE3">
              <w:t xml:space="preserve">2016 </w:t>
            </w:r>
            <w:r w:rsidR="00547E22" w:rsidRPr="00892DE3">
              <w:t>total</w:t>
            </w:r>
          </w:p>
        </w:tc>
        <w:tc>
          <w:tcPr>
            <w:tcW w:w="1247" w:type="dxa"/>
            <w:tcBorders>
              <w:top w:val="single" w:sz="4" w:space="0" w:color="auto"/>
              <w:bottom w:val="single" w:sz="12" w:space="0" w:color="auto"/>
            </w:tcBorders>
            <w:shd w:val="clear" w:color="auto" w:fill="EBEBEB" w:themeFill="background2"/>
            <w:noWrap/>
          </w:tcPr>
          <w:p w:rsidR="006F16D1" w:rsidRPr="00892DE3" w:rsidRDefault="006F16D1" w:rsidP="006F16D1">
            <w:pPr>
              <w:cnfStyle w:val="010000000000" w:firstRow="0" w:lastRow="1" w:firstColumn="0" w:lastColumn="0" w:oddVBand="0" w:evenVBand="0" w:oddHBand="0" w:evenHBand="0" w:firstRowFirstColumn="0" w:firstRowLastColumn="0" w:lastRowFirstColumn="0" w:lastRowLastColumn="0"/>
            </w:pPr>
            <w:r w:rsidRPr="00892DE3">
              <w:t>79 854</w:t>
            </w:r>
          </w:p>
        </w:tc>
        <w:tc>
          <w:tcPr>
            <w:tcW w:w="1392" w:type="dxa"/>
            <w:tcBorders>
              <w:top w:val="single" w:sz="4" w:space="0" w:color="auto"/>
              <w:bottom w:val="single" w:sz="12" w:space="0" w:color="auto"/>
            </w:tcBorders>
            <w:shd w:val="clear" w:color="auto" w:fill="EBEBEB" w:themeFill="background2"/>
          </w:tcPr>
          <w:p w:rsidR="006F16D1" w:rsidRPr="00892DE3" w:rsidRDefault="00547E22" w:rsidP="006F16D1">
            <w:pPr>
              <w:cnfStyle w:val="010000000000" w:firstRow="0" w:lastRow="1" w:firstColumn="0" w:lastColumn="0" w:oddVBand="0" w:evenVBand="0" w:oddHBand="0" w:evenHBand="0" w:firstRowFirstColumn="0" w:firstRowLastColumn="0" w:lastRowFirstColumn="0" w:lastRowLastColumn="0"/>
            </w:pPr>
            <w:r w:rsidRPr="00892DE3">
              <w:t>..</w:t>
            </w:r>
          </w:p>
        </w:tc>
        <w:tc>
          <w:tcPr>
            <w:tcW w:w="1256" w:type="dxa"/>
            <w:tcBorders>
              <w:top w:val="single" w:sz="4" w:space="0" w:color="auto"/>
              <w:bottom w:val="single" w:sz="12" w:space="0" w:color="auto"/>
            </w:tcBorders>
            <w:shd w:val="clear" w:color="auto" w:fill="EBEBEB" w:themeFill="background2"/>
          </w:tcPr>
          <w:p w:rsidR="006F16D1" w:rsidRPr="00892DE3" w:rsidRDefault="006F16D1" w:rsidP="006F16D1">
            <w:pPr>
              <w:cnfStyle w:val="010000000000" w:firstRow="0" w:lastRow="1" w:firstColumn="0" w:lastColumn="0" w:oddVBand="0" w:evenVBand="0" w:oddHBand="0" w:evenHBand="0" w:firstRowFirstColumn="0" w:firstRowLastColumn="0" w:lastRowFirstColumn="0" w:lastRowLastColumn="0"/>
            </w:pPr>
            <w:r w:rsidRPr="00892DE3">
              <w:t>1 000</w:t>
            </w:r>
          </w:p>
        </w:tc>
        <w:tc>
          <w:tcPr>
            <w:tcW w:w="1115" w:type="dxa"/>
            <w:tcBorders>
              <w:top w:val="single" w:sz="4" w:space="0" w:color="auto"/>
              <w:bottom w:val="single" w:sz="12" w:space="0" w:color="auto"/>
            </w:tcBorders>
          </w:tcPr>
          <w:p w:rsidR="006F16D1" w:rsidRPr="00892DE3" w:rsidRDefault="006F16D1" w:rsidP="006F16D1">
            <w:pPr>
              <w:cnfStyle w:val="010000000000" w:firstRow="0" w:lastRow="1" w:firstColumn="0" w:lastColumn="0" w:oddVBand="0" w:evenVBand="0" w:oddHBand="0" w:evenHBand="0" w:firstRowFirstColumn="0" w:firstRowLastColumn="0" w:lastRowFirstColumn="0" w:lastRowLastColumn="0"/>
            </w:pPr>
            <w:r w:rsidRPr="00892DE3">
              <w:t>11 403</w:t>
            </w:r>
          </w:p>
        </w:tc>
        <w:tc>
          <w:tcPr>
            <w:tcW w:w="1115" w:type="dxa"/>
            <w:tcBorders>
              <w:top w:val="single" w:sz="4" w:space="0" w:color="auto"/>
              <w:bottom w:val="single" w:sz="12" w:space="0" w:color="auto"/>
            </w:tcBorders>
          </w:tcPr>
          <w:p w:rsidR="006F16D1" w:rsidRPr="00892DE3" w:rsidRDefault="00547E22" w:rsidP="006F16D1">
            <w:pPr>
              <w:cnfStyle w:val="010000000000" w:firstRow="0" w:lastRow="1" w:firstColumn="0" w:lastColumn="0" w:oddVBand="0" w:evenVBand="0" w:oddHBand="0" w:evenHBand="0" w:firstRowFirstColumn="0" w:firstRowLastColumn="0" w:lastRowFirstColumn="0" w:lastRowLastColumn="0"/>
            </w:pPr>
            <w:r w:rsidRPr="00892DE3">
              <w:t>..</w:t>
            </w:r>
          </w:p>
        </w:tc>
        <w:tc>
          <w:tcPr>
            <w:tcW w:w="1106" w:type="dxa"/>
            <w:tcBorders>
              <w:top w:val="single" w:sz="4" w:space="0" w:color="auto"/>
              <w:bottom w:val="single" w:sz="12" w:space="0" w:color="auto"/>
            </w:tcBorders>
          </w:tcPr>
          <w:p w:rsidR="006F16D1" w:rsidRPr="00892DE3" w:rsidRDefault="006F16D1" w:rsidP="006F16D1">
            <w:pPr>
              <w:cnfStyle w:val="010000000000" w:firstRow="0" w:lastRow="1" w:firstColumn="0" w:lastColumn="0" w:oddVBand="0" w:evenVBand="0" w:oddHBand="0" w:evenHBand="0" w:firstRowFirstColumn="0" w:firstRowLastColumn="0" w:lastRowFirstColumn="0" w:lastRowLastColumn="0"/>
            </w:pPr>
            <w:r w:rsidRPr="00892DE3">
              <w:t>697</w:t>
            </w:r>
          </w:p>
        </w:tc>
        <w:tc>
          <w:tcPr>
            <w:tcW w:w="1117" w:type="dxa"/>
            <w:tcBorders>
              <w:top w:val="single" w:sz="4" w:space="0" w:color="auto"/>
              <w:bottom w:val="single" w:sz="12" w:space="0" w:color="auto"/>
            </w:tcBorders>
          </w:tcPr>
          <w:p w:rsidR="006F16D1" w:rsidRPr="00892DE3" w:rsidRDefault="00547E22" w:rsidP="006F16D1">
            <w:pPr>
              <w:cnfStyle w:val="010000000000" w:firstRow="0" w:lastRow="1" w:firstColumn="0" w:lastColumn="0" w:oddVBand="0" w:evenVBand="0" w:oddHBand="0" w:evenHBand="0" w:firstRowFirstColumn="0" w:firstRowLastColumn="0" w:lastRowFirstColumn="0" w:lastRowLastColumn="0"/>
            </w:pPr>
            <w:r w:rsidRPr="00892DE3">
              <w:t>..</w:t>
            </w:r>
          </w:p>
        </w:tc>
        <w:tc>
          <w:tcPr>
            <w:tcW w:w="1371" w:type="dxa"/>
            <w:tcBorders>
              <w:top w:val="single" w:sz="4" w:space="0" w:color="auto"/>
              <w:bottom w:val="single" w:sz="12" w:space="0" w:color="auto"/>
            </w:tcBorders>
            <w:shd w:val="clear" w:color="auto" w:fill="EBEBEB" w:themeFill="background2"/>
          </w:tcPr>
          <w:p w:rsidR="006F16D1" w:rsidRPr="00892DE3" w:rsidRDefault="006F16D1" w:rsidP="006F16D1">
            <w:pPr>
              <w:cnfStyle w:val="010000000000" w:firstRow="0" w:lastRow="1" w:firstColumn="0" w:lastColumn="0" w:oddVBand="0" w:evenVBand="0" w:oddHBand="0" w:evenHBand="0" w:firstRowFirstColumn="0" w:firstRowLastColumn="0" w:lastRowFirstColumn="0" w:lastRowLastColumn="0"/>
            </w:pPr>
            <w:r w:rsidRPr="00892DE3">
              <w:t>91 953</w:t>
            </w:r>
          </w:p>
        </w:tc>
        <w:tc>
          <w:tcPr>
            <w:tcW w:w="1244" w:type="dxa"/>
            <w:tcBorders>
              <w:top w:val="single" w:sz="4" w:space="0" w:color="auto"/>
              <w:bottom w:val="single" w:sz="12" w:space="0" w:color="auto"/>
            </w:tcBorders>
            <w:shd w:val="clear" w:color="auto" w:fill="EBEBEB" w:themeFill="background2"/>
          </w:tcPr>
          <w:p w:rsidR="006F16D1" w:rsidRPr="00892DE3" w:rsidRDefault="006F16D1" w:rsidP="006F16D1">
            <w:pPr>
              <w:cnfStyle w:val="010000000000" w:firstRow="0" w:lastRow="1" w:firstColumn="0" w:lastColumn="0" w:oddVBand="0" w:evenVBand="0" w:oddHBand="0" w:evenHBand="0" w:firstRowFirstColumn="0" w:firstRowLastColumn="0" w:lastRowFirstColumn="0" w:lastRowLastColumn="0"/>
            </w:pPr>
            <w:r w:rsidRPr="00892DE3">
              <w:t>85 947</w:t>
            </w:r>
          </w:p>
        </w:tc>
        <w:tc>
          <w:tcPr>
            <w:tcW w:w="987" w:type="dxa"/>
            <w:tcBorders>
              <w:top w:val="single" w:sz="4" w:space="0" w:color="auto"/>
              <w:bottom w:val="single" w:sz="12" w:space="0" w:color="auto"/>
            </w:tcBorders>
            <w:shd w:val="clear" w:color="auto" w:fill="EBEBEB" w:themeFill="background2"/>
          </w:tcPr>
          <w:p w:rsidR="006F16D1" w:rsidRPr="00892DE3" w:rsidRDefault="006F16D1" w:rsidP="006F16D1">
            <w:pPr>
              <w:cnfStyle w:val="010000000000" w:firstRow="0" w:lastRow="1" w:firstColumn="0" w:lastColumn="0" w:oddVBand="0" w:evenVBand="0" w:oddHBand="0" w:evenHBand="0" w:firstRowFirstColumn="0" w:firstRowLastColumn="0" w:lastRowFirstColumn="0" w:lastRowLastColumn="0"/>
            </w:pPr>
            <w:r w:rsidRPr="00892DE3">
              <w:t>6 006</w:t>
            </w:r>
          </w:p>
        </w:tc>
      </w:tr>
    </w:tbl>
    <w:p w:rsidR="006F16D1" w:rsidRPr="00892DE3" w:rsidRDefault="006F16D1" w:rsidP="006F16D1">
      <w:pPr>
        <w:pStyle w:val="Note"/>
      </w:pPr>
      <w:r w:rsidRPr="00892DE3">
        <w:t>Note:</w:t>
      </w:r>
    </w:p>
    <w:p w:rsidR="006F16D1" w:rsidRPr="00892DE3" w:rsidRDefault="006F16D1" w:rsidP="006F16D1">
      <w:pPr>
        <w:pStyle w:val="Note"/>
      </w:pPr>
      <w:r w:rsidRPr="00892DE3">
        <w:t>(</w:t>
      </w:r>
      <w:r w:rsidR="00547E22" w:rsidRPr="00892DE3">
        <w:t>a</w:t>
      </w:r>
      <w:r w:rsidRPr="00892DE3">
        <w:t>)</w:t>
      </w:r>
      <w:r w:rsidRPr="00892DE3">
        <w:tab/>
        <w:t>The variance is primarily related to agreed changes in committed projects being delivered in the next financial year.</w:t>
      </w:r>
    </w:p>
    <w:p w:rsidR="006F16D1" w:rsidRPr="00892DE3" w:rsidRDefault="006F16D1" w:rsidP="006F16D1"/>
    <w:p w:rsidR="006F16D1" w:rsidRPr="00892DE3" w:rsidRDefault="006F16D1" w:rsidP="006F16D1">
      <w:r w:rsidRPr="00892DE3">
        <w:t>The following table discloses the details of compliance with special appropriations:</w:t>
      </w:r>
    </w:p>
    <w:p w:rsidR="006F16D1" w:rsidRPr="00892DE3" w:rsidRDefault="006F16D1" w:rsidP="006F16D1">
      <w:pPr>
        <w:pStyle w:val="TableUnits"/>
      </w:pPr>
      <w:r w:rsidRPr="00892DE3">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5251"/>
        <w:gridCol w:w="6232"/>
        <w:gridCol w:w="369"/>
        <w:gridCol w:w="1474"/>
        <w:gridCol w:w="1246"/>
      </w:tblGrid>
      <w:tr w:rsidR="006F16D1" w:rsidRPr="00892DE3" w:rsidTr="000A53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64" w:type="dxa"/>
            <w:tcBorders>
              <w:bottom w:val="single" w:sz="4" w:space="0" w:color="000000" w:themeColor="text1"/>
              <w:right w:val="single" w:sz="4" w:space="0" w:color="000000" w:themeColor="text1"/>
            </w:tcBorders>
          </w:tcPr>
          <w:p w:rsidR="006F16D1" w:rsidRPr="00892DE3" w:rsidRDefault="006F16D1" w:rsidP="006F16D1">
            <w:pPr>
              <w:ind w:left="0" w:firstLine="0"/>
            </w:pPr>
          </w:p>
        </w:tc>
        <w:tc>
          <w:tcPr>
            <w:tcW w:w="6618" w:type="dxa"/>
            <w:gridSpan w:val="2"/>
            <w:tcBorders>
              <w:left w:val="single" w:sz="4" w:space="0" w:color="000000" w:themeColor="text1"/>
              <w:bottom w:val="single" w:sz="4" w:space="0" w:color="000000" w:themeColor="text1"/>
              <w:right w:val="single" w:sz="4" w:space="0" w:color="000000" w:themeColor="text1"/>
            </w:tcBorders>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p>
        </w:tc>
        <w:tc>
          <w:tcPr>
            <w:tcW w:w="2727" w:type="dxa"/>
            <w:gridSpan w:val="2"/>
            <w:tcBorders>
              <w:left w:val="single" w:sz="4" w:space="0" w:color="000000" w:themeColor="text1"/>
              <w:bottom w:val="single" w:sz="4" w:space="0" w:color="000000" w:themeColor="text1"/>
            </w:tcBorders>
            <w:noWrap/>
          </w:tcPr>
          <w:p w:rsidR="006F16D1" w:rsidRPr="00892DE3" w:rsidRDefault="006F16D1" w:rsidP="006F16D1">
            <w:pPr>
              <w:jc w:val="center"/>
              <w:cnfStyle w:val="100000000000" w:firstRow="1" w:lastRow="0" w:firstColumn="0" w:lastColumn="0" w:oddVBand="0" w:evenVBand="0" w:oddHBand="0" w:evenHBand="0" w:firstRowFirstColumn="0" w:firstRowLastColumn="0" w:lastRowFirstColumn="0" w:lastRowLastColumn="0"/>
            </w:pPr>
            <w:r w:rsidRPr="00892DE3">
              <w:t>Appropriations applied</w:t>
            </w:r>
          </w:p>
        </w:tc>
      </w:tr>
      <w:tr w:rsidR="006F16D1" w:rsidRPr="00892DE3" w:rsidTr="000A53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64" w:type="dxa"/>
            <w:tcBorders>
              <w:top w:val="single" w:sz="4" w:space="0" w:color="000000" w:themeColor="text1"/>
              <w:bottom w:val="nil"/>
              <w:right w:val="single" w:sz="4" w:space="0" w:color="000000" w:themeColor="text1"/>
            </w:tcBorders>
          </w:tcPr>
          <w:p w:rsidR="006F16D1" w:rsidRPr="00892DE3" w:rsidRDefault="006F16D1" w:rsidP="006F16D1">
            <w:pPr>
              <w:ind w:left="0" w:firstLine="0"/>
            </w:pPr>
            <w:r w:rsidRPr="00892DE3">
              <w:t>Authority</w:t>
            </w:r>
          </w:p>
        </w:tc>
        <w:tc>
          <w:tcPr>
            <w:tcW w:w="6248" w:type="dxa"/>
            <w:tcBorders>
              <w:top w:val="single" w:sz="4" w:space="0" w:color="000000" w:themeColor="text1"/>
              <w:left w:val="single" w:sz="4" w:space="0" w:color="000000" w:themeColor="text1"/>
              <w:bottom w:val="nil"/>
              <w:right w:val="single" w:sz="4" w:space="0" w:color="000000" w:themeColor="text1"/>
            </w:tcBorders>
          </w:tcPr>
          <w:p w:rsidR="006F16D1" w:rsidRPr="00892DE3" w:rsidRDefault="006F16D1" w:rsidP="006F16D1">
            <w:pPr>
              <w:jc w:val="left"/>
              <w:cnfStyle w:val="100000000000" w:firstRow="1" w:lastRow="0" w:firstColumn="0" w:lastColumn="0" w:oddVBand="0" w:evenVBand="0" w:oddHBand="0" w:evenHBand="0" w:firstRowFirstColumn="0" w:firstRowLastColumn="0" w:lastRowFirstColumn="0" w:lastRowLastColumn="0"/>
            </w:pPr>
            <w:r w:rsidRPr="00892DE3">
              <w:t>Purpose</w:t>
            </w:r>
          </w:p>
        </w:tc>
        <w:tc>
          <w:tcPr>
            <w:tcW w:w="1848" w:type="dxa"/>
            <w:gridSpan w:val="2"/>
            <w:tcBorders>
              <w:top w:val="single" w:sz="4" w:space="0" w:color="000000" w:themeColor="text1"/>
              <w:left w:val="single" w:sz="4" w:space="0" w:color="000000" w:themeColor="text1"/>
              <w:bottom w:val="nil"/>
              <w:right w:val="single" w:sz="4" w:space="0" w:color="000000" w:themeColor="text1"/>
            </w:tcBorders>
            <w:noWrap/>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r w:rsidRPr="00892DE3">
              <w:t>2017</w:t>
            </w:r>
          </w:p>
        </w:tc>
        <w:tc>
          <w:tcPr>
            <w:tcW w:w="1249" w:type="dxa"/>
            <w:tcBorders>
              <w:top w:val="single" w:sz="4" w:space="0" w:color="000000" w:themeColor="text1"/>
              <w:left w:val="single" w:sz="4" w:space="0" w:color="000000" w:themeColor="text1"/>
              <w:bottom w:val="nil"/>
            </w:tcBorders>
            <w:noWrap/>
          </w:tcPr>
          <w:p w:rsidR="006F16D1" w:rsidRPr="00892DE3" w:rsidRDefault="006F16D1" w:rsidP="006F16D1">
            <w:pPr>
              <w:cnfStyle w:val="100000000000" w:firstRow="1" w:lastRow="0" w:firstColumn="0" w:lastColumn="0" w:oddVBand="0" w:evenVBand="0" w:oddHBand="0" w:evenHBand="0" w:firstRowFirstColumn="0" w:firstRowLastColumn="0" w:lastRowFirstColumn="0" w:lastRowLastColumn="0"/>
            </w:pPr>
            <w:r w:rsidRPr="00892DE3">
              <w:t>2016</w:t>
            </w:r>
          </w:p>
        </w:tc>
      </w:tr>
      <w:tr w:rsidR="006F16D1" w:rsidRPr="00892DE3" w:rsidTr="000A53E0">
        <w:tc>
          <w:tcPr>
            <w:cnfStyle w:val="001000000000" w:firstRow="0" w:lastRow="0" w:firstColumn="1" w:lastColumn="0" w:oddVBand="0" w:evenVBand="0" w:oddHBand="0" w:evenHBand="0" w:firstRowFirstColumn="0" w:firstRowLastColumn="0" w:lastRowFirstColumn="0" w:lastRowLastColumn="0"/>
            <w:tcW w:w="5264" w:type="dxa"/>
            <w:tcBorders>
              <w:top w:val="nil"/>
            </w:tcBorders>
          </w:tcPr>
          <w:p w:rsidR="006F16D1" w:rsidRPr="00892DE3" w:rsidRDefault="006F16D1" w:rsidP="006F16D1">
            <w:pPr>
              <w:rPr>
                <w:rFonts w:cstheme="majorHAnsi"/>
              </w:rPr>
            </w:pPr>
            <w:r w:rsidRPr="00892DE3">
              <w:rPr>
                <w:rFonts w:cstheme="majorHAnsi"/>
              </w:rPr>
              <w:t xml:space="preserve">The </w:t>
            </w:r>
            <w:r w:rsidRPr="00892DE3">
              <w:rPr>
                <w:rFonts w:cstheme="majorHAnsi"/>
                <w:i/>
              </w:rPr>
              <w:t>Technology Act 1970</w:t>
            </w:r>
            <w:r w:rsidRPr="00892DE3">
              <w:rPr>
                <w:rFonts w:cstheme="majorHAnsi"/>
              </w:rPr>
              <w:t>, section 34</w:t>
            </w:r>
          </w:p>
        </w:tc>
        <w:tc>
          <w:tcPr>
            <w:tcW w:w="6248" w:type="dxa"/>
            <w:tcBorders>
              <w:top w:val="nil"/>
            </w:tcBorders>
          </w:tcPr>
          <w:p w:rsidR="006F16D1" w:rsidRPr="00892DE3" w:rsidRDefault="006F16D1" w:rsidP="00A06302">
            <w:pPr>
              <w:jc w:val="left"/>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Data storage and security</w:t>
            </w:r>
          </w:p>
        </w:tc>
        <w:tc>
          <w:tcPr>
            <w:tcW w:w="1848" w:type="dxa"/>
            <w:gridSpan w:val="2"/>
            <w:tcBorders>
              <w:top w:val="nil"/>
            </w:tcBorders>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3 251</w:t>
            </w:r>
          </w:p>
        </w:tc>
        <w:tc>
          <w:tcPr>
            <w:tcW w:w="1249" w:type="dxa"/>
            <w:tcBorders>
              <w:top w:val="nil"/>
            </w:tcBorders>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4 558</w:t>
            </w:r>
          </w:p>
        </w:tc>
      </w:tr>
      <w:tr w:rsidR="006F16D1" w:rsidRPr="00892DE3" w:rsidTr="000A53E0">
        <w:tc>
          <w:tcPr>
            <w:cnfStyle w:val="001000000000" w:firstRow="0" w:lastRow="0" w:firstColumn="1" w:lastColumn="0" w:oddVBand="0" w:evenVBand="0" w:oddHBand="0" w:evenHBand="0" w:firstRowFirstColumn="0" w:firstRowLastColumn="0" w:lastRowFirstColumn="0" w:lastRowLastColumn="0"/>
            <w:tcW w:w="5264" w:type="dxa"/>
            <w:tcBorders>
              <w:bottom w:val="single" w:sz="6" w:space="0" w:color="auto"/>
            </w:tcBorders>
          </w:tcPr>
          <w:p w:rsidR="006F16D1" w:rsidRPr="00892DE3" w:rsidRDefault="006F16D1" w:rsidP="006F16D1">
            <w:pPr>
              <w:rPr>
                <w:rFonts w:cstheme="majorHAnsi"/>
              </w:rPr>
            </w:pPr>
            <w:r w:rsidRPr="00892DE3">
              <w:rPr>
                <w:rFonts w:cstheme="majorHAnsi"/>
              </w:rPr>
              <w:t xml:space="preserve">The </w:t>
            </w:r>
            <w:r w:rsidRPr="00892DE3">
              <w:rPr>
                <w:rFonts w:cstheme="majorHAnsi"/>
                <w:i/>
              </w:rPr>
              <w:t>New Technology Act 1998</w:t>
            </w:r>
            <w:r w:rsidRPr="00892DE3">
              <w:rPr>
                <w:rFonts w:cstheme="majorHAnsi"/>
              </w:rPr>
              <w:t>, section 45</w:t>
            </w:r>
          </w:p>
        </w:tc>
        <w:tc>
          <w:tcPr>
            <w:tcW w:w="6248" w:type="dxa"/>
            <w:tcBorders>
              <w:bottom w:val="single" w:sz="6" w:space="0" w:color="auto"/>
            </w:tcBorders>
          </w:tcPr>
          <w:p w:rsidR="006F16D1" w:rsidRPr="00892DE3" w:rsidRDefault="006F16D1" w:rsidP="00A06302">
            <w:pPr>
              <w:jc w:val="left"/>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Contributions to hospital research facilities</w:t>
            </w:r>
          </w:p>
        </w:tc>
        <w:tc>
          <w:tcPr>
            <w:tcW w:w="1848" w:type="dxa"/>
            <w:gridSpan w:val="2"/>
            <w:tcBorders>
              <w:bottom w:val="single" w:sz="6" w:space="0" w:color="auto"/>
            </w:tcBorders>
            <w:shd w:val="clear" w:color="auto" w:fill="EBEBEB" w:themeFill="background2"/>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4 877</w:t>
            </w:r>
          </w:p>
        </w:tc>
        <w:tc>
          <w:tcPr>
            <w:tcW w:w="1249" w:type="dxa"/>
            <w:tcBorders>
              <w:bottom w:val="single" w:sz="6" w:space="0" w:color="auto"/>
            </w:tcBorders>
            <w:noWrap/>
          </w:tcPr>
          <w:p w:rsidR="006F16D1" w:rsidRPr="00892DE3" w:rsidRDefault="006F16D1" w:rsidP="006F16D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6 838</w:t>
            </w:r>
          </w:p>
        </w:tc>
      </w:tr>
      <w:tr w:rsidR="006F16D1" w:rsidRPr="00892DE3" w:rsidTr="000A53E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4" w:type="dxa"/>
            <w:tcBorders>
              <w:top w:val="single" w:sz="6" w:space="0" w:color="auto"/>
              <w:bottom w:val="single" w:sz="12" w:space="0" w:color="auto"/>
            </w:tcBorders>
          </w:tcPr>
          <w:p w:rsidR="006F16D1" w:rsidRPr="00892DE3" w:rsidRDefault="006F16D1" w:rsidP="006F16D1">
            <w:pPr>
              <w:ind w:left="0" w:firstLine="0"/>
            </w:pPr>
            <w:r w:rsidRPr="00892DE3">
              <w:t xml:space="preserve"> </w:t>
            </w:r>
          </w:p>
        </w:tc>
        <w:tc>
          <w:tcPr>
            <w:tcW w:w="6248" w:type="dxa"/>
            <w:tcBorders>
              <w:top w:val="single" w:sz="6" w:space="0" w:color="auto"/>
              <w:bottom w:val="single" w:sz="12" w:space="0" w:color="auto"/>
            </w:tcBorders>
          </w:tcPr>
          <w:p w:rsidR="006F16D1" w:rsidRPr="00892DE3" w:rsidRDefault="006F16D1" w:rsidP="006F16D1">
            <w:pPr>
              <w:cnfStyle w:val="010000000000" w:firstRow="0" w:lastRow="1" w:firstColumn="0" w:lastColumn="0" w:oddVBand="0" w:evenVBand="0" w:oddHBand="0" w:evenHBand="0" w:firstRowFirstColumn="0" w:firstRowLastColumn="0" w:lastRowFirstColumn="0" w:lastRowLastColumn="0"/>
            </w:pPr>
            <w:r w:rsidRPr="00892DE3">
              <w:t xml:space="preserve"> </w:t>
            </w:r>
          </w:p>
        </w:tc>
        <w:tc>
          <w:tcPr>
            <w:tcW w:w="1848" w:type="dxa"/>
            <w:gridSpan w:val="2"/>
            <w:tcBorders>
              <w:top w:val="single" w:sz="6" w:space="0" w:color="auto"/>
              <w:bottom w:val="single" w:sz="12" w:space="0" w:color="auto"/>
            </w:tcBorders>
            <w:shd w:val="clear" w:color="auto" w:fill="EBEBEB" w:themeFill="background2"/>
            <w:noWrap/>
          </w:tcPr>
          <w:p w:rsidR="006F16D1" w:rsidRPr="00892DE3" w:rsidRDefault="006F16D1" w:rsidP="006F16D1">
            <w:pPr>
              <w:cnfStyle w:val="010000000000" w:firstRow="0" w:lastRow="1" w:firstColumn="0" w:lastColumn="0" w:oddVBand="0" w:evenVBand="0" w:oddHBand="0" w:evenHBand="0" w:firstRowFirstColumn="0" w:firstRowLastColumn="0" w:lastRowFirstColumn="0" w:lastRowLastColumn="0"/>
            </w:pPr>
            <w:r w:rsidRPr="00892DE3">
              <w:t>8 128</w:t>
            </w:r>
          </w:p>
        </w:tc>
        <w:tc>
          <w:tcPr>
            <w:tcW w:w="1249" w:type="dxa"/>
            <w:tcBorders>
              <w:top w:val="single" w:sz="6" w:space="0" w:color="auto"/>
              <w:bottom w:val="single" w:sz="12" w:space="0" w:color="auto"/>
            </w:tcBorders>
            <w:noWrap/>
          </w:tcPr>
          <w:p w:rsidR="006F16D1" w:rsidRPr="00892DE3" w:rsidRDefault="006F16D1" w:rsidP="006F16D1">
            <w:pPr>
              <w:cnfStyle w:val="010000000000" w:firstRow="0" w:lastRow="1" w:firstColumn="0" w:lastColumn="0" w:oddVBand="0" w:evenVBand="0" w:oddHBand="0" w:evenHBand="0" w:firstRowFirstColumn="0" w:firstRowLastColumn="0" w:lastRowFirstColumn="0" w:lastRowLastColumn="0"/>
            </w:pPr>
            <w:r w:rsidRPr="00892DE3">
              <w:t>11 396</w:t>
            </w:r>
          </w:p>
        </w:tc>
      </w:tr>
    </w:tbl>
    <w:p w:rsidR="006F16D1" w:rsidRPr="00892DE3" w:rsidRDefault="006F16D1" w:rsidP="006F16D1">
      <w:pPr>
        <w:pStyle w:val="TableUnits"/>
      </w:pPr>
    </w:p>
    <w:p w:rsidR="006F16D1" w:rsidRPr="00892DE3" w:rsidRDefault="006F16D1" w:rsidP="006F16D1"/>
    <w:p w:rsidR="006F16D1" w:rsidRPr="00892DE3" w:rsidRDefault="006F16D1" w:rsidP="006F16D1">
      <w:pPr>
        <w:sectPr w:rsidR="006F16D1" w:rsidRPr="00892DE3" w:rsidSect="006F16D1">
          <w:headerReference w:type="even" r:id="rId100"/>
          <w:headerReference w:type="default" r:id="rId101"/>
          <w:footerReference w:type="even" r:id="rId102"/>
          <w:footerReference w:type="default" r:id="rId103"/>
          <w:pgSz w:w="16838" w:h="11906" w:orient="landscape" w:code="9"/>
          <w:pgMar w:top="1134" w:right="1134" w:bottom="1134" w:left="1134" w:header="624" w:footer="567" w:gutter="0"/>
          <w:cols w:sep="1" w:space="567"/>
          <w:docGrid w:linePitch="360"/>
        </w:sectPr>
      </w:pPr>
    </w:p>
    <w:tbl>
      <w:tblPr>
        <w:tblStyle w:val="ModelReportGuidanceTable"/>
        <w:tblW w:w="0" w:type="auto"/>
        <w:tblLayout w:type="fixed"/>
        <w:tblLook w:val="04A0" w:firstRow="1" w:lastRow="0" w:firstColumn="1" w:lastColumn="0" w:noHBand="0" w:noVBand="1"/>
      </w:tblPr>
      <w:tblGrid>
        <w:gridCol w:w="9854"/>
      </w:tblGrid>
      <w:tr w:rsidR="006F16D1"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6F16D1" w:rsidRPr="00892DE3" w:rsidRDefault="006F16D1" w:rsidP="006F16D1">
            <w:r w:rsidRPr="00892DE3">
              <w:lastRenderedPageBreak/>
              <w:t>Guidance – Summary of compliance with annual parliamentary and special appropriations</w:t>
            </w:r>
          </w:p>
        </w:tc>
      </w:tr>
      <w:tr w:rsidR="006F16D1" w:rsidRPr="00892DE3" w:rsidTr="0044350A">
        <w:tc>
          <w:tcPr>
            <w:tcW w:w="9854" w:type="dxa"/>
          </w:tcPr>
          <w:p w:rsidR="006F16D1" w:rsidRPr="00892DE3" w:rsidRDefault="006F16D1" w:rsidP="006F16D1">
            <w:r w:rsidRPr="00892DE3">
              <w:t>A government department shall disclose separately:</w:t>
            </w:r>
          </w:p>
          <w:p w:rsidR="006F16D1" w:rsidRPr="00892DE3" w:rsidRDefault="006F16D1" w:rsidP="006F16D1">
            <w:pPr>
              <w:pStyle w:val="List"/>
            </w:pPr>
            <w:r w:rsidRPr="00892DE3">
              <w:t>(a)</w:t>
            </w:r>
            <w:r w:rsidRPr="00892DE3">
              <w:tab/>
              <w:t>a summary of the recurrent, capital or other major categories of appropriations, disclosing separately:</w:t>
            </w:r>
          </w:p>
          <w:p w:rsidR="006F16D1" w:rsidRPr="00892DE3" w:rsidRDefault="006F16D1" w:rsidP="00A06302">
            <w:pPr>
              <w:pStyle w:val="List2"/>
            </w:pPr>
            <w:r w:rsidRPr="00892DE3">
              <w:t>(i)</w:t>
            </w:r>
            <w:r w:rsidRPr="00892DE3">
              <w:tab/>
              <w:t>the original amounts appropriated for the reporting period; and</w:t>
            </w:r>
          </w:p>
          <w:p w:rsidR="006F16D1" w:rsidRPr="00892DE3" w:rsidRDefault="006F16D1" w:rsidP="00A06302">
            <w:pPr>
              <w:pStyle w:val="List2"/>
            </w:pPr>
            <w:r w:rsidRPr="00892DE3">
              <w:t>(ii)</w:t>
            </w:r>
            <w:r w:rsidRPr="00892DE3">
              <w:tab/>
              <w:t>the total amounts appropriated for the reporting period;</w:t>
            </w:r>
          </w:p>
          <w:p w:rsidR="006F16D1" w:rsidRPr="00892DE3" w:rsidRDefault="006F16D1" w:rsidP="006F16D1">
            <w:pPr>
              <w:pStyle w:val="List"/>
            </w:pPr>
            <w:r w:rsidRPr="00892DE3">
              <w:t>(b)</w:t>
            </w:r>
            <w:r w:rsidRPr="00892DE3">
              <w:tab/>
              <w:t>amounts authorised other than by way of appropriation and advanced separately by the Treasurer, other minister or other legislative authority for the reporting period;</w:t>
            </w:r>
          </w:p>
          <w:p w:rsidR="006F16D1" w:rsidRPr="00892DE3" w:rsidRDefault="006F16D1" w:rsidP="006F16D1">
            <w:pPr>
              <w:pStyle w:val="List"/>
            </w:pPr>
            <w:r w:rsidRPr="00892DE3">
              <w:t>(c)</w:t>
            </w:r>
            <w:r w:rsidRPr="00892DE3">
              <w:tab/>
              <w:t>the expenditures for the reporting period in respect of each of the items disclosed in (a) and (b) above;</w:t>
            </w:r>
          </w:p>
          <w:p w:rsidR="006F16D1" w:rsidRPr="00892DE3" w:rsidRDefault="006F16D1" w:rsidP="006F16D1">
            <w:pPr>
              <w:pStyle w:val="List"/>
            </w:pPr>
            <w:r w:rsidRPr="00892DE3">
              <w:t>(d)</w:t>
            </w:r>
            <w:r w:rsidRPr="00892DE3">
              <w:tab/>
              <w:t xml:space="preserve">the reasons for any material variances between the amounts appropriated or otherwise authorised and the associated expenditures for the reporting period; </w:t>
            </w:r>
          </w:p>
          <w:p w:rsidR="00476CAB" w:rsidRPr="00892DE3" w:rsidRDefault="00476CAB" w:rsidP="006F16D1">
            <w:pPr>
              <w:pStyle w:val="List"/>
            </w:pPr>
            <w:r w:rsidRPr="00892DE3">
              <w:t>(e)</w:t>
            </w:r>
            <w:r w:rsidRPr="00892DE3">
              <w:tab/>
              <w:t xml:space="preserve">the reasons for any transfers greater than $10 million between capital and operating expenditure, pursuant to section 30 of the </w:t>
            </w:r>
            <w:r w:rsidRPr="00892DE3">
              <w:rPr>
                <w:i/>
              </w:rPr>
              <w:t>Financial Management Act 1994</w:t>
            </w:r>
            <w:r w:rsidRPr="00892DE3">
              <w:t xml:space="preserve">; </w:t>
            </w:r>
            <w:r w:rsidR="00B91F80" w:rsidRPr="00892DE3">
              <w:rPr>
                <w:b/>
                <w:color w:val="C00000"/>
                <w:sz w:val="14"/>
              </w:rPr>
              <w:t xml:space="preserve">[new] </w:t>
            </w:r>
            <w:r w:rsidRPr="00892DE3">
              <w:rPr>
                <w:rStyle w:val="SourceReference"/>
              </w:rPr>
              <w:t>[based on the recommendation 5, PAEC Report on the 2013-14 and 2014-15 Financial and Performance Outcomes]</w:t>
            </w:r>
            <w:r w:rsidRPr="00892DE3">
              <w:t xml:space="preserve"> and</w:t>
            </w:r>
          </w:p>
          <w:p w:rsidR="006F16D1" w:rsidRPr="00892DE3" w:rsidRDefault="00476CAB" w:rsidP="006F16D1">
            <w:pPr>
              <w:pStyle w:val="List"/>
            </w:pPr>
            <w:r w:rsidRPr="00892DE3">
              <w:t>(f</w:t>
            </w:r>
            <w:r w:rsidR="006F16D1" w:rsidRPr="00892DE3">
              <w:t>)</w:t>
            </w:r>
            <w:r w:rsidR="006F16D1" w:rsidRPr="00892DE3">
              <w:tab/>
              <w:t xml:space="preserve">the nature and probable financial effect of any non-compliance by the government department with externally imposed requirements for the reporting period, not already disclosed by virtue of (d) above, and that are relevant to assessments of the government department’s performance, financial position or financing and investing activities. </w:t>
            </w:r>
            <w:r w:rsidR="006F16D1" w:rsidRPr="00892DE3">
              <w:rPr>
                <w:rStyle w:val="SourceReference"/>
              </w:rPr>
              <w:t>[AASB 1004.64]</w:t>
            </w:r>
          </w:p>
          <w:p w:rsidR="006F16D1" w:rsidRPr="00892DE3" w:rsidRDefault="006F16D1" w:rsidP="006F16D1">
            <w:r w:rsidRPr="00892DE3">
              <w:t xml:space="preserve">In satisfying the disclosure requirements of AASB 1004.65, reference should be made to Appendix 1 of FRD 13 </w:t>
            </w:r>
            <w:r w:rsidRPr="00892DE3">
              <w:rPr>
                <w:i/>
              </w:rPr>
              <w:t>Disclosure of Parliamentary Appropriations</w:t>
            </w:r>
            <w:r w:rsidRPr="00892DE3">
              <w:t xml:space="preserve"> for the format to be followed in disclosing annual and special appropriations.</w:t>
            </w:r>
          </w:p>
        </w:tc>
      </w:tr>
    </w:tbl>
    <w:p w:rsidR="006F16D1" w:rsidRPr="00892DE3" w:rsidRDefault="006F16D1" w:rsidP="006F16D1"/>
    <w:p w:rsidR="006F16D1" w:rsidRPr="00892DE3" w:rsidRDefault="006F16D1" w:rsidP="0019303F">
      <w:pPr>
        <w:pStyle w:val="Heading2"/>
      </w:pPr>
      <w:bookmarkStart w:id="92" w:name="_Toc478047457"/>
      <w:bookmarkStart w:id="93" w:name="_Toc478055715"/>
      <w:r w:rsidRPr="00892DE3">
        <w:t>Income from transactions</w:t>
      </w:r>
      <w:bookmarkEnd w:id="92"/>
      <w:bookmarkEnd w:id="93"/>
    </w:p>
    <w:p w:rsidR="006F16D1" w:rsidRPr="00892DE3" w:rsidRDefault="006F16D1" w:rsidP="00D31BB8">
      <w:pPr>
        <w:pStyle w:val="Heading3"/>
      </w:pPr>
      <w:r w:rsidRPr="00892DE3">
        <w:t>Interest income</w:t>
      </w:r>
    </w:p>
    <w:p w:rsidR="006F16D1" w:rsidRPr="00892DE3" w:rsidRDefault="006F16D1" w:rsidP="006F16D1">
      <w:pPr>
        <w:pStyle w:val="TableUnits"/>
      </w:pPr>
      <w:r w:rsidRPr="00892DE3">
        <w:t>($ thousand)</w:t>
      </w:r>
    </w:p>
    <w:tbl>
      <w:tblPr>
        <w:tblStyle w:val="ModelReportFinancialTable"/>
        <w:tblW w:w="0" w:type="auto"/>
        <w:tblLayout w:type="fixed"/>
        <w:tblLook w:val="06A0" w:firstRow="1" w:lastRow="0" w:firstColumn="1" w:lastColumn="0" w:noHBand="1" w:noVBand="1"/>
      </w:tblPr>
      <w:tblGrid>
        <w:gridCol w:w="1497"/>
        <w:gridCol w:w="6460"/>
        <w:gridCol w:w="863"/>
        <w:gridCol w:w="875"/>
      </w:tblGrid>
      <w:tr w:rsidR="006F16D1" w:rsidRPr="00892DE3" w:rsidTr="0044350A">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97" w:type="dxa"/>
            <w:tcBorders>
              <w:bottom w:val="nil"/>
            </w:tcBorders>
            <w:shd w:val="clear" w:color="auto" w:fill="auto"/>
          </w:tcPr>
          <w:p w:rsidR="006F16D1" w:rsidRPr="00892DE3" w:rsidRDefault="006F16D1" w:rsidP="006F16D1">
            <w:r w:rsidRPr="00892DE3">
              <w:t>Source reference</w:t>
            </w:r>
          </w:p>
        </w:tc>
        <w:tc>
          <w:tcPr>
            <w:tcW w:w="6460" w:type="dxa"/>
            <w:hideMark/>
          </w:tcPr>
          <w:p w:rsidR="006F16D1" w:rsidRPr="00892DE3" w:rsidRDefault="006F16D1" w:rsidP="006F16D1">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63" w:type="dxa"/>
            <w:noWrap/>
            <w:hideMark/>
          </w:tcPr>
          <w:p w:rsidR="006F16D1" w:rsidRPr="00892DE3" w:rsidRDefault="006F16D1" w:rsidP="007E2308">
            <w:pPr>
              <w:cnfStyle w:val="100000000000" w:firstRow="1" w:lastRow="0" w:firstColumn="0" w:lastColumn="0" w:oddVBand="0" w:evenVBand="0" w:oddHBand="0" w:evenHBand="0" w:firstRowFirstColumn="0" w:firstRowLastColumn="0" w:lastRowFirstColumn="0" w:lastRowLastColumn="0"/>
            </w:pPr>
            <w:r w:rsidRPr="00892DE3">
              <w:t>2017</w:t>
            </w:r>
          </w:p>
        </w:tc>
        <w:tc>
          <w:tcPr>
            <w:tcW w:w="875" w:type="dxa"/>
            <w:noWrap/>
            <w:hideMark/>
          </w:tcPr>
          <w:p w:rsidR="006F16D1" w:rsidRPr="00892DE3" w:rsidRDefault="006F16D1" w:rsidP="007E2308">
            <w:pPr>
              <w:cnfStyle w:val="100000000000" w:firstRow="1" w:lastRow="0" w:firstColumn="0" w:lastColumn="0" w:oddVBand="0" w:evenVBand="0" w:oddHBand="0" w:evenHBand="0" w:firstRowFirstColumn="0" w:firstRowLastColumn="0" w:lastRowFirstColumn="0" w:lastRowLastColumn="0"/>
            </w:pPr>
            <w:r w:rsidRPr="00892DE3">
              <w:t>2016</w:t>
            </w:r>
          </w:p>
        </w:tc>
      </w:tr>
      <w:tr w:rsidR="006F16D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6460" w:type="dxa"/>
            <w:hideMark/>
          </w:tcPr>
          <w:p w:rsidR="006F16D1" w:rsidRPr="00892DE3" w:rsidRDefault="006F16D1" w:rsidP="006F16D1">
            <w:pPr>
              <w:jc w:val="left"/>
              <w:cnfStyle w:val="000000000000" w:firstRow="0" w:lastRow="0" w:firstColumn="0" w:lastColumn="0" w:oddVBand="0" w:evenVBand="0" w:oddHBand="0" w:evenHBand="0" w:firstRowFirstColumn="0" w:firstRowLastColumn="0" w:lastRowFirstColumn="0" w:lastRowLastColumn="0"/>
              <w:rPr>
                <w:b/>
              </w:rPr>
            </w:pPr>
            <w:r w:rsidRPr="00892DE3">
              <w:rPr>
                <w:b/>
              </w:rPr>
              <w:t>Interest from financial assets not at fair value through profit and loss</w:t>
            </w:r>
          </w:p>
        </w:tc>
        <w:tc>
          <w:tcPr>
            <w:tcW w:w="863" w:type="dxa"/>
            <w:shd w:val="clear" w:color="auto" w:fill="EBEBEB" w:themeFill="background2"/>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r w:rsidRPr="00892DE3">
              <w:t> </w:t>
            </w:r>
          </w:p>
        </w:tc>
        <w:tc>
          <w:tcPr>
            <w:tcW w:w="875" w:type="dxa"/>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p>
        </w:tc>
      </w:tr>
      <w:tr w:rsidR="006F16D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6460" w:type="dxa"/>
            <w:hideMark/>
          </w:tcPr>
          <w:p w:rsidR="006F16D1" w:rsidRPr="00892DE3" w:rsidRDefault="006F16D1" w:rsidP="006F16D1">
            <w:pPr>
              <w:jc w:val="left"/>
              <w:cnfStyle w:val="000000000000" w:firstRow="0" w:lastRow="0" w:firstColumn="0" w:lastColumn="0" w:oddVBand="0" w:evenVBand="0" w:oddHBand="0" w:evenHBand="0" w:firstRowFirstColumn="0" w:firstRowLastColumn="0" w:lastRowFirstColumn="0" w:lastRowLastColumn="0"/>
            </w:pPr>
            <w:r w:rsidRPr="00892DE3">
              <w:t>Interest on bank deposits</w:t>
            </w:r>
          </w:p>
        </w:tc>
        <w:tc>
          <w:tcPr>
            <w:tcW w:w="863" w:type="dxa"/>
            <w:shd w:val="clear" w:color="auto" w:fill="EBEBEB" w:themeFill="background2"/>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r w:rsidRPr="00892DE3">
              <w:t xml:space="preserve"> 888</w:t>
            </w:r>
          </w:p>
        </w:tc>
        <w:tc>
          <w:tcPr>
            <w:tcW w:w="875" w:type="dxa"/>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r w:rsidRPr="00892DE3">
              <w:t xml:space="preserve"> 839</w:t>
            </w:r>
          </w:p>
        </w:tc>
      </w:tr>
      <w:tr w:rsidR="006F16D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6460" w:type="dxa"/>
            <w:hideMark/>
          </w:tcPr>
          <w:p w:rsidR="006F16D1" w:rsidRPr="00892DE3" w:rsidRDefault="006F16D1" w:rsidP="006F16D1">
            <w:pPr>
              <w:jc w:val="left"/>
              <w:cnfStyle w:val="000000000000" w:firstRow="0" w:lastRow="0" w:firstColumn="0" w:lastColumn="0" w:oddVBand="0" w:evenVBand="0" w:oddHBand="0" w:evenHBand="0" w:firstRowFirstColumn="0" w:firstRowLastColumn="0" w:lastRowFirstColumn="0" w:lastRowLastColumn="0"/>
            </w:pPr>
            <w:r w:rsidRPr="00892DE3">
              <w:t>Interest from loans</w:t>
            </w:r>
          </w:p>
        </w:tc>
        <w:tc>
          <w:tcPr>
            <w:tcW w:w="863" w:type="dxa"/>
            <w:shd w:val="clear" w:color="auto" w:fill="EBEBEB" w:themeFill="background2"/>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r w:rsidRPr="00892DE3">
              <w:t xml:space="preserve"> 242</w:t>
            </w:r>
          </w:p>
        </w:tc>
        <w:tc>
          <w:tcPr>
            <w:tcW w:w="875" w:type="dxa"/>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r w:rsidRPr="00892DE3">
              <w:t xml:space="preserve"> 235</w:t>
            </w:r>
          </w:p>
        </w:tc>
      </w:tr>
      <w:tr w:rsidR="006F16D1"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6460" w:type="dxa"/>
            <w:tcBorders>
              <w:bottom w:val="single" w:sz="6" w:space="0" w:color="auto"/>
            </w:tcBorders>
            <w:hideMark/>
          </w:tcPr>
          <w:p w:rsidR="006F16D1" w:rsidRPr="00892DE3" w:rsidRDefault="006F16D1" w:rsidP="006F16D1">
            <w:pPr>
              <w:jc w:val="left"/>
              <w:cnfStyle w:val="000000000000" w:firstRow="0" w:lastRow="0" w:firstColumn="0" w:lastColumn="0" w:oddVBand="0" w:evenVBand="0" w:oddHBand="0" w:evenHBand="0" w:firstRowFirstColumn="0" w:firstRowLastColumn="0" w:lastRowFirstColumn="0" w:lastRowLastColumn="0"/>
            </w:pPr>
            <w:r w:rsidRPr="00892DE3">
              <w:t>Other miscellaneous interest income</w:t>
            </w:r>
          </w:p>
        </w:tc>
        <w:tc>
          <w:tcPr>
            <w:tcW w:w="863" w:type="dxa"/>
            <w:tcBorders>
              <w:bottom w:val="single" w:sz="6" w:space="0" w:color="auto"/>
            </w:tcBorders>
            <w:shd w:val="clear" w:color="auto" w:fill="EBEBEB" w:themeFill="background2"/>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r w:rsidRPr="00892DE3">
              <w:t>1 045</w:t>
            </w:r>
          </w:p>
        </w:tc>
        <w:tc>
          <w:tcPr>
            <w:tcW w:w="875" w:type="dxa"/>
            <w:tcBorders>
              <w:bottom w:val="single" w:sz="6" w:space="0" w:color="auto"/>
            </w:tcBorders>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r w:rsidRPr="00892DE3">
              <w:t xml:space="preserve"> 561</w:t>
            </w:r>
          </w:p>
        </w:tc>
      </w:tr>
      <w:tr w:rsidR="006F16D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r w:rsidRPr="00892DE3">
              <w:t>AASB 7.20(b)</w:t>
            </w:r>
          </w:p>
        </w:tc>
        <w:tc>
          <w:tcPr>
            <w:tcW w:w="6460" w:type="dxa"/>
            <w:tcBorders>
              <w:top w:val="single" w:sz="6" w:space="0" w:color="auto"/>
              <w:bottom w:val="single" w:sz="6" w:space="0" w:color="auto"/>
            </w:tcBorders>
            <w:hideMark/>
          </w:tcPr>
          <w:p w:rsidR="006F16D1" w:rsidRPr="00892DE3" w:rsidRDefault="006F16D1" w:rsidP="006F16D1">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interest from financial assets not at fair value through profit and loss</w:t>
            </w:r>
          </w:p>
        </w:tc>
        <w:tc>
          <w:tcPr>
            <w:tcW w:w="863" w:type="dxa"/>
            <w:tcBorders>
              <w:top w:val="single" w:sz="6" w:space="0" w:color="auto"/>
              <w:bottom w:val="single" w:sz="6" w:space="0" w:color="auto"/>
            </w:tcBorders>
            <w:shd w:val="clear" w:color="auto" w:fill="EBEBEB" w:themeFill="background2"/>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rPr>
                <w:b/>
              </w:rPr>
            </w:pPr>
            <w:r w:rsidRPr="00892DE3">
              <w:rPr>
                <w:b/>
              </w:rPr>
              <w:t>2 175</w:t>
            </w:r>
          </w:p>
        </w:tc>
        <w:tc>
          <w:tcPr>
            <w:tcW w:w="875" w:type="dxa"/>
            <w:tcBorders>
              <w:top w:val="single" w:sz="6" w:space="0" w:color="auto"/>
              <w:bottom w:val="single" w:sz="6" w:space="0" w:color="auto"/>
            </w:tcBorders>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rPr>
                <w:b/>
              </w:rPr>
            </w:pPr>
            <w:r w:rsidRPr="00892DE3">
              <w:rPr>
                <w:b/>
              </w:rPr>
              <w:t>1 635</w:t>
            </w:r>
          </w:p>
        </w:tc>
      </w:tr>
      <w:tr w:rsidR="006F16D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6460" w:type="dxa"/>
            <w:tcBorders>
              <w:top w:val="single" w:sz="6" w:space="0" w:color="auto"/>
            </w:tcBorders>
            <w:hideMark/>
          </w:tcPr>
          <w:p w:rsidR="006F16D1" w:rsidRPr="00892DE3" w:rsidRDefault="006F16D1" w:rsidP="006F16D1">
            <w:pPr>
              <w:jc w:val="left"/>
              <w:cnfStyle w:val="000000000000" w:firstRow="0" w:lastRow="0" w:firstColumn="0" w:lastColumn="0" w:oddVBand="0" w:evenVBand="0" w:oddHBand="0" w:evenHBand="0" w:firstRowFirstColumn="0" w:firstRowLastColumn="0" w:lastRowFirstColumn="0" w:lastRowLastColumn="0"/>
              <w:rPr>
                <w:b/>
              </w:rPr>
            </w:pPr>
            <w:r w:rsidRPr="00892DE3">
              <w:rPr>
                <w:b/>
              </w:rPr>
              <w:t>Interest from financial assets at fair value through profit and loss</w:t>
            </w:r>
            <w:r w:rsidRPr="00892DE3" w:rsidDel="00D8797B">
              <w:rPr>
                <w:b/>
              </w:rPr>
              <w:t xml:space="preserve"> </w:t>
            </w:r>
          </w:p>
        </w:tc>
        <w:tc>
          <w:tcPr>
            <w:tcW w:w="863" w:type="dxa"/>
            <w:tcBorders>
              <w:top w:val="single" w:sz="6" w:space="0" w:color="auto"/>
            </w:tcBorders>
            <w:shd w:val="clear" w:color="auto" w:fill="EBEBEB" w:themeFill="background2"/>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r w:rsidRPr="00892DE3">
              <w:t> </w:t>
            </w:r>
          </w:p>
        </w:tc>
        <w:tc>
          <w:tcPr>
            <w:tcW w:w="875" w:type="dxa"/>
            <w:tcBorders>
              <w:top w:val="single" w:sz="6" w:space="0" w:color="auto"/>
            </w:tcBorders>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p>
        </w:tc>
      </w:tr>
      <w:tr w:rsidR="006F16D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6460" w:type="dxa"/>
            <w:hideMark/>
          </w:tcPr>
          <w:p w:rsidR="006F16D1" w:rsidRPr="00892DE3" w:rsidRDefault="006F16D1" w:rsidP="006F16D1">
            <w:pPr>
              <w:jc w:val="left"/>
              <w:cnfStyle w:val="000000000000" w:firstRow="0" w:lastRow="0" w:firstColumn="0" w:lastColumn="0" w:oddVBand="0" w:evenVBand="0" w:oddHBand="0" w:evenHBand="0" w:firstRowFirstColumn="0" w:firstRowLastColumn="0" w:lastRowFirstColumn="0" w:lastRowLastColumn="0"/>
            </w:pPr>
            <w:r w:rsidRPr="00892DE3">
              <w:t>Interest from debt securities</w:t>
            </w:r>
          </w:p>
        </w:tc>
        <w:tc>
          <w:tcPr>
            <w:tcW w:w="863" w:type="dxa"/>
            <w:shd w:val="clear" w:color="auto" w:fill="EBEBEB" w:themeFill="background2"/>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r w:rsidRPr="00892DE3">
              <w:t>1 689</w:t>
            </w:r>
          </w:p>
        </w:tc>
        <w:tc>
          <w:tcPr>
            <w:tcW w:w="875" w:type="dxa"/>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pPr>
            <w:r w:rsidRPr="00892DE3">
              <w:t>1 262</w:t>
            </w:r>
          </w:p>
        </w:tc>
      </w:tr>
      <w:tr w:rsidR="006F16D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tc>
        <w:tc>
          <w:tcPr>
            <w:tcW w:w="6460" w:type="dxa"/>
            <w:tcBorders>
              <w:bottom w:val="single" w:sz="6" w:space="0" w:color="auto"/>
            </w:tcBorders>
            <w:hideMark/>
          </w:tcPr>
          <w:p w:rsidR="006F16D1" w:rsidRPr="00892DE3" w:rsidRDefault="006F16D1" w:rsidP="006F16D1">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interest from financial assets at fair value through profit and loss</w:t>
            </w:r>
          </w:p>
        </w:tc>
        <w:tc>
          <w:tcPr>
            <w:tcW w:w="863" w:type="dxa"/>
            <w:tcBorders>
              <w:bottom w:val="single" w:sz="6" w:space="0" w:color="auto"/>
            </w:tcBorders>
            <w:shd w:val="clear" w:color="auto" w:fill="EBEBEB" w:themeFill="background2"/>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rPr>
                <w:b/>
              </w:rPr>
            </w:pPr>
            <w:r w:rsidRPr="00892DE3">
              <w:rPr>
                <w:b/>
              </w:rPr>
              <w:t>1 689</w:t>
            </w:r>
          </w:p>
        </w:tc>
        <w:tc>
          <w:tcPr>
            <w:tcW w:w="875" w:type="dxa"/>
            <w:tcBorders>
              <w:bottom w:val="single" w:sz="6" w:space="0" w:color="auto"/>
            </w:tcBorders>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rPr>
                <w:b/>
              </w:rPr>
            </w:pPr>
            <w:r w:rsidRPr="00892DE3">
              <w:rPr>
                <w:b/>
              </w:rPr>
              <w:t>1 262</w:t>
            </w:r>
          </w:p>
        </w:tc>
      </w:tr>
      <w:tr w:rsidR="006F16D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6F16D1" w:rsidRPr="00892DE3" w:rsidRDefault="006F16D1" w:rsidP="006F16D1">
            <w:r w:rsidRPr="00892DE3">
              <w:t>AASB 118.35(b)</w:t>
            </w:r>
          </w:p>
        </w:tc>
        <w:tc>
          <w:tcPr>
            <w:tcW w:w="6460" w:type="dxa"/>
            <w:tcBorders>
              <w:top w:val="single" w:sz="6" w:space="0" w:color="auto"/>
              <w:bottom w:val="single" w:sz="12" w:space="0" w:color="auto"/>
            </w:tcBorders>
            <w:hideMark/>
          </w:tcPr>
          <w:p w:rsidR="006F16D1" w:rsidRPr="00892DE3" w:rsidRDefault="006F16D1" w:rsidP="006F16D1">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interest</w:t>
            </w:r>
          </w:p>
        </w:tc>
        <w:tc>
          <w:tcPr>
            <w:tcW w:w="863" w:type="dxa"/>
            <w:tcBorders>
              <w:top w:val="single" w:sz="6" w:space="0" w:color="auto"/>
              <w:bottom w:val="single" w:sz="12" w:space="0" w:color="auto"/>
            </w:tcBorders>
            <w:shd w:val="clear" w:color="auto" w:fill="EBEBEB" w:themeFill="background2"/>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rPr>
                <w:b/>
              </w:rPr>
            </w:pPr>
            <w:r w:rsidRPr="00892DE3">
              <w:rPr>
                <w:b/>
              </w:rPr>
              <w:t>3 864</w:t>
            </w:r>
          </w:p>
        </w:tc>
        <w:tc>
          <w:tcPr>
            <w:tcW w:w="875" w:type="dxa"/>
            <w:tcBorders>
              <w:top w:val="single" w:sz="6" w:space="0" w:color="auto"/>
              <w:bottom w:val="single" w:sz="12" w:space="0" w:color="auto"/>
            </w:tcBorders>
            <w:noWrap/>
            <w:hideMark/>
          </w:tcPr>
          <w:p w:rsidR="006F16D1" w:rsidRPr="00892DE3" w:rsidRDefault="006F16D1" w:rsidP="007E2308">
            <w:pPr>
              <w:cnfStyle w:val="000000000000" w:firstRow="0" w:lastRow="0" w:firstColumn="0" w:lastColumn="0" w:oddVBand="0" w:evenVBand="0" w:oddHBand="0" w:evenHBand="0" w:firstRowFirstColumn="0" w:firstRowLastColumn="0" w:lastRowFirstColumn="0" w:lastRowLastColumn="0"/>
              <w:rPr>
                <w:b/>
              </w:rPr>
            </w:pPr>
            <w:r w:rsidRPr="00892DE3">
              <w:rPr>
                <w:b/>
              </w:rPr>
              <w:t>2 897</w:t>
            </w:r>
          </w:p>
        </w:tc>
      </w:tr>
    </w:tbl>
    <w:p w:rsidR="007E2308" w:rsidRPr="00892DE3" w:rsidRDefault="007E2308" w:rsidP="007E2308">
      <w:r w:rsidRPr="00892DE3">
        <w:t>Interest income includes interest received on bank term deposits and other investments and the unwinding over time of the discount on financial assets. Interest income is recognised using the effective interest method</w:t>
      </w:r>
      <w:r w:rsidR="004A3F79" w:rsidRPr="00892DE3">
        <w:t>,</w:t>
      </w:r>
      <w:r w:rsidRPr="00892DE3">
        <w:t xml:space="preserve"> which allocates the interest over the relevant period. </w:t>
      </w:r>
      <w:r w:rsidRPr="00892DE3">
        <w:rPr>
          <w:rStyle w:val="SourceReference"/>
        </w:rPr>
        <w:t>[AASB 118.30(a)]</w:t>
      </w:r>
    </w:p>
    <w:p w:rsidR="007E2308" w:rsidRPr="00892DE3" w:rsidRDefault="007E2308" w:rsidP="007E2308">
      <w:r w:rsidRPr="00892DE3">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rsidR="00D50F96" w:rsidRPr="00892DE3" w:rsidRDefault="00D50F96">
      <w:pPr>
        <w:keepLines w:val="0"/>
        <w:rPr>
          <w:rFonts w:asciiTheme="majorHAnsi" w:eastAsiaTheme="majorEastAsia" w:hAnsiTheme="majorHAnsi" w:cstheme="majorBidi"/>
          <w:b/>
          <w:bCs/>
          <w:spacing w:val="-2"/>
          <w:sz w:val="20"/>
          <w:szCs w:val="26"/>
        </w:rPr>
      </w:pPr>
      <w:r w:rsidRPr="00892DE3">
        <w:br w:type="page"/>
      </w:r>
    </w:p>
    <w:p w:rsidR="007E2308" w:rsidRPr="00892DE3" w:rsidRDefault="007E2308" w:rsidP="00D31BB8">
      <w:pPr>
        <w:pStyle w:val="Heading3"/>
      </w:pPr>
      <w:r w:rsidRPr="00892DE3">
        <w:lastRenderedPageBreak/>
        <w:t>Sale of goods and services</w:t>
      </w:r>
    </w:p>
    <w:p w:rsidR="006F16D1" w:rsidRPr="00892DE3" w:rsidRDefault="007E2308" w:rsidP="007E2308">
      <w:pPr>
        <w:pStyle w:val="TableUnits"/>
      </w:pPr>
      <w:r w:rsidRPr="00892DE3">
        <w:t>($ thousand)</w:t>
      </w:r>
    </w:p>
    <w:tbl>
      <w:tblPr>
        <w:tblStyle w:val="ModelReportFinancialTable"/>
        <w:tblW w:w="0" w:type="auto"/>
        <w:tblLayout w:type="fixed"/>
        <w:tblLook w:val="06E0" w:firstRow="1" w:lastRow="1" w:firstColumn="1" w:lastColumn="0" w:noHBand="1" w:noVBand="1"/>
      </w:tblPr>
      <w:tblGrid>
        <w:gridCol w:w="1447"/>
        <w:gridCol w:w="6530"/>
        <w:gridCol w:w="863"/>
        <w:gridCol w:w="875"/>
      </w:tblGrid>
      <w:tr w:rsidR="007E2308" w:rsidRPr="00892DE3" w:rsidTr="0044350A">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47" w:type="dxa"/>
            <w:tcBorders>
              <w:bottom w:val="nil"/>
            </w:tcBorders>
            <w:shd w:val="clear" w:color="auto" w:fill="auto"/>
          </w:tcPr>
          <w:p w:rsidR="007E2308" w:rsidRPr="00892DE3" w:rsidRDefault="007E2308" w:rsidP="007E2308">
            <w:r w:rsidRPr="00892DE3">
              <w:t>Source reference</w:t>
            </w:r>
          </w:p>
        </w:tc>
        <w:tc>
          <w:tcPr>
            <w:tcW w:w="6530" w:type="dxa"/>
            <w:hideMark/>
          </w:tcPr>
          <w:p w:rsidR="007E2308" w:rsidRPr="00892DE3" w:rsidRDefault="007E2308" w:rsidP="007E2308">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63" w:type="dxa"/>
            <w:noWrap/>
            <w:hideMark/>
          </w:tcPr>
          <w:p w:rsidR="007E2308" w:rsidRPr="00892DE3" w:rsidRDefault="00DC55D4" w:rsidP="007E2308">
            <w:pPr>
              <w:cnfStyle w:val="100000000000" w:firstRow="1" w:lastRow="0" w:firstColumn="0" w:lastColumn="0" w:oddVBand="0" w:evenVBand="0" w:oddHBand="0" w:evenHBand="0" w:firstRowFirstColumn="0" w:firstRowLastColumn="0" w:lastRowFirstColumn="0" w:lastRowLastColumn="0"/>
            </w:pPr>
            <w:r w:rsidRPr="00892DE3">
              <w:t>2</w:t>
            </w:r>
            <w:r w:rsidR="00A06302" w:rsidRPr="00892DE3">
              <w:t>017</w:t>
            </w:r>
          </w:p>
        </w:tc>
        <w:tc>
          <w:tcPr>
            <w:tcW w:w="875" w:type="dxa"/>
            <w:noWrap/>
            <w:hideMark/>
          </w:tcPr>
          <w:p w:rsidR="007E2308" w:rsidRPr="00892DE3" w:rsidRDefault="00DC55D4" w:rsidP="007E2308">
            <w:pPr>
              <w:cnfStyle w:val="100000000000" w:firstRow="1" w:lastRow="0" w:firstColumn="0" w:lastColumn="0" w:oddVBand="0" w:evenVBand="0" w:oddHBand="0" w:evenHBand="0" w:firstRowFirstColumn="0" w:firstRowLastColumn="0" w:lastRowFirstColumn="0" w:lastRowLastColumn="0"/>
            </w:pPr>
            <w:r w:rsidRPr="00892DE3">
              <w:t>2</w:t>
            </w:r>
            <w:r w:rsidR="00A06302" w:rsidRPr="00892DE3">
              <w:t>016</w:t>
            </w:r>
          </w:p>
        </w:tc>
      </w:tr>
      <w:tr w:rsidR="007E2308"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47" w:type="dxa"/>
            <w:tcBorders>
              <w:bottom w:val="nil"/>
            </w:tcBorders>
            <w:shd w:val="clear" w:color="auto" w:fill="auto"/>
          </w:tcPr>
          <w:p w:rsidR="007E2308" w:rsidRPr="00892DE3" w:rsidRDefault="007E2308" w:rsidP="007E2308">
            <w:r w:rsidRPr="00892DE3">
              <w:t>AASB 118.35(b)(i)</w:t>
            </w:r>
          </w:p>
        </w:tc>
        <w:tc>
          <w:tcPr>
            <w:tcW w:w="6530" w:type="dxa"/>
            <w:hideMark/>
          </w:tcPr>
          <w:p w:rsidR="007E2308" w:rsidRPr="00892DE3" w:rsidRDefault="007E2308" w:rsidP="007E2308">
            <w:pPr>
              <w:jc w:val="left"/>
              <w:cnfStyle w:val="000000000000" w:firstRow="0" w:lastRow="0" w:firstColumn="0" w:lastColumn="0" w:oddVBand="0" w:evenVBand="0" w:oddHBand="0" w:evenHBand="0" w:firstRowFirstColumn="0" w:firstRowLastColumn="0" w:lastRowFirstColumn="0" w:lastRowLastColumn="0"/>
            </w:pPr>
            <w:r w:rsidRPr="00892DE3">
              <w:t>Sale of goods</w:t>
            </w:r>
          </w:p>
        </w:tc>
        <w:tc>
          <w:tcPr>
            <w:tcW w:w="863" w:type="dxa"/>
            <w:shd w:val="clear" w:color="auto" w:fill="EBEBEB" w:themeFill="background2"/>
            <w:noWrap/>
            <w:hideMark/>
          </w:tcPr>
          <w:p w:rsidR="007E2308" w:rsidRPr="00892DE3" w:rsidRDefault="007E2308" w:rsidP="007E2308">
            <w:pPr>
              <w:cnfStyle w:val="000000000000" w:firstRow="0" w:lastRow="0" w:firstColumn="0" w:lastColumn="0" w:oddVBand="0" w:evenVBand="0" w:oddHBand="0" w:evenHBand="0" w:firstRowFirstColumn="0" w:firstRowLastColumn="0" w:lastRowFirstColumn="0" w:lastRowLastColumn="0"/>
            </w:pPr>
            <w:r w:rsidRPr="00892DE3">
              <w:t>1 114</w:t>
            </w:r>
          </w:p>
        </w:tc>
        <w:tc>
          <w:tcPr>
            <w:tcW w:w="875" w:type="dxa"/>
            <w:noWrap/>
            <w:hideMark/>
          </w:tcPr>
          <w:p w:rsidR="007E2308" w:rsidRPr="00892DE3" w:rsidRDefault="00A06302" w:rsidP="007E2308">
            <w:pPr>
              <w:cnfStyle w:val="000000000000" w:firstRow="0" w:lastRow="0" w:firstColumn="0" w:lastColumn="0" w:oddVBand="0" w:evenVBand="0" w:oddHBand="0" w:evenHBand="0" w:firstRowFirstColumn="0" w:firstRowLastColumn="0" w:lastRowFirstColumn="0" w:lastRowLastColumn="0"/>
            </w:pPr>
            <w:r w:rsidRPr="00892DE3">
              <w:t>945</w:t>
            </w:r>
          </w:p>
        </w:tc>
      </w:tr>
      <w:tr w:rsidR="007E2308"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47" w:type="dxa"/>
            <w:tcBorders>
              <w:bottom w:val="nil"/>
            </w:tcBorders>
            <w:shd w:val="clear" w:color="auto" w:fill="auto"/>
          </w:tcPr>
          <w:p w:rsidR="007E2308" w:rsidRPr="00892DE3" w:rsidRDefault="007E2308" w:rsidP="007E2308"/>
        </w:tc>
        <w:tc>
          <w:tcPr>
            <w:tcW w:w="6530" w:type="dxa"/>
            <w:hideMark/>
          </w:tcPr>
          <w:p w:rsidR="007E2308" w:rsidRPr="00892DE3" w:rsidRDefault="007E2308" w:rsidP="007E2308">
            <w:pPr>
              <w:jc w:val="left"/>
              <w:cnfStyle w:val="000000000000" w:firstRow="0" w:lastRow="0" w:firstColumn="0" w:lastColumn="0" w:oddVBand="0" w:evenVBand="0" w:oddHBand="0" w:evenHBand="0" w:firstRowFirstColumn="0" w:firstRowLastColumn="0" w:lastRowFirstColumn="0" w:lastRowLastColumn="0"/>
            </w:pPr>
            <w:r w:rsidRPr="00892DE3">
              <w:t>Sale of biological assets</w:t>
            </w:r>
          </w:p>
        </w:tc>
        <w:tc>
          <w:tcPr>
            <w:tcW w:w="863" w:type="dxa"/>
            <w:shd w:val="clear" w:color="auto" w:fill="EBEBEB" w:themeFill="background2"/>
            <w:noWrap/>
            <w:hideMark/>
          </w:tcPr>
          <w:p w:rsidR="007E2308" w:rsidRPr="00892DE3" w:rsidRDefault="00A06302" w:rsidP="007E2308">
            <w:pPr>
              <w:cnfStyle w:val="000000000000" w:firstRow="0" w:lastRow="0" w:firstColumn="0" w:lastColumn="0" w:oddVBand="0" w:evenVBand="0" w:oddHBand="0" w:evenHBand="0" w:firstRowFirstColumn="0" w:firstRowLastColumn="0" w:lastRowFirstColumn="0" w:lastRowLastColumn="0"/>
            </w:pPr>
            <w:r w:rsidRPr="00892DE3">
              <w:t>215</w:t>
            </w:r>
          </w:p>
        </w:tc>
        <w:tc>
          <w:tcPr>
            <w:tcW w:w="875" w:type="dxa"/>
            <w:noWrap/>
            <w:hideMark/>
          </w:tcPr>
          <w:p w:rsidR="007E2308" w:rsidRPr="00892DE3" w:rsidRDefault="00A06302" w:rsidP="007E2308">
            <w:pPr>
              <w:cnfStyle w:val="000000000000" w:firstRow="0" w:lastRow="0" w:firstColumn="0" w:lastColumn="0" w:oddVBand="0" w:evenVBand="0" w:oddHBand="0" w:evenHBand="0" w:firstRowFirstColumn="0" w:firstRowLastColumn="0" w:lastRowFirstColumn="0" w:lastRowLastColumn="0"/>
            </w:pPr>
            <w:r w:rsidRPr="00892DE3">
              <w:t>..</w:t>
            </w:r>
          </w:p>
        </w:tc>
      </w:tr>
      <w:tr w:rsidR="007E2308"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47" w:type="dxa"/>
            <w:tcBorders>
              <w:bottom w:val="nil"/>
            </w:tcBorders>
            <w:shd w:val="clear" w:color="auto" w:fill="auto"/>
          </w:tcPr>
          <w:p w:rsidR="007E2308" w:rsidRPr="00892DE3" w:rsidRDefault="007E2308" w:rsidP="007E2308">
            <w:r w:rsidRPr="00892DE3">
              <w:t>AASB 118.35(b)(i)</w:t>
            </w:r>
          </w:p>
        </w:tc>
        <w:tc>
          <w:tcPr>
            <w:tcW w:w="6530" w:type="dxa"/>
            <w:tcBorders>
              <w:bottom w:val="single" w:sz="6" w:space="0" w:color="auto"/>
            </w:tcBorders>
            <w:hideMark/>
          </w:tcPr>
          <w:p w:rsidR="007E2308" w:rsidRPr="00892DE3" w:rsidRDefault="007E2308" w:rsidP="007E2308">
            <w:pPr>
              <w:jc w:val="left"/>
              <w:cnfStyle w:val="000000000000" w:firstRow="0" w:lastRow="0" w:firstColumn="0" w:lastColumn="0" w:oddVBand="0" w:evenVBand="0" w:oddHBand="0" w:evenHBand="0" w:firstRowFirstColumn="0" w:firstRowLastColumn="0" w:lastRowFirstColumn="0" w:lastRowLastColumn="0"/>
            </w:pPr>
            <w:r w:rsidRPr="00892DE3">
              <w:t>Rendering of services</w:t>
            </w:r>
          </w:p>
        </w:tc>
        <w:tc>
          <w:tcPr>
            <w:tcW w:w="863" w:type="dxa"/>
            <w:tcBorders>
              <w:bottom w:val="single" w:sz="6" w:space="0" w:color="auto"/>
            </w:tcBorders>
            <w:shd w:val="clear" w:color="auto" w:fill="EBEBEB" w:themeFill="background2"/>
            <w:noWrap/>
            <w:hideMark/>
          </w:tcPr>
          <w:p w:rsidR="007E2308" w:rsidRPr="00892DE3" w:rsidRDefault="00A06302" w:rsidP="007E2308">
            <w:pPr>
              <w:cnfStyle w:val="000000000000" w:firstRow="0" w:lastRow="0" w:firstColumn="0" w:lastColumn="0" w:oddVBand="0" w:evenVBand="0" w:oddHBand="0" w:evenHBand="0" w:firstRowFirstColumn="0" w:firstRowLastColumn="0" w:lastRowFirstColumn="0" w:lastRowLastColumn="0"/>
            </w:pPr>
            <w:r w:rsidRPr="00892DE3">
              <w:t>510</w:t>
            </w:r>
          </w:p>
        </w:tc>
        <w:tc>
          <w:tcPr>
            <w:tcW w:w="875" w:type="dxa"/>
            <w:tcBorders>
              <w:bottom w:val="single" w:sz="6" w:space="0" w:color="auto"/>
            </w:tcBorders>
            <w:noWrap/>
            <w:hideMark/>
          </w:tcPr>
          <w:p w:rsidR="007E2308" w:rsidRPr="00892DE3" w:rsidRDefault="00A06302" w:rsidP="007E2308">
            <w:pPr>
              <w:cnfStyle w:val="000000000000" w:firstRow="0" w:lastRow="0" w:firstColumn="0" w:lastColumn="0" w:oddVBand="0" w:evenVBand="0" w:oddHBand="0" w:evenHBand="0" w:firstRowFirstColumn="0" w:firstRowLastColumn="0" w:lastRowFirstColumn="0" w:lastRowLastColumn="0"/>
            </w:pPr>
            <w:r w:rsidRPr="00892DE3">
              <w:t>401</w:t>
            </w:r>
          </w:p>
        </w:tc>
      </w:tr>
      <w:tr w:rsidR="007E2308" w:rsidRPr="00892DE3" w:rsidTr="0044350A">
        <w:trPr>
          <w:cnfStyle w:val="010000000000" w:firstRow="0" w:lastRow="1" w:firstColumn="0" w:lastColumn="0" w:oddVBand="0" w:evenVBand="0" w:oddHBand="0" w:evenHBand="0" w:firstRowFirstColumn="0" w:firstRowLastColumn="0" w:lastRowFirstColumn="0" w:lastRowLastColumn="0"/>
          <w:trHeight w:val="66"/>
        </w:trPr>
        <w:tc>
          <w:tcPr>
            <w:cnfStyle w:val="001000000001" w:firstRow="0" w:lastRow="0" w:firstColumn="1" w:lastColumn="0" w:oddVBand="0" w:evenVBand="0" w:oddHBand="0" w:evenHBand="0" w:firstRowFirstColumn="0" w:firstRowLastColumn="0" w:lastRowFirstColumn="1" w:lastRowLastColumn="0"/>
            <w:tcW w:w="1447" w:type="dxa"/>
            <w:shd w:val="clear" w:color="auto" w:fill="auto"/>
          </w:tcPr>
          <w:p w:rsidR="007E2308" w:rsidRPr="00892DE3" w:rsidRDefault="007E2308" w:rsidP="007E2308"/>
        </w:tc>
        <w:tc>
          <w:tcPr>
            <w:tcW w:w="6530" w:type="dxa"/>
            <w:hideMark/>
          </w:tcPr>
          <w:p w:rsidR="007E2308" w:rsidRPr="00892DE3" w:rsidRDefault="007E2308" w:rsidP="007E2308">
            <w:pPr>
              <w:jc w:val="left"/>
              <w:cnfStyle w:val="010000000000" w:firstRow="0" w:lastRow="1" w:firstColumn="0" w:lastColumn="0" w:oddVBand="0" w:evenVBand="0" w:oddHBand="0" w:evenHBand="0" w:firstRowFirstColumn="0" w:firstRowLastColumn="0" w:lastRowFirstColumn="0" w:lastRowLastColumn="0"/>
            </w:pPr>
            <w:r w:rsidRPr="00892DE3">
              <w:t>Total sale of goods and services</w:t>
            </w:r>
          </w:p>
        </w:tc>
        <w:tc>
          <w:tcPr>
            <w:tcW w:w="863" w:type="dxa"/>
            <w:shd w:val="clear" w:color="auto" w:fill="EBEBEB" w:themeFill="background2"/>
            <w:noWrap/>
            <w:hideMark/>
          </w:tcPr>
          <w:p w:rsidR="007E2308" w:rsidRPr="00892DE3" w:rsidRDefault="007E2308" w:rsidP="007E2308">
            <w:pPr>
              <w:cnfStyle w:val="010000000000" w:firstRow="0" w:lastRow="1" w:firstColumn="0" w:lastColumn="0" w:oddVBand="0" w:evenVBand="0" w:oddHBand="0" w:evenHBand="0" w:firstRowFirstColumn="0" w:firstRowLastColumn="0" w:lastRowFirstColumn="0" w:lastRowLastColumn="0"/>
            </w:pPr>
            <w:r w:rsidRPr="00892DE3">
              <w:t>1 839</w:t>
            </w:r>
          </w:p>
        </w:tc>
        <w:tc>
          <w:tcPr>
            <w:tcW w:w="875" w:type="dxa"/>
            <w:noWrap/>
            <w:hideMark/>
          </w:tcPr>
          <w:p w:rsidR="007E2308" w:rsidRPr="00892DE3" w:rsidRDefault="007E2308" w:rsidP="007E2308">
            <w:pPr>
              <w:cnfStyle w:val="010000000000" w:firstRow="0" w:lastRow="1" w:firstColumn="0" w:lastColumn="0" w:oddVBand="0" w:evenVBand="0" w:oddHBand="0" w:evenHBand="0" w:firstRowFirstColumn="0" w:firstRowLastColumn="0" w:lastRowFirstColumn="0" w:lastRowLastColumn="0"/>
            </w:pPr>
            <w:r w:rsidRPr="00892DE3">
              <w:t>1 346</w:t>
            </w:r>
          </w:p>
        </w:tc>
      </w:tr>
    </w:tbl>
    <w:p w:rsidR="007E2308" w:rsidRPr="00892DE3" w:rsidRDefault="007E2308" w:rsidP="007E2308">
      <w:r w:rsidRPr="00892DE3">
        <w:t xml:space="preserve">Income from the </w:t>
      </w:r>
      <w:r w:rsidRPr="00892DE3">
        <w:rPr>
          <w:b/>
        </w:rPr>
        <w:t>sale of goods</w:t>
      </w:r>
      <w:r w:rsidRPr="00892DE3">
        <w:t xml:space="preserve"> is recognised when:</w:t>
      </w:r>
    </w:p>
    <w:p w:rsidR="007E2308" w:rsidRPr="00892DE3" w:rsidRDefault="007E2308" w:rsidP="007E2308">
      <w:pPr>
        <w:pStyle w:val="ListBullet"/>
      </w:pPr>
      <w:r w:rsidRPr="00892DE3">
        <w:t>the Department no longer has any of the significant risks and rewards of ownership of the goods transferred to the buyer;</w:t>
      </w:r>
    </w:p>
    <w:p w:rsidR="007E2308" w:rsidRPr="00892DE3" w:rsidRDefault="007E2308" w:rsidP="007E2308">
      <w:pPr>
        <w:pStyle w:val="ListBullet"/>
      </w:pPr>
      <w:r w:rsidRPr="00892DE3">
        <w:t>the Department no longer has continuing managerial involvement to the degree usually associated with ownership, nor effective control over the goods sold;</w:t>
      </w:r>
    </w:p>
    <w:p w:rsidR="007E2308" w:rsidRPr="00892DE3" w:rsidRDefault="007E2308" w:rsidP="007E2308">
      <w:pPr>
        <w:pStyle w:val="ListBullet"/>
      </w:pPr>
      <w:r w:rsidRPr="00892DE3">
        <w:t>the amount of income, and the costs incurred or to be incurred in respect of the transactions, can be reliably measured; and</w:t>
      </w:r>
    </w:p>
    <w:p w:rsidR="007E2308" w:rsidRPr="00892DE3" w:rsidRDefault="007E2308" w:rsidP="007E2308">
      <w:pPr>
        <w:pStyle w:val="ListBullet"/>
      </w:pPr>
      <w:r w:rsidRPr="00892DE3">
        <w:t xml:space="preserve">it is probable that the economic benefits associated with the transaction will flow to the Department. </w:t>
      </w:r>
      <w:r w:rsidRPr="00892DE3">
        <w:rPr>
          <w:rStyle w:val="SourceReference"/>
        </w:rPr>
        <w:t>[AASB 118.14,20]</w:t>
      </w:r>
    </w:p>
    <w:p w:rsidR="007E2308" w:rsidRPr="00892DE3" w:rsidRDefault="007E2308" w:rsidP="007E2308">
      <w:r w:rsidRPr="00892DE3">
        <w:t>Regulatory fees are recognised at the time of billing.</w:t>
      </w:r>
    </w:p>
    <w:p w:rsidR="007E2308" w:rsidRPr="00892DE3" w:rsidRDefault="007E2308" w:rsidP="007E2308">
      <w:r w:rsidRPr="00892DE3">
        <w:t xml:space="preserve">Income from the </w:t>
      </w:r>
      <w:r w:rsidRPr="00892DE3">
        <w:rPr>
          <w:b/>
        </w:rPr>
        <w:t>supply of services</w:t>
      </w:r>
      <w:r w:rsidRPr="00892DE3">
        <w:t xml:space="preserve"> is recognised by reference to the stage of completion of the services being performed. The income is recognised when:</w:t>
      </w:r>
    </w:p>
    <w:p w:rsidR="007E2308" w:rsidRPr="00892DE3" w:rsidRDefault="007E2308" w:rsidP="007E2308">
      <w:pPr>
        <w:pStyle w:val="ListBullet"/>
      </w:pPr>
      <w:r w:rsidRPr="00892DE3">
        <w:t>the amount of the income, stage of completion and transaction costs incurred can be reliably measured; and</w:t>
      </w:r>
    </w:p>
    <w:p w:rsidR="007E2308" w:rsidRPr="00892DE3" w:rsidRDefault="007E2308" w:rsidP="007E2308">
      <w:pPr>
        <w:pStyle w:val="ListBullet"/>
      </w:pPr>
      <w:r w:rsidRPr="00892DE3">
        <w:t>it is probable that the economic benefits associated with the transaction will flow to the Department.</w:t>
      </w:r>
    </w:p>
    <w:p w:rsidR="007E2308" w:rsidRPr="00892DE3" w:rsidRDefault="007E2308" w:rsidP="007E2308">
      <w:r w:rsidRPr="00892DE3">
        <w:t>Under this method, income is recognised by reference to labour hours supplied or to labour hours supplied as a percentage of total services to be performed in each annual reporting period.</w:t>
      </w:r>
    </w:p>
    <w:p w:rsidR="007E2308" w:rsidRPr="00892DE3" w:rsidRDefault="007E2308" w:rsidP="00D31BB8">
      <w:pPr>
        <w:pStyle w:val="Heading3"/>
      </w:pPr>
      <w:r w:rsidRPr="00892DE3">
        <w:t>Grants</w:t>
      </w:r>
    </w:p>
    <w:p w:rsidR="006F16D1" w:rsidRPr="00892DE3" w:rsidRDefault="007E2308" w:rsidP="00217B71">
      <w:pPr>
        <w:pStyle w:val="TableUnits"/>
      </w:pPr>
      <w:r w:rsidRPr="00892DE3">
        <w:t>($ thousand)</w:t>
      </w:r>
    </w:p>
    <w:tbl>
      <w:tblPr>
        <w:tblStyle w:val="ModelReportFinancialTable"/>
        <w:tblW w:w="0" w:type="auto"/>
        <w:tblLayout w:type="fixed"/>
        <w:tblLook w:val="06A0" w:firstRow="1" w:lastRow="0" w:firstColumn="1" w:lastColumn="0" w:noHBand="1" w:noVBand="1"/>
      </w:tblPr>
      <w:tblGrid>
        <w:gridCol w:w="1469"/>
        <w:gridCol w:w="6480"/>
        <w:gridCol w:w="863"/>
        <w:gridCol w:w="875"/>
      </w:tblGrid>
      <w:tr w:rsidR="0067041F" w:rsidRPr="00892DE3" w:rsidTr="0044350A">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69" w:type="dxa"/>
            <w:tcBorders>
              <w:bottom w:val="nil"/>
            </w:tcBorders>
            <w:shd w:val="clear" w:color="auto" w:fill="auto"/>
          </w:tcPr>
          <w:p w:rsidR="0067041F" w:rsidRPr="00892DE3" w:rsidRDefault="0067041F" w:rsidP="0067041F">
            <w:r w:rsidRPr="00892DE3">
              <w:t>Source reference</w:t>
            </w:r>
          </w:p>
        </w:tc>
        <w:tc>
          <w:tcPr>
            <w:tcW w:w="6480" w:type="dxa"/>
            <w:hideMark/>
          </w:tcPr>
          <w:p w:rsidR="0067041F" w:rsidRPr="00892DE3" w:rsidRDefault="0067041F" w:rsidP="0067041F">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63" w:type="dxa"/>
            <w:noWrap/>
            <w:hideMark/>
          </w:tcPr>
          <w:p w:rsidR="0067041F" w:rsidRPr="00892DE3" w:rsidRDefault="00A06302" w:rsidP="00A06302">
            <w:pPr>
              <w:cnfStyle w:val="100000000000" w:firstRow="1" w:lastRow="0" w:firstColumn="0" w:lastColumn="0" w:oddVBand="0" w:evenVBand="0" w:oddHBand="0" w:evenHBand="0" w:firstRowFirstColumn="0" w:firstRowLastColumn="0" w:lastRowFirstColumn="0" w:lastRowLastColumn="0"/>
            </w:pPr>
            <w:r w:rsidRPr="00892DE3">
              <w:t>2017</w:t>
            </w:r>
          </w:p>
        </w:tc>
        <w:tc>
          <w:tcPr>
            <w:tcW w:w="875" w:type="dxa"/>
            <w:noWrap/>
            <w:hideMark/>
          </w:tcPr>
          <w:p w:rsidR="0067041F" w:rsidRPr="00892DE3" w:rsidRDefault="00A06302" w:rsidP="00A06302">
            <w:pPr>
              <w:cnfStyle w:val="100000000000" w:firstRow="1" w:lastRow="0" w:firstColumn="0" w:lastColumn="0" w:oddVBand="0" w:evenVBand="0" w:oddHBand="0" w:evenHBand="0" w:firstRowFirstColumn="0" w:firstRowLastColumn="0" w:lastRowFirstColumn="0" w:lastRowLastColumn="0"/>
            </w:pPr>
            <w:r w:rsidRPr="00892DE3">
              <w:t>2016</w:t>
            </w:r>
          </w:p>
        </w:tc>
      </w:tr>
      <w:tr w:rsidR="0067041F"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r w:rsidRPr="00892DE3">
              <w:t>AASB 1004.60</w:t>
            </w:r>
          </w:p>
        </w:tc>
        <w:tc>
          <w:tcPr>
            <w:tcW w:w="6480" w:type="dxa"/>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General purpose</w:t>
            </w:r>
          </w:p>
        </w:tc>
        <w:tc>
          <w:tcPr>
            <w:tcW w:w="863" w:type="dxa"/>
            <w:shd w:val="clear" w:color="auto" w:fill="EBEBEB" w:themeFill="background2"/>
            <w:noWrap/>
            <w:hideMark/>
          </w:tcPr>
          <w:p w:rsidR="0067041F" w:rsidRPr="00892DE3" w:rsidRDefault="00A06302" w:rsidP="00450E27">
            <w:pPr>
              <w:cnfStyle w:val="000000000000" w:firstRow="0" w:lastRow="0" w:firstColumn="0" w:lastColumn="0" w:oddVBand="0" w:evenVBand="0" w:oddHBand="0" w:evenHBand="0" w:firstRowFirstColumn="0" w:firstRowLastColumn="0" w:lastRowFirstColumn="0" w:lastRowLastColumn="0"/>
            </w:pPr>
            <w:r w:rsidRPr="00892DE3">
              <w:t>125</w:t>
            </w:r>
          </w:p>
        </w:tc>
        <w:tc>
          <w:tcPr>
            <w:tcW w:w="875" w:type="dxa"/>
            <w:noWrap/>
            <w:hideMark/>
          </w:tcPr>
          <w:p w:rsidR="0067041F" w:rsidRPr="00892DE3" w:rsidRDefault="00A06302" w:rsidP="00450E27">
            <w:pPr>
              <w:cnfStyle w:val="000000000000" w:firstRow="0" w:lastRow="0" w:firstColumn="0" w:lastColumn="0" w:oddVBand="0" w:evenVBand="0" w:oddHBand="0" w:evenHBand="0" w:firstRowFirstColumn="0" w:firstRowLastColumn="0" w:lastRowFirstColumn="0" w:lastRowLastColumn="0"/>
            </w:pPr>
            <w:r w:rsidRPr="00892DE3">
              <w:t>121</w:t>
            </w:r>
          </w:p>
        </w:tc>
      </w:tr>
      <w:tr w:rsidR="0067041F"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r w:rsidRPr="00892DE3">
              <w:t>AASB 1004.60</w:t>
            </w:r>
          </w:p>
        </w:tc>
        <w:tc>
          <w:tcPr>
            <w:tcW w:w="6480" w:type="dxa"/>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Specific purpose grants for on</w:t>
            </w:r>
            <w:r w:rsidRPr="00892DE3">
              <w:noBreakHyphen/>
              <w:t>passing</w:t>
            </w:r>
          </w:p>
        </w:tc>
        <w:tc>
          <w:tcPr>
            <w:tcW w:w="863" w:type="dxa"/>
            <w:shd w:val="clear" w:color="auto" w:fill="EBEBEB" w:themeFill="background2"/>
            <w:noWrap/>
            <w:hideMark/>
          </w:tcPr>
          <w:p w:rsidR="0067041F" w:rsidRPr="00892DE3" w:rsidRDefault="00A06302" w:rsidP="00450E27">
            <w:pPr>
              <w:cnfStyle w:val="000000000000" w:firstRow="0" w:lastRow="0" w:firstColumn="0" w:lastColumn="0" w:oddVBand="0" w:evenVBand="0" w:oddHBand="0" w:evenHBand="0" w:firstRowFirstColumn="0" w:firstRowLastColumn="0" w:lastRowFirstColumn="0" w:lastRowLastColumn="0"/>
            </w:pPr>
            <w:r w:rsidRPr="00892DE3">
              <w:t>128</w:t>
            </w:r>
          </w:p>
        </w:tc>
        <w:tc>
          <w:tcPr>
            <w:tcW w:w="875" w:type="dxa"/>
            <w:noWrap/>
            <w:hideMark/>
          </w:tcPr>
          <w:p w:rsidR="0067041F" w:rsidRPr="00892DE3" w:rsidRDefault="00A06302" w:rsidP="00450E27">
            <w:pPr>
              <w:cnfStyle w:val="000000000000" w:firstRow="0" w:lastRow="0" w:firstColumn="0" w:lastColumn="0" w:oddVBand="0" w:evenVBand="0" w:oddHBand="0" w:evenHBand="0" w:firstRowFirstColumn="0" w:firstRowLastColumn="0" w:lastRowFirstColumn="0" w:lastRowLastColumn="0"/>
            </w:pPr>
            <w:r w:rsidRPr="00892DE3">
              <w:t>..</w:t>
            </w:r>
          </w:p>
        </w:tc>
      </w:tr>
      <w:tr w:rsidR="0067041F"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r w:rsidRPr="00892DE3">
              <w:t>AASB 1004.60</w:t>
            </w:r>
          </w:p>
        </w:tc>
        <w:tc>
          <w:tcPr>
            <w:tcW w:w="6480" w:type="dxa"/>
            <w:tcBorders>
              <w:bottom w:val="single" w:sz="4" w:space="0" w:color="auto"/>
            </w:tcBorders>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Other specific purpose</w:t>
            </w:r>
          </w:p>
        </w:tc>
        <w:tc>
          <w:tcPr>
            <w:tcW w:w="863" w:type="dxa"/>
            <w:tcBorders>
              <w:bottom w:val="single" w:sz="4" w:space="0" w:color="auto"/>
            </w:tcBorders>
            <w:shd w:val="clear" w:color="auto" w:fill="EBEBEB" w:themeFill="background2"/>
            <w:noWrap/>
            <w:hideMark/>
          </w:tcPr>
          <w:p w:rsidR="0067041F" w:rsidRPr="00892DE3" w:rsidRDefault="00A06302" w:rsidP="00450E27">
            <w:pPr>
              <w:cnfStyle w:val="000000000000" w:firstRow="0" w:lastRow="0" w:firstColumn="0" w:lastColumn="0" w:oddVBand="0" w:evenVBand="0" w:oddHBand="0" w:evenHBand="0" w:firstRowFirstColumn="0" w:firstRowLastColumn="0" w:lastRowFirstColumn="0" w:lastRowLastColumn="0"/>
            </w:pPr>
            <w:r w:rsidRPr="00892DE3">
              <w:t>53</w:t>
            </w:r>
          </w:p>
        </w:tc>
        <w:tc>
          <w:tcPr>
            <w:tcW w:w="875" w:type="dxa"/>
            <w:tcBorders>
              <w:bottom w:val="single" w:sz="4" w:space="0" w:color="auto"/>
            </w:tcBorders>
            <w:noWrap/>
            <w:hideMark/>
          </w:tcPr>
          <w:p w:rsidR="0067041F" w:rsidRPr="00892DE3" w:rsidRDefault="00A06302" w:rsidP="00450E27">
            <w:pPr>
              <w:cnfStyle w:val="000000000000" w:firstRow="0" w:lastRow="0" w:firstColumn="0" w:lastColumn="0" w:oddVBand="0" w:evenVBand="0" w:oddHBand="0" w:evenHBand="0" w:firstRowFirstColumn="0" w:firstRowLastColumn="0" w:lastRowFirstColumn="0" w:lastRowLastColumn="0"/>
            </w:pPr>
            <w:r w:rsidRPr="00892DE3">
              <w:t>19</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tc>
        <w:tc>
          <w:tcPr>
            <w:tcW w:w="6480" w:type="dxa"/>
            <w:tcBorders>
              <w:top w:val="single" w:sz="4" w:space="0" w:color="auto"/>
              <w:bottom w:val="single" w:sz="12" w:space="0" w:color="auto"/>
            </w:tcBorders>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grants</w:t>
            </w:r>
          </w:p>
        </w:tc>
        <w:tc>
          <w:tcPr>
            <w:tcW w:w="863" w:type="dxa"/>
            <w:tcBorders>
              <w:top w:val="single" w:sz="4" w:space="0" w:color="auto"/>
              <w:bottom w:val="single" w:sz="12" w:space="0" w:color="auto"/>
            </w:tcBorders>
            <w:shd w:val="clear" w:color="auto" w:fill="EBEBEB" w:themeFill="background2"/>
            <w:noWrap/>
            <w:hideMark/>
          </w:tcPr>
          <w:p w:rsidR="0067041F" w:rsidRPr="00892DE3" w:rsidRDefault="00A06302" w:rsidP="00450E27">
            <w:pPr>
              <w:cnfStyle w:val="000000000000" w:firstRow="0" w:lastRow="0" w:firstColumn="0" w:lastColumn="0" w:oddVBand="0" w:evenVBand="0" w:oddHBand="0" w:evenHBand="0" w:firstRowFirstColumn="0" w:firstRowLastColumn="0" w:lastRowFirstColumn="0" w:lastRowLastColumn="0"/>
              <w:rPr>
                <w:b/>
              </w:rPr>
            </w:pPr>
            <w:r w:rsidRPr="00892DE3">
              <w:rPr>
                <w:b/>
              </w:rPr>
              <w:t>306</w:t>
            </w:r>
          </w:p>
        </w:tc>
        <w:tc>
          <w:tcPr>
            <w:tcW w:w="875" w:type="dxa"/>
            <w:tcBorders>
              <w:top w:val="single" w:sz="4" w:space="0" w:color="auto"/>
              <w:bottom w:val="single" w:sz="12" w:space="0" w:color="auto"/>
            </w:tcBorders>
            <w:noWrap/>
            <w:hideMark/>
          </w:tcPr>
          <w:p w:rsidR="0067041F" w:rsidRPr="00892DE3" w:rsidRDefault="00A06302" w:rsidP="00450E27">
            <w:pPr>
              <w:cnfStyle w:val="000000000000" w:firstRow="0" w:lastRow="0" w:firstColumn="0" w:lastColumn="0" w:oddVBand="0" w:evenVBand="0" w:oddHBand="0" w:evenHBand="0" w:firstRowFirstColumn="0" w:firstRowLastColumn="0" w:lastRowFirstColumn="0" w:lastRowLastColumn="0"/>
              <w:rPr>
                <w:b/>
              </w:rPr>
            </w:pPr>
            <w:r w:rsidRPr="00892DE3">
              <w:rPr>
                <w:b/>
              </w:rPr>
              <w:t>140</w:t>
            </w:r>
          </w:p>
        </w:tc>
      </w:tr>
    </w:tbl>
    <w:p w:rsidR="0067041F" w:rsidRPr="00892DE3" w:rsidRDefault="0067041F" w:rsidP="0067041F">
      <w:r w:rsidRPr="00892DE3">
        <w:rPr>
          <w:b/>
        </w:rPr>
        <w:t>Grant income</w:t>
      </w:r>
      <w:r w:rsidRPr="00892DE3">
        <w:t xml:space="preserve"> arises from transactions in which a party provides goods or assets (or extinguishes a liability) to the Department without receiving approximately equal value in return. 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 For non-reciprocal grants, the Department recognises revenue when the grant is receivable or received.</w:t>
      </w:r>
    </w:p>
    <w:p w:rsidR="0067041F" w:rsidRPr="00892DE3" w:rsidRDefault="0067041F" w:rsidP="0067041F">
      <w:r w:rsidRPr="00892DE3">
        <w:t xml:space="preserve">Grants can be received as </w:t>
      </w:r>
      <w:r w:rsidRPr="00892DE3">
        <w:rPr>
          <w:b/>
        </w:rPr>
        <w:t>general purpose grants</w:t>
      </w:r>
      <w:r w:rsidR="004A3F79" w:rsidRPr="00892DE3">
        <w:rPr>
          <w:b/>
        </w:rPr>
        <w:t>,</w:t>
      </w:r>
      <w:r w:rsidRPr="00892DE3">
        <w:t xml:space="preserve"> which refers to grants which are not subject to conditions regarding their use. Alternatively, they may be received as </w:t>
      </w:r>
      <w:r w:rsidRPr="00892DE3">
        <w:rPr>
          <w:b/>
        </w:rPr>
        <w:t>specific purpose grants</w:t>
      </w:r>
      <w:r w:rsidR="004A3F79" w:rsidRPr="00892DE3">
        <w:rPr>
          <w:b/>
        </w:rPr>
        <w:t>,</w:t>
      </w:r>
      <w:r w:rsidRPr="00892DE3">
        <w:t xml:space="preserve"> which are paid for a particular purpose and/or have conditions attached regarding their use.</w:t>
      </w:r>
    </w:p>
    <w:p w:rsidR="0067041F" w:rsidRPr="00892DE3" w:rsidRDefault="0067041F" w:rsidP="0067041F">
      <w:r w:rsidRPr="00892DE3">
        <w:rPr>
          <w:b/>
        </w:rPr>
        <w:t>Grants for on passing</w:t>
      </w:r>
      <w:r w:rsidRPr="00892DE3">
        <w:t xml:space="preserve"> are grants paid to one institutional sector (e.g. a state based general government entity) to be passed on to another institutional sector (e.g. local government or a private non-profit institution).</w:t>
      </w:r>
    </w:p>
    <w:p w:rsidR="0067041F" w:rsidRPr="00892DE3" w:rsidRDefault="0067041F" w:rsidP="0067041F">
      <w:r w:rsidRPr="00892DE3">
        <w:t xml:space="preserve">Some grants are </w:t>
      </w:r>
      <w:r w:rsidRPr="00892DE3">
        <w:rPr>
          <w:b/>
        </w:rPr>
        <w:t>reciprocal</w:t>
      </w:r>
      <w:r w:rsidRPr="00892DE3">
        <w:t xml:space="preserve"> in nature (i.e. equal value is given back by the recipient of the grant to the provider). </w:t>
      </w:r>
      <w:r w:rsidR="00547E22" w:rsidRPr="00892DE3">
        <w:br/>
      </w:r>
      <w:r w:rsidRPr="00892DE3">
        <w:t xml:space="preserve">The Department recognises income when it has satisfied its performance obligations under the terms of the grant. </w:t>
      </w:r>
      <w:r w:rsidRPr="00892DE3">
        <w:rPr>
          <w:rStyle w:val="SourceReference"/>
        </w:rPr>
        <w:t>[AASB</w:t>
      </w:r>
      <w:r w:rsidR="00547E22" w:rsidRPr="00892DE3">
        <w:rPr>
          <w:rStyle w:val="SourceReference"/>
        </w:rPr>
        <w:t> </w:t>
      </w:r>
      <w:r w:rsidRPr="00892DE3">
        <w:rPr>
          <w:rStyle w:val="SourceReference"/>
        </w:rPr>
        <w:t>1004]</w:t>
      </w:r>
    </w:p>
    <w:p w:rsidR="0067041F" w:rsidRPr="00892DE3" w:rsidRDefault="0067041F" w:rsidP="0067041F">
      <w:pPr>
        <w:pStyle w:val="HighlightBoxHeading"/>
      </w:pPr>
      <w:r w:rsidRPr="00892DE3">
        <w:t xml:space="preserve">Example policy note disclosure for a for profit entity </w:t>
      </w:r>
      <w:r w:rsidRPr="00892DE3">
        <w:rPr>
          <w:rStyle w:val="SourceReference"/>
        </w:rPr>
        <w:t>[AASB 120.12]</w:t>
      </w:r>
    </w:p>
    <w:p w:rsidR="0067041F" w:rsidRPr="00892DE3" w:rsidRDefault="0067041F" w:rsidP="0067041F">
      <w:pPr>
        <w:pStyle w:val="HighlightBoxText"/>
      </w:pPr>
      <w:r w:rsidRPr="00892DE3">
        <w:t>‘Government grants relating to [describe income item to which the grant relates] are recognised as income over the periods necessary to match them with the related costs.</w:t>
      </w:r>
    </w:p>
    <w:p w:rsidR="0067041F" w:rsidRPr="00892DE3" w:rsidRDefault="0067041F" w:rsidP="0067041F">
      <w:pPr>
        <w:pStyle w:val="HighlightBoxText"/>
      </w:pPr>
      <w:r w:rsidRPr="00892DE3">
        <w:t>Government grants relating to [describe the asset item to which the grant relates] are treated as deferred income and released to the net result over the expected useful lives of the assets concerned.’</w:t>
      </w:r>
    </w:p>
    <w:p w:rsidR="0067041F" w:rsidRPr="00892DE3" w:rsidRDefault="0067041F" w:rsidP="0067041F">
      <w:pPr>
        <w:pStyle w:val="HighlightBoxText"/>
      </w:pPr>
      <w:r w:rsidRPr="00892DE3">
        <w:t>This treatment under AASB 120 Accounting for Government Grants and Disclosure of Government Assistance d</w:t>
      </w:r>
      <w:r w:rsidR="004A3F79" w:rsidRPr="00892DE3">
        <w:t>iffers from that applied by not-</w:t>
      </w:r>
      <w:r w:rsidRPr="00892DE3">
        <w:t>for</w:t>
      </w:r>
      <w:r w:rsidR="004A3F79" w:rsidRPr="00892DE3">
        <w:t>-</w:t>
      </w:r>
      <w:r w:rsidRPr="00892DE3">
        <w:t>profit entities, which are required to follow AASB 1004 Contributions.</w:t>
      </w:r>
    </w:p>
    <w:p w:rsidR="0067041F" w:rsidRPr="00892DE3" w:rsidRDefault="0067041F">
      <w:pPr>
        <w:keepLines w:val="0"/>
        <w:rPr>
          <w:rFonts w:asciiTheme="majorHAnsi" w:eastAsiaTheme="majorEastAsia" w:hAnsiTheme="majorHAnsi" w:cstheme="majorBidi"/>
          <w:b/>
          <w:bCs/>
          <w:spacing w:val="-2"/>
          <w:sz w:val="22"/>
          <w:szCs w:val="26"/>
        </w:rPr>
      </w:pPr>
      <w:r w:rsidRPr="00892DE3">
        <w:br w:type="page"/>
      </w:r>
    </w:p>
    <w:p w:rsidR="0067041F" w:rsidRPr="00892DE3" w:rsidRDefault="0067041F" w:rsidP="00D31BB8">
      <w:pPr>
        <w:pStyle w:val="Heading3"/>
      </w:pPr>
      <w:r w:rsidRPr="00892DE3">
        <w:lastRenderedPageBreak/>
        <w:t>Fair value of assets and services received free of charge or for nominal consideration</w:t>
      </w:r>
    </w:p>
    <w:p w:rsidR="0067041F" w:rsidRPr="00892DE3" w:rsidRDefault="0067041F" w:rsidP="0067041F">
      <w:pPr>
        <w:pStyle w:val="TableUnits"/>
      </w:pPr>
      <w:r w:rsidRPr="00892DE3">
        <w:t>($ thousand)</w:t>
      </w:r>
    </w:p>
    <w:tbl>
      <w:tblPr>
        <w:tblStyle w:val="ModelReportFinancialTable"/>
        <w:tblW w:w="9706" w:type="dxa"/>
        <w:tblLayout w:type="fixed"/>
        <w:tblLook w:val="06A0" w:firstRow="1" w:lastRow="0" w:firstColumn="1" w:lastColumn="0" w:noHBand="1" w:noVBand="1"/>
      </w:tblPr>
      <w:tblGrid>
        <w:gridCol w:w="1468"/>
        <w:gridCol w:w="6779"/>
        <w:gridCol w:w="729"/>
        <w:gridCol w:w="730"/>
      </w:tblGrid>
      <w:tr w:rsidR="0067041F" w:rsidRPr="00892DE3" w:rsidTr="0044350A">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68" w:type="dxa"/>
            <w:tcBorders>
              <w:bottom w:val="nil"/>
            </w:tcBorders>
            <w:shd w:val="clear" w:color="auto" w:fill="auto"/>
          </w:tcPr>
          <w:p w:rsidR="0067041F" w:rsidRPr="00892DE3" w:rsidRDefault="0067041F" w:rsidP="00722FAC">
            <w:pPr>
              <w:ind w:left="170" w:hanging="170"/>
            </w:pPr>
            <w:r w:rsidRPr="00892DE3">
              <w:t>Source reference</w:t>
            </w:r>
          </w:p>
        </w:tc>
        <w:tc>
          <w:tcPr>
            <w:tcW w:w="6779" w:type="dxa"/>
            <w:hideMark/>
          </w:tcPr>
          <w:p w:rsidR="0067041F" w:rsidRPr="00892DE3" w:rsidRDefault="0067041F" w:rsidP="00722FAC">
            <w:pPr>
              <w:ind w:left="170" w:hanging="170"/>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729" w:type="dxa"/>
            <w:noWrap/>
            <w:hideMark/>
          </w:tcPr>
          <w:p w:rsidR="0067041F" w:rsidRPr="00892DE3" w:rsidRDefault="0067041F" w:rsidP="00722FAC">
            <w:pPr>
              <w:ind w:left="170" w:hanging="170"/>
              <w:cnfStyle w:val="100000000000" w:firstRow="1" w:lastRow="0" w:firstColumn="0" w:lastColumn="0" w:oddVBand="0" w:evenVBand="0" w:oddHBand="0" w:evenHBand="0" w:firstRowFirstColumn="0" w:firstRowLastColumn="0" w:lastRowFirstColumn="0" w:lastRowLastColumn="0"/>
            </w:pPr>
            <w:r w:rsidRPr="00892DE3">
              <w:t>2017</w:t>
            </w:r>
          </w:p>
        </w:tc>
        <w:tc>
          <w:tcPr>
            <w:tcW w:w="730" w:type="dxa"/>
            <w:noWrap/>
            <w:hideMark/>
          </w:tcPr>
          <w:p w:rsidR="0067041F" w:rsidRPr="00892DE3" w:rsidRDefault="0067041F" w:rsidP="00722FAC">
            <w:pPr>
              <w:ind w:left="170" w:hanging="170"/>
              <w:cnfStyle w:val="100000000000" w:firstRow="1" w:lastRow="0" w:firstColumn="0" w:lastColumn="0" w:oddVBand="0" w:evenVBand="0" w:oddHBand="0" w:evenHBand="0" w:firstRowFirstColumn="0" w:firstRowLastColumn="0" w:lastRowFirstColumn="0" w:lastRowLastColumn="0"/>
            </w:pPr>
            <w:r w:rsidRPr="00892DE3">
              <w:t>2016</w:t>
            </w:r>
          </w:p>
        </w:tc>
      </w:tr>
      <w:tr w:rsidR="0067041F"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67041F" w:rsidRPr="00892DE3" w:rsidRDefault="0067041F" w:rsidP="00722FAC">
            <w:pPr>
              <w:ind w:left="170" w:hanging="170"/>
            </w:pPr>
          </w:p>
        </w:tc>
        <w:tc>
          <w:tcPr>
            <w:tcW w:w="6779" w:type="dxa"/>
            <w:hideMark/>
          </w:tcPr>
          <w:p w:rsidR="0067041F" w:rsidRPr="00892DE3" w:rsidRDefault="0067041F" w:rsidP="00722FAC">
            <w:pPr>
              <w:ind w:left="170" w:hanging="170"/>
              <w:jc w:val="left"/>
              <w:cnfStyle w:val="000000000000" w:firstRow="0" w:lastRow="0" w:firstColumn="0" w:lastColumn="0" w:oddVBand="0" w:evenVBand="0" w:oddHBand="0" w:evenHBand="0" w:firstRowFirstColumn="0" w:firstRowLastColumn="0" w:lastRowFirstColumn="0" w:lastRowLastColumn="0"/>
              <w:rPr>
                <w:i/>
              </w:rPr>
            </w:pPr>
            <w:r w:rsidRPr="00892DE3">
              <w:rPr>
                <w:b/>
              </w:rPr>
              <w:t>Assets</w:t>
            </w:r>
          </w:p>
        </w:tc>
        <w:tc>
          <w:tcPr>
            <w:tcW w:w="729" w:type="dxa"/>
            <w:shd w:val="clear" w:color="auto" w:fill="EBEBEB" w:themeFill="background2"/>
            <w:noWrap/>
            <w:hideMark/>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30" w:type="dxa"/>
            <w:noWrap/>
            <w:hideMark/>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67041F"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67041F" w:rsidRPr="00892DE3" w:rsidRDefault="0067041F" w:rsidP="00722FAC">
            <w:pPr>
              <w:ind w:left="170" w:hanging="170"/>
            </w:pPr>
          </w:p>
        </w:tc>
        <w:tc>
          <w:tcPr>
            <w:tcW w:w="6779" w:type="dxa"/>
            <w:hideMark/>
          </w:tcPr>
          <w:p w:rsidR="0067041F" w:rsidRPr="00892DE3" w:rsidRDefault="0067041F" w:rsidP="00722FAC">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donations and gifts</w:t>
            </w:r>
          </w:p>
        </w:tc>
        <w:tc>
          <w:tcPr>
            <w:tcW w:w="729" w:type="dxa"/>
            <w:shd w:val="clear" w:color="auto" w:fill="EBEBEB" w:themeFill="background2"/>
            <w:noWrap/>
            <w:hideMark/>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1 023</w:t>
            </w:r>
          </w:p>
        </w:tc>
        <w:tc>
          <w:tcPr>
            <w:tcW w:w="730" w:type="dxa"/>
            <w:noWrap/>
            <w:hideMark/>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790</w:t>
            </w:r>
          </w:p>
        </w:tc>
      </w:tr>
      <w:tr w:rsidR="0067041F"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67041F" w:rsidRPr="00892DE3" w:rsidRDefault="0067041F" w:rsidP="00722FAC">
            <w:pPr>
              <w:ind w:left="170" w:hanging="170"/>
            </w:pPr>
          </w:p>
        </w:tc>
        <w:tc>
          <w:tcPr>
            <w:tcW w:w="6779" w:type="dxa"/>
            <w:hideMark/>
          </w:tcPr>
          <w:p w:rsidR="0067041F" w:rsidRPr="00892DE3" w:rsidRDefault="0067041F" w:rsidP="00722FAC">
            <w:pPr>
              <w:ind w:left="170" w:hanging="170"/>
              <w:jc w:val="left"/>
              <w:cnfStyle w:val="000000000000" w:firstRow="0" w:lastRow="0" w:firstColumn="0" w:lastColumn="0" w:oddVBand="0" w:evenVBand="0" w:oddHBand="0" w:evenHBand="0" w:firstRowFirstColumn="0" w:firstRowLastColumn="0" w:lastRowFirstColumn="0" w:lastRowLastColumn="0"/>
            </w:pPr>
            <w:r w:rsidRPr="00892DE3">
              <w:t>Plant and equipment</w:t>
            </w:r>
          </w:p>
        </w:tc>
        <w:tc>
          <w:tcPr>
            <w:tcW w:w="729" w:type="dxa"/>
            <w:shd w:val="clear" w:color="auto" w:fill="EBEBEB" w:themeFill="background2"/>
            <w:noWrap/>
            <w:hideMark/>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33</w:t>
            </w:r>
          </w:p>
        </w:tc>
        <w:tc>
          <w:tcPr>
            <w:tcW w:w="730" w:type="dxa"/>
            <w:noWrap/>
            <w:hideMark/>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16</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67041F" w:rsidRPr="00892DE3" w:rsidRDefault="0067041F" w:rsidP="00722FAC">
            <w:pPr>
              <w:ind w:left="170" w:hanging="170"/>
            </w:pPr>
          </w:p>
        </w:tc>
        <w:tc>
          <w:tcPr>
            <w:tcW w:w="6779" w:type="dxa"/>
            <w:hideMark/>
          </w:tcPr>
          <w:p w:rsidR="0067041F" w:rsidRPr="00892DE3" w:rsidRDefault="0067041F" w:rsidP="00722FAC">
            <w:pPr>
              <w:ind w:left="170" w:hanging="170"/>
              <w:jc w:val="left"/>
              <w:cnfStyle w:val="000000000000" w:firstRow="0" w:lastRow="0" w:firstColumn="0" w:lastColumn="0" w:oddVBand="0" w:evenVBand="0" w:oddHBand="0" w:evenHBand="0" w:firstRowFirstColumn="0" w:firstRowLastColumn="0" w:lastRowFirstColumn="0" w:lastRowLastColumn="0"/>
            </w:pPr>
            <w:r w:rsidRPr="00892DE3">
              <w:t>Land at fair value</w:t>
            </w:r>
          </w:p>
        </w:tc>
        <w:tc>
          <w:tcPr>
            <w:tcW w:w="729" w:type="dxa"/>
            <w:shd w:val="clear" w:color="auto" w:fill="EBEBEB" w:themeFill="background2"/>
            <w:noWrap/>
            <w:hideMark/>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348</w:t>
            </w:r>
          </w:p>
        </w:tc>
        <w:tc>
          <w:tcPr>
            <w:tcW w:w="730" w:type="dxa"/>
            <w:noWrap/>
            <w:hideMark/>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525</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67041F" w:rsidRPr="00892DE3" w:rsidRDefault="0067041F" w:rsidP="00722FAC">
            <w:pPr>
              <w:ind w:left="170" w:hanging="170"/>
            </w:pPr>
          </w:p>
        </w:tc>
        <w:tc>
          <w:tcPr>
            <w:tcW w:w="6779" w:type="dxa"/>
          </w:tcPr>
          <w:p w:rsidR="0067041F" w:rsidRPr="00892DE3" w:rsidRDefault="0067041F" w:rsidP="00722FAC">
            <w:pPr>
              <w:ind w:left="170" w:hanging="170"/>
              <w:jc w:val="left"/>
              <w:cnfStyle w:val="000000000000" w:firstRow="0" w:lastRow="0" w:firstColumn="0" w:lastColumn="0" w:oddVBand="0" w:evenVBand="0" w:oddHBand="0" w:evenHBand="0" w:firstRowFirstColumn="0" w:firstRowLastColumn="0" w:lastRowFirstColumn="0" w:lastRowLastColumn="0"/>
            </w:pPr>
            <w:r w:rsidRPr="00892DE3">
              <w:t>Buildings at fair value</w:t>
            </w:r>
          </w:p>
        </w:tc>
        <w:tc>
          <w:tcPr>
            <w:tcW w:w="729" w:type="dxa"/>
            <w:shd w:val="clear" w:color="auto" w:fill="EBEBEB" w:themeFill="background2"/>
            <w:noWrap/>
          </w:tcPr>
          <w:p w:rsidR="0067041F" w:rsidRPr="00892DE3" w:rsidRDefault="00722FAC" w:rsidP="00722FAC">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0" w:type="dxa"/>
            <w:noWrap/>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325</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67041F" w:rsidRPr="00892DE3" w:rsidRDefault="0067041F" w:rsidP="00722FAC">
            <w:pPr>
              <w:ind w:left="170" w:hanging="170"/>
            </w:pPr>
          </w:p>
        </w:tc>
        <w:tc>
          <w:tcPr>
            <w:tcW w:w="6779" w:type="dxa"/>
          </w:tcPr>
          <w:p w:rsidR="0067041F" w:rsidRPr="00892DE3" w:rsidRDefault="0067041F" w:rsidP="00722FAC">
            <w:pPr>
              <w:ind w:left="170" w:hanging="170"/>
              <w:jc w:val="left"/>
              <w:cnfStyle w:val="000000000000" w:firstRow="0" w:lastRow="0" w:firstColumn="0" w:lastColumn="0" w:oddVBand="0" w:evenVBand="0" w:oddHBand="0" w:evenHBand="0" w:firstRowFirstColumn="0" w:firstRowLastColumn="0" w:lastRowFirstColumn="0" w:lastRowLastColumn="0"/>
            </w:pPr>
            <w:r w:rsidRPr="00892DE3">
              <w:t>Road, infrastructure and earthworks at fair value</w:t>
            </w:r>
          </w:p>
        </w:tc>
        <w:tc>
          <w:tcPr>
            <w:tcW w:w="729" w:type="dxa"/>
            <w:shd w:val="clear" w:color="auto" w:fill="EBEBEB" w:themeFill="background2"/>
            <w:noWrap/>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109</w:t>
            </w:r>
          </w:p>
        </w:tc>
        <w:tc>
          <w:tcPr>
            <w:tcW w:w="730" w:type="dxa"/>
            <w:noWrap/>
          </w:tcPr>
          <w:p w:rsidR="0067041F" w:rsidRPr="00892DE3" w:rsidRDefault="00722FAC" w:rsidP="00722FAC">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67041F" w:rsidRPr="00892DE3" w:rsidRDefault="0067041F" w:rsidP="00722FAC">
            <w:pPr>
              <w:ind w:left="170" w:hanging="170"/>
            </w:pPr>
          </w:p>
        </w:tc>
        <w:tc>
          <w:tcPr>
            <w:tcW w:w="6779" w:type="dxa"/>
          </w:tcPr>
          <w:p w:rsidR="0067041F" w:rsidRPr="00892DE3" w:rsidRDefault="0067041F" w:rsidP="00722FAC">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w:t>
            </w:r>
          </w:p>
        </w:tc>
        <w:tc>
          <w:tcPr>
            <w:tcW w:w="729" w:type="dxa"/>
            <w:shd w:val="clear" w:color="auto" w:fill="EBEBEB" w:themeFill="background2"/>
            <w:noWrap/>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76</w:t>
            </w:r>
          </w:p>
        </w:tc>
        <w:tc>
          <w:tcPr>
            <w:tcW w:w="730" w:type="dxa"/>
            <w:noWrap/>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52</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67041F" w:rsidRPr="00892DE3" w:rsidRDefault="0067041F" w:rsidP="00722FAC">
            <w:pPr>
              <w:ind w:left="170" w:hanging="170"/>
            </w:pPr>
          </w:p>
        </w:tc>
        <w:tc>
          <w:tcPr>
            <w:tcW w:w="6779" w:type="dxa"/>
            <w:tcBorders>
              <w:bottom w:val="single" w:sz="4" w:space="0" w:color="auto"/>
            </w:tcBorders>
          </w:tcPr>
          <w:p w:rsidR="0067041F" w:rsidRPr="00892DE3" w:rsidRDefault="0067041F" w:rsidP="00722FAC">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Services</w:t>
            </w:r>
          </w:p>
        </w:tc>
        <w:tc>
          <w:tcPr>
            <w:tcW w:w="729" w:type="dxa"/>
            <w:tcBorders>
              <w:bottom w:val="single" w:sz="4" w:space="0" w:color="auto"/>
            </w:tcBorders>
            <w:shd w:val="clear" w:color="auto" w:fill="EBEBEB" w:themeFill="background2"/>
            <w:noWrap/>
          </w:tcPr>
          <w:p w:rsidR="0067041F" w:rsidRPr="00892DE3" w:rsidRDefault="00722FAC" w:rsidP="00722FAC">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0" w:type="dxa"/>
            <w:tcBorders>
              <w:bottom w:val="single" w:sz="4" w:space="0" w:color="auto"/>
            </w:tcBorders>
            <w:noWrap/>
          </w:tcPr>
          <w:p w:rsidR="0067041F" w:rsidRPr="00892DE3" w:rsidRDefault="00722FAC" w:rsidP="00722FAC">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67041F" w:rsidRPr="00892DE3" w:rsidRDefault="0067041F" w:rsidP="00722FAC">
            <w:pPr>
              <w:ind w:left="170" w:hanging="170"/>
            </w:pPr>
            <w:r w:rsidRPr="00892DE3">
              <w:t>AASB 1004.62</w:t>
            </w:r>
          </w:p>
        </w:tc>
        <w:tc>
          <w:tcPr>
            <w:tcW w:w="6779" w:type="dxa"/>
            <w:tcBorders>
              <w:top w:val="single" w:sz="4" w:space="0" w:color="auto"/>
              <w:bottom w:val="single" w:sz="12" w:space="0" w:color="auto"/>
            </w:tcBorders>
          </w:tcPr>
          <w:p w:rsidR="0067041F" w:rsidRPr="00892DE3" w:rsidRDefault="0067041F" w:rsidP="00722FAC">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fair value of assets and services received free of charge or for nominal consideration</w:t>
            </w:r>
          </w:p>
        </w:tc>
        <w:tc>
          <w:tcPr>
            <w:tcW w:w="729" w:type="dxa"/>
            <w:tcBorders>
              <w:top w:val="single" w:sz="4" w:space="0" w:color="auto"/>
              <w:bottom w:val="single" w:sz="12" w:space="0" w:color="auto"/>
            </w:tcBorders>
            <w:shd w:val="clear" w:color="auto" w:fill="EBEBEB" w:themeFill="background2"/>
            <w:noWrap/>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1 589</w:t>
            </w:r>
          </w:p>
        </w:tc>
        <w:tc>
          <w:tcPr>
            <w:tcW w:w="730" w:type="dxa"/>
            <w:tcBorders>
              <w:top w:val="single" w:sz="4" w:space="0" w:color="auto"/>
              <w:bottom w:val="single" w:sz="12" w:space="0" w:color="auto"/>
            </w:tcBorders>
            <w:noWrap/>
          </w:tcPr>
          <w:p w:rsidR="0067041F" w:rsidRPr="00892DE3" w:rsidRDefault="0067041F" w:rsidP="00722FAC">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1 708</w:t>
            </w:r>
          </w:p>
        </w:tc>
      </w:tr>
    </w:tbl>
    <w:p w:rsidR="0067041F" w:rsidRPr="00892DE3" w:rsidRDefault="0067041F" w:rsidP="0067041F">
      <w:r w:rsidRPr="00892DE3">
        <w:t xml:space="preserve">Contributions of resources received free of charge or for nominal consideration are recognised at fair value when control is obtained over them, irrespective of whether these contributions are subject to restrictions or conditions over their use. </w:t>
      </w:r>
    </w:p>
    <w:p w:rsidR="0067041F" w:rsidRPr="00892DE3" w:rsidRDefault="0067041F" w:rsidP="0067041F">
      <w:r w:rsidRPr="00892DE3">
        <w:t xml:space="preserve">Contributions in the form of services are only recognised when a fair value can be reliably determined and the services would have been purchased if not received as a donation. </w:t>
      </w:r>
      <w:r w:rsidRPr="00892DE3">
        <w:rPr>
          <w:rStyle w:val="SourceReference"/>
        </w:rPr>
        <w:t>[AASB 1004.11,20,44]</w:t>
      </w:r>
    </w:p>
    <w:p w:rsidR="0067041F" w:rsidRPr="00892DE3" w:rsidRDefault="0067041F" w:rsidP="00D31BB8">
      <w:pPr>
        <w:pStyle w:val="Heading3"/>
      </w:pPr>
      <w:r w:rsidRPr="00892DE3">
        <w:t>Other income</w:t>
      </w:r>
    </w:p>
    <w:p w:rsidR="0067041F" w:rsidRPr="00892DE3" w:rsidRDefault="0067041F" w:rsidP="0067041F">
      <w:pPr>
        <w:pStyle w:val="TableUnits"/>
      </w:pPr>
      <w:r w:rsidRPr="00892DE3">
        <w:t>($ thousand)</w:t>
      </w:r>
    </w:p>
    <w:tbl>
      <w:tblPr>
        <w:tblStyle w:val="ModelReportFinancialTable"/>
        <w:tblW w:w="9715" w:type="dxa"/>
        <w:tblLayout w:type="fixed"/>
        <w:tblLook w:val="06A0" w:firstRow="1" w:lastRow="0" w:firstColumn="1" w:lastColumn="0" w:noHBand="1" w:noVBand="1"/>
      </w:tblPr>
      <w:tblGrid>
        <w:gridCol w:w="1491"/>
        <w:gridCol w:w="6486"/>
        <w:gridCol w:w="863"/>
        <w:gridCol w:w="875"/>
      </w:tblGrid>
      <w:tr w:rsidR="0067041F" w:rsidRPr="00892DE3" w:rsidTr="0044350A">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91" w:type="dxa"/>
            <w:tcBorders>
              <w:bottom w:val="nil"/>
            </w:tcBorders>
            <w:shd w:val="clear" w:color="auto" w:fill="auto"/>
          </w:tcPr>
          <w:p w:rsidR="0067041F" w:rsidRPr="00892DE3" w:rsidRDefault="0067041F" w:rsidP="0067041F">
            <w:r w:rsidRPr="00892DE3">
              <w:t>Source reference</w:t>
            </w:r>
          </w:p>
        </w:tc>
        <w:tc>
          <w:tcPr>
            <w:tcW w:w="6486" w:type="dxa"/>
            <w:hideMark/>
          </w:tcPr>
          <w:p w:rsidR="0067041F" w:rsidRPr="00892DE3" w:rsidRDefault="0067041F" w:rsidP="0067041F">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63" w:type="dxa"/>
            <w:noWrap/>
            <w:hideMark/>
          </w:tcPr>
          <w:p w:rsidR="0067041F" w:rsidRPr="00892DE3" w:rsidRDefault="0067041F" w:rsidP="00450E27">
            <w:pPr>
              <w:cnfStyle w:val="100000000000" w:firstRow="1" w:lastRow="0" w:firstColumn="0" w:lastColumn="0" w:oddVBand="0" w:evenVBand="0" w:oddHBand="0" w:evenHBand="0" w:firstRowFirstColumn="0" w:firstRowLastColumn="0" w:lastRowFirstColumn="0" w:lastRowLastColumn="0"/>
            </w:pPr>
            <w:r w:rsidRPr="00892DE3">
              <w:t>2017</w:t>
            </w:r>
          </w:p>
        </w:tc>
        <w:tc>
          <w:tcPr>
            <w:tcW w:w="875" w:type="dxa"/>
            <w:noWrap/>
            <w:hideMark/>
          </w:tcPr>
          <w:p w:rsidR="0067041F" w:rsidRPr="00892DE3" w:rsidRDefault="0067041F" w:rsidP="00450E27">
            <w:pPr>
              <w:cnfStyle w:val="100000000000" w:firstRow="1" w:lastRow="0" w:firstColumn="0" w:lastColumn="0" w:oddVBand="0" w:evenVBand="0" w:oddHBand="0" w:evenHBand="0" w:firstRowFirstColumn="0" w:firstRowLastColumn="0" w:lastRowFirstColumn="0" w:lastRowLastColumn="0"/>
            </w:pPr>
            <w:r w:rsidRPr="00892DE3">
              <w:t>2016</w:t>
            </w:r>
          </w:p>
        </w:tc>
      </w:tr>
      <w:tr w:rsidR="0067041F"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67041F" w:rsidRPr="00892DE3" w:rsidRDefault="0067041F" w:rsidP="0067041F">
            <w:r w:rsidRPr="00892DE3">
              <w:t>AASB 140.75(f)(i)</w:t>
            </w:r>
          </w:p>
        </w:tc>
        <w:tc>
          <w:tcPr>
            <w:tcW w:w="6486" w:type="dxa"/>
            <w:hideMark/>
          </w:tcPr>
          <w:p w:rsidR="0067041F" w:rsidRPr="00892DE3" w:rsidRDefault="0067041F" w:rsidP="007C7A8D">
            <w:pPr>
              <w:jc w:val="left"/>
              <w:cnfStyle w:val="000000000000" w:firstRow="0" w:lastRow="0" w:firstColumn="0" w:lastColumn="0" w:oddVBand="0" w:evenVBand="0" w:oddHBand="0" w:evenHBand="0" w:firstRowFirstColumn="0" w:firstRowLastColumn="0" w:lastRowFirstColumn="0" w:lastRowLastColumn="0"/>
              <w:rPr>
                <w:vertAlign w:val="superscript"/>
              </w:rPr>
            </w:pPr>
            <w:r w:rsidRPr="00892DE3">
              <w:t>Rental income – Investment properties</w:t>
            </w:r>
            <w:r w:rsidR="007C7A8D" w:rsidRPr="00892DE3">
              <w:t xml:space="preserve"> </w:t>
            </w:r>
            <w:r w:rsidR="00891FC4" w:rsidRPr="00892DE3">
              <w:rPr>
                <w:vertAlign w:val="superscript"/>
              </w:rPr>
              <w:t>(</w:t>
            </w:r>
            <w:r w:rsidR="007C7A8D" w:rsidRPr="00892DE3">
              <w:rPr>
                <w:vertAlign w:val="superscript"/>
              </w:rPr>
              <w:t>a</w:t>
            </w:r>
            <w:r w:rsidR="00891FC4" w:rsidRPr="00892DE3">
              <w:rPr>
                <w:vertAlign w:val="superscript"/>
              </w:rPr>
              <w:t>)</w:t>
            </w:r>
          </w:p>
        </w:tc>
        <w:tc>
          <w:tcPr>
            <w:tcW w:w="863" w:type="dxa"/>
            <w:shd w:val="clear" w:color="auto" w:fill="EBEBEB" w:themeFill="background2"/>
            <w:noWrap/>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2 215</w:t>
            </w:r>
          </w:p>
        </w:tc>
        <w:tc>
          <w:tcPr>
            <w:tcW w:w="875" w:type="dxa"/>
            <w:noWrap/>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1 440</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67041F" w:rsidRPr="00892DE3" w:rsidRDefault="0067041F" w:rsidP="0067041F">
            <w:r w:rsidRPr="00892DE3">
              <w:t>AASB 118.35(b)(v)</w:t>
            </w:r>
          </w:p>
        </w:tc>
        <w:tc>
          <w:tcPr>
            <w:tcW w:w="6486" w:type="dxa"/>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Dividends received from investments</w:t>
            </w:r>
          </w:p>
        </w:tc>
        <w:tc>
          <w:tcPr>
            <w:tcW w:w="863" w:type="dxa"/>
            <w:shd w:val="clear" w:color="auto" w:fill="EBEBEB" w:themeFill="background2"/>
            <w:noWrap/>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1 698</w:t>
            </w:r>
          </w:p>
        </w:tc>
        <w:tc>
          <w:tcPr>
            <w:tcW w:w="875" w:type="dxa"/>
            <w:noWrap/>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1 611</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67041F" w:rsidRPr="00892DE3" w:rsidRDefault="0067041F" w:rsidP="0067041F">
            <w:r w:rsidRPr="00892DE3">
              <w:t>AASB 1004.18(b)</w:t>
            </w:r>
          </w:p>
        </w:tc>
        <w:tc>
          <w:tcPr>
            <w:tcW w:w="6486" w:type="dxa"/>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Bad debts reversal</w:t>
            </w:r>
          </w:p>
        </w:tc>
        <w:tc>
          <w:tcPr>
            <w:tcW w:w="863" w:type="dxa"/>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30</w:t>
            </w:r>
          </w:p>
        </w:tc>
        <w:tc>
          <w:tcPr>
            <w:tcW w:w="875" w:type="dxa"/>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15</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67041F" w:rsidRPr="00892DE3" w:rsidRDefault="0067041F" w:rsidP="0067041F"/>
        </w:tc>
        <w:tc>
          <w:tcPr>
            <w:tcW w:w="6486" w:type="dxa"/>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Royalties</w:t>
            </w:r>
          </w:p>
        </w:tc>
        <w:tc>
          <w:tcPr>
            <w:tcW w:w="863" w:type="dxa"/>
            <w:shd w:val="clear" w:color="auto" w:fill="EBEBEB" w:themeFill="background2"/>
            <w:noWrap/>
          </w:tcPr>
          <w:p w:rsidR="0067041F" w:rsidRPr="00892DE3" w:rsidRDefault="00722FAC" w:rsidP="00450E27">
            <w:pPr>
              <w:cnfStyle w:val="000000000000" w:firstRow="0" w:lastRow="0" w:firstColumn="0" w:lastColumn="0" w:oddVBand="0" w:evenVBand="0" w:oddHBand="0" w:evenHBand="0" w:firstRowFirstColumn="0" w:firstRowLastColumn="0" w:lastRowFirstColumn="0" w:lastRowLastColumn="0"/>
            </w:pPr>
            <w:r w:rsidRPr="00892DE3">
              <w:t>..</w:t>
            </w:r>
          </w:p>
        </w:tc>
        <w:tc>
          <w:tcPr>
            <w:tcW w:w="875" w:type="dxa"/>
            <w:noWrap/>
          </w:tcPr>
          <w:p w:rsidR="0067041F" w:rsidRPr="00892DE3" w:rsidRDefault="00722FAC" w:rsidP="00450E27">
            <w:pPr>
              <w:cnfStyle w:val="000000000000" w:firstRow="0" w:lastRow="0" w:firstColumn="0" w:lastColumn="0" w:oddVBand="0" w:evenVBand="0" w:oddHBand="0" w:evenHBand="0" w:firstRowFirstColumn="0" w:firstRowLastColumn="0" w:lastRowFirstColumn="0" w:lastRowLastColumn="0"/>
            </w:pPr>
            <w:r w:rsidRPr="00892DE3">
              <w:t>..</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67041F" w:rsidRPr="00892DE3" w:rsidRDefault="0067041F" w:rsidP="0067041F"/>
        </w:tc>
        <w:tc>
          <w:tcPr>
            <w:tcW w:w="6486" w:type="dxa"/>
            <w:tcBorders>
              <w:bottom w:val="single" w:sz="4" w:space="0" w:color="auto"/>
            </w:tcBorders>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Forgiveness of liabilities</w:t>
            </w:r>
          </w:p>
        </w:tc>
        <w:tc>
          <w:tcPr>
            <w:tcW w:w="863" w:type="dxa"/>
            <w:tcBorders>
              <w:bottom w:val="single" w:sz="4" w:space="0" w:color="auto"/>
            </w:tcBorders>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2 270</w:t>
            </w:r>
          </w:p>
        </w:tc>
        <w:tc>
          <w:tcPr>
            <w:tcW w:w="875" w:type="dxa"/>
            <w:tcBorders>
              <w:bottom w:val="single" w:sz="4" w:space="0" w:color="auto"/>
            </w:tcBorders>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2 025</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67041F" w:rsidRPr="00892DE3" w:rsidRDefault="0067041F" w:rsidP="0067041F"/>
        </w:tc>
        <w:tc>
          <w:tcPr>
            <w:tcW w:w="6486" w:type="dxa"/>
            <w:tcBorders>
              <w:top w:val="single" w:sz="4" w:space="0" w:color="auto"/>
              <w:bottom w:val="single" w:sz="12" w:space="0" w:color="auto"/>
            </w:tcBorders>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income</w:t>
            </w:r>
          </w:p>
        </w:tc>
        <w:tc>
          <w:tcPr>
            <w:tcW w:w="863" w:type="dxa"/>
            <w:tcBorders>
              <w:top w:val="single" w:sz="4" w:space="0" w:color="auto"/>
              <w:bottom w:val="single" w:sz="12" w:space="0" w:color="auto"/>
            </w:tcBorders>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b/>
              </w:rPr>
            </w:pPr>
            <w:r w:rsidRPr="00892DE3">
              <w:rPr>
                <w:b/>
              </w:rPr>
              <w:t>6 213</w:t>
            </w:r>
          </w:p>
        </w:tc>
        <w:tc>
          <w:tcPr>
            <w:tcW w:w="875" w:type="dxa"/>
            <w:tcBorders>
              <w:top w:val="single" w:sz="4" w:space="0" w:color="auto"/>
              <w:bottom w:val="single" w:sz="12" w:space="0" w:color="auto"/>
            </w:tcBorders>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b/>
              </w:rPr>
            </w:pPr>
            <w:r w:rsidRPr="00892DE3">
              <w:rPr>
                <w:b/>
              </w:rPr>
              <w:t>5 091</w:t>
            </w:r>
          </w:p>
        </w:tc>
      </w:tr>
    </w:tbl>
    <w:p w:rsidR="00891FC4" w:rsidRPr="00892DE3" w:rsidRDefault="00891FC4" w:rsidP="00DC55D4">
      <w:pPr>
        <w:pStyle w:val="Note"/>
      </w:pPr>
      <w:r w:rsidRPr="00892DE3">
        <w:t>Note:</w:t>
      </w:r>
    </w:p>
    <w:p w:rsidR="00891FC4" w:rsidRPr="00892DE3" w:rsidRDefault="00891FC4" w:rsidP="00DC55D4">
      <w:pPr>
        <w:pStyle w:val="Note"/>
      </w:pPr>
      <w:r w:rsidRPr="00892DE3">
        <w:t>(a)</w:t>
      </w:r>
      <w:r w:rsidRPr="00892DE3">
        <w:tab/>
        <w:t>investment properties are reported in Note 5.2.</w:t>
      </w:r>
    </w:p>
    <w:p w:rsidR="00476CAB" w:rsidRPr="00892DE3" w:rsidRDefault="00476CAB" w:rsidP="0067041F">
      <w:pPr>
        <w:rPr>
          <w:b/>
        </w:rPr>
      </w:pPr>
      <w:r w:rsidRPr="00892DE3">
        <w:rPr>
          <w:b/>
        </w:rPr>
        <w:t xml:space="preserve">Dividend income </w:t>
      </w:r>
      <w:r w:rsidRPr="00892DE3">
        <w:t xml:space="preserve">is recognised when the right to receive payment is established. Dividends represent the income arising from the Department’s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 </w:t>
      </w:r>
      <w:r w:rsidRPr="00892DE3">
        <w:rPr>
          <w:rStyle w:val="SourceReference"/>
        </w:rPr>
        <w:t>[AASB 118.30(c)]</w:t>
      </w:r>
    </w:p>
    <w:p w:rsidR="0067041F" w:rsidRPr="00892DE3" w:rsidRDefault="0067041F" w:rsidP="0067041F">
      <w:r w:rsidRPr="00892DE3">
        <w:rPr>
          <w:b/>
        </w:rPr>
        <w:t>Rental income</w:t>
      </w:r>
      <w:r w:rsidRPr="00892DE3">
        <w:t xml:space="preserve"> from leasing of investment properties and from operating leases are recognised on a straight line basis over the lease term. </w:t>
      </w:r>
      <w:r w:rsidRPr="00892DE3">
        <w:rPr>
          <w:rStyle w:val="SourceReference"/>
        </w:rPr>
        <w:t>[AASB 117.50]</w:t>
      </w:r>
    </w:p>
    <w:p w:rsidR="0067041F" w:rsidRPr="00892DE3" w:rsidRDefault="0067041F" w:rsidP="0067041F">
      <w:r w:rsidRPr="00892DE3">
        <w:t xml:space="preserve">Operating leases relate to the investment property owned by the Department with </w:t>
      </w:r>
      <w:r w:rsidR="00722FAC" w:rsidRPr="00892DE3">
        <w:t>lease terms between five and 10 </w:t>
      </w:r>
      <w:r w:rsidRPr="00892DE3">
        <w:t xml:space="preserve">years, with an option to extend for a further 10 years. All operating lease contracts contain market review clauses in the event that the lessee exercises its option to renew. The lessee does not have an option to purchase the property at the expiry of the lease period. </w:t>
      </w:r>
      <w:r w:rsidRPr="00892DE3">
        <w:rPr>
          <w:rStyle w:val="SourceReference"/>
        </w:rPr>
        <w:t>[AASB 117.56(c)]</w:t>
      </w:r>
    </w:p>
    <w:p w:rsidR="0067041F" w:rsidRPr="00892DE3" w:rsidRDefault="0067041F" w:rsidP="0067041F">
      <w:r w:rsidRPr="00892DE3">
        <w:t xml:space="preserve">All incentives for the agreement of a new or renewed operating lease are recognised as an integral part of the net consideration agreed for the use of the leased asset, irrespective of the incentive’s nature or form or the timing of payments. </w:t>
      </w:r>
      <w:r w:rsidRPr="00892DE3">
        <w:rPr>
          <w:rStyle w:val="SourceReference"/>
        </w:rPr>
        <w:t>[AASB Interpretation 115.3]</w:t>
      </w:r>
    </w:p>
    <w:p w:rsidR="0067041F" w:rsidRPr="00892DE3" w:rsidRDefault="0067041F" w:rsidP="0067041F">
      <w:pPr>
        <w:rPr>
          <w:rStyle w:val="SourceReference"/>
        </w:rPr>
      </w:pPr>
      <w:r w:rsidRPr="00892DE3">
        <w:t xml:space="preserve">In the event </w:t>
      </w:r>
      <w:r w:rsidR="007C7A8D" w:rsidRPr="00892DE3">
        <w:t>l</w:t>
      </w:r>
      <w:r w:rsidRPr="00892DE3">
        <w:t xml:space="preserve">ease incentives are given to the lessee, the aggregate cost of incentives is recognised as a reduction of rental income over the lease term, on a straight line basis unless another systematic basis is more representative of the time pattern over which the economic benefit of the leased asset is diminished. </w:t>
      </w:r>
      <w:r w:rsidR="00722FAC" w:rsidRPr="00892DE3">
        <w:br/>
      </w:r>
      <w:r w:rsidRPr="00892DE3">
        <w:rPr>
          <w:rStyle w:val="SourceReference"/>
        </w:rPr>
        <w:t>[AASB Interpretation 115.4]</w:t>
      </w:r>
    </w:p>
    <w:p w:rsidR="0067041F" w:rsidRPr="00892DE3" w:rsidRDefault="004464F0" w:rsidP="0067041F">
      <w:pPr>
        <w:pStyle w:val="TableUnits"/>
      </w:pPr>
      <w:r w:rsidRPr="00892DE3">
        <w:t xml:space="preserve"> </w:t>
      </w:r>
      <w:r w:rsidR="0067041F" w:rsidRPr="00892DE3">
        <w:t>($ thousand)</w:t>
      </w:r>
    </w:p>
    <w:tbl>
      <w:tblPr>
        <w:tblStyle w:val="ModelReportFinancialTable"/>
        <w:tblW w:w="4952" w:type="pct"/>
        <w:tblLayout w:type="fixed"/>
        <w:tblLook w:val="06A0" w:firstRow="1" w:lastRow="0" w:firstColumn="1" w:lastColumn="0" w:noHBand="1" w:noVBand="1"/>
      </w:tblPr>
      <w:tblGrid>
        <w:gridCol w:w="1494"/>
        <w:gridCol w:w="6461"/>
        <w:gridCol w:w="896"/>
        <w:gridCol w:w="807"/>
      </w:tblGrid>
      <w:tr w:rsidR="0067041F" w:rsidRPr="00892DE3" w:rsidTr="004435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3" w:type="pct"/>
            <w:tcBorders>
              <w:bottom w:val="nil"/>
            </w:tcBorders>
            <w:shd w:val="clear" w:color="auto" w:fill="auto"/>
          </w:tcPr>
          <w:p w:rsidR="0067041F" w:rsidRPr="00892DE3" w:rsidRDefault="0067041F" w:rsidP="0067041F">
            <w:r w:rsidRPr="00892DE3">
              <w:t>Source reference</w:t>
            </w:r>
          </w:p>
        </w:tc>
        <w:tc>
          <w:tcPr>
            <w:tcW w:w="3345" w:type="pct"/>
            <w:hideMark/>
          </w:tcPr>
          <w:p w:rsidR="0067041F" w:rsidRPr="00892DE3" w:rsidRDefault="0067041F" w:rsidP="0067041F">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464" w:type="pct"/>
            <w:noWrap/>
            <w:hideMark/>
          </w:tcPr>
          <w:p w:rsidR="0067041F" w:rsidRPr="00892DE3" w:rsidRDefault="0067041F" w:rsidP="00450E27">
            <w:pPr>
              <w:cnfStyle w:val="100000000000" w:firstRow="1" w:lastRow="0" w:firstColumn="0" w:lastColumn="0" w:oddVBand="0" w:evenVBand="0" w:oddHBand="0" w:evenHBand="0" w:firstRowFirstColumn="0" w:firstRowLastColumn="0" w:lastRowFirstColumn="0" w:lastRowLastColumn="0"/>
            </w:pPr>
            <w:r w:rsidRPr="00892DE3">
              <w:t>2017</w:t>
            </w:r>
          </w:p>
        </w:tc>
        <w:tc>
          <w:tcPr>
            <w:tcW w:w="418" w:type="pct"/>
            <w:noWrap/>
            <w:hideMark/>
          </w:tcPr>
          <w:p w:rsidR="0067041F" w:rsidRPr="00892DE3" w:rsidRDefault="0067041F" w:rsidP="00450E27">
            <w:pPr>
              <w:cnfStyle w:val="100000000000" w:firstRow="1" w:lastRow="0" w:firstColumn="0" w:lastColumn="0" w:oddVBand="0" w:evenVBand="0" w:oddHBand="0" w:evenHBand="0" w:firstRowFirstColumn="0" w:firstRowLastColumn="0" w:lastRowFirstColumn="0" w:lastRowLastColumn="0"/>
            </w:pPr>
            <w:r w:rsidRPr="00892DE3">
              <w:t>2016</w:t>
            </w:r>
          </w:p>
        </w:tc>
      </w:tr>
      <w:tr w:rsidR="0067041F" w:rsidRPr="00892DE3" w:rsidTr="0044350A">
        <w:tc>
          <w:tcPr>
            <w:cnfStyle w:val="001000000000" w:firstRow="0" w:lastRow="0" w:firstColumn="1" w:lastColumn="0" w:oddVBand="0" w:evenVBand="0" w:oddHBand="0" w:evenHBand="0" w:firstRowFirstColumn="0" w:firstRowLastColumn="0" w:lastRowFirstColumn="0" w:lastRowLastColumn="0"/>
            <w:tcW w:w="773" w:type="pct"/>
            <w:tcBorders>
              <w:bottom w:val="nil"/>
            </w:tcBorders>
            <w:shd w:val="clear" w:color="auto" w:fill="auto"/>
          </w:tcPr>
          <w:p w:rsidR="0067041F" w:rsidRPr="00892DE3" w:rsidRDefault="004464F0" w:rsidP="0067041F">
            <w:r w:rsidRPr="00892DE3">
              <w:t>AASB 117.56(a)</w:t>
            </w:r>
          </w:p>
        </w:tc>
        <w:tc>
          <w:tcPr>
            <w:tcW w:w="3345" w:type="pct"/>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cancellable operating lease receivables</w:t>
            </w:r>
          </w:p>
        </w:tc>
        <w:tc>
          <w:tcPr>
            <w:tcW w:w="464" w:type="pct"/>
            <w:shd w:val="clear" w:color="auto" w:fill="EBEBEB" w:themeFill="background2"/>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18" w:type="pct"/>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67041F" w:rsidRPr="00892DE3" w:rsidTr="0044350A">
        <w:tc>
          <w:tcPr>
            <w:cnfStyle w:val="001000000000" w:firstRow="0" w:lastRow="0" w:firstColumn="1" w:lastColumn="0" w:oddVBand="0" w:evenVBand="0" w:oddHBand="0" w:evenHBand="0" w:firstRowFirstColumn="0" w:firstRowLastColumn="0" w:lastRowFirstColumn="0" w:lastRowLastColumn="0"/>
            <w:tcW w:w="773" w:type="pct"/>
            <w:tcBorders>
              <w:bottom w:val="nil"/>
            </w:tcBorders>
            <w:shd w:val="clear" w:color="auto" w:fill="auto"/>
          </w:tcPr>
          <w:p w:rsidR="0067041F" w:rsidRPr="00892DE3" w:rsidRDefault="0067041F" w:rsidP="0067041F"/>
        </w:tc>
        <w:tc>
          <w:tcPr>
            <w:tcW w:w="3345" w:type="pct"/>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Not longer than one year</w:t>
            </w:r>
          </w:p>
        </w:tc>
        <w:tc>
          <w:tcPr>
            <w:tcW w:w="464" w:type="pct"/>
            <w:shd w:val="clear" w:color="auto" w:fill="EBEBEB" w:themeFill="background2"/>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18</w:t>
            </w:r>
          </w:p>
        </w:tc>
        <w:tc>
          <w:tcPr>
            <w:tcW w:w="418" w:type="pct"/>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18</w:t>
            </w:r>
          </w:p>
        </w:tc>
      </w:tr>
      <w:tr w:rsidR="0067041F" w:rsidRPr="00892DE3" w:rsidTr="0044350A">
        <w:tc>
          <w:tcPr>
            <w:cnfStyle w:val="001000000000" w:firstRow="0" w:lastRow="0" w:firstColumn="1" w:lastColumn="0" w:oddVBand="0" w:evenVBand="0" w:oddHBand="0" w:evenHBand="0" w:firstRowFirstColumn="0" w:firstRowLastColumn="0" w:lastRowFirstColumn="0" w:lastRowLastColumn="0"/>
            <w:tcW w:w="773" w:type="pct"/>
            <w:tcBorders>
              <w:bottom w:val="nil"/>
            </w:tcBorders>
            <w:shd w:val="clear" w:color="auto" w:fill="auto"/>
          </w:tcPr>
          <w:p w:rsidR="0067041F" w:rsidRPr="00892DE3" w:rsidRDefault="0067041F" w:rsidP="0067041F"/>
        </w:tc>
        <w:tc>
          <w:tcPr>
            <w:tcW w:w="3345" w:type="pct"/>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Longer than one year but not longer than five years</w:t>
            </w:r>
          </w:p>
        </w:tc>
        <w:tc>
          <w:tcPr>
            <w:tcW w:w="464" w:type="pct"/>
            <w:shd w:val="clear" w:color="auto" w:fill="EBEBEB" w:themeFill="background2"/>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32</w:t>
            </w:r>
          </w:p>
        </w:tc>
        <w:tc>
          <w:tcPr>
            <w:tcW w:w="418" w:type="pct"/>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47</w:t>
            </w:r>
          </w:p>
        </w:tc>
      </w:tr>
      <w:tr w:rsidR="0067041F" w:rsidRPr="00892DE3" w:rsidTr="0044350A">
        <w:tc>
          <w:tcPr>
            <w:cnfStyle w:val="001000000000" w:firstRow="0" w:lastRow="0" w:firstColumn="1" w:lastColumn="0" w:oddVBand="0" w:evenVBand="0" w:oddHBand="0" w:evenHBand="0" w:firstRowFirstColumn="0" w:firstRowLastColumn="0" w:lastRowFirstColumn="0" w:lastRowLastColumn="0"/>
            <w:tcW w:w="773" w:type="pct"/>
            <w:tcBorders>
              <w:bottom w:val="nil"/>
            </w:tcBorders>
            <w:shd w:val="clear" w:color="auto" w:fill="auto"/>
          </w:tcPr>
          <w:p w:rsidR="0067041F" w:rsidRPr="00892DE3" w:rsidRDefault="0067041F" w:rsidP="0067041F"/>
        </w:tc>
        <w:tc>
          <w:tcPr>
            <w:tcW w:w="3345" w:type="pct"/>
            <w:tcBorders>
              <w:bottom w:val="single" w:sz="4" w:space="0" w:color="auto"/>
            </w:tcBorders>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Longer than five years</w:t>
            </w:r>
          </w:p>
        </w:tc>
        <w:tc>
          <w:tcPr>
            <w:tcW w:w="464" w:type="pct"/>
            <w:tcBorders>
              <w:bottom w:val="single" w:sz="4" w:space="0" w:color="auto"/>
            </w:tcBorders>
            <w:shd w:val="clear" w:color="auto" w:fill="EBEBEB" w:themeFill="background2"/>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22</w:t>
            </w:r>
          </w:p>
        </w:tc>
        <w:tc>
          <w:tcPr>
            <w:tcW w:w="418" w:type="pct"/>
            <w:tcBorders>
              <w:bottom w:val="single" w:sz="4" w:space="0" w:color="auto"/>
            </w:tcBorders>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 xml:space="preserve"> 25</w:t>
            </w:r>
          </w:p>
        </w:tc>
      </w:tr>
      <w:tr w:rsidR="0067041F" w:rsidRPr="00892DE3" w:rsidTr="0044350A">
        <w:tc>
          <w:tcPr>
            <w:cnfStyle w:val="001000000000" w:firstRow="0" w:lastRow="0" w:firstColumn="1" w:lastColumn="0" w:oddVBand="0" w:evenVBand="0" w:oddHBand="0" w:evenHBand="0" w:firstRowFirstColumn="0" w:firstRowLastColumn="0" w:lastRowFirstColumn="0" w:lastRowLastColumn="0"/>
            <w:tcW w:w="773" w:type="pct"/>
            <w:tcBorders>
              <w:bottom w:val="nil"/>
            </w:tcBorders>
            <w:shd w:val="clear" w:color="auto" w:fill="auto"/>
          </w:tcPr>
          <w:p w:rsidR="0067041F" w:rsidRPr="00892DE3" w:rsidRDefault="0067041F" w:rsidP="0067041F"/>
        </w:tc>
        <w:tc>
          <w:tcPr>
            <w:tcW w:w="3345" w:type="pct"/>
            <w:tcBorders>
              <w:top w:val="single" w:sz="4" w:space="0" w:color="auto"/>
              <w:bottom w:val="single" w:sz="12" w:space="0" w:color="auto"/>
            </w:tcBorders>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r w:rsidR="00476CAB" w:rsidRPr="00892DE3">
              <w:rPr>
                <w:b/>
              </w:rPr>
              <w:t>Total</w:t>
            </w:r>
          </w:p>
        </w:tc>
        <w:tc>
          <w:tcPr>
            <w:tcW w:w="464" w:type="pct"/>
            <w:tcBorders>
              <w:top w:val="single" w:sz="4" w:space="0" w:color="auto"/>
              <w:bottom w:val="single" w:sz="12" w:space="0" w:color="auto"/>
            </w:tcBorders>
            <w:shd w:val="clear" w:color="auto" w:fill="EBEBEB" w:themeFill="background2"/>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72</w:t>
            </w:r>
          </w:p>
        </w:tc>
        <w:tc>
          <w:tcPr>
            <w:tcW w:w="418" w:type="pct"/>
            <w:tcBorders>
              <w:top w:val="single" w:sz="4" w:space="0" w:color="auto"/>
              <w:bottom w:val="single" w:sz="12" w:space="0" w:color="auto"/>
            </w:tcBorders>
            <w:hideMark/>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90</w:t>
            </w:r>
          </w:p>
        </w:tc>
      </w:tr>
    </w:tbl>
    <w:p w:rsidR="004464F0" w:rsidRPr="00892DE3" w:rsidRDefault="004464F0" w:rsidP="004464F0">
      <w:pPr>
        <w:rPr>
          <w:b/>
        </w:rPr>
      </w:pPr>
    </w:p>
    <w:p w:rsidR="004464F0" w:rsidRPr="00892DE3" w:rsidRDefault="004464F0" w:rsidP="004464F0">
      <w:r w:rsidRPr="00892DE3">
        <w:rPr>
          <w:b/>
        </w:rPr>
        <w:t>Forgiveness of liabilities</w:t>
      </w:r>
      <w:r w:rsidRPr="00892DE3">
        <w:t xml:space="preserve"> are recognised as income and recorded as a gross amount. </w:t>
      </w:r>
      <w:r w:rsidRPr="00892DE3">
        <w:rPr>
          <w:rStyle w:val="SourceReference"/>
        </w:rPr>
        <w:t>[AASB 1004.16]</w:t>
      </w:r>
    </w:p>
    <w:p w:rsidR="00476CAB" w:rsidRPr="00892DE3" w:rsidRDefault="004464F0">
      <w:r w:rsidRPr="00892DE3">
        <w:t>During the year, there was a forgiveness of a loan of $2 270 as a result of [include the reasons for the forgiveness of liabilities]</w:t>
      </w:r>
      <w:r w:rsidR="00A26731" w:rsidRPr="00892DE3">
        <w:t>.</w:t>
      </w:r>
    </w:p>
    <w:p w:rsidR="00A10427" w:rsidRPr="00892DE3" w:rsidRDefault="00A10427" w:rsidP="00DC55D4"/>
    <w:tbl>
      <w:tblPr>
        <w:tblStyle w:val="ModelReportGuidanceTable"/>
        <w:tblW w:w="9854" w:type="dxa"/>
        <w:tblLayout w:type="fixed"/>
        <w:tblLook w:val="04A0" w:firstRow="1" w:lastRow="0" w:firstColumn="1" w:lastColumn="0" w:noHBand="0" w:noVBand="1"/>
      </w:tblPr>
      <w:tblGrid>
        <w:gridCol w:w="9854"/>
      </w:tblGrid>
      <w:tr w:rsidR="0067041F" w:rsidRPr="00892DE3" w:rsidTr="00DC55D4">
        <w:trPr>
          <w:cnfStyle w:val="100000000000" w:firstRow="1" w:lastRow="0" w:firstColumn="0" w:lastColumn="0" w:oddVBand="0" w:evenVBand="0" w:oddHBand="0" w:evenHBand="0" w:firstRowFirstColumn="0" w:firstRowLastColumn="0" w:lastRowFirstColumn="0" w:lastRowLastColumn="0"/>
        </w:trPr>
        <w:tc>
          <w:tcPr>
            <w:tcW w:w="9854" w:type="dxa"/>
          </w:tcPr>
          <w:p w:rsidR="0067041F" w:rsidRPr="00892DE3" w:rsidRDefault="0067041F" w:rsidP="0067041F">
            <w:r w:rsidRPr="00892DE3">
              <w:lastRenderedPageBreak/>
              <w:t>Guidance – Income from transactions</w:t>
            </w:r>
          </w:p>
        </w:tc>
      </w:tr>
      <w:tr w:rsidR="0067041F" w:rsidRPr="00892DE3" w:rsidTr="00DC55D4">
        <w:tc>
          <w:tcPr>
            <w:tcW w:w="9854" w:type="dxa"/>
          </w:tcPr>
          <w:p w:rsidR="0067041F" w:rsidRPr="00892DE3" w:rsidRDefault="0067041F" w:rsidP="0067041F">
            <w:r w:rsidRPr="00892DE3">
              <w:t xml:space="preserve">Accounting for income has to comply with AASB 118 Revenue and AASB 1004 Contributions, except for income that arises from sources covered by other standards (e.g. lease income – AASB 117, dividends from equity accounted investments – AASB 128, etc.). </w:t>
            </w:r>
          </w:p>
          <w:p w:rsidR="0067041F" w:rsidRPr="00892DE3" w:rsidRDefault="0067041F" w:rsidP="0067041F">
            <w:r w:rsidRPr="00892DE3">
              <w:rPr>
                <w:b/>
              </w:rPr>
              <w:t>Disclosure requirements under AASB 1049</w:t>
            </w:r>
            <w:r w:rsidRPr="00892DE3">
              <w:t xml:space="preserve">: To align with whole of government reporting, Departments are required to classify items of income between ‘transactions’ and ‘other economic flows’ as appropriate (refer to the guidance provided on the Comprehensive Operating Statement). Common material items are </w:t>
            </w:r>
            <w:r w:rsidR="00154F17" w:rsidRPr="00892DE3">
              <w:t xml:space="preserve">disclosed in the </w:t>
            </w:r>
            <w:r w:rsidR="00D7340A" w:rsidRPr="00892DE3">
              <w:t>N</w:t>
            </w:r>
            <w:r w:rsidR="00154F17" w:rsidRPr="00892DE3">
              <w:t>ote 2.1 above</w:t>
            </w:r>
            <w:r w:rsidRPr="00892DE3">
              <w:t xml:space="preserve"> and may include the following:</w:t>
            </w:r>
          </w:p>
          <w:p w:rsidR="0067041F" w:rsidRPr="00892DE3" w:rsidRDefault="0067041F" w:rsidP="0067041F">
            <w:pPr>
              <w:pStyle w:val="List"/>
            </w:pPr>
            <w:r w:rsidRPr="00892DE3">
              <w:t>(a)</w:t>
            </w:r>
            <w:r w:rsidRPr="00892DE3">
              <w:tab/>
              <w:t>the amount of each significant category of income recognised including income arising from:</w:t>
            </w:r>
          </w:p>
          <w:p w:rsidR="0067041F" w:rsidRPr="00892DE3" w:rsidRDefault="0067041F" w:rsidP="00722FAC">
            <w:pPr>
              <w:pStyle w:val="List2"/>
            </w:pPr>
            <w:r w:rsidRPr="00892DE3">
              <w:t>(i)</w:t>
            </w:r>
            <w:r w:rsidRPr="00892DE3">
              <w:tab/>
              <w:t>the sale of goods;</w:t>
            </w:r>
          </w:p>
          <w:p w:rsidR="0067041F" w:rsidRPr="00892DE3" w:rsidRDefault="0067041F" w:rsidP="00722FAC">
            <w:pPr>
              <w:pStyle w:val="List2"/>
            </w:pPr>
            <w:r w:rsidRPr="00892DE3">
              <w:t>(ii)</w:t>
            </w:r>
            <w:r w:rsidRPr="00892DE3">
              <w:tab/>
              <w:t>the rendering of services;</w:t>
            </w:r>
          </w:p>
          <w:p w:rsidR="0067041F" w:rsidRPr="00892DE3" w:rsidRDefault="0067041F" w:rsidP="00722FAC">
            <w:pPr>
              <w:pStyle w:val="List2"/>
            </w:pPr>
            <w:r w:rsidRPr="00892DE3">
              <w:t>(iii)</w:t>
            </w:r>
            <w:r w:rsidRPr="00892DE3">
              <w:tab/>
              <w:t>interest;</w:t>
            </w:r>
          </w:p>
          <w:p w:rsidR="0067041F" w:rsidRPr="00892DE3" w:rsidRDefault="0067041F" w:rsidP="00722FAC">
            <w:pPr>
              <w:pStyle w:val="List2"/>
            </w:pPr>
            <w:r w:rsidRPr="00892DE3">
              <w:t>(iv)</w:t>
            </w:r>
            <w:r w:rsidRPr="00892DE3">
              <w:tab/>
              <w:t>royalties;</w:t>
            </w:r>
            <w:r w:rsidR="00722FAC" w:rsidRPr="00892DE3">
              <w:t xml:space="preserve"> and</w:t>
            </w:r>
          </w:p>
          <w:p w:rsidR="0067041F" w:rsidRPr="00892DE3" w:rsidRDefault="0067041F" w:rsidP="00722FAC">
            <w:pPr>
              <w:pStyle w:val="List2"/>
            </w:pPr>
            <w:r w:rsidRPr="00892DE3">
              <w:t>(v)</w:t>
            </w:r>
            <w:r w:rsidRPr="00892DE3">
              <w:tab/>
              <w:t>dividends</w:t>
            </w:r>
            <w:r w:rsidR="00722FAC" w:rsidRPr="00892DE3">
              <w:t>.</w:t>
            </w:r>
            <w:r w:rsidRPr="00892DE3">
              <w:t xml:space="preserve"> </w:t>
            </w:r>
            <w:r w:rsidRPr="00892DE3">
              <w:rPr>
                <w:rStyle w:val="SourceReference"/>
              </w:rPr>
              <w:t>[AASB 118.35]</w:t>
            </w:r>
          </w:p>
          <w:p w:rsidR="0067041F" w:rsidRPr="00892DE3" w:rsidRDefault="0067041F" w:rsidP="0067041F">
            <w:pPr>
              <w:pStyle w:val="List"/>
            </w:pPr>
            <w:r w:rsidRPr="00892DE3">
              <w:t>(b)</w:t>
            </w:r>
            <w:r w:rsidRPr="00892DE3">
              <w:tab/>
              <w:t xml:space="preserve">the amount of income arising from exchanges of goods or services included in each significant category of income; </w:t>
            </w:r>
          </w:p>
          <w:p w:rsidR="0067041F" w:rsidRPr="00892DE3" w:rsidRDefault="0067041F" w:rsidP="0067041F">
            <w:pPr>
              <w:pStyle w:val="List"/>
            </w:pPr>
            <w:r w:rsidRPr="00892DE3">
              <w:t>(c)</w:t>
            </w:r>
            <w:r w:rsidRPr="00892DE3">
              <w:tab/>
              <w:t xml:space="preserve">total interest income for financial assets that are not at fair value through profit or loss; </w:t>
            </w:r>
            <w:r w:rsidRPr="00892DE3">
              <w:rPr>
                <w:rStyle w:val="SourceReference"/>
              </w:rPr>
              <w:t>[AASB 7.20(b)]</w:t>
            </w:r>
          </w:p>
          <w:p w:rsidR="0067041F" w:rsidRPr="00892DE3" w:rsidRDefault="0067041F" w:rsidP="0067041F">
            <w:pPr>
              <w:pStyle w:val="List"/>
            </w:pPr>
            <w:r w:rsidRPr="00892DE3">
              <w:t>(d)</w:t>
            </w:r>
            <w:r w:rsidRPr="00892DE3">
              <w:tab/>
              <w:t>fee income arising from:</w:t>
            </w:r>
          </w:p>
          <w:p w:rsidR="0067041F" w:rsidRPr="00892DE3" w:rsidRDefault="0067041F" w:rsidP="00722FAC">
            <w:pPr>
              <w:pStyle w:val="List2"/>
            </w:pPr>
            <w:r w:rsidRPr="00892DE3">
              <w:t>(i)</w:t>
            </w:r>
            <w:r w:rsidRPr="00892DE3">
              <w:tab/>
              <w:t>financial assets that are not at fair value through profit or loss;</w:t>
            </w:r>
          </w:p>
          <w:p w:rsidR="0067041F" w:rsidRPr="00892DE3" w:rsidRDefault="0067041F" w:rsidP="00722FAC">
            <w:pPr>
              <w:pStyle w:val="List2"/>
            </w:pPr>
            <w:r w:rsidRPr="00892DE3">
              <w:t>(ii)</w:t>
            </w:r>
            <w:r w:rsidRPr="00892DE3">
              <w:tab/>
              <w:t>trust and other fiduciary activities that result in the holding of assets on behalf of others; and</w:t>
            </w:r>
            <w:r w:rsidR="00722FAC" w:rsidRPr="00892DE3">
              <w:t xml:space="preserve"> </w:t>
            </w:r>
            <w:r w:rsidR="00722FAC" w:rsidRPr="00892DE3">
              <w:rPr>
                <w:rStyle w:val="SourceReference"/>
              </w:rPr>
              <w:t>[AASB 7.20(c)]</w:t>
            </w:r>
          </w:p>
          <w:p w:rsidR="0067041F" w:rsidRPr="00892DE3" w:rsidRDefault="0067041F" w:rsidP="0067041F">
            <w:pPr>
              <w:pStyle w:val="List"/>
            </w:pPr>
            <w:r w:rsidRPr="00892DE3">
              <w:t>(e)</w:t>
            </w:r>
            <w:r w:rsidRPr="00892DE3">
              <w:tab/>
              <w:t xml:space="preserve">interest income accrued on impaired financial assets. </w:t>
            </w:r>
            <w:r w:rsidRPr="00892DE3">
              <w:rPr>
                <w:rStyle w:val="SourceReference"/>
              </w:rPr>
              <w:t>[AASB 7.20(d)]</w:t>
            </w:r>
          </w:p>
          <w:p w:rsidR="0067041F" w:rsidRPr="00892DE3" w:rsidRDefault="0067041F" w:rsidP="0067041F">
            <w:pPr>
              <w:rPr>
                <w:b/>
              </w:rPr>
            </w:pPr>
            <w:r w:rsidRPr="00892DE3">
              <w:rPr>
                <w:b/>
              </w:rPr>
              <w:t xml:space="preserve">Additional disclosures for income from contributions: </w:t>
            </w:r>
          </w:p>
          <w:p w:rsidR="0067041F" w:rsidRPr="00892DE3" w:rsidRDefault="0067041F" w:rsidP="0067041F">
            <w:pPr>
              <w:pStyle w:val="List"/>
            </w:pPr>
            <w:r w:rsidRPr="00892DE3">
              <w:t>(a)</w:t>
            </w:r>
            <w:r w:rsidRPr="00892DE3">
              <w:tab/>
              <w:t xml:space="preserve">the nature and amount of contributions recognised as income during the period that were provided specifically for the provision of goods or services over a future period; </w:t>
            </w:r>
            <w:r w:rsidR="00476CAB" w:rsidRPr="00892DE3">
              <w:rPr>
                <w:rStyle w:val="SourceReference"/>
              </w:rPr>
              <w:t>[AASB 1004.60(b),</w:t>
            </w:r>
            <w:r w:rsidRPr="00892DE3">
              <w:rPr>
                <w:rStyle w:val="SourceReference"/>
              </w:rPr>
              <w:t>(d)]</w:t>
            </w:r>
          </w:p>
          <w:p w:rsidR="0067041F" w:rsidRPr="00892DE3" w:rsidRDefault="0067041F" w:rsidP="0067041F">
            <w:pPr>
              <w:pStyle w:val="List"/>
            </w:pPr>
            <w:r w:rsidRPr="00892DE3">
              <w:t>(b)</w:t>
            </w:r>
            <w:r w:rsidRPr="00892DE3">
              <w:tab/>
              <w:t xml:space="preserve">the nature and amount of contributions recognised as income during the period that were obtained in respect of a future rating or taxing period identified by the general government sector or whole of government for the purpose of establishing a rate or tax; </w:t>
            </w:r>
            <w:r w:rsidRPr="00892DE3">
              <w:rPr>
                <w:rStyle w:val="SourceReference"/>
              </w:rPr>
              <w:t>[AASB 1004.60(c), (d)]</w:t>
            </w:r>
            <w:r w:rsidR="00154F17" w:rsidRPr="00892DE3">
              <w:t xml:space="preserve"> and</w:t>
            </w:r>
          </w:p>
          <w:p w:rsidR="0067041F" w:rsidRPr="00892DE3" w:rsidRDefault="0067041F" w:rsidP="0067041F">
            <w:pPr>
              <w:pStyle w:val="List"/>
            </w:pPr>
            <w:r w:rsidRPr="00892DE3">
              <w:t>(c)</w:t>
            </w:r>
            <w:r w:rsidRPr="00892DE3">
              <w:tab/>
              <w:t xml:space="preserve">contributions received as income in previous reporting periods that were obtained in respect of the current reporting period. </w:t>
            </w:r>
            <w:r w:rsidR="00476CAB" w:rsidRPr="00892DE3">
              <w:rPr>
                <w:rStyle w:val="SourceReference"/>
              </w:rPr>
              <w:t>[AASB 1004.60(e),</w:t>
            </w:r>
            <w:r w:rsidRPr="00892DE3">
              <w:rPr>
                <w:rStyle w:val="SourceReference"/>
              </w:rPr>
              <w:t>(d)]</w:t>
            </w:r>
          </w:p>
          <w:p w:rsidR="0067041F" w:rsidRPr="00892DE3" w:rsidRDefault="0067041F" w:rsidP="0067041F">
            <w:r w:rsidRPr="00892DE3">
              <w:t xml:space="preserve">Departments are encouraged to elaborate on the specific accounting policy treatment of material </w:t>
            </w:r>
            <w:r w:rsidR="00217A5D" w:rsidRPr="00892DE3">
              <w:t>non-</w:t>
            </w:r>
            <w:r w:rsidRPr="00892DE3">
              <w:t>exchange transactions where appropriate.</w:t>
            </w:r>
          </w:p>
          <w:p w:rsidR="0067041F" w:rsidRPr="00892DE3" w:rsidRDefault="0067041F" w:rsidP="0067041F">
            <w:r w:rsidRPr="00892DE3">
              <w:rPr>
                <w:b/>
              </w:rPr>
              <w:t>Income from contributions with conditions attached</w:t>
            </w:r>
            <w:r w:rsidRPr="00892DE3">
              <w:t xml:space="preserve">: </w:t>
            </w:r>
            <w:r w:rsidR="00154F17" w:rsidRPr="00892DE3">
              <w:t>W</w:t>
            </w:r>
            <w:r w:rsidRPr="00892DE3">
              <w:t xml:space="preserve">here the contributor has specified the manner in which they are to be expended, and those conditions are undischarged at the end of the reporting period, the Department must disclose details of those contributions and the conditions attached to them. </w:t>
            </w:r>
            <w:r w:rsidRPr="00892DE3">
              <w:rPr>
                <w:rStyle w:val="SourceReference"/>
              </w:rPr>
              <w:t>[AASB 1004.60(a)]</w:t>
            </w:r>
          </w:p>
          <w:p w:rsidR="0067041F" w:rsidRPr="00892DE3" w:rsidRDefault="0067041F" w:rsidP="0067041F">
            <w:pPr>
              <w:rPr>
                <w:b/>
              </w:rPr>
            </w:pPr>
            <w:r w:rsidRPr="00892DE3">
              <w:rPr>
                <w:b/>
              </w:rPr>
              <w:t xml:space="preserve">Transfer of assets from customers to be used for ongoing access to a supply of goods or services </w:t>
            </w:r>
          </w:p>
          <w:p w:rsidR="0067041F" w:rsidRPr="00892DE3" w:rsidRDefault="0067041F" w:rsidP="0067041F">
            <w:r w:rsidRPr="00892DE3">
              <w:t xml:space="preserve">AASB Interpretation 18 </w:t>
            </w:r>
            <w:r w:rsidRPr="00892DE3">
              <w:rPr>
                <w:i/>
              </w:rPr>
              <w:t>Transfer of Assets from Customers</w:t>
            </w:r>
            <w:r w:rsidRPr="00892DE3">
              <w:t xml:space="preserve"> provides guidance on the recognition and measurement of:</w:t>
            </w:r>
          </w:p>
          <w:p w:rsidR="0067041F" w:rsidRPr="00892DE3" w:rsidRDefault="0067041F" w:rsidP="0067041F">
            <w:pPr>
              <w:pStyle w:val="List"/>
            </w:pPr>
            <w:r w:rsidRPr="00892DE3">
              <w:t>(a)</w:t>
            </w:r>
            <w:r w:rsidRPr="00892DE3">
              <w:tab/>
              <w:t>property, plant and equipment received from a customer which must be used to connect the customer to a network or to provide the customer with ongoing access to a supply of goods or services, or to do both; and</w:t>
            </w:r>
          </w:p>
          <w:p w:rsidR="0067041F" w:rsidRPr="00892DE3" w:rsidRDefault="0067041F" w:rsidP="0067041F">
            <w:pPr>
              <w:pStyle w:val="List"/>
            </w:pPr>
            <w:r w:rsidRPr="00892DE3">
              <w:t>(b)</w:t>
            </w:r>
            <w:r w:rsidRPr="00892DE3">
              <w:tab/>
              <w:t>cash received from a customer that must only be used to construct or acquire an item of property, plant and equipment, and the entity must then use this property, plant and equipment to connect the customer to a network or to provide the customer with ongoing access to a supply of goods or services, or to do both.</w:t>
            </w:r>
          </w:p>
          <w:p w:rsidR="00476CAB" w:rsidRPr="00892DE3" w:rsidRDefault="00476CAB" w:rsidP="00476CAB">
            <w:r w:rsidRPr="00892DE3">
              <w:rPr>
                <w:b/>
              </w:rPr>
              <w:t>User charges, fees and fines</w:t>
            </w:r>
            <w:r w:rsidRPr="00892DE3">
              <w:t xml:space="preserve">: Where these exist as controlled items, the Department is required to disclose these items separately. </w:t>
            </w:r>
            <w:r w:rsidRPr="00892DE3">
              <w:rPr>
                <w:rStyle w:val="SourceReference"/>
              </w:rPr>
              <w:t>[AASB 118.35(b)]</w:t>
            </w:r>
          </w:p>
        </w:tc>
      </w:tr>
    </w:tbl>
    <w:p w:rsidR="0067041F" w:rsidRPr="00892DE3" w:rsidRDefault="0067041F" w:rsidP="0067041F"/>
    <w:p w:rsidR="0067041F" w:rsidRPr="00892DE3" w:rsidRDefault="0067041F" w:rsidP="0067041F">
      <w:r w:rsidRPr="00892DE3">
        <w:br w:type="page"/>
      </w:r>
    </w:p>
    <w:p w:rsidR="0067041F" w:rsidRPr="00892DE3" w:rsidRDefault="0067041F" w:rsidP="0019303F">
      <w:pPr>
        <w:pStyle w:val="Heading2"/>
      </w:pPr>
      <w:bookmarkStart w:id="94" w:name="_Toc478047458"/>
      <w:bookmarkStart w:id="95" w:name="_Toc478055716"/>
      <w:r w:rsidRPr="00892DE3">
        <w:lastRenderedPageBreak/>
        <w:t>Annotated income agreements</w:t>
      </w:r>
      <w:bookmarkEnd w:id="94"/>
      <w:bookmarkEnd w:id="95"/>
    </w:p>
    <w:p w:rsidR="0067041F" w:rsidRPr="00892DE3" w:rsidRDefault="0067041F" w:rsidP="0067041F">
      <w:r w:rsidRPr="00892DE3">
        <w:t xml:space="preserve">The Department is permitted under section 29 of the </w:t>
      </w:r>
      <w:r w:rsidR="00154F17" w:rsidRPr="00892DE3">
        <w:rPr>
          <w:i/>
        </w:rPr>
        <w:t>Financial Management Act 1994</w:t>
      </w:r>
      <w:r w:rsidR="00154F17" w:rsidRPr="00892DE3">
        <w:t xml:space="preserve"> (</w:t>
      </w:r>
      <w:r w:rsidRPr="00892DE3">
        <w:t>FMA</w:t>
      </w:r>
      <w:r w:rsidR="00154F17" w:rsidRPr="00892DE3">
        <w:t>)</w:t>
      </w:r>
      <w:r w:rsidRPr="00892DE3">
        <w:t xml:space="preserve"> to have certain income annotated to the annual appropriation. The income which forms part of a section 29 agreement is recognised by the Department and the receipts paid into the consolidated fund as an administered item. At the point of income recognition, section 29 provides for an equivalent amount to be added to the annual appropriation. </w:t>
      </w:r>
    </w:p>
    <w:p w:rsidR="0067041F" w:rsidRPr="00892DE3" w:rsidRDefault="0067041F" w:rsidP="0067041F">
      <w:r w:rsidRPr="00892DE3">
        <w:t xml:space="preserve">The following is a listing of the </w:t>
      </w:r>
      <w:r w:rsidR="00154F17" w:rsidRPr="00892DE3">
        <w:t>FMA</w:t>
      </w:r>
      <w:r w:rsidRPr="00892DE3">
        <w:t xml:space="preserve"> section 29 annotated income agreements approved by the Treasurer:</w:t>
      </w:r>
    </w:p>
    <w:p w:rsidR="0067041F" w:rsidRPr="00892DE3" w:rsidRDefault="0067041F" w:rsidP="0067041F">
      <w:pPr>
        <w:pStyle w:val="TableUnits"/>
      </w:pPr>
      <w:r w:rsidRPr="00892DE3">
        <w:t>($ thousand)</w:t>
      </w:r>
    </w:p>
    <w:tbl>
      <w:tblPr>
        <w:tblStyle w:val="ModelReportFinancialTable"/>
        <w:tblW w:w="9687" w:type="dxa"/>
        <w:tblLayout w:type="fixed"/>
        <w:tblLook w:val="06A0" w:firstRow="1" w:lastRow="0" w:firstColumn="1" w:lastColumn="0" w:noHBand="1" w:noVBand="1"/>
      </w:tblPr>
      <w:tblGrid>
        <w:gridCol w:w="1469"/>
        <w:gridCol w:w="6480"/>
        <w:gridCol w:w="863"/>
        <w:gridCol w:w="875"/>
      </w:tblGrid>
      <w:tr w:rsidR="0067041F" w:rsidRPr="00892DE3" w:rsidTr="0044350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69" w:type="dxa"/>
            <w:tcBorders>
              <w:bottom w:val="nil"/>
            </w:tcBorders>
            <w:shd w:val="clear" w:color="auto" w:fill="auto"/>
          </w:tcPr>
          <w:p w:rsidR="0067041F" w:rsidRPr="00892DE3" w:rsidRDefault="0067041F" w:rsidP="0067041F">
            <w:r w:rsidRPr="00892DE3">
              <w:t>Source reference</w:t>
            </w:r>
          </w:p>
        </w:tc>
        <w:tc>
          <w:tcPr>
            <w:tcW w:w="6480" w:type="dxa"/>
          </w:tcPr>
          <w:p w:rsidR="0067041F" w:rsidRPr="00892DE3" w:rsidRDefault="0067041F" w:rsidP="0067041F">
            <w:pPr>
              <w:cnfStyle w:val="100000000000" w:firstRow="1" w:lastRow="0" w:firstColumn="0" w:lastColumn="0" w:oddVBand="0" w:evenVBand="0" w:oddHBand="0" w:evenHBand="0" w:firstRowFirstColumn="0" w:firstRowLastColumn="0" w:lastRowFirstColumn="0" w:lastRowLastColumn="0"/>
            </w:pPr>
          </w:p>
        </w:tc>
        <w:tc>
          <w:tcPr>
            <w:tcW w:w="1738" w:type="dxa"/>
            <w:gridSpan w:val="2"/>
            <w:noWrap/>
          </w:tcPr>
          <w:p w:rsidR="0067041F" w:rsidRPr="00892DE3" w:rsidRDefault="0067041F" w:rsidP="00722FAC">
            <w:pPr>
              <w:jc w:val="center"/>
              <w:cnfStyle w:val="100000000000" w:firstRow="1" w:lastRow="0" w:firstColumn="0" w:lastColumn="0" w:oddVBand="0" w:evenVBand="0" w:oddHBand="0" w:evenHBand="0" w:firstRowFirstColumn="0" w:firstRowLastColumn="0" w:lastRowFirstColumn="0" w:lastRowLastColumn="0"/>
            </w:pPr>
            <w:r w:rsidRPr="00892DE3">
              <w:t>Actual</w:t>
            </w:r>
          </w:p>
        </w:tc>
      </w:tr>
      <w:tr w:rsidR="0067041F" w:rsidRPr="00892DE3" w:rsidTr="0044350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69" w:type="dxa"/>
            <w:tcBorders>
              <w:bottom w:val="nil"/>
            </w:tcBorders>
            <w:shd w:val="clear" w:color="auto" w:fill="auto"/>
          </w:tcPr>
          <w:p w:rsidR="0067041F" w:rsidRPr="00892DE3" w:rsidRDefault="0067041F" w:rsidP="0067041F"/>
        </w:tc>
        <w:tc>
          <w:tcPr>
            <w:tcW w:w="6480" w:type="dxa"/>
            <w:hideMark/>
          </w:tcPr>
          <w:p w:rsidR="0067041F" w:rsidRPr="00892DE3" w:rsidRDefault="0067041F" w:rsidP="0067041F">
            <w:pPr>
              <w:cnfStyle w:val="100000000000" w:firstRow="1" w:lastRow="0" w:firstColumn="0" w:lastColumn="0" w:oddVBand="0" w:evenVBand="0" w:oddHBand="0" w:evenHBand="0" w:firstRowFirstColumn="0" w:firstRowLastColumn="0" w:lastRowFirstColumn="0" w:lastRowLastColumn="0"/>
            </w:pPr>
          </w:p>
        </w:tc>
        <w:tc>
          <w:tcPr>
            <w:tcW w:w="863" w:type="dxa"/>
            <w:noWrap/>
            <w:hideMark/>
          </w:tcPr>
          <w:p w:rsidR="0067041F" w:rsidRPr="00892DE3" w:rsidRDefault="0067041F" w:rsidP="0067041F">
            <w:pPr>
              <w:cnfStyle w:val="100000000000" w:firstRow="1" w:lastRow="0" w:firstColumn="0" w:lastColumn="0" w:oddVBand="0" w:evenVBand="0" w:oddHBand="0" w:evenHBand="0" w:firstRowFirstColumn="0" w:firstRowLastColumn="0" w:lastRowFirstColumn="0" w:lastRowLastColumn="0"/>
            </w:pPr>
            <w:r w:rsidRPr="00892DE3">
              <w:t>2017</w:t>
            </w:r>
          </w:p>
        </w:tc>
        <w:tc>
          <w:tcPr>
            <w:tcW w:w="875" w:type="dxa"/>
            <w:noWrap/>
            <w:hideMark/>
          </w:tcPr>
          <w:p w:rsidR="0067041F" w:rsidRPr="00892DE3" w:rsidRDefault="0067041F" w:rsidP="0067041F">
            <w:pPr>
              <w:cnfStyle w:val="100000000000" w:firstRow="1" w:lastRow="0" w:firstColumn="0" w:lastColumn="0" w:oddVBand="0" w:evenVBand="0" w:oddHBand="0" w:evenHBand="0" w:firstRowFirstColumn="0" w:firstRowLastColumn="0" w:lastRowFirstColumn="0" w:lastRowLastColumn="0"/>
            </w:pPr>
            <w:r w:rsidRPr="00892DE3">
              <w:t>2016</w:t>
            </w:r>
          </w:p>
        </w:tc>
      </w:tr>
      <w:tr w:rsidR="0067041F"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tc>
        <w:tc>
          <w:tcPr>
            <w:tcW w:w="6480" w:type="dxa"/>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rPr>
                <w:b/>
              </w:rPr>
              <w:t>User charges, or sales of goods and services</w:t>
            </w:r>
          </w:p>
        </w:tc>
        <w:tc>
          <w:tcPr>
            <w:tcW w:w="863" w:type="dxa"/>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i/>
              </w:rPr>
            </w:pPr>
          </w:p>
        </w:tc>
        <w:tc>
          <w:tcPr>
            <w:tcW w:w="875" w:type="dxa"/>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i/>
              </w:rPr>
            </w:pP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tc>
        <w:tc>
          <w:tcPr>
            <w:tcW w:w="6480" w:type="dxa"/>
            <w:hideMark/>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[Name/title of agreement]</w:t>
            </w:r>
          </w:p>
        </w:tc>
        <w:tc>
          <w:tcPr>
            <w:tcW w:w="863" w:type="dxa"/>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x</w:t>
            </w:r>
          </w:p>
        </w:tc>
        <w:tc>
          <w:tcPr>
            <w:tcW w:w="875" w:type="dxa"/>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x</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tc>
        <w:tc>
          <w:tcPr>
            <w:tcW w:w="6480" w:type="dxa"/>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rPr>
                <w:b/>
              </w:rPr>
            </w:pPr>
            <w:r w:rsidRPr="00892DE3">
              <w:rPr>
                <w:b/>
              </w:rPr>
              <w:t>Asset sales</w:t>
            </w:r>
          </w:p>
        </w:tc>
        <w:tc>
          <w:tcPr>
            <w:tcW w:w="863" w:type="dxa"/>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i/>
              </w:rPr>
            </w:pPr>
          </w:p>
        </w:tc>
        <w:tc>
          <w:tcPr>
            <w:tcW w:w="875" w:type="dxa"/>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i/>
              </w:rPr>
            </w:pP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tc>
        <w:tc>
          <w:tcPr>
            <w:tcW w:w="6480" w:type="dxa"/>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[Name/title of agreement]</w:t>
            </w:r>
          </w:p>
        </w:tc>
        <w:tc>
          <w:tcPr>
            <w:tcW w:w="863" w:type="dxa"/>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x</w:t>
            </w:r>
          </w:p>
        </w:tc>
        <w:tc>
          <w:tcPr>
            <w:tcW w:w="875" w:type="dxa"/>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noBreakHyphen/>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tc>
        <w:tc>
          <w:tcPr>
            <w:tcW w:w="6480" w:type="dxa"/>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rPr>
                <w:b/>
              </w:rPr>
            </w:pPr>
            <w:r w:rsidRPr="00892DE3">
              <w:rPr>
                <w:b/>
              </w:rPr>
              <w:t>Commonwealth specific purpose payments</w:t>
            </w:r>
          </w:p>
        </w:tc>
        <w:tc>
          <w:tcPr>
            <w:tcW w:w="863" w:type="dxa"/>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i/>
              </w:rPr>
            </w:pPr>
          </w:p>
        </w:tc>
        <w:tc>
          <w:tcPr>
            <w:tcW w:w="875" w:type="dxa"/>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i/>
              </w:rPr>
            </w:pP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tc>
        <w:tc>
          <w:tcPr>
            <w:tcW w:w="6480" w:type="dxa"/>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[Name/title of agreement]</w:t>
            </w:r>
          </w:p>
        </w:tc>
        <w:tc>
          <w:tcPr>
            <w:tcW w:w="863" w:type="dxa"/>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x</w:t>
            </w:r>
          </w:p>
        </w:tc>
        <w:tc>
          <w:tcPr>
            <w:tcW w:w="875" w:type="dxa"/>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noBreakHyphen/>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tc>
        <w:tc>
          <w:tcPr>
            <w:tcW w:w="6480" w:type="dxa"/>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rPr>
                <w:b/>
              </w:rPr>
            </w:pPr>
            <w:r w:rsidRPr="00892DE3">
              <w:rPr>
                <w:b/>
              </w:rPr>
              <w:t>Municipal</w:t>
            </w:r>
          </w:p>
        </w:tc>
        <w:tc>
          <w:tcPr>
            <w:tcW w:w="863" w:type="dxa"/>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i/>
              </w:rPr>
            </w:pPr>
          </w:p>
        </w:tc>
        <w:tc>
          <w:tcPr>
            <w:tcW w:w="875" w:type="dxa"/>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i/>
              </w:rPr>
            </w:pP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tc>
        <w:tc>
          <w:tcPr>
            <w:tcW w:w="6480" w:type="dxa"/>
            <w:tcBorders>
              <w:bottom w:val="single" w:sz="4" w:space="0" w:color="auto"/>
            </w:tcBorders>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pPr>
            <w:r w:rsidRPr="00892DE3">
              <w:t>[Name/title of agreement]</w:t>
            </w:r>
          </w:p>
        </w:tc>
        <w:tc>
          <w:tcPr>
            <w:tcW w:w="863" w:type="dxa"/>
            <w:tcBorders>
              <w:bottom w:val="single" w:sz="4" w:space="0" w:color="auto"/>
            </w:tcBorders>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x</w:t>
            </w:r>
          </w:p>
        </w:tc>
        <w:tc>
          <w:tcPr>
            <w:tcW w:w="875" w:type="dxa"/>
            <w:tcBorders>
              <w:bottom w:val="single" w:sz="4" w:space="0" w:color="auto"/>
            </w:tcBorders>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pPr>
            <w:r w:rsidRPr="00892DE3">
              <w:t>x</w:t>
            </w:r>
          </w:p>
        </w:tc>
      </w:tr>
      <w:tr w:rsidR="0067041F"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67041F" w:rsidRPr="00892DE3" w:rsidRDefault="0067041F" w:rsidP="0067041F">
            <w:r w:rsidRPr="00892DE3">
              <w:t>FMA s29</w:t>
            </w:r>
          </w:p>
        </w:tc>
        <w:tc>
          <w:tcPr>
            <w:tcW w:w="6480" w:type="dxa"/>
            <w:tcBorders>
              <w:top w:val="single" w:sz="4" w:space="0" w:color="auto"/>
              <w:bottom w:val="single" w:sz="12" w:space="0" w:color="auto"/>
            </w:tcBorders>
          </w:tcPr>
          <w:p w:rsidR="0067041F" w:rsidRPr="00892DE3" w:rsidRDefault="0067041F" w:rsidP="0067041F">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annotated income agreements</w:t>
            </w:r>
          </w:p>
        </w:tc>
        <w:tc>
          <w:tcPr>
            <w:tcW w:w="863" w:type="dxa"/>
            <w:tcBorders>
              <w:top w:val="single" w:sz="4" w:space="0" w:color="auto"/>
              <w:bottom w:val="single" w:sz="12" w:space="0" w:color="auto"/>
            </w:tcBorders>
            <w:shd w:val="clear" w:color="auto" w:fill="EBEBEB" w:themeFill="background2"/>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b/>
              </w:rPr>
            </w:pPr>
            <w:r w:rsidRPr="00892DE3">
              <w:rPr>
                <w:b/>
              </w:rPr>
              <w:t>x</w:t>
            </w:r>
          </w:p>
        </w:tc>
        <w:tc>
          <w:tcPr>
            <w:tcW w:w="875" w:type="dxa"/>
            <w:tcBorders>
              <w:top w:val="single" w:sz="4" w:space="0" w:color="auto"/>
              <w:bottom w:val="single" w:sz="12" w:space="0" w:color="auto"/>
            </w:tcBorders>
            <w:noWrap/>
          </w:tcPr>
          <w:p w:rsidR="0067041F" w:rsidRPr="00892DE3" w:rsidRDefault="0067041F" w:rsidP="00450E27">
            <w:pPr>
              <w:cnfStyle w:val="000000000000" w:firstRow="0" w:lastRow="0" w:firstColumn="0" w:lastColumn="0" w:oddVBand="0" w:evenVBand="0" w:oddHBand="0" w:evenHBand="0" w:firstRowFirstColumn="0" w:firstRowLastColumn="0" w:lastRowFirstColumn="0" w:lastRowLastColumn="0"/>
              <w:rPr>
                <w:b/>
              </w:rPr>
            </w:pPr>
            <w:r w:rsidRPr="00892DE3">
              <w:rPr>
                <w:b/>
              </w:rPr>
              <w:t>x</w:t>
            </w:r>
          </w:p>
        </w:tc>
      </w:tr>
    </w:tbl>
    <w:p w:rsidR="0067041F" w:rsidRPr="00892DE3" w:rsidRDefault="0067041F" w:rsidP="0067041F"/>
    <w:p w:rsidR="00722FAC" w:rsidRPr="00892DE3" w:rsidRDefault="00722FAC" w:rsidP="0067041F"/>
    <w:bookmarkEnd w:id="85"/>
    <w:p w:rsidR="00372FAF" w:rsidRPr="00892DE3" w:rsidRDefault="00372FAF" w:rsidP="0067041F"/>
    <w:p w:rsidR="00372FAF" w:rsidRPr="00892DE3" w:rsidRDefault="00372FAF" w:rsidP="0067041F"/>
    <w:p w:rsidR="00722FAC" w:rsidRPr="00892DE3" w:rsidRDefault="00722FAC" w:rsidP="0067041F">
      <w:pPr>
        <w:sectPr w:rsidR="00722FAC" w:rsidRPr="00892DE3" w:rsidSect="006F16D1">
          <w:headerReference w:type="even" r:id="rId104"/>
          <w:headerReference w:type="default" r:id="rId105"/>
          <w:footerReference w:type="even" r:id="rId106"/>
          <w:footerReference w:type="default" r:id="rId107"/>
          <w:pgSz w:w="11906" w:h="16838" w:code="9"/>
          <w:pgMar w:top="1134" w:right="1134" w:bottom="1134" w:left="1134" w:header="624" w:footer="567" w:gutter="0"/>
          <w:cols w:sep="1" w:space="567"/>
          <w:docGrid w:linePitch="360"/>
        </w:sectPr>
      </w:pPr>
    </w:p>
    <w:p w:rsidR="0067041F" w:rsidRPr="00892DE3" w:rsidRDefault="0067041F" w:rsidP="0067041F">
      <w:pPr>
        <w:pStyle w:val="Heading1"/>
      </w:pPr>
      <w:bookmarkStart w:id="96" w:name="Section3"/>
      <w:r w:rsidRPr="00892DE3">
        <w:lastRenderedPageBreak/>
        <w:t xml:space="preserve">THE COST OF DELIVERING SERVICES </w:t>
      </w:r>
    </w:p>
    <w:p w:rsidR="00AE7A4B" w:rsidRPr="00892DE3" w:rsidRDefault="00AE7A4B" w:rsidP="00AE7A4B">
      <w:pPr>
        <w:pStyle w:val="Heading30"/>
        <w:sectPr w:rsidR="00AE7A4B" w:rsidRPr="00892DE3" w:rsidSect="00722FAC">
          <w:footerReference w:type="first" r:id="rId108"/>
          <w:pgSz w:w="11906" w:h="16838" w:code="9"/>
          <w:pgMar w:top="1134" w:right="1134" w:bottom="1134" w:left="1134" w:header="624" w:footer="567" w:gutter="0"/>
          <w:cols w:sep="1" w:space="567"/>
          <w:titlePg/>
          <w:docGrid w:linePitch="360"/>
        </w:sectPr>
      </w:pPr>
    </w:p>
    <w:p w:rsidR="0067041F" w:rsidRPr="00892DE3" w:rsidRDefault="0067041F" w:rsidP="00AE7A4B">
      <w:pPr>
        <w:pStyle w:val="Heading30"/>
      </w:pPr>
      <w:r w:rsidRPr="00892DE3">
        <w:lastRenderedPageBreak/>
        <w:t>Introduction</w:t>
      </w:r>
    </w:p>
    <w:p w:rsidR="0067041F" w:rsidRPr="00892DE3" w:rsidRDefault="0067041F" w:rsidP="0067041F">
      <w:r w:rsidRPr="00892DE3">
        <w:t xml:space="preserve">This section provides an account of the expenses incurred by the Department </w:t>
      </w:r>
      <w:r w:rsidR="00154F17" w:rsidRPr="00892DE3">
        <w:t xml:space="preserve">of Technology (the Department) </w:t>
      </w:r>
      <w:r w:rsidRPr="00892DE3">
        <w:t>in delivering services and outputs. In Section 2, the funds that enable the provision of services were disclosed and in this note the cost associated with provision of services are recorded. Section 4 discloses aggregated information in relation to the income and expenses by output.</w:t>
      </w:r>
    </w:p>
    <w:p w:rsidR="0067041F" w:rsidRPr="00892DE3" w:rsidRDefault="0067041F" w:rsidP="00AE7A4B">
      <w:pPr>
        <w:pStyle w:val="Heading30"/>
      </w:pPr>
      <w:r w:rsidRPr="00892DE3">
        <w:lastRenderedPageBreak/>
        <w:t>Structure</w:t>
      </w:r>
    </w:p>
    <w:p w:rsidR="005412E1" w:rsidRPr="00892DE3" w:rsidRDefault="00AE7A4B" w:rsidP="00B05757">
      <w:pPr>
        <w:pStyle w:val="TOC9"/>
        <w:rPr>
          <w:rFonts w:eastAsiaTheme="minorEastAsia"/>
          <w:spacing w:val="0"/>
          <w:sz w:val="22"/>
          <w:szCs w:val="22"/>
          <w:lang w:eastAsia="en-AU"/>
        </w:rPr>
      </w:pPr>
      <w:r w:rsidRPr="00892DE3">
        <w:fldChar w:fldCharType="begin"/>
      </w:r>
      <w:r w:rsidRPr="00892DE3">
        <w:instrText xml:space="preserve"> TOC \h \z \t "Heading 2 (#),9" \b Section3 \* MERGEFORMAT </w:instrText>
      </w:r>
      <w:r w:rsidRPr="00892DE3">
        <w:fldChar w:fldCharType="separate"/>
      </w:r>
      <w:hyperlink w:anchor="_Toc474336129" w:history="1">
        <w:r w:rsidR="005412E1" w:rsidRPr="00892DE3">
          <w:rPr>
            <w:rStyle w:val="Hyperlink"/>
          </w:rPr>
          <w:t>3.1</w:t>
        </w:r>
        <w:r w:rsidR="005412E1" w:rsidRPr="00892DE3">
          <w:rPr>
            <w:rFonts w:eastAsiaTheme="minorEastAsia"/>
            <w:spacing w:val="0"/>
            <w:sz w:val="22"/>
            <w:szCs w:val="22"/>
            <w:lang w:eastAsia="en-AU"/>
          </w:rPr>
          <w:tab/>
        </w:r>
        <w:r w:rsidR="005412E1" w:rsidRPr="00892DE3">
          <w:rPr>
            <w:rStyle w:val="Hyperlink"/>
          </w:rPr>
          <w:t>Expenses incurred in delivery of services</w:t>
        </w:r>
        <w:r w:rsidR="005412E1" w:rsidRPr="00892DE3">
          <w:rPr>
            <w:webHidden/>
          </w:rPr>
          <w:tab/>
        </w:r>
        <w:r w:rsidR="005412E1" w:rsidRPr="00892DE3">
          <w:rPr>
            <w:webHidden/>
          </w:rPr>
          <w:fldChar w:fldCharType="begin"/>
        </w:r>
        <w:r w:rsidR="005412E1" w:rsidRPr="00892DE3">
          <w:rPr>
            <w:webHidden/>
          </w:rPr>
          <w:instrText xml:space="preserve"> PAGEREF _Toc474336129 \h </w:instrText>
        </w:r>
        <w:r w:rsidR="005412E1" w:rsidRPr="00892DE3">
          <w:rPr>
            <w:webHidden/>
          </w:rPr>
        </w:r>
        <w:r w:rsidR="005412E1" w:rsidRPr="00892DE3">
          <w:rPr>
            <w:webHidden/>
          </w:rPr>
          <w:fldChar w:fldCharType="separate"/>
        </w:r>
        <w:r w:rsidR="00F63B17">
          <w:rPr>
            <w:webHidden/>
          </w:rPr>
          <w:t>95</w:t>
        </w:r>
        <w:r w:rsidR="005412E1" w:rsidRPr="00892DE3">
          <w:rPr>
            <w:webHidden/>
          </w:rPr>
          <w:fldChar w:fldCharType="end"/>
        </w:r>
      </w:hyperlink>
    </w:p>
    <w:p w:rsidR="005412E1" w:rsidRPr="00892DE3" w:rsidRDefault="003C212D" w:rsidP="00B05757">
      <w:pPr>
        <w:pStyle w:val="TOC9"/>
        <w:rPr>
          <w:rFonts w:eastAsiaTheme="minorEastAsia"/>
          <w:spacing w:val="0"/>
          <w:sz w:val="22"/>
          <w:szCs w:val="22"/>
          <w:lang w:eastAsia="en-AU"/>
        </w:rPr>
      </w:pPr>
      <w:hyperlink w:anchor="_Toc474336130" w:history="1">
        <w:r w:rsidR="005412E1" w:rsidRPr="00892DE3">
          <w:rPr>
            <w:rStyle w:val="Hyperlink"/>
          </w:rPr>
          <w:t>3.2</w:t>
        </w:r>
        <w:r w:rsidR="005412E1" w:rsidRPr="00892DE3">
          <w:rPr>
            <w:rFonts w:eastAsiaTheme="minorEastAsia"/>
            <w:spacing w:val="0"/>
            <w:sz w:val="22"/>
            <w:szCs w:val="22"/>
            <w:lang w:eastAsia="en-AU"/>
          </w:rPr>
          <w:tab/>
        </w:r>
        <w:r w:rsidR="005412E1" w:rsidRPr="00892DE3">
          <w:rPr>
            <w:rStyle w:val="Hyperlink"/>
          </w:rPr>
          <w:t>Grant expenses</w:t>
        </w:r>
        <w:r w:rsidR="005412E1" w:rsidRPr="00892DE3">
          <w:rPr>
            <w:webHidden/>
          </w:rPr>
          <w:tab/>
        </w:r>
        <w:r w:rsidR="005412E1" w:rsidRPr="00892DE3">
          <w:rPr>
            <w:webHidden/>
          </w:rPr>
          <w:fldChar w:fldCharType="begin"/>
        </w:r>
        <w:r w:rsidR="005412E1" w:rsidRPr="00892DE3">
          <w:rPr>
            <w:webHidden/>
          </w:rPr>
          <w:instrText xml:space="preserve"> PAGEREF _Toc474336130 \h </w:instrText>
        </w:r>
        <w:r w:rsidR="005412E1" w:rsidRPr="00892DE3">
          <w:rPr>
            <w:webHidden/>
          </w:rPr>
        </w:r>
        <w:r w:rsidR="005412E1" w:rsidRPr="00892DE3">
          <w:rPr>
            <w:webHidden/>
          </w:rPr>
          <w:fldChar w:fldCharType="separate"/>
        </w:r>
        <w:r w:rsidR="00F63B17">
          <w:rPr>
            <w:webHidden/>
          </w:rPr>
          <w:t>99</w:t>
        </w:r>
        <w:r w:rsidR="005412E1" w:rsidRPr="00892DE3">
          <w:rPr>
            <w:webHidden/>
          </w:rPr>
          <w:fldChar w:fldCharType="end"/>
        </w:r>
      </w:hyperlink>
    </w:p>
    <w:p w:rsidR="005412E1" w:rsidRPr="00892DE3" w:rsidRDefault="003C212D" w:rsidP="00B05757">
      <w:pPr>
        <w:pStyle w:val="TOC9"/>
        <w:rPr>
          <w:rFonts w:eastAsiaTheme="minorEastAsia"/>
          <w:spacing w:val="0"/>
          <w:sz w:val="22"/>
          <w:szCs w:val="22"/>
          <w:lang w:eastAsia="en-AU"/>
        </w:rPr>
      </w:pPr>
      <w:hyperlink w:anchor="_Toc474336131" w:history="1">
        <w:r w:rsidR="005412E1" w:rsidRPr="00892DE3">
          <w:rPr>
            <w:rStyle w:val="Hyperlink"/>
          </w:rPr>
          <w:t>3.3</w:t>
        </w:r>
        <w:r w:rsidR="005412E1" w:rsidRPr="00892DE3">
          <w:rPr>
            <w:rFonts w:eastAsiaTheme="minorEastAsia"/>
            <w:spacing w:val="0"/>
            <w:sz w:val="22"/>
            <w:szCs w:val="22"/>
            <w:lang w:eastAsia="en-AU"/>
          </w:rPr>
          <w:tab/>
        </w:r>
        <w:r w:rsidR="005412E1" w:rsidRPr="00892DE3">
          <w:rPr>
            <w:rStyle w:val="Hyperlink"/>
          </w:rPr>
          <w:t>Capital asset charge</w:t>
        </w:r>
        <w:r w:rsidR="005412E1" w:rsidRPr="00892DE3">
          <w:rPr>
            <w:webHidden/>
          </w:rPr>
          <w:tab/>
        </w:r>
        <w:r w:rsidR="005412E1" w:rsidRPr="00892DE3">
          <w:rPr>
            <w:webHidden/>
          </w:rPr>
          <w:fldChar w:fldCharType="begin"/>
        </w:r>
        <w:r w:rsidR="005412E1" w:rsidRPr="00892DE3">
          <w:rPr>
            <w:webHidden/>
          </w:rPr>
          <w:instrText xml:space="preserve"> PAGEREF _Toc474336131 \h </w:instrText>
        </w:r>
        <w:r w:rsidR="005412E1" w:rsidRPr="00892DE3">
          <w:rPr>
            <w:webHidden/>
          </w:rPr>
        </w:r>
        <w:r w:rsidR="005412E1" w:rsidRPr="00892DE3">
          <w:rPr>
            <w:webHidden/>
          </w:rPr>
          <w:fldChar w:fldCharType="separate"/>
        </w:r>
        <w:r w:rsidR="00F63B17">
          <w:rPr>
            <w:webHidden/>
          </w:rPr>
          <w:t>99</w:t>
        </w:r>
        <w:r w:rsidR="005412E1" w:rsidRPr="00892DE3">
          <w:rPr>
            <w:webHidden/>
          </w:rPr>
          <w:fldChar w:fldCharType="end"/>
        </w:r>
      </w:hyperlink>
    </w:p>
    <w:p w:rsidR="005412E1" w:rsidRPr="00892DE3" w:rsidRDefault="003C212D" w:rsidP="00B05757">
      <w:pPr>
        <w:pStyle w:val="TOC9"/>
        <w:rPr>
          <w:rFonts w:eastAsiaTheme="minorEastAsia"/>
          <w:spacing w:val="0"/>
          <w:sz w:val="22"/>
          <w:szCs w:val="22"/>
          <w:lang w:eastAsia="en-AU"/>
        </w:rPr>
      </w:pPr>
      <w:hyperlink w:anchor="_Toc474336132" w:history="1">
        <w:r w:rsidR="005412E1" w:rsidRPr="00892DE3">
          <w:rPr>
            <w:rStyle w:val="Hyperlink"/>
          </w:rPr>
          <w:t>3.4</w:t>
        </w:r>
        <w:r w:rsidR="005412E1" w:rsidRPr="00892DE3">
          <w:rPr>
            <w:rFonts w:eastAsiaTheme="minorEastAsia"/>
            <w:spacing w:val="0"/>
            <w:sz w:val="22"/>
            <w:szCs w:val="22"/>
            <w:lang w:eastAsia="en-AU"/>
          </w:rPr>
          <w:tab/>
        </w:r>
        <w:r w:rsidR="005412E1" w:rsidRPr="00892DE3">
          <w:rPr>
            <w:rStyle w:val="Hyperlink"/>
          </w:rPr>
          <w:t>Other operating expenses</w:t>
        </w:r>
        <w:r w:rsidR="005412E1" w:rsidRPr="00892DE3">
          <w:rPr>
            <w:webHidden/>
          </w:rPr>
          <w:tab/>
        </w:r>
        <w:r w:rsidR="005412E1" w:rsidRPr="00892DE3">
          <w:rPr>
            <w:webHidden/>
          </w:rPr>
          <w:fldChar w:fldCharType="begin"/>
        </w:r>
        <w:r w:rsidR="005412E1" w:rsidRPr="00892DE3">
          <w:rPr>
            <w:webHidden/>
          </w:rPr>
          <w:instrText xml:space="preserve"> PAGEREF _Toc474336132 \h </w:instrText>
        </w:r>
        <w:r w:rsidR="005412E1" w:rsidRPr="00892DE3">
          <w:rPr>
            <w:webHidden/>
          </w:rPr>
        </w:r>
        <w:r w:rsidR="005412E1" w:rsidRPr="00892DE3">
          <w:rPr>
            <w:webHidden/>
          </w:rPr>
          <w:fldChar w:fldCharType="separate"/>
        </w:r>
        <w:r w:rsidR="00F63B17">
          <w:rPr>
            <w:webHidden/>
          </w:rPr>
          <w:t>100</w:t>
        </w:r>
        <w:r w:rsidR="005412E1" w:rsidRPr="00892DE3">
          <w:rPr>
            <w:webHidden/>
          </w:rPr>
          <w:fldChar w:fldCharType="end"/>
        </w:r>
      </w:hyperlink>
    </w:p>
    <w:p w:rsidR="00AE7A4B" w:rsidRPr="00892DE3" w:rsidRDefault="00AE7A4B" w:rsidP="00B05757">
      <w:pPr>
        <w:pStyle w:val="TOC9"/>
      </w:pPr>
      <w:r w:rsidRPr="00892DE3">
        <w:fldChar w:fldCharType="end"/>
      </w:r>
    </w:p>
    <w:p w:rsidR="00AE7A4B" w:rsidRPr="00892DE3" w:rsidRDefault="00AE7A4B" w:rsidP="0067041F">
      <w:pPr>
        <w:pStyle w:val="TableHeading"/>
        <w:sectPr w:rsidR="00AE7A4B" w:rsidRPr="00892DE3" w:rsidSect="00AE7A4B">
          <w:type w:val="continuous"/>
          <w:pgSz w:w="11906" w:h="16838" w:code="9"/>
          <w:pgMar w:top="1134" w:right="1134" w:bottom="1134" w:left="1134" w:header="624" w:footer="567" w:gutter="0"/>
          <w:cols w:num="2" w:space="567"/>
          <w:titlePg/>
          <w:docGrid w:linePitch="360"/>
        </w:sectPr>
      </w:pPr>
    </w:p>
    <w:p w:rsidR="00AE7A4B" w:rsidRPr="00892DE3" w:rsidRDefault="00AE7A4B" w:rsidP="0067041F">
      <w:pPr>
        <w:pStyle w:val="TableHeading"/>
      </w:pPr>
    </w:p>
    <w:p w:rsidR="005D7DF1" w:rsidRPr="00892DE3" w:rsidRDefault="0067041F" w:rsidP="0019303F">
      <w:pPr>
        <w:pStyle w:val="Heading2"/>
      </w:pPr>
      <w:bookmarkStart w:id="97" w:name="_Toc474336129"/>
      <w:bookmarkStart w:id="98" w:name="_Toc478055727"/>
      <w:r w:rsidRPr="00892DE3">
        <w:t>Expenses incurred in delivery of services</w:t>
      </w:r>
      <w:bookmarkEnd w:id="97"/>
      <w:r w:rsidR="00181CBA" w:rsidRPr="00892DE3">
        <w:t xml:space="preserve"> </w:t>
      </w:r>
      <w:r w:rsidR="00181CBA" w:rsidRPr="00892DE3">
        <w:rPr>
          <w:color w:val="C00000"/>
          <w:sz w:val="16"/>
        </w:rPr>
        <w:t>[New]</w:t>
      </w:r>
      <w:bookmarkEnd w:id="98"/>
    </w:p>
    <w:p w:rsidR="0067041F" w:rsidRPr="00892DE3" w:rsidRDefault="0067041F" w:rsidP="005D7DF1">
      <w:pPr>
        <w:pStyle w:val="TableUnits"/>
      </w:pPr>
      <w:r w:rsidRPr="00892DE3">
        <w:t>($ thousand)</w:t>
      </w:r>
    </w:p>
    <w:tbl>
      <w:tblPr>
        <w:tblStyle w:val="ModelReportFinancialTable"/>
        <w:tblW w:w="9749" w:type="dxa"/>
        <w:tblLayout w:type="fixed"/>
        <w:tblLook w:val="06E0" w:firstRow="1" w:lastRow="1" w:firstColumn="1" w:lastColumn="0" w:noHBand="1" w:noVBand="1"/>
      </w:tblPr>
      <w:tblGrid>
        <w:gridCol w:w="1758"/>
        <w:gridCol w:w="5471"/>
        <w:gridCol w:w="870"/>
        <w:gridCol w:w="909"/>
        <w:gridCol w:w="741"/>
      </w:tblGrid>
      <w:tr w:rsidR="0067041F" w:rsidRPr="00892DE3" w:rsidTr="00AE7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8" w:type="dxa"/>
            <w:tcBorders>
              <w:bottom w:val="nil"/>
            </w:tcBorders>
            <w:shd w:val="clear" w:color="auto" w:fill="auto"/>
          </w:tcPr>
          <w:p w:rsidR="0067041F" w:rsidRPr="00892DE3" w:rsidRDefault="0067041F" w:rsidP="003B6677">
            <w:r w:rsidRPr="00892DE3">
              <w:t>Source reference</w:t>
            </w:r>
          </w:p>
        </w:tc>
        <w:tc>
          <w:tcPr>
            <w:tcW w:w="5471" w:type="dxa"/>
            <w:hideMark/>
          </w:tcPr>
          <w:p w:rsidR="0067041F" w:rsidRPr="00892DE3" w:rsidRDefault="0067041F" w:rsidP="003B6677">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70" w:type="dxa"/>
          </w:tcPr>
          <w:p w:rsidR="0067041F" w:rsidRPr="00892DE3" w:rsidRDefault="0067041F" w:rsidP="003B6677">
            <w:pPr>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909" w:type="dxa"/>
            <w:noWrap/>
            <w:hideMark/>
          </w:tcPr>
          <w:p w:rsidR="0067041F" w:rsidRPr="00892DE3" w:rsidRDefault="0067041F" w:rsidP="003B6677">
            <w:pPr>
              <w:cnfStyle w:val="100000000000" w:firstRow="1" w:lastRow="0" w:firstColumn="0" w:lastColumn="0" w:oddVBand="0" w:evenVBand="0" w:oddHBand="0" w:evenHBand="0" w:firstRowFirstColumn="0" w:firstRowLastColumn="0" w:lastRowFirstColumn="0" w:lastRowLastColumn="0"/>
            </w:pPr>
            <w:r w:rsidRPr="00892DE3">
              <w:t>2017</w:t>
            </w:r>
          </w:p>
        </w:tc>
        <w:tc>
          <w:tcPr>
            <w:tcW w:w="741" w:type="dxa"/>
            <w:noWrap/>
            <w:hideMark/>
          </w:tcPr>
          <w:p w:rsidR="0067041F" w:rsidRPr="00892DE3" w:rsidRDefault="0067041F" w:rsidP="003B6677">
            <w:pPr>
              <w:cnfStyle w:val="100000000000" w:firstRow="1" w:lastRow="0" w:firstColumn="0" w:lastColumn="0" w:oddVBand="0" w:evenVBand="0" w:oddHBand="0" w:evenHBand="0" w:firstRowFirstColumn="0" w:firstRowLastColumn="0" w:lastRowFirstColumn="0" w:lastRowLastColumn="0"/>
            </w:pPr>
            <w:r w:rsidRPr="00892DE3">
              <w:t>2016</w:t>
            </w:r>
          </w:p>
        </w:tc>
      </w:tr>
      <w:tr w:rsidR="0067041F" w:rsidRPr="00892DE3" w:rsidTr="00AE7A4B">
        <w:tc>
          <w:tcPr>
            <w:cnfStyle w:val="001000000000" w:firstRow="0" w:lastRow="0" w:firstColumn="1" w:lastColumn="0" w:oddVBand="0" w:evenVBand="0" w:oddHBand="0" w:evenHBand="0" w:firstRowFirstColumn="0" w:firstRowLastColumn="0" w:lastRowFirstColumn="0" w:lastRowLastColumn="0"/>
            <w:tcW w:w="1758" w:type="dxa"/>
            <w:tcBorders>
              <w:bottom w:val="nil"/>
            </w:tcBorders>
          </w:tcPr>
          <w:p w:rsidR="0067041F" w:rsidRPr="00892DE3" w:rsidRDefault="0067041F" w:rsidP="003B6677">
            <w:r w:rsidRPr="00892DE3">
              <w:t>AASB 101.99</w:t>
            </w:r>
          </w:p>
        </w:tc>
        <w:tc>
          <w:tcPr>
            <w:tcW w:w="5471" w:type="dxa"/>
            <w:hideMark/>
          </w:tcPr>
          <w:p w:rsidR="0067041F" w:rsidRPr="00892DE3" w:rsidRDefault="0067041F" w:rsidP="003B6677">
            <w:pPr>
              <w:jc w:val="left"/>
              <w:cnfStyle w:val="000000000000" w:firstRow="0" w:lastRow="0" w:firstColumn="0" w:lastColumn="0" w:oddVBand="0" w:evenVBand="0" w:oddHBand="0" w:evenHBand="0" w:firstRowFirstColumn="0" w:firstRowLastColumn="0" w:lastRowFirstColumn="0" w:lastRowLastColumn="0"/>
            </w:pPr>
            <w:r w:rsidRPr="00892DE3">
              <w:t>Employee benefit expenses</w:t>
            </w:r>
          </w:p>
        </w:tc>
        <w:tc>
          <w:tcPr>
            <w:tcW w:w="870" w:type="dxa"/>
          </w:tcPr>
          <w:p w:rsidR="00D7340A" w:rsidRPr="00892DE3" w:rsidRDefault="0067041F" w:rsidP="003B6677">
            <w:pPr>
              <w:jc w:val="center"/>
              <w:cnfStyle w:val="000000000000" w:firstRow="0" w:lastRow="0" w:firstColumn="0" w:lastColumn="0" w:oddVBand="0" w:evenVBand="0" w:oddHBand="0" w:evenHBand="0" w:firstRowFirstColumn="0" w:firstRowLastColumn="0" w:lastRowFirstColumn="0" w:lastRowLastColumn="0"/>
            </w:pPr>
            <w:r w:rsidRPr="00892DE3">
              <w:t>3.1</w:t>
            </w:r>
            <w:r w:rsidR="00D7340A" w:rsidRPr="00892DE3">
              <w:t>.1</w:t>
            </w:r>
          </w:p>
        </w:tc>
        <w:tc>
          <w:tcPr>
            <w:tcW w:w="909" w:type="dxa"/>
            <w:shd w:val="clear" w:color="auto" w:fill="EBEBEB" w:themeFill="background2"/>
            <w:noWrap/>
            <w:hideMark/>
          </w:tcPr>
          <w:p w:rsidR="0067041F" w:rsidRPr="00892DE3" w:rsidRDefault="0067041F" w:rsidP="003B6677">
            <w:pPr>
              <w:cnfStyle w:val="000000000000" w:firstRow="0" w:lastRow="0" w:firstColumn="0" w:lastColumn="0" w:oddVBand="0" w:evenVBand="0" w:oddHBand="0" w:evenHBand="0" w:firstRowFirstColumn="0" w:firstRowLastColumn="0" w:lastRowFirstColumn="0" w:lastRowLastColumn="0"/>
            </w:pPr>
            <w:r w:rsidRPr="00892DE3">
              <w:t>13 767</w:t>
            </w:r>
          </w:p>
        </w:tc>
        <w:tc>
          <w:tcPr>
            <w:tcW w:w="741" w:type="dxa"/>
            <w:noWrap/>
            <w:hideMark/>
          </w:tcPr>
          <w:p w:rsidR="0067041F" w:rsidRPr="00892DE3" w:rsidRDefault="0067041F" w:rsidP="003B6677">
            <w:pPr>
              <w:cnfStyle w:val="000000000000" w:firstRow="0" w:lastRow="0" w:firstColumn="0" w:lastColumn="0" w:oddVBand="0" w:evenVBand="0" w:oddHBand="0" w:evenHBand="0" w:firstRowFirstColumn="0" w:firstRowLastColumn="0" w:lastRowFirstColumn="0" w:lastRowLastColumn="0"/>
            </w:pPr>
            <w:r w:rsidRPr="00892DE3">
              <w:t>10 970</w:t>
            </w:r>
          </w:p>
        </w:tc>
      </w:tr>
      <w:tr w:rsidR="0067041F" w:rsidRPr="00892DE3" w:rsidTr="00AE7A4B">
        <w:tc>
          <w:tcPr>
            <w:cnfStyle w:val="001000000000" w:firstRow="0" w:lastRow="0" w:firstColumn="1" w:lastColumn="0" w:oddVBand="0" w:evenVBand="0" w:oddHBand="0" w:evenHBand="0" w:firstRowFirstColumn="0" w:firstRowLastColumn="0" w:lastRowFirstColumn="0" w:lastRowLastColumn="0"/>
            <w:tcW w:w="1758" w:type="dxa"/>
            <w:tcBorders>
              <w:bottom w:val="nil"/>
            </w:tcBorders>
          </w:tcPr>
          <w:p w:rsidR="0067041F" w:rsidRPr="00892DE3" w:rsidRDefault="0067041F" w:rsidP="003B6677">
            <w:r w:rsidRPr="00892DE3">
              <w:t>AASB 101.82(b)</w:t>
            </w:r>
          </w:p>
        </w:tc>
        <w:tc>
          <w:tcPr>
            <w:tcW w:w="5471" w:type="dxa"/>
            <w:hideMark/>
          </w:tcPr>
          <w:p w:rsidR="0067041F" w:rsidRPr="00892DE3" w:rsidRDefault="0067041F" w:rsidP="003B6677">
            <w:pPr>
              <w:jc w:val="left"/>
              <w:cnfStyle w:val="000000000000" w:firstRow="0" w:lastRow="0" w:firstColumn="0" w:lastColumn="0" w:oddVBand="0" w:evenVBand="0" w:oddHBand="0" w:evenHBand="0" w:firstRowFirstColumn="0" w:firstRowLastColumn="0" w:lastRowFirstColumn="0" w:lastRowLastColumn="0"/>
            </w:pPr>
            <w:r w:rsidRPr="00892DE3">
              <w:t>Grants and other transfers</w:t>
            </w:r>
          </w:p>
        </w:tc>
        <w:tc>
          <w:tcPr>
            <w:tcW w:w="870" w:type="dxa"/>
          </w:tcPr>
          <w:p w:rsidR="0067041F" w:rsidRPr="00892DE3" w:rsidRDefault="0067041F" w:rsidP="003B6677">
            <w:pPr>
              <w:jc w:val="center"/>
              <w:cnfStyle w:val="000000000000" w:firstRow="0" w:lastRow="0" w:firstColumn="0" w:lastColumn="0" w:oddVBand="0" w:evenVBand="0" w:oddHBand="0" w:evenHBand="0" w:firstRowFirstColumn="0" w:firstRowLastColumn="0" w:lastRowFirstColumn="0" w:lastRowLastColumn="0"/>
            </w:pPr>
            <w:r w:rsidRPr="00892DE3">
              <w:t>3.2</w:t>
            </w:r>
          </w:p>
        </w:tc>
        <w:tc>
          <w:tcPr>
            <w:tcW w:w="909" w:type="dxa"/>
            <w:shd w:val="clear" w:color="auto" w:fill="EBEBEB" w:themeFill="background2"/>
            <w:noWrap/>
            <w:hideMark/>
          </w:tcPr>
          <w:p w:rsidR="0067041F" w:rsidRPr="00892DE3" w:rsidRDefault="0067041F" w:rsidP="003B6677">
            <w:pPr>
              <w:cnfStyle w:val="000000000000" w:firstRow="0" w:lastRow="0" w:firstColumn="0" w:lastColumn="0" w:oddVBand="0" w:evenVBand="0" w:oddHBand="0" w:evenHBand="0" w:firstRowFirstColumn="0" w:firstRowLastColumn="0" w:lastRowFirstColumn="0" w:lastRowLastColumn="0"/>
            </w:pPr>
            <w:r w:rsidRPr="00892DE3">
              <w:t>32 883</w:t>
            </w:r>
          </w:p>
        </w:tc>
        <w:tc>
          <w:tcPr>
            <w:tcW w:w="741" w:type="dxa"/>
            <w:noWrap/>
            <w:hideMark/>
          </w:tcPr>
          <w:p w:rsidR="0067041F" w:rsidRPr="00892DE3" w:rsidRDefault="0067041F" w:rsidP="003B6677">
            <w:pPr>
              <w:cnfStyle w:val="000000000000" w:firstRow="0" w:lastRow="0" w:firstColumn="0" w:lastColumn="0" w:oddVBand="0" w:evenVBand="0" w:oddHBand="0" w:evenHBand="0" w:firstRowFirstColumn="0" w:firstRowLastColumn="0" w:lastRowFirstColumn="0" w:lastRowLastColumn="0"/>
            </w:pPr>
            <w:r w:rsidRPr="00892DE3">
              <w:t>43 040</w:t>
            </w:r>
          </w:p>
        </w:tc>
      </w:tr>
      <w:tr w:rsidR="0067041F" w:rsidRPr="00892DE3" w:rsidTr="00AE7A4B">
        <w:tc>
          <w:tcPr>
            <w:cnfStyle w:val="001000000000" w:firstRow="0" w:lastRow="0" w:firstColumn="1" w:lastColumn="0" w:oddVBand="0" w:evenVBand="0" w:oddHBand="0" w:evenHBand="0" w:firstRowFirstColumn="0" w:firstRowLastColumn="0" w:lastRowFirstColumn="0" w:lastRowLastColumn="0"/>
            <w:tcW w:w="1758" w:type="dxa"/>
            <w:tcBorders>
              <w:bottom w:val="nil"/>
            </w:tcBorders>
          </w:tcPr>
          <w:p w:rsidR="0067041F" w:rsidRPr="00892DE3" w:rsidRDefault="0067041F" w:rsidP="003B6677">
            <w:r w:rsidRPr="00892DE3">
              <w:t>AASB 101.85</w:t>
            </w:r>
          </w:p>
        </w:tc>
        <w:tc>
          <w:tcPr>
            <w:tcW w:w="5471" w:type="dxa"/>
            <w:hideMark/>
          </w:tcPr>
          <w:p w:rsidR="0067041F" w:rsidRPr="00892DE3" w:rsidRDefault="0067041F" w:rsidP="003B6677">
            <w:pPr>
              <w:jc w:val="left"/>
              <w:cnfStyle w:val="000000000000" w:firstRow="0" w:lastRow="0" w:firstColumn="0" w:lastColumn="0" w:oddVBand="0" w:evenVBand="0" w:oddHBand="0" w:evenHBand="0" w:firstRowFirstColumn="0" w:firstRowLastColumn="0" w:lastRowFirstColumn="0" w:lastRowLastColumn="0"/>
            </w:pPr>
            <w:r w:rsidRPr="00892DE3">
              <w:t>Capital asset charge</w:t>
            </w:r>
          </w:p>
        </w:tc>
        <w:tc>
          <w:tcPr>
            <w:tcW w:w="870" w:type="dxa"/>
          </w:tcPr>
          <w:p w:rsidR="0067041F" w:rsidRPr="00892DE3" w:rsidRDefault="0067041F" w:rsidP="003B6677">
            <w:pPr>
              <w:jc w:val="center"/>
              <w:cnfStyle w:val="000000000000" w:firstRow="0" w:lastRow="0" w:firstColumn="0" w:lastColumn="0" w:oddVBand="0" w:evenVBand="0" w:oddHBand="0" w:evenHBand="0" w:firstRowFirstColumn="0" w:firstRowLastColumn="0" w:lastRowFirstColumn="0" w:lastRowLastColumn="0"/>
            </w:pPr>
            <w:r w:rsidRPr="00892DE3">
              <w:t>3.3</w:t>
            </w:r>
          </w:p>
        </w:tc>
        <w:tc>
          <w:tcPr>
            <w:tcW w:w="909" w:type="dxa"/>
            <w:shd w:val="clear" w:color="auto" w:fill="EBEBEB" w:themeFill="background2"/>
            <w:noWrap/>
            <w:hideMark/>
          </w:tcPr>
          <w:p w:rsidR="0067041F" w:rsidRPr="00892DE3" w:rsidRDefault="0067041F" w:rsidP="003B6677">
            <w:pPr>
              <w:cnfStyle w:val="000000000000" w:firstRow="0" w:lastRow="0" w:firstColumn="0" w:lastColumn="0" w:oddVBand="0" w:evenVBand="0" w:oddHBand="0" w:evenHBand="0" w:firstRowFirstColumn="0" w:firstRowLastColumn="0" w:lastRowFirstColumn="0" w:lastRowLastColumn="0"/>
            </w:pPr>
            <w:r w:rsidRPr="00892DE3">
              <w:t>1 309</w:t>
            </w:r>
          </w:p>
        </w:tc>
        <w:tc>
          <w:tcPr>
            <w:tcW w:w="741" w:type="dxa"/>
            <w:noWrap/>
            <w:hideMark/>
          </w:tcPr>
          <w:p w:rsidR="0067041F" w:rsidRPr="00892DE3" w:rsidRDefault="0067041F" w:rsidP="003B6677">
            <w:pPr>
              <w:cnfStyle w:val="000000000000" w:firstRow="0" w:lastRow="0" w:firstColumn="0" w:lastColumn="0" w:oddVBand="0" w:evenVBand="0" w:oddHBand="0" w:evenHBand="0" w:firstRowFirstColumn="0" w:firstRowLastColumn="0" w:lastRowFirstColumn="0" w:lastRowLastColumn="0"/>
            </w:pPr>
            <w:r w:rsidRPr="00892DE3">
              <w:t>720</w:t>
            </w:r>
          </w:p>
        </w:tc>
      </w:tr>
      <w:tr w:rsidR="0067041F" w:rsidRPr="00892DE3" w:rsidTr="00AE7A4B">
        <w:tc>
          <w:tcPr>
            <w:cnfStyle w:val="001000000000" w:firstRow="0" w:lastRow="0" w:firstColumn="1" w:lastColumn="0" w:oddVBand="0" w:evenVBand="0" w:oddHBand="0" w:evenHBand="0" w:firstRowFirstColumn="0" w:firstRowLastColumn="0" w:lastRowFirstColumn="0" w:lastRowLastColumn="0"/>
            <w:tcW w:w="1758" w:type="dxa"/>
            <w:tcBorders>
              <w:bottom w:val="nil"/>
            </w:tcBorders>
          </w:tcPr>
          <w:p w:rsidR="0067041F" w:rsidRPr="00892DE3" w:rsidRDefault="0067041F" w:rsidP="003B6677">
            <w:r w:rsidRPr="00892DE3">
              <w:t>AASB 101.82(b)</w:t>
            </w:r>
          </w:p>
        </w:tc>
        <w:tc>
          <w:tcPr>
            <w:tcW w:w="5471" w:type="dxa"/>
            <w:hideMark/>
          </w:tcPr>
          <w:p w:rsidR="0067041F" w:rsidRPr="00892DE3" w:rsidRDefault="0067041F" w:rsidP="003B6677">
            <w:pPr>
              <w:jc w:val="left"/>
              <w:cnfStyle w:val="000000000000" w:firstRow="0" w:lastRow="0" w:firstColumn="0" w:lastColumn="0" w:oddVBand="0" w:evenVBand="0" w:oddHBand="0" w:evenHBand="0" w:firstRowFirstColumn="0" w:firstRowLastColumn="0" w:lastRowFirstColumn="0" w:lastRowLastColumn="0"/>
            </w:pPr>
            <w:r w:rsidRPr="00892DE3">
              <w:t>Other operating expenses</w:t>
            </w:r>
          </w:p>
        </w:tc>
        <w:tc>
          <w:tcPr>
            <w:tcW w:w="870" w:type="dxa"/>
          </w:tcPr>
          <w:p w:rsidR="0067041F" w:rsidRPr="00892DE3" w:rsidRDefault="0067041F" w:rsidP="003B6677">
            <w:pPr>
              <w:jc w:val="center"/>
              <w:cnfStyle w:val="000000000000" w:firstRow="0" w:lastRow="0" w:firstColumn="0" w:lastColumn="0" w:oddVBand="0" w:evenVBand="0" w:oddHBand="0" w:evenHBand="0" w:firstRowFirstColumn="0" w:firstRowLastColumn="0" w:lastRowFirstColumn="0" w:lastRowLastColumn="0"/>
            </w:pPr>
            <w:r w:rsidRPr="00892DE3">
              <w:t>3.4</w:t>
            </w:r>
          </w:p>
        </w:tc>
        <w:tc>
          <w:tcPr>
            <w:tcW w:w="909" w:type="dxa"/>
            <w:shd w:val="clear" w:color="auto" w:fill="EBEBEB" w:themeFill="background2"/>
            <w:noWrap/>
            <w:hideMark/>
          </w:tcPr>
          <w:p w:rsidR="0067041F" w:rsidRPr="00892DE3" w:rsidRDefault="0067041F" w:rsidP="003B6677">
            <w:pPr>
              <w:cnfStyle w:val="000000000000" w:firstRow="0" w:lastRow="0" w:firstColumn="0" w:lastColumn="0" w:oddVBand="0" w:evenVBand="0" w:oddHBand="0" w:evenHBand="0" w:firstRowFirstColumn="0" w:firstRowLastColumn="0" w:lastRowFirstColumn="0" w:lastRowLastColumn="0"/>
            </w:pPr>
            <w:r w:rsidRPr="00892DE3">
              <w:t>15 828</w:t>
            </w:r>
          </w:p>
        </w:tc>
        <w:tc>
          <w:tcPr>
            <w:tcW w:w="741" w:type="dxa"/>
            <w:noWrap/>
            <w:hideMark/>
          </w:tcPr>
          <w:p w:rsidR="0067041F" w:rsidRPr="00892DE3" w:rsidRDefault="0067041F" w:rsidP="003B6677">
            <w:pPr>
              <w:cnfStyle w:val="000000000000" w:firstRow="0" w:lastRow="0" w:firstColumn="0" w:lastColumn="0" w:oddVBand="0" w:evenVBand="0" w:oddHBand="0" w:evenHBand="0" w:firstRowFirstColumn="0" w:firstRowLastColumn="0" w:lastRowFirstColumn="0" w:lastRowLastColumn="0"/>
            </w:pPr>
            <w:r w:rsidRPr="00892DE3">
              <w:t>8 197</w:t>
            </w:r>
          </w:p>
        </w:tc>
      </w:tr>
      <w:tr w:rsidR="0067041F" w:rsidRPr="00892DE3" w:rsidTr="00AE7A4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58" w:type="dxa"/>
          </w:tcPr>
          <w:p w:rsidR="0067041F" w:rsidRPr="00892DE3" w:rsidRDefault="0067041F" w:rsidP="003B6677">
            <w:r w:rsidRPr="00892DE3">
              <w:t>AASB 101.85</w:t>
            </w:r>
          </w:p>
        </w:tc>
        <w:tc>
          <w:tcPr>
            <w:tcW w:w="5471" w:type="dxa"/>
            <w:hideMark/>
          </w:tcPr>
          <w:p w:rsidR="0067041F" w:rsidRPr="00892DE3" w:rsidRDefault="0067041F" w:rsidP="003B6677">
            <w:pPr>
              <w:jc w:val="left"/>
              <w:cnfStyle w:val="010000000000" w:firstRow="0" w:lastRow="1" w:firstColumn="0" w:lastColumn="0" w:oddVBand="0" w:evenVBand="0" w:oddHBand="0" w:evenHBand="0" w:firstRowFirstColumn="0" w:firstRowLastColumn="0" w:lastRowFirstColumn="0" w:lastRowLastColumn="0"/>
            </w:pPr>
            <w:r w:rsidRPr="00892DE3">
              <w:t>Total expenses incur</w:t>
            </w:r>
            <w:r w:rsidR="003B6677" w:rsidRPr="00892DE3">
              <w:t>r</w:t>
            </w:r>
            <w:r w:rsidRPr="00892DE3">
              <w:t>ed in delivery of services</w:t>
            </w:r>
          </w:p>
        </w:tc>
        <w:tc>
          <w:tcPr>
            <w:tcW w:w="870" w:type="dxa"/>
          </w:tcPr>
          <w:p w:rsidR="0067041F" w:rsidRPr="00892DE3" w:rsidRDefault="0067041F" w:rsidP="003B6677">
            <w:pPr>
              <w:jc w:val="center"/>
              <w:cnfStyle w:val="010000000000" w:firstRow="0" w:lastRow="1" w:firstColumn="0" w:lastColumn="0" w:oddVBand="0" w:evenVBand="0" w:oddHBand="0" w:evenHBand="0" w:firstRowFirstColumn="0" w:firstRowLastColumn="0" w:lastRowFirstColumn="0" w:lastRowLastColumn="0"/>
            </w:pPr>
          </w:p>
        </w:tc>
        <w:tc>
          <w:tcPr>
            <w:tcW w:w="909" w:type="dxa"/>
            <w:shd w:val="clear" w:color="auto" w:fill="EBEBEB" w:themeFill="background2"/>
            <w:noWrap/>
            <w:hideMark/>
          </w:tcPr>
          <w:p w:rsidR="0067041F" w:rsidRPr="00892DE3" w:rsidRDefault="0067041F" w:rsidP="003B6677">
            <w:pPr>
              <w:cnfStyle w:val="010000000000" w:firstRow="0" w:lastRow="1" w:firstColumn="0" w:lastColumn="0" w:oddVBand="0" w:evenVBand="0" w:oddHBand="0" w:evenHBand="0" w:firstRowFirstColumn="0" w:firstRowLastColumn="0" w:lastRowFirstColumn="0" w:lastRowLastColumn="0"/>
            </w:pPr>
            <w:r w:rsidRPr="00892DE3">
              <w:t>63 787</w:t>
            </w:r>
          </w:p>
        </w:tc>
        <w:tc>
          <w:tcPr>
            <w:tcW w:w="741" w:type="dxa"/>
            <w:noWrap/>
            <w:hideMark/>
          </w:tcPr>
          <w:p w:rsidR="0067041F" w:rsidRPr="00892DE3" w:rsidRDefault="0067041F" w:rsidP="003B6677">
            <w:pPr>
              <w:cnfStyle w:val="010000000000" w:firstRow="0" w:lastRow="1" w:firstColumn="0" w:lastColumn="0" w:oddVBand="0" w:evenVBand="0" w:oddHBand="0" w:evenHBand="0" w:firstRowFirstColumn="0" w:firstRowLastColumn="0" w:lastRowFirstColumn="0" w:lastRowLastColumn="0"/>
            </w:pPr>
            <w:r w:rsidRPr="00892DE3">
              <w:t>62 927</w:t>
            </w:r>
          </w:p>
        </w:tc>
      </w:tr>
    </w:tbl>
    <w:p w:rsidR="0067041F" w:rsidRPr="00892DE3" w:rsidRDefault="0067041F" w:rsidP="0067041F"/>
    <w:tbl>
      <w:tblPr>
        <w:tblStyle w:val="ModelReportGuidanceTable"/>
        <w:tblW w:w="0" w:type="auto"/>
        <w:tblLayout w:type="fixed"/>
        <w:tblLook w:val="04A0" w:firstRow="1" w:lastRow="0" w:firstColumn="1" w:lastColumn="0" w:noHBand="0" w:noVBand="1"/>
      </w:tblPr>
      <w:tblGrid>
        <w:gridCol w:w="9854"/>
      </w:tblGrid>
      <w:tr w:rsidR="003B6677"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3B6677" w:rsidRPr="00892DE3" w:rsidRDefault="003B6677" w:rsidP="0067041F">
            <w:r w:rsidRPr="00892DE3">
              <w:t>Guidance – Expenses presentation</w:t>
            </w:r>
          </w:p>
        </w:tc>
      </w:tr>
      <w:tr w:rsidR="003B6677" w:rsidRPr="00892DE3" w:rsidTr="0044350A">
        <w:tc>
          <w:tcPr>
            <w:tcW w:w="9854" w:type="dxa"/>
          </w:tcPr>
          <w:p w:rsidR="003B6677" w:rsidRPr="00892DE3" w:rsidRDefault="003B6677" w:rsidP="0067041F">
            <w:r w:rsidRPr="00892DE3">
              <w:t xml:space="preserve">When items included in ‘Expenses’ are material, their nature and amounts need to be disclosed separately, either in the comprehensive operating statement or in the notes to the financial statements. Expenses can be classified by either ‘nature’ or ‘function’ depending on which classification provides more reliable and relevant information. In the illustrative disclosures, the Department classifies its expenses by nature. Expenses are recorded on the face of the comprehensive operating statements and further disaggregated in the notes. </w:t>
            </w:r>
            <w:r w:rsidRPr="00892DE3">
              <w:rPr>
                <w:rStyle w:val="SourceReference"/>
              </w:rPr>
              <w:t>[AASB 101.97, 99]</w:t>
            </w:r>
          </w:p>
        </w:tc>
      </w:tr>
    </w:tbl>
    <w:p w:rsidR="003B6677" w:rsidRPr="00892DE3" w:rsidRDefault="003B6677" w:rsidP="0067041F"/>
    <w:p w:rsidR="005D7DF1" w:rsidRPr="00892DE3" w:rsidRDefault="003B6677" w:rsidP="00D31BB8">
      <w:pPr>
        <w:pStyle w:val="Heading3"/>
      </w:pPr>
      <w:r w:rsidRPr="00892DE3">
        <w:t>Employee benefits in the co</w:t>
      </w:r>
      <w:r w:rsidR="005D7DF1" w:rsidRPr="00892DE3">
        <w:t>mprehensive operating statement</w:t>
      </w:r>
    </w:p>
    <w:p w:rsidR="003B6677" w:rsidRPr="00892DE3" w:rsidRDefault="003B6677" w:rsidP="005D7DF1">
      <w:pPr>
        <w:pStyle w:val="TableUnits"/>
      </w:pPr>
      <w:r w:rsidRPr="00892DE3">
        <w:t>($ thousand)</w:t>
      </w:r>
    </w:p>
    <w:tbl>
      <w:tblPr>
        <w:tblStyle w:val="ModelReportFinancialTable"/>
        <w:tblW w:w="4959" w:type="pct"/>
        <w:tblLayout w:type="fixed"/>
        <w:tblLook w:val="06E0" w:firstRow="1" w:lastRow="1" w:firstColumn="1" w:lastColumn="0" w:noHBand="1" w:noVBand="1"/>
      </w:tblPr>
      <w:tblGrid>
        <w:gridCol w:w="1758"/>
        <w:gridCol w:w="6372"/>
        <w:gridCol w:w="735"/>
        <w:gridCol w:w="807"/>
      </w:tblGrid>
      <w:tr w:rsidR="003B6677" w:rsidRPr="00892DE3" w:rsidTr="00AE7A4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909" w:type="pct"/>
            <w:tcBorders>
              <w:bottom w:val="nil"/>
            </w:tcBorders>
            <w:shd w:val="clear" w:color="auto" w:fill="auto"/>
          </w:tcPr>
          <w:p w:rsidR="003B6677" w:rsidRPr="00892DE3" w:rsidRDefault="003B6677" w:rsidP="003B6677">
            <w:r w:rsidRPr="00892DE3">
              <w:t>Source reference</w:t>
            </w:r>
          </w:p>
        </w:tc>
        <w:tc>
          <w:tcPr>
            <w:tcW w:w="3294" w:type="pct"/>
            <w:hideMark/>
          </w:tcPr>
          <w:p w:rsidR="003B6677" w:rsidRPr="00892DE3" w:rsidRDefault="003B6677" w:rsidP="003B6677">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380" w:type="pct"/>
            <w:noWrap/>
            <w:hideMark/>
          </w:tcPr>
          <w:p w:rsidR="003B6677" w:rsidRPr="00892DE3" w:rsidRDefault="003B6677" w:rsidP="00450E27">
            <w:pPr>
              <w:cnfStyle w:val="100000000000" w:firstRow="1" w:lastRow="0" w:firstColumn="0" w:lastColumn="0" w:oddVBand="0" w:evenVBand="0" w:oddHBand="0" w:evenHBand="0" w:firstRowFirstColumn="0" w:firstRowLastColumn="0" w:lastRowFirstColumn="0" w:lastRowLastColumn="0"/>
            </w:pPr>
            <w:r w:rsidRPr="00892DE3">
              <w:t>2017</w:t>
            </w:r>
          </w:p>
        </w:tc>
        <w:tc>
          <w:tcPr>
            <w:tcW w:w="417" w:type="pct"/>
            <w:noWrap/>
            <w:hideMark/>
          </w:tcPr>
          <w:p w:rsidR="003B6677" w:rsidRPr="00892DE3" w:rsidRDefault="003B6677" w:rsidP="00450E27">
            <w:pPr>
              <w:cnfStyle w:val="100000000000" w:firstRow="1" w:lastRow="0" w:firstColumn="0" w:lastColumn="0" w:oddVBand="0" w:evenVBand="0" w:oddHBand="0" w:evenHBand="0" w:firstRowFirstColumn="0" w:firstRowLastColumn="0" w:lastRowFirstColumn="0" w:lastRowLastColumn="0"/>
            </w:pPr>
            <w:r w:rsidRPr="00892DE3">
              <w:t>2016</w:t>
            </w:r>
          </w:p>
        </w:tc>
      </w:tr>
      <w:tr w:rsidR="003B6677" w:rsidRPr="00892DE3" w:rsidTr="00AE7A4B">
        <w:trPr>
          <w:trHeight w:val="255"/>
        </w:trPr>
        <w:tc>
          <w:tcPr>
            <w:cnfStyle w:val="001000000000" w:firstRow="0" w:lastRow="0" w:firstColumn="1" w:lastColumn="0" w:oddVBand="0" w:evenVBand="0" w:oddHBand="0" w:evenHBand="0" w:firstRowFirstColumn="0" w:firstRowLastColumn="0" w:lastRowFirstColumn="0" w:lastRowLastColumn="0"/>
            <w:tcW w:w="909" w:type="pct"/>
            <w:tcBorders>
              <w:bottom w:val="nil"/>
            </w:tcBorders>
          </w:tcPr>
          <w:p w:rsidR="003B6677" w:rsidRPr="00892DE3" w:rsidRDefault="003B6677" w:rsidP="003B6677">
            <w:r w:rsidRPr="00892DE3">
              <w:t>AASB 119.46, FRD 112D</w:t>
            </w:r>
          </w:p>
        </w:tc>
        <w:tc>
          <w:tcPr>
            <w:tcW w:w="3294" w:type="pct"/>
            <w:hideMark/>
          </w:tcPr>
          <w:p w:rsidR="003B6677" w:rsidRPr="00892DE3" w:rsidRDefault="003B6677" w:rsidP="003B6677">
            <w:pPr>
              <w:jc w:val="left"/>
              <w:cnfStyle w:val="000000000000" w:firstRow="0" w:lastRow="0" w:firstColumn="0" w:lastColumn="0" w:oddVBand="0" w:evenVBand="0" w:oddHBand="0" w:evenHBand="0" w:firstRowFirstColumn="0" w:firstRowLastColumn="0" w:lastRowFirstColumn="0" w:lastRowLastColumn="0"/>
            </w:pPr>
            <w:r w:rsidRPr="00892DE3">
              <w:t>Defined contribution superannuation expense</w:t>
            </w:r>
          </w:p>
        </w:tc>
        <w:tc>
          <w:tcPr>
            <w:tcW w:w="380" w:type="pct"/>
            <w:shd w:val="clear" w:color="auto" w:fill="EBEBEB" w:themeFill="background2"/>
            <w:noWrap/>
            <w:hideMark/>
          </w:tcPr>
          <w:p w:rsidR="003B6677" w:rsidRPr="00892DE3" w:rsidRDefault="003B6677" w:rsidP="00450E27">
            <w:pPr>
              <w:cnfStyle w:val="000000000000" w:firstRow="0" w:lastRow="0" w:firstColumn="0" w:lastColumn="0" w:oddVBand="0" w:evenVBand="0" w:oddHBand="0" w:evenHBand="0" w:firstRowFirstColumn="0" w:firstRowLastColumn="0" w:lastRowFirstColumn="0" w:lastRowLastColumn="0"/>
            </w:pPr>
            <w:r w:rsidRPr="00892DE3">
              <w:t xml:space="preserve"> 451</w:t>
            </w:r>
          </w:p>
        </w:tc>
        <w:tc>
          <w:tcPr>
            <w:tcW w:w="417" w:type="pct"/>
            <w:noWrap/>
            <w:hideMark/>
          </w:tcPr>
          <w:p w:rsidR="003B6677" w:rsidRPr="00892DE3" w:rsidRDefault="003B6677" w:rsidP="00450E27">
            <w:pPr>
              <w:cnfStyle w:val="000000000000" w:firstRow="0" w:lastRow="0" w:firstColumn="0" w:lastColumn="0" w:oddVBand="0" w:evenVBand="0" w:oddHBand="0" w:evenHBand="0" w:firstRowFirstColumn="0" w:firstRowLastColumn="0" w:lastRowFirstColumn="0" w:lastRowLastColumn="0"/>
            </w:pPr>
            <w:r w:rsidRPr="00892DE3">
              <w:t xml:space="preserve"> 325</w:t>
            </w:r>
          </w:p>
        </w:tc>
      </w:tr>
      <w:tr w:rsidR="003B6677" w:rsidRPr="00892DE3" w:rsidTr="00AE7A4B">
        <w:trPr>
          <w:trHeight w:val="66"/>
        </w:trPr>
        <w:tc>
          <w:tcPr>
            <w:cnfStyle w:val="001000000000" w:firstRow="0" w:lastRow="0" w:firstColumn="1" w:lastColumn="0" w:oddVBand="0" w:evenVBand="0" w:oddHBand="0" w:evenHBand="0" w:firstRowFirstColumn="0" w:firstRowLastColumn="0" w:lastRowFirstColumn="0" w:lastRowLastColumn="0"/>
            <w:tcW w:w="909" w:type="pct"/>
            <w:tcBorders>
              <w:bottom w:val="nil"/>
            </w:tcBorders>
          </w:tcPr>
          <w:p w:rsidR="003B6677" w:rsidRPr="00892DE3" w:rsidRDefault="003B6677" w:rsidP="003B6677">
            <w:r w:rsidRPr="00892DE3">
              <w:t>AASB 119.46, FRD 112D</w:t>
            </w:r>
          </w:p>
        </w:tc>
        <w:tc>
          <w:tcPr>
            <w:tcW w:w="3294" w:type="pct"/>
            <w:hideMark/>
          </w:tcPr>
          <w:p w:rsidR="003B6677" w:rsidRPr="00892DE3" w:rsidRDefault="003B6677" w:rsidP="003B6677">
            <w:pPr>
              <w:jc w:val="left"/>
              <w:cnfStyle w:val="000000000000" w:firstRow="0" w:lastRow="0" w:firstColumn="0" w:lastColumn="0" w:oddVBand="0" w:evenVBand="0" w:oddHBand="0" w:evenHBand="0" w:firstRowFirstColumn="0" w:firstRowLastColumn="0" w:lastRowFirstColumn="0" w:lastRowLastColumn="0"/>
            </w:pPr>
            <w:r w:rsidRPr="00892DE3">
              <w:t>Defined benefit superannuation expense</w:t>
            </w:r>
          </w:p>
        </w:tc>
        <w:tc>
          <w:tcPr>
            <w:tcW w:w="380" w:type="pct"/>
            <w:shd w:val="clear" w:color="auto" w:fill="EBEBEB" w:themeFill="background2"/>
            <w:noWrap/>
            <w:hideMark/>
          </w:tcPr>
          <w:p w:rsidR="003B6677" w:rsidRPr="00892DE3" w:rsidRDefault="003B6677" w:rsidP="00450E27">
            <w:pPr>
              <w:cnfStyle w:val="000000000000" w:firstRow="0" w:lastRow="0" w:firstColumn="0" w:lastColumn="0" w:oddVBand="0" w:evenVBand="0" w:oddHBand="0" w:evenHBand="0" w:firstRowFirstColumn="0" w:firstRowLastColumn="0" w:lastRowFirstColumn="0" w:lastRowLastColumn="0"/>
            </w:pPr>
            <w:r w:rsidRPr="00892DE3">
              <w:t xml:space="preserve"> 235</w:t>
            </w:r>
          </w:p>
        </w:tc>
        <w:tc>
          <w:tcPr>
            <w:tcW w:w="417" w:type="pct"/>
            <w:noWrap/>
            <w:hideMark/>
          </w:tcPr>
          <w:p w:rsidR="003B6677" w:rsidRPr="00892DE3" w:rsidRDefault="003B6677" w:rsidP="00450E27">
            <w:pPr>
              <w:cnfStyle w:val="000000000000" w:firstRow="0" w:lastRow="0" w:firstColumn="0" w:lastColumn="0" w:oddVBand="0" w:evenVBand="0" w:oddHBand="0" w:evenHBand="0" w:firstRowFirstColumn="0" w:firstRowLastColumn="0" w:lastRowFirstColumn="0" w:lastRowLastColumn="0"/>
            </w:pPr>
            <w:r w:rsidRPr="00892DE3">
              <w:t xml:space="preserve"> 155</w:t>
            </w:r>
          </w:p>
        </w:tc>
      </w:tr>
      <w:tr w:rsidR="003B6677" w:rsidRPr="00892DE3" w:rsidTr="00AE7A4B">
        <w:trPr>
          <w:trHeight w:val="255"/>
        </w:trPr>
        <w:tc>
          <w:tcPr>
            <w:cnfStyle w:val="001000000000" w:firstRow="0" w:lastRow="0" w:firstColumn="1" w:lastColumn="0" w:oddVBand="0" w:evenVBand="0" w:oddHBand="0" w:evenHBand="0" w:firstRowFirstColumn="0" w:firstRowLastColumn="0" w:lastRowFirstColumn="0" w:lastRowLastColumn="0"/>
            <w:tcW w:w="909" w:type="pct"/>
            <w:tcBorders>
              <w:bottom w:val="nil"/>
            </w:tcBorders>
          </w:tcPr>
          <w:p w:rsidR="003B6677" w:rsidRPr="00892DE3" w:rsidRDefault="003B6677" w:rsidP="003B6677">
            <w:r w:rsidRPr="00892DE3">
              <w:t>AASB 119.142</w:t>
            </w:r>
          </w:p>
        </w:tc>
        <w:tc>
          <w:tcPr>
            <w:tcW w:w="3294" w:type="pct"/>
            <w:hideMark/>
          </w:tcPr>
          <w:p w:rsidR="003B6677" w:rsidRPr="00892DE3" w:rsidRDefault="003B6677" w:rsidP="003B6677">
            <w:pPr>
              <w:jc w:val="left"/>
              <w:cnfStyle w:val="000000000000" w:firstRow="0" w:lastRow="0" w:firstColumn="0" w:lastColumn="0" w:oddVBand="0" w:evenVBand="0" w:oddHBand="0" w:evenHBand="0" w:firstRowFirstColumn="0" w:firstRowLastColumn="0" w:lastRowFirstColumn="0" w:lastRowLastColumn="0"/>
            </w:pPr>
            <w:r w:rsidRPr="00892DE3">
              <w:t>Termination benefits</w:t>
            </w:r>
          </w:p>
        </w:tc>
        <w:tc>
          <w:tcPr>
            <w:tcW w:w="380" w:type="pct"/>
            <w:shd w:val="clear" w:color="auto" w:fill="EBEBEB" w:themeFill="background2"/>
            <w:noWrap/>
            <w:hideMark/>
          </w:tcPr>
          <w:p w:rsidR="003B6677" w:rsidRPr="00892DE3" w:rsidRDefault="003B6677" w:rsidP="00450E27">
            <w:pPr>
              <w:cnfStyle w:val="000000000000" w:firstRow="0" w:lastRow="0" w:firstColumn="0" w:lastColumn="0" w:oddVBand="0" w:evenVBand="0" w:oddHBand="0" w:evenHBand="0" w:firstRowFirstColumn="0" w:firstRowLastColumn="0" w:lastRowFirstColumn="0" w:lastRowLastColumn="0"/>
            </w:pPr>
            <w:r w:rsidRPr="00892DE3">
              <w:t>1 810</w:t>
            </w:r>
          </w:p>
        </w:tc>
        <w:tc>
          <w:tcPr>
            <w:tcW w:w="417" w:type="pct"/>
            <w:noWrap/>
            <w:hideMark/>
          </w:tcPr>
          <w:p w:rsidR="003B6677" w:rsidRPr="00892DE3" w:rsidRDefault="003B6677" w:rsidP="00450E27">
            <w:pPr>
              <w:cnfStyle w:val="000000000000" w:firstRow="0" w:lastRow="0" w:firstColumn="0" w:lastColumn="0" w:oddVBand="0" w:evenVBand="0" w:oddHBand="0" w:evenHBand="0" w:firstRowFirstColumn="0" w:firstRowLastColumn="0" w:lastRowFirstColumn="0" w:lastRowLastColumn="0"/>
            </w:pPr>
            <w:r w:rsidRPr="00892DE3">
              <w:t xml:space="preserve"> 120</w:t>
            </w:r>
          </w:p>
        </w:tc>
      </w:tr>
      <w:tr w:rsidR="003B6677" w:rsidRPr="00892DE3" w:rsidTr="00AE7A4B">
        <w:trPr>
          <w:trHeight w:val="255"/>
        </w:trPr>
        <w:tc>
          <w:tcPr>
            <w:cnfStyle w:val="001000000000" w:firstRow="0" w:lastRow="0" w:firstColumn="1" w:lastColumn="0" w:oddVBand="0" w:evenVBand="0" w:oddHBand="0" w:evenHBand="0" w:firstRowFirstColumn="0" w:firstRowLastColumn="0" w:lastRowFirstColumn="0" w:lastRowLastColumn="0"/>
            <w:tcW w:w="909" w:type="pct"/>
            <w:tcBorders>
              <w:bottom w:val="nil"/>
            </w:tcBorders>
          </w:tcPr>
          <w:p w:rsidR="003B6677" w:rsidRPr="00892DE3" w:rsidRDefault="003B6677" w:rsidP="003B6677"/>
        </w:tc>
        <w:tc>
          <w:tcPr>
            <w:tcW w:w="3294" w:type="pct"/>
            <w:hideMark/>
          </w:tcPr>
          <w:p w:rsidR="003B6677" w:rsidRPr="00892DE3" w:rsidRDefault="003B6677" w:rsidP="003B6677">
            <w:pPr>
              <w:jc w:val="left"/>
              <w:cnfStyle w:val="000000000000" w:firstRow="0" w:lastRow="0" w:firstColumn="0" w:lastColumn="0" w:oddVBand="0" w:evenVBand="0" w:oddHBand="0" w:evenHBand="0" w:firstRowFirstColumn="0" w:firstRowLastColumn="0" w:lastRowFirstColumn="0" w:lastRowLastColumn="0"/>
            </w:pPr>
            <w:r w:rsidRPr="00892DE3">
              <w:t>Salaries and wages, annual leave and long service leave</w:t>
            </w:r>
          </w:p>
        </w:tc>
        <w:tc>
          <w:tcPr>
            <w:tcW w:w="380" w:type="pct"/>
            <w:shd w:val="clear" w:color="auto" w:fill="EBEBEB" w:themeFill="background2"/>
            <w:noWrap/>
            <w:hideMark/>
          </w:tcPr>
          <w:p w:rsidR="003B6677" w:rsidRPr="00892DE3" w:rsidRDefault="003B6677" w:rsidP="00450E27">
            <w:pPr>
              <w:cnfStyle w:val="000000000000" w:firstRow="0" w:lastRow="0" w:firstColumn="0" w:lastColumn="0" w:oddVBand="0" w:evenVBand="0" w:oddHBand="0" w:evenHBand="0" w:firstRowFirstColumn="0" w:firstRowLastColumn="0" w:lastRowFirstColumn="0" w:lastRowLastColumn="0"/>
            </w:pPr>
            <w:r w:rsidRPr="00892DE3">
              <w:t>11 271</w:t>
            </w:r>
          </w:p>
        </w:tc>
        <w:tc>
          <w:tcPr>
            <w:tcW w:w="417" w:type="pct"/>
            <w:noWrap/>
            <w:hideMark/>
          </w:tcPr>
          <w:p w:rsidR="003B6677" w:rsidRPr="00892DE3" w:rsidRDefault="003B6677" w:rsidP="00450E27">
            <w:pPr>
              <w:cnfStyle w:val="000000000000" w:firstRow="0" w:lastRow="0" w:firstColumn="0" w:lastColumn="0" w:oddVBand="0" w:evenVBand="0" w:oddHBand="0" w:evenHBand="0" w:firstRowFirstColumn="0" w:firstRowLastColumn="0" w:lastRowFirstColumn="0" w:lastRowLastColumn="0"/>
            </w:pPr>
            <w:r w:rsidRPr="00892DE3">
              <w:t>10 370</w:t>
            </w:r>
          </w:p>
        </w:tc>
      </w:tr>
      <w:tr w:rsidR="003B6677" w:rsidRPr="00892DE3" w:rsidTr="00AE7A4B">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909" w:type="pct"/>
          </w:tcPr>
          <w:p w:rsidR="003B6677" w:rsidRPr="00892DE3" w:rsidRDefault="003B6677" w:rsidP="003B6677"/>
        </w:tc>
        <w:tc>
          <w:tcPr>
            <w:tcW w:w="3294" w:type="pct"/>
            <w:hideMark/>
          </w:tcPr>
          <w:p w:rsidR="003B6677" w:rsidRPr="00892DE3" w:rsidRDefault="003B6677" w:rsidP="003B6677">
            <w:pPr>
              <w:jc w:val="left"/>
              <w:cnfStyle w:val="010000000000" w:firstRow="0" w:lastRow="1" w:firstColumn="0" w:lastColumn="0" w:oddVBand="0" w:evenVBand="0" w:oddHBand="0" w:evenHBand="0" w:firstRowFirstColumn="0" w:firstRowLastColumn="0" w:lastRowFirstColumn="0" w:lastRowLastColumn="0"/>
            </w:pPr>
            <w:r w:rsidRPr="00892DE3">
              <w:t>Total employee expenses</w:t>
            </w:r>
          </w:p>
        </w:tc>
        <w:tc>
          <w:tcPr>
            <w:tcW w:w="380" w:type="pct"/>
            <w:shd w:val="clear" w:color="auto" w:fill="EBEBEB" w:themeFill="background2"/>
            <w:noWrap/>
            <w:hideMark/>
          </w:tcPr>
          <w:p w:rsidR="003B6677" w:rsidRPr="00892DE3" w:rsidRDefault="003B6677" w:rsidP="003B6677">
            <w:pPr>
              <w:cnfStyle w:val="010000000000" w:firstRow="0" w:lastRow="1" w:firstColumn="0" w:lastColumn="0" w:oddVBand="0" w:evenVBand="0" w:oddHBand="0" w:evenHBand="0" w:firstRowFirstColumn="0" w:firstRowLastColumn="0" w:lastRowFirstColumn="0" w:lastRowLastColumn="0"/>
            </w:pPr>
            <w:r w:rsidRPr="00892DE3">
              <w:t>13 767</w:t>
            </w:r>
          </w:p>
        </w:tc>
        <w:tc>
          <w:tcPr>
            <w:tcW w:w="417" w:type="pct"/>
            <w:noWrap/>
            <w:hideMark/>
          </w:tcPr>
          <w:p w:rsidR="003B6677" w:rsidRPr="00892DE3" w:rsidRDefault="003B6677" w:rsidP="003B6677">
            <w:pPr>
              <w:cnfStyle w:val="010000000000" w:firstRow="0" w:lastRow="1" w:firstColumn="0" w:lastColumn="0" w:oddVBand="0" w:evenVBand="0" w:oddHBand="0" w:evenHBand="0" w:firstRowFirstColumn="0" w:firstRowLastColumn="0" w:lastRowFirstColumn="0" w:lastRowLastColumn="0"/>
            </w:pPr>
            <w:r w:rsidRPr="00892DE3">
              <w:t>10 970</w:t>
            </w:r>
          </w:p>
        </w:tc>
      </w:tr>
    </w:tbl>
    <w:p w:rsidR="00435E10" w:rsidRPr="00892DE3" w:rsidRDefault="00435E10" w:rsidP="00435E10">
      <w:r w:rsidRPr="00892DE3">
        <w:t xml:space="preserve">Employee expenses include all costs related to employment including wages and salaries, fringe benefits tax, leave entitlements, termination payments and WorkCover premiums. </w:t>
      </w:r>
      <w:r w:rsidRPr="00892DE3">
        <w:rPr>
          <w:rStyle w:val="SourceReference"/>
        </w:rPr>
        <w:t>[AASB 119.8]</w:t>
      </w:r>
    </w:p>
    <w:p w:rsidR="00435E10" w:rsidRPr="00892DE3" w:rsidRDefault="00435E10" w:rsidP="00435E10">
      <w:r w:rsidRPr="00892DE3">
        <w:t xml:space="preserve">The amount recognised in the comprehensive operating statement in relation to </w:t>
      </w:r>
      <w:r w:rsidR="00154F17" w:rsidRPr="00892DE3">
        <w:t xml:space="preserve">superannuation </w:t>
      </w:r>
      <w:r w:rsidRPr="00892DE3">
        <w:t xml:space="preserve">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w:t>
      </w:r>
      <w:r w:rsidR="00154F17" w:rsidRPr="00892DE3">
        <w:t>the Department of Treasury and Finance (</w:t>
      </w:r>
      <w:r w:rsidRPr="00892DE3">
        <w:t>DTF</w:t>
      </w:r>
      <w:r w:rsidR="00154F17" w:rsidRPr="00892DE3">
        <w:t>)</w:t>
      </w:r>
      <w:r w:rsidRPr="00892DE3">
        <w:t xml:space="preserve"> discloses in its annual financial statements the net defined benefit cost related to the members of these plans as an administered liability </w:t>
      </w:r>
      <w:r w:rsidR="00AE7A4B" w:rsidRPr="00892DE3">
        <w:br/>
      </w:r>
      <w:r w:rsidRPr="00892DE3">
        <w:t xml:space="preserve">(on behalf of the State as the sponsoring employer). </w:t>
      </w:r>
      <w:r w:rsidRPr="00892DE3">
        <w:rPr>
          <w:rStyle w:val="SourceReference"/>
        </w:rPr>
        <w:t>[FRD 112D]</w:t>
      </w:r>
    </w:p>
    <w:p w:rsidR="00435E10" w:rsidRPr="00892DE3" w:rsidRDefault="00435E10" w:rsidP="00435E10">
      <w:r w:rsidRPr="00892DE3">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 </w:t>
      </w:r>
      <w:r w:rsidRPr="00892DE3">
        <w:rPr>
          <w:rStyle w:val="SourceReference"/>
        </w:rPr>
        <w:t>[AASB 119.128, 133 134, 139]</w:t>
      </w:r>
    </w:p>
    <w:p w:rsidR="00435E10" w:rsidRPr="00892DE3" w:rsidRDefault="00435E10">
      <w:pPr>
        <w:keepLines w:val="0"/>
      </w:pPr>
      <w:r w:rsidRPr="00892DE3">
        <w:br w:type="page"/>
      </w:r>
    </w:p>
    <w:p w:rsidR="00435E10" w:rsidRPr="00892DE3" w:rsidRDefault="00435E10" w:rsidP="00D31BB8">
      <w:pPr>
        <w:pStyle w:val="Heading3"/>
      </w:pPr>
      <w:r w:rsidRPr="00892DE3">
        <w:lastRenderedPageBreak/>
        <w:t>Employee benefits in the balance sheet</w:t>
      </w:r>
    </w:p>
    <w:p w:rsidR="00435E10" w:rsidRPr="00892DE3" w:rsidRDefault="00435E10" w:rsidP="00435E10">
      <w:r w:rsidRPr="00892DE3">
        <w:t xml:space="preserve">Provision is made for benefits accruing to employees in respect of wages and salaries, annual leave and long service leave </w:t>
      </w:r>
      <w:r w:rsidR="00154F17" w:rsidRPr="00892DE3">
        <w:t xml:space="preserve">(LSL) </w:t>
      </w:r>
      <w:r w:rsidRPr="00892DE3">
        <w:t xml:space="preserve">for services rendered to the reporting date and recorded as an expense during the period the services are delivered. </w:t>
      </w:r>
      <w:r w:rsidRPr="00892DE3">
        <w:rPr>
          <w:rStyle w:val="SourceReference"/>
        </w:rPr>
        <w:t>[AASB 119.11, 153]</w:t>
      </w:r>
    </w:p>
    <w:p w:rsidR="00435E10" w:rsidRPr="00892DE3" w:rsidRDefault="00435E10" w:rsidP="005D7DF1">
      <w:pPr>
        <w:pStyle w:val="TableUnits"/>
      </w:pPr>
      <w:r w:rsidRPr="00892DE3">
        <w:t>($ thousand)</w:t>
      </w:r>
    </w:p>
    <w:tbl>
      <w:tblPr>
        <w:tblStyle w:val="ModelReportFinancialTable"/>
        <w:tblW w:w="9791" w:type="dxa"/>
        <w:tblLayout w:type="fixed"/>
        <w:tblLook w:val="06A0" w:firstRow="1" w:lastRow="0" w:firstColumn="1" w:lastColumn="0" w:noHBand="1" w:noVBand="1"/>
      </w:tblPr>
      <w:tblGrid>
        <w:gridCol w:w="1649"/>
        <w:gridCol w:w="6480"/>
        <w:gridCol w:w="812"/>
        <w:gridCol w:w="850"/>
      </w:tblGrid>
      <w:tr w:rsidR="00435E10" w:rsidRPr="00892DE3" w:rsidTr="0044350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49" w:type="dxa"/>
            <w:tcBorders>
              <w:bottom w:val="nil"/>
            </w:tcBorders>
            <w:shd w:val="clear" w:color="auto" w:fill="auto"/>
          </w:tcPr>
          <w:p w:rsidR="00435E10" w:rsidRPr="00892DE3" w:rsidRDefault="00435E10" w:rsidP="00435E10">
            <w:r w:rsidRPr="00892DE3">
              <w:t>Source reference</w:t>
            </w:r>
          </w:p>
        </w:tc>
        <w:tc>
          <w:tcPr>
            <w:tcW w:w="6480" w:type="dxa"/>
            <w:hideMark/>
          </w:tcPr>
          <w:p w:rsidR="00435E10" w:rsidRPr="00892DE3" w:rsidRDefault="00435E10" w:rsidP="00435E10">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12" w:type="dxa"/>
            <w:noWrap/>
            <w:hideMark/>
          </w:tcPr>
          <w:p w:rsidR="00435E10" w:rsidRPr="00892DE3" w:rsidRDefault="00435E10" w:rsidP="00450E27">
            <w:pPr>
              <w:cnfStyle w:val="100000000000" w:firstRow="1" w:lastRow="0" w:firstColumn="0" w:lastColumn="0" w:oddVBand="0" w:evenVBand="0" w:oddHBand="0" w:evenHBand="0" w:firstRowFirstColumn="0" w:firstRowLastColumn="0" w:lastRowFirstColumn="0" w:lastRowLastColumn="0"/>
            </w:pPr>
            <w:r w:rsidRPr="00892DE3">
              <w:t>2017</w:t>
            </w:r>
          </w:p>
        </w:tc>
        <w:tc>
          <w:tcPr>
            <w:tcW w:w="850" w:type="dxa"/>
            <w:noWrap/>
            <w:hideMark/>
          </w:tcPr>
          <w:p w:rsidR="00435E10" w:rsidRPr="00892DE3" w:rsidRDefault="00435E10" w:rsidP="00450E27">
            <w:pPr>
              <w:cnfStyle w:val="100000000000" w:firstRow="1" w:lastRow="0" w:firstColumn="0" w:lastColumn="0" w:oddVBand="0" w:evenVBand="0" w:oddHBand="0" w:evenHBand="0" w:firstRowFirstColumn="0" w:firstRowLastColumn="0" w:lastRowFirstColumn="0" w:lastRowLastColumn="0"/>
            </w:pPr>
            <w:r w:rsidRPr="00892DE3">
              <w:t>2016</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tc>
        <w:tc>
          <w:tcPr>
            <w:tcW w:w="6480" w:type="dxa"/>
            <w:hideMark/>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provisions:</w:t>
            </w:r>
          </w:p>
        </w:tc>
        <w:tc>
          <w:tcPr>
            <w:tcW w:w="812" w:type="dxa"/>
            <w:shd w:val="clear" w:color="auto" w:fill="EBEBEB" w:themeFill="background2"/>
            <w:noWrap/>
            <w:hideMark/>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p>
        </w:tc>
        <w:tc>
          <w:tcPr>
            <w:tcW w:w="850" w:type="dxa"/>
            <w:noWrap/>
            <w:hideMark/>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r w:rsidRPr="00892DE3">
              <w:t>AASB 119.8</w:t>
            </w:r>
          </w:p>
        </w:tc>
        <w:tc>
          <w:tcPr>
            <w:tcW w:w="6480" w:type="dxa"/>
            <w:hideMark/>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rPr>
                <w:b/>
                <w:i/>
              </w:rPr>
            </w:pPr>
            <w:r w:rsidRPr="00892DE3">
              <w:rPr>
                <w:b/>
                <w:i/>
              </w:rPr>
              <w:t>Annual leave</w:t>
            </w:r>
          </w:p>
        </w:tc>
        <w:tc>
          <w:tcPr>
            <w:tcW w:w="812"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p>
        </w:tc>
        <w:tc>
          <w:tcPr>
            <w:tcW w:w="850" w:type="dxa"/>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tc>
        <w:tc>
          <w:tcPr>
            <w:tcW w:w="6480" w:type="dxa"/>
            <w:hideMark/>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within 12 months</w:t>
            </w:r>
            <w:r w:rsidRPr="00892DE3">
              <w:rPr>
                <w:vertAlign w:val="superscript"/>
              </w:rPr>
              <w:t xml:space="preserve"> </w:t>
            </w:r>
          </w:p>
        </w:tc>
        <w:tc>
          <w:tcPr>
            <w:tcW w:w="812"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1 716</w:t>
            </w:r>
          </w:p>
        </w:tc>
        <w:tc>
          <w:tcPr>
            <w:tcW w:w="850" w:type="dxa"/>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1 438</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tc>
        <w:tc>
          <w:tcPr>
            <w:tcW w:w="6480" w:type="dxa"/>
            <w:hideMark/>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after 12 months</w:t>
            </w:r>
            <w:r w:rsidRPr="00892DE3">
              <w:rPr>
                <w:vertAlign w:val="superscript"/>
              </w:rPr>
              <w:t xml:space="preserve"> </w:t>
            </w:r>
          </w:p>
        </w:tc>
        <w:tc>
          <w:tcPr>
            <w:tcW w:w="812"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636</w:t>
            </w:r>
          </w:p>
        </w:tc>
        <w:tc>
          <w:tcPr>
            <w:tcW w:w="850" w:type="dxa"/>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795</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r w:rsidRPr="00892DE3">
              <w:t>AASB 119.8</w:t>
            </w:r>
          </w:p>
        </w:tc>
        <w:tc>
          <w:tcPr>
            <w:tcW w:w="6480" w:type="dxa"/>
            <w:hideMark/>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rPr>
                <w:b/>
                <w:i/>
              </w:rPr>
            </w:pPr>
            <w:r w:rsidRPr="00892DE3">
              <w:rPr>
                <w:b/>
                <w:i/>
              </w:rPr>
              <w:t xml:space="preserve">Long service leave </w:t>
            </w:r>
          </w:p>
        </w:tc>
        <w:tc>
          <w:tcPr>
            <w:tcW w:w="812"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p>
        </w:tc>
        <w:tc>
          <w:tcPr>
            <w:tcW w:w="850" w:type="dxa"/>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tc>
        <w:tc>
          <w:tcPr>
            <w:tcW w:w="6480" w:type="dxa"/>
            <w:hideMark/>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within 12 months</w:t>
            </w:r>
            <w:r w:rsidRPr="00892DE3">
              <w:rPr>
                <w:vertAlign w:val="superscript"/>
              </w:rPr>
              <w:t xml:space="preserve"> </w:t>
            </w:r>
          </w:p>
        </w:tc>
        <w:tc>
          <w:tcPr>
            <w:tcW w:w="812"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1 231</w:t>
            </w:r>
          </w:p>
        </w:tc>
        <w:tc>
          <w:tcPr>
            <w:tcW w:w="850" w:type="dxa"/>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3 002</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tc>
        <w:tc>
          <w:tcPr>
            <w:tcW w:w="648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after 12 months</w:t>
            </w:r>
            <w:r w:rsidRPr="00892DE3">
              <w:rPr>
                <w:vertAlign w:val="superscript"/>
              </w:rPr>
              <w:t xml:space="preserve"> </w:t>
            </w:r>
          </w:p>
        </w:tc>
        <w:tc>
          <w:tcPr>
            <w:tcW w:w="812"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1 908</w:t>
            </w:r>
          </w:p>
        </w:tc>
        <w:tc>
          <w:tcPr>
            <w:tcW w:w="850" w:type="dxa"/>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6 318</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r w:rsidRPr="00892DE3">
              <w:t>AAASB 101.78(d)</w:t>
            </w:r>
          </w:p>
        </w:tc>
        <w:tc>
          <w:tcPr>
            <w:tcW w:w="648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rPr>
                <w:b/>
              </w:rPr>
            </w:pPr>
            <w:r w:rsidRPr="00892DE3">
              <w:rPr>
                <w:b/>
                <w:i/>
              </w:rPr>
              <w:t>Provisions for on</w:t>
            </w:r>
            <w:r w:rsidRPr="00892DE3">
              <w:rPr>
                <w:b/>
                <w:i/>
              </w:rPr>
              <w:noBreakHyphen/>
              <w:t xml:space="preserve">costs </w:t>
            </w:r>
          </w:p>
        </w:tc>
        <w:tc>
          <w:tcPr>
            <w:tcW w:w="812"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50" w:type="dxa"/>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tc>
        <w:tc>
          <w:tcPr>
            <w:tcW w:w="648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within 12 months</w:t>
            </w:r>
            <w:r w:rsidRPr="00892DE3">
              <w:rPr>
                <w:vertAlign w:val="superscript"/>
              </w:rPr>
              <w:t xml:space="preserve"> </w:t>
            </w:r>
          </w:p>
        </w:tc>
        <w:tc>
          <w:tcPr>
            <w:tcW w:w="812"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272</w:t>
            </w:r>
          </w:p>
        </w:tc>
        <w:tc>
          <w:tcPr>
            <w:tcW w:w="850" w:type="dxa"/>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555</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tc>
        <w:tc>
          <w:tcPr>
            <w:tcW w:w="6480" w:type="dxa"/>
            <w:tcBorders>
              <w:bottom w:val="single" w:sz="4" w:space="0" w:color="53565A"/>
            </w:tcBorders>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after 12 months</w:t>
            </w:r>
            <w:r w:rsidRPr="00892DE3">
              <w:rPr>
                <w:vertAlign w:val="superscript"/>
              </w:rPr>
              <w:t xml:space="preserve"> </w:t>
            </w:r>
          </w:p>
        </w:tc>
        <w:tc>
          <w:tcPr>
            <w:tcW w:w="812" w:type="dxa"/>
            <w:tcBorders>
              <w:bottom w:val="single" w:sz="4" w:space="0" w:color="53565A"/>
            </w:tcBorders>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377</w:t>
            </w:r>
          </w:p>
        </w:tc>
        <w:tc>
          <w:tcPr>
            <w:tcW w:w="850" w:type="dxa"/>
            <w:tcBorders>
              <w:bottom w:val="single" w:sz="4" w:space="0" w:color="53565A"/>
            </w:tcBorders>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599</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tcPr>
          <w:p w:rsidR="00435E10" w:rsidRPr="00892DE3" w:rsidRDefault="00435E10" w:rsidP="00435E10">
            <w:r w:rsidRPr="00892DE3">
              <w:t>AAASB 101.61</w:t>
            </w:r>
          </w:p>
        </w:tc>
        <w:tc>
          <w:tcPr>
            <w:tcW w:w="6480" w:type="dxa"/>
            <w:tcBorders>
              <w:top w:val="single" w:sz="4" w:space="0" w:color="53565A"/>
              <w:bottom w:val="single" w:sz="4" w:space="0" w:color="53565A"/>
            </w:tcBorders>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current provisions for employee benefits</w:t>
            </w:r>
          </w:p>
        </w:tc>
        <w:tc>
          <w:tcPr>
            <w:tcW w:w="812" w:type="dxa"/>
            <w:tcBorders>
              <w:top w:val="single" w:sz="4" w:space="0" w:color="53565A"/>
              <w:bottom w:val="single" w:sz="4" w:space="0" w:color="53565A"/>
            </w:tcBorders>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r w:rsidRPr="00892DE3">
              <w:rPr>
                <w:b/>
              </w:rPr>
              <w:t>6 140</w:t>
            </w:r>
          </w:p>
        </w:tc>
        <w:tc>
          <w:tcPr>
            <w:tcW w:w="850" w:type="dxa"/>
            <w:tcBorders>
              <w:top w:val="single" w:sz="4" w:space="0" w:color="53565A"/>
              <w:bottom w:val="single" w:sz="4" w:space="0" w:color="53565A"/>
            </w:tcBorders>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r w:rsidRPr="00892DE3">
              <w:rPr>
                <w:b/>
              </w:rPr>
              <w:t>12 707</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tcPr>
          <w:p w:rsidR="00435E10" w:rsidRPr="00892DE3" w:rsidRDefault="00435E10" w:rsidP="00435E10"/>
        </w:tc>
        <w:tc>
          <w:tcPr>
            <w:tcW w:w="6480" w:type="dxa"/>
            <w:tcBorders>
              <w:top w:val="single" w:sz="4" w:space="0" w:color="53565A"/>
            </w:tcBorders>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current provisions:</w:t>
            </w:r>
          </w:p>
        </w:tc>
        <w:tc>
          <w:tcPr>
            <w:tcW w:w="812" w:type="dxa"/>
            <w:tcBorders>
              <w:top w:val="single" w:sz="4" w:space="0" w:color="53565A"/>
            </w:tcBorders>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50" w:type="dxa"/>
            <w:tcBorders>
              <w:top w:val="single" w:sz="4" w:space="0" w:color="53565A"/>
            </w:tcBorders>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tc>
        <w:tc>
          <w:tcPr>
            <w:tcW w:w="648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Employee benefits</w:t>
            </w:r>
          </w:p>
        </w:tc>
        <w:tc>
          <w:tcPr>
            <w:tcW w:w="812"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3 743</w:t>
            </w:r>
          </w:p>
        </w:tc>
        <w:tc>
          <w:tcPr>
            <w:tcW w:w="850" w:type="dxa"/>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3 528</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tc>
        <w:tc>
          <w:tcPr>
            <w:tcW w:w="648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On</w:t>
            </w:r>
            <w:r w:rsidRPr="00892DE3">
              <w:noBreakHyphen/>
              <w:t>costs</w:t>
            </w:r>
          </w:p>
        </w:tc>
        <w:tc>
          <w:tcPr>
            <w:tcW w:w="812"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871</w:t>
            </w:r>
          </w:p>
        </w:tc>
        <w:tc>
          <w:tcPr>
            <w:tcW w:w="850" w:type="dxa"/>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837</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435E10" w:rsidRPr="00892DE3" w:rsidRDefault="00435E10" w:rsidP="00435E10"/>
        </w:tc>
        <w:tc>
          <w:tcPr>
            <w:tcW w:w="6480" w:type="dxa"/>
            <w:tcBorders>
              <w:bottom w:val="single" w:sz="4" w:space="0" w:color="53565A"/>
            </w:tcBorders>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Total non</w:t>
            </w:r>
            <w:r w:rsidRPr="00892DE3">
              <w:noBreakHyphen/>
              <w:t>current provisions for employee benefits</w:t>
            </w:r>
          </w:p>
        </w:tc>
        <w:tc>
          <w:tcPr>
            <w:tcW w:w="812" w:type="dxa"/>
            <w:tcBorders>
              <w:bottom w:val="single" w:sz="4" w:space="0" w:color="53565A"/>
            </w:tcBorders>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r w:rsidRPr="00892DE3">
              <w:rPr>
                <w:b/>
              </w:rPr>
              <w:t>4 614</w:t>
            </w:r>
          </w:p>
        </w:tc>
        <w:tc>
          <w:tcPr>
            <w:tcW w:w="850" w:type="dxa"/>
            <w:tcBorders>
              <w:bottom w:val="single" w:sz="4" w:space="0" w:color="53565A"/>
            </w:tcBorders>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r w:rsidRPr="00892DE3">
              <w:rPr>
                <w:b/>
              </w:rPr>
              <w:t>4 365</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tcPr>
          <w:p w:rsidR="00435E10" w:rsidRPr="00892DE3" w:rsidRDefault="00435E10" w:rsidP="00435E10"/>
        </w:tc>
        <w:tc>
          <w:tcPr>
            <w:tcW w:w="6480" w:type="dxa"/>
            <w:tcBorders>
              <w:top w:val="single" w:sz="4" w:space="0" w:color="53565A"/>
              <w:bottom w:val="single" w:sz="12" w:space="0" w:color="auto"/>
            </w:tcBorders>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provisions for employee benefits</w:t>
            </w:r>
          </w:p>
        </w:tc>
        <w:tc>
          <w:tcPr>
            <w:tcW w:w="812" w:type="dxa"/>
            <w:tcBorders>
              <w:top w:val="single" w:sz="4" w:space="0" w:color="53565A"/>
              <w:bottom w:val="single" w:sz="12" w:space="0" w:color="auto"/>
            </w:tcBorders>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r w:rsidRPr="00892DE3">
              <w:rPr>
                <w:b/>
              </w:rPr>
              <w:t>10 754</w:t>
            </w:r>
          </w:p>
        </w:tc>
        <w:tc>
          <w:tcPr>
            <w:tcW w:w="850" w:type="dxa"/>
            <w:tcBorders>
              <w:top w:val="single" w:sz="4" w:space="0" w:color="53565A"/>
              <w:bottom w:val="single" w:sz="12" w:space="0" w:color="auto"/>
            </w:tcBorders>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r w:rsidRPr="00892DE3">
              <w:rPr>
                <w:b/>
              </w:rPr>
              <w:t>17 072</w:t>
            </w:r>
          </w:p>
        </w:tc>
      </w:tr>
    </w:tbl>
    <w:p w:rsidR="00435E10" w:rsidRPr="00892DE3" w:rsidRDefault="00435E10" w:rsidP="00435E10">
      <w:pPr>
        <w:pStyle w:val="TableHeading"/>
      </w:pPr>
      <w:r w:rsidRPr="00892DE3">
        <w:t>Reconciliation of movement in on</w:t>
      </w:r>
      <w:r w:rsidR="00B26DBB" w:rsidRPr="00892DE3">
        <w:t>-</w:t>
      </w:r>
      <w:r w:rsidRPr="00892DE3">
        <w:t>cost provision</w:t>
      </w:r>
      <w:r w:rsidRPr="00892DE3">
        <w:tab/>
        <w:t>($ thousand)</w:t>
      </w:r>
    </w:p>
    <w:tbl>
      <w:tblPr>
        <w:tblStyle w:val="ModelReportFinancialTable"/>
        <w:tblW w:w="9803" w:type="dxa"/>
        <w:tblLayout w:type="fixed"/>
        <w:tblLook w:val="06E0" w:firstRow="1" w:lastRow="1" w:firstColumn="1" w:lastColumn="0" w:noHBand="1" w:noVBand="1"/>
      </w:tblPr>
      <w:tblGrid>
        <w:gridCol w:w="1649"/>
        <w:gridCol w:w="7290"/>
        <w:gridCol w:w="864"/>
      </w:tblGrid>
      <w:tr w:rsidR="00435E10" w:rsidRPr="00892DE3" w:rsidTr="0044350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49" w:type="dxa"/>
            <w:tcBorders>
              <w:bottom w:val="nil"/>
            </w:tcBorders>
            <w:shd w:val="clear" w:color="auto" w:fill="auto"/>
          </w:tcPr>
          <w:p w:rsidR="00435E10" w:rsidRPr="00892DE3" w:rsidRDefault="00435E10" w:rsidP="00435E10">
            <w:r w:rsidRPr="00892DE3">
              <w:t>Source reference</w:t>
            </w:r>
          </w:p>
        </w:tc>
        <w:tc>
          <w:tcPr>
            <w:tcW w:w="7290" w:type="dxa"/>
          </w:tcPr>
          <w:p w:rsidR="00435E10" w:rsidRPr="00892DE3" w:rsidRDefault="00435E10" w:rsidP="00435E10">
            <w:pPr>
              <w:jc w:val="left"/>
              <w:cnfStyle w:val="100000000000" w:firstRow="1" w:lastRow="0" w:firstColumn="0" w:lastColumn="0" w:oddVBand="0" w:evenVBand="0" w:oddHBand="0" w:evenHBand="0" w:firstRowFirstColumn="0" w:firstRowLastColumn="0" w:lastRowFirstColumn="0" w:lastRowLastColumn="0"/>
            </w:pPr>
          </w:p>
        </w:tc>
        <w:tc>
          <w:tcPr>
            <w:tcW w:w="864" w:type="dxa"/>
            <w:noWrap/>
          </w:tcPr>
          <w:p w:rsidR="00435E10" w:rsidRPr="00892DE3" w:rsidRDefault="00435E10" w:rsidP="00450E27">
            <w:pPr>
              <w:cnfStyle w:val="100000000000" w:firstRow="1" w:lastRow="0" w:firstColumn="0" w:lastColumn="0" w:oddVBand="0" w:evenVBand="0" w:oddHBand="0" w:evenHBand="0" w:firstRowFirstColumn="0" w:firstRowLastColumn="0" w:lastRowFirstColumn="0" w:lastRowLastColumn="0"/>
            </w:pPr>
            <w:r w:rsidRPr="00892DE3">
              <w:t>2017</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435E10" w:rsidRPr="00892DE3" w:rsidRDefault="00435E10" w:rsidP="00435E10">
            <w:r w:rsidRPr="00892DE3">
              <w:t>AASB 137.84(a)</w:t>
            </w:r>
          </w:p>
        </w:tc>
        <w:tc>
          <w:tcPr>
            <w:tcW w:w="7290" w:type="dxa"/>
            <w:hideMark/>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rPr>
                <w:b/>
              </w:rPr>
            </w:pPr>
            <w:r w:rsidRPr="00892DE3">
              <w:rPr>
                <w:b/>
              </w:rPr>
              <w:t>Opening balance</w:t>
            </w:r>
          </w:p>
        </w:tc>
        <w:tc>
          <w:tcPr>
            <w:tcW w:w="864" w:type="dxa"/>
            <w:shd w:val="clear" w:color="auto" w:fill="EBEBEB" w:themeFill="background2"/>
            <w:noWrap/>
            <w:hideMark/>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1 991</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435E10" w:rsidRPr="00892DE3" w:rsidRDefault="00435E10" w:rsidP="00435E10">
            <w:r w:rsidRPr="00892DE3">
              <w:t>AASB 137.84(b)</w:t>
            </w:r>
          </w:p>
        </w:tc>
        <w:tc>
          <w:tcPr>
            <w:tcW w:w="729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Additional provisions recognised</w:t>
            </w:r>
          </w:p>
        </w:tc>
        <w:tc>
          <w:tcPr>
            <w:tcW w:w="864"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451</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435E10" w:rsidRPr="00892DE3" w:rsidRDefault="00435E10" w:rsidP="00435E10">
            <w:r w:rsidRPr="00892DE3">
              <w:t>AASB 137.84(b)</w:t>
            </w:r>
          </w:p>
        </w:tc>
        <w:tc>
          <w:tcPr>
            <w:tcW w:w="729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Additions due to transfer in</w:t>
            </w:r>
          </w:p>
        </w:tc>
        <w:tc>
          <w:tcPr>
            <w:tcW w:w="864"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141</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435E10" w:rsidRPr="00892DE3" w:rsidRDefault="00435E10" w:rsidP="00435E10">
            <w:r w:rsidRPr="00892DE3">
              <w:t>AASB 137.84(b)</w:t>
            </w:r>
          </w:p>
        </w:tc>
        <w:tc>
          <w:tcPr>
            <w:tcW w:w="729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Additions due to acquisitions</w:t>
            </w:r>
          </w:p>
        </w:tc>
        <w:tc>
          <w:tcPr>
            <w:tcW w:w="864"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118</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435E10" w:rsidRPr="00892DE3" w:rsidRDefault="00435E10" w:rsidP="00435E10">
            <w:r w:rsidRPr="00892DE3">
              <w:t>AASB 137.84(c)</w:t>
            </w:r>
          </w:p>
        </w:tc>
        <w:tc>
          <w:tcPr>
            <w:tcW w:w="729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Reductions arising from payments/other sacrifices of future economic benefits</w:t>
            </w:r>
          </w:p>
        </w:tc>
        <w:tc>
          <w:tcPr>
            <w:tcW w:w="864"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(22)</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435E10" w:rsidRPr="00892DE3" w:rsidRDefault="00435E10" w:rsidP="00435E10">
            <w:r w:rsidRPr="00892DE3">
              <w:t>AASB 137.84(d)</w:t>
            </w:r>
          </w:p>
        </w:tc>
        <w:tc>
          <w:tcPr>
            <w:tcW w:w="729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Reductions resulting from re</w:t>
            </w:r>
            <w:r w:rsidRPr="00892DE3">
              <w:noBreakHyphen/>
              <w:t>measurement or settlement without cost</w:t>
            </w:r>
          </w:p>
        </w:tc>
        <w:tc>
          <w:tcPr>
            <w:tcW w:w="864" w:type="dxa"/>
            <w:shd w:val="clear" w:color="auto" w:fill="EBEBEB" w:themeFill="background2"/>
            <w:noWrap/>
          </w:tcPr>
          <w:p w:rsidR="00435E10" w:rsidRPr="00892DE3" w:rsidRDefault="00435E10" w:rsidP="00315311">
            <w:pPr>
              <w:cnfStyle w:val="000000000000" w:firstRow="0" w:lastRow="0" w:firstColumn="0" w:lastColumn="0" w:oddVBand="0" w:evenVBand="0" w:oddHBand="0" w:evenHBand="0" w:firstRowFirstColumn="0" w:firstRowLastColumn="0" w:lastRowFirstColumn="0" w:lastRowLastColumn="0"/>
            </w:pPr>
            <w:r w:rsidRPr="00892DE3">
              <w:t>(20)</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435E10" w:rsidRPr="00892DE3" w:rsidRDefault="00435E10" w:rsidP="00435E10">
            <w:r w:rsidRPr="00892DE3">
              <w:t>AASB 137.60, 84(e)</w:t>
            </w:r>
          </w:p>
        </w:tc>
        <w:tc>
          <w:tcPr>
            <w:tcW w:w="729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Unwind of discount and effect of changes in the discount rate</w:t>
            </w:r>
          </w:p>
        </w:tc>
        <w:tc>
          <w:tcPr>
            <w:tcW w:w="864"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15</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435E10" w:rsidRPr="00892DE3" w:rsidRDefault="00435E10" w:rsidP="00435E10">
            <w:r w:rsidRPr="00892DE3">
              <w:t>AASB 137.84(c)</w:t>
            </w:r>
          </w:p>
        </w:tc>
        <w:tc>
          <w:tcPr>
            <w:tcW w:w="729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Reduction held for sale</w:t>
            </w:r>
          </w:p>
        </w:tc>
        <w:tc>
          <w:tcPr>
            <w:tcW w:w="864"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(304)</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435E10" w:rsidRPr="00892DE3" w:rsidRDefault="00435E10" w:rsidP="00435E10">
            <w:r w:rsidRPr="00892DE3">
              <w:t>AASB 137.84(c)</w:t>
            </w:r>
          </w:p>
        </w:tc>
        <w:tc>
          <w:tcPr>
            <w:tcW w:w="7290" w:type="dxa"/>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Reduction transfer out</w:t>
            </w:r>
          </w:p>
        </w:tc>
        <w:tc>
          <w:tcPr>
            <w:tcW w:w="864" w:type="dxa"/>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(847)</w:t>
            </w:r>
          </w:p>
        </w:tc>
      </w:tr>
      <w:tr w:rsidR="00435E10" w:rsidRPr="00892DE3" w:rsidTr="0044350A">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435E10" w:rsidRPr="00892DE3" w:rsidRDefault="00435E10" w:rsidP="00435E10">
            <w:r w:rsidRPr="00892DE3">
              <w:t>AASB 137.84(a)</w:t>
            </w:r>
          </w:p>
        </w:tc>
        <w:tc>
          <w:tcPr>
            <w:tcW w:w="7290" w:type="dxa"/>
            <w:tcBorders>
              <w:bottom w:val="single" w:sz="4" w:space="0" w:color="53565A"/>
            </w:tcBorders>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rPr>
                <w:b/>
              </w:rPr>
            </w:pPr>
            <w:r w:rsidRPr="00892DE3">
              <w:rPr>
                <w:b/>
              </w:rPr>
              <w:t>Closing balance</w:t>
            </w:r>
          </w:p>
        </w:tc>
        <w:tc>
          <w:tcPr>
            <w:tcW w:w="864" w:type="dxa"/>
            <w:tcBorders>
              <w:bottom w:val="single" w:sz="4" w:space="0" w:color="53565A"/>
            </w:tcBorders>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rPr>
                <w:b/>
              </w:rPr>
            </w:pPr>
            <w:r w:rsidRPr="00892DE3">
              <w:rPr>
                <w:b/>
              </w:rPr>
              <w:t>1 522</w:t>
            </w:r>
          </w:p>
        </w:tc>
      </w:tr>
      <w:tr w:rsidR="00435E10" w:rsidRPr="00892DE3" w:rsidTr="0044350A">
        <w:trPr>
          <w:trHeight w:val="86"/>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shd w:val="clear" w:color="auto" w:fill="auto"/>
          </w:tcPr>
          <w:p w:rsidR="00435E10" w:rsidRPr="00892DE3" w:rsidRDefault="00435E10" w:rsidP="00435E10">
            <w:r w:rsidRPr="00892DE3">
              <w:t>AASB 101.61</w:t>
            </w:r>
          </w:p>
        </w:tc>
        <w:tc>
          <w:tcPr>
            <w:tcW w:w="7290" w:type="dxa"/>
            <w:tcBorders>
              <w:top w:val="single" w:sz="4" w:space="0" w:color="53565A"/>
              <w:bottom w:val="nil"/>
            </w:tcBorders>
          </w:tcPr>
          <w:p w:rsidR="00435E10" w:rsidRPr="00892DE3" w:rsidRDefault="00435E10" w:rsidP="00435E10">
            <w:pPr>
              <w:jc w:val="left"/>
              <w:cnfStyle w:val="000000000000" w:firstRow="0" w:lastRow="0" w:firstColumn="0" w:lastColumn="0" w:oddVBand="0" w:evenVBand="0" w:oddHBand="0" w:evenHBand="0" w:firstRowFirstColumn="0" w:firstRowLastColumn="0" w:lastRowFirstColumn="0" w:lastRowLastColumn="0"/>
            </w:pPr>
            <w:r w:rsidRPr="00892DE3">
              <w:t>Current</w:t>
            </w:r>
          </w:p>
        </w:tc>
        <w:tc>
          <w:tcPr>
            <w:tcW w:w="864" w:type="dxa"/>
            <w:tcBorders>
              <w:top w:val="single" w:sz="4" w:space="0" w:color="53565A"/>
              <w:bottom w:val="nil"/>
            </w:tcBorders>
            <w:shd w:val="clear" w:color="auto" w:fill="EBEBEB" w:themeFill="background2"/>
            <w:noWrap/>
          </w:tcPr>
          <w:p w:rsidR="00435E10" w:rsidRPr="00892DE3" w:rsidRDefault="00435E10" w:rsidP="00450E27">
            <w:pPr>
              <w:cnfStyle w:val="000000000000" w:firstRow="0" w:lastRow="0" w:firstColumn="0" w:lastColumn="0" w:oddVBand="0" w:evenVBand="0" w:oddHBand="0" w:evenHBand="0" w:firstRowFirstColumn="0" w:firstRowLastColumn="0" w:lastRowFirstColumn="0" w:lastRowLastColumn="0"/>
            </w:pPr>
            <w:r w:rsidRPr="00892DE3">
              <w:t xml:space="preserve"> 650</w:t>
            </w:r>
          </w:p>
        </w:tc>
      </w:tr>
      <w:tr w:rsidR="00435E10" w:rsidRPr="00892DE3" w:rsidTr="0044350A">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649" w:type="dxa"/>
            <w:shd w:val="clear" w:color="auto" w:fill="auto"/>
          </w:tcPr>
          <w:p w:rsidR="00435E10" w:rsidRPr="00892DE3" w:rsidRDefault="00435E10" w:rsidP="00435E10">
            <w:r w:rsidRPr="00892DE3">
              <w:t>AASB 101.61</w:t>
            </w:r>
          </w:p>
        </w:tc>
        <w:tc>
          <w:tcPr>
            <w:tcW w:w="7290" w:type="dxa"/>
            <w:tcBorders>
              <w:top w:val="nil"/>
            </w:tcBorders>
          </w:tcPr>
          <w:p w:rsidR="00435E10" w:rsidRPr="00892DE3" w:rsidRDefault="00435E10" w:rsidP="00435E10">
            <w:pPr>
              <w:jc w:val="left"/>
              <w:cnfStyle w:val="010000000000" w:firstRow="0" w:lastRow="1" w:firstColumn="0" w:lastColumn="0" w:oddVBand="0" w:evenVBand="0" w:oddHBand="0" w:evenHBand="0" w:firstRowFirstColumn="0" w:firstRowLastColumn="0" w:lastRowFirstColumn="0" w:lastRowLastColumn="0"/>
              <w:rPr>
                <w:b w:val="0"/>
              </w:rPr>
            </w:pPr>
            <w:r w:rsidRPr="00892DE3">
              <w:rPr>
                <w:b w:val="0"/>
              </w:rPr>
              <w:t>Non</w:t>
            </w:r>
            <w:r w:rsidRPr="00892DE3">
              <w:rPr>
                <w:b w:val="0"/>
              </w:rPr>
              <w:noBreakHyphen/>
              <w:t>current</w:t>
            </w:r>
          </w:p>
        </w:tc>
        <w:tc>
          <w:tcPr>
            <w:tcW w:w="864" w:type="dxa"/>
            <w:tcBorders>
              <w:top w:val="nil"/>
            </w:tcBorders>
            <w:shd w:val="clear" w:color="auto" w:fill="EBEBEB" w:themeFill="background2"/>
            <w:noWrap/>
          </w:tcPr>
          <w:p w:rsidR="00435E10" w:rsidRPr="00892DE3" w:rsidRDefault="00435E10" w:rsidP="00450E27">
            <w:pPr>
              <w:cnfStyle w:val="010000000000" w:firstRow="0" w:lastRow="1" w:firstColumn="0" w:lastColumn="0" w:oddVBand="0" w:evenVBand="0" w:oddHBand="0" w:evenHBand="0" w:firstRowFirstColumn="0" w:firstRowLastColumn="0" w:lastRowFirstColumn="0" w:lastRowLastColumn="0"/>
              <w:rPr>
                <w:b w:val="0"/>
              </w:rPr>
            </w:pPr>
            <w:r w:rsidRPr="00892DE3">
              <w:rPr>
                <w:b w:val="0"/>
              </w:rPr>
              <w:t xml:space="preserve"> 871</w:t>
            </w:r>
          </w:p>
        </w:tc>
      </w:tr>
    </w:tbl>
    <w:p w:rsidR="00435E10" w:rsidRPr="00892DE3" w:rsidRDefault="00435E10" w:rsidP="00435E10">
      <w:pPr>
        <w:rPr>
          <w:rStyle w:val="SourceReference"/>
        </w:rPr>
      </w:pPr>
      <w:r w:rsidRPr="00892DE3">
        <w:rPr>
          <w:b/>
        </w:rPr>
        <w:t>Wages and salaries, annual leave and sick leave</w:t>
      </w:r>
      <w:r w:rsidRPr="00892DE3">
        <w:t>: Liabilities for wa</w:t>
      </w:r>
      <w:r w:rsidR="005D7DF1" w:rsidRPr="00892DE3">
        <w:t>ges and salaries (including non-</w:t>
      </w:r>
      <w:r w:rsidRPr="00892DE3">
        <w:t>monetary benefits, annual leave</w:t>
      </w:r>
      <w:r w:rsidR="00AE094B" w:rsidRPr="00892DE3">
        <w:t xml:space="preserve"> </w:t>
      </w:r>
      <w:r w:rsidRPr="00892DE3">
        <w:t>and on</w:t>
      </w:r>
      <w:r w:rsidR="00BD16A7" w:rsidRPr="00892DE3">
        <w:t>-</w:t>
      </w:r>
      <w:r w:rsidRPr="00892DE3">
        <w:t xml:space="preserve">costs) are recognised as part of the employee benefit provision as current liabilities, because the Department does not have an unconditional right to defer settlements of these liabilities. </w:t>
      </w:r>
      <w:r w:rsidRPr="00892DE3">
        <w:rPr>
          <w:rStyle w:val="SourceReference"/>
        </w:rPr>
        <w:t>[AASB 101.69 and 119.8]</w:t>
      </w:r>
    </w:p>
    <w:p w:rsidR="00BD16A7" w:rsidRPr="00892DE3" w:rsidRDefault="00BD16A7" w:rsidP="00BD16A7">
      <w:r w:rsidRPr="00892DE3">
        <w:t xml:space="preserve">The liability for salaries and wages are recognised in the balance sheet at remuneration rates which are current at the reporting date. As the </w:t>
      </w:r>
      <w:r w:rsidR="00154F17" w:rsidRPr="00892DE3">
        <w:t>D</w:t>
      </w:r>
      <w:r w:rsidRPr="00892DE3">
        <w:t xml:space="preserve">epartment expects the liabilities to be wholly settled within 12 months of reporting date, they are measured at undiscounted amounts. </w:t>
      </w:r>
      <w:r w:rsidRPr="00892DE3">
        <w:rPr>
          <w:rStyle w:val="SourceReference"/>
        </w:rPr>
        <w:t>[AASB 101.69 and 119.8]</w:t>
      </w:r>
    </w:p>
    <w:p w:rsidR="00BD16A7" w:rsidRPr="00892DE3" w:rsidRDefault="00BD16A7" w:rsidP="00BD16A7">
      <w:r w:rsidRPr="00892DE3">
        <w:t xml:space="preserve">The annual leave liability is classified as a current liability and measured at the undiscounted amount expected to be paid, as the Department does not have an unconditional right to defer settlement of the liability for at least 12 months after the end of the reporting period. </w:t>
      </w:r>
      <w:r w:rsidRPr="00892DE3">
        <w:rPr>
          <w:rStyle w:val="SourceReference"/>
        </w:rPr>
        <w:t>[AASB 101.69(d)]</w:t>
      </w:r>
    </w:p>
    <w:p w:rsidR="00BD16A7" w:rsidRPr="00892DE3" w:rsidRDefault="00BD16A7" w:rsidP="00BD16A7">
      <w:r w:rsidRPr="00892DE3">
        <w:t xml:space="preserve">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 </w:t>
      </w:r>
    </w:p>
    <w:p w:rsidR="00F560AE" w:rsidRPr="00892DE3" w:rsidRDefault="00BD16A7" w:rsidP="00435E10">
      <w:r w:rsidRPr="00892DE3">
        <w:t xml:space="preserve">Employment on-costs such as payroll tax, workers compensation and superannuation are not employee benefits. They are disclosed separately as a component of the provision for employee benefits when the employment to which they relate has occurred. </w:t>
      </w:r>
      <w:r w:rsidRPr="00892DE3">
        <w:rPr>
          <w:rStyle w:val="SourceReference"/>
        </w:rPr>
        <w:t>[AASB 101.78]</w:t>
      </w:r>
    </w:p>
    <w:p w:rsidR="00435E10" w:rsidRPr="00892DE3" w:rsidRDefault="00435E10" w:rsidP="00435E10">
      <w:r w:rsidRPr="00892DE3">
        <w:rPr>
          <w:b/>
        </w:rPr>
        <w:t>Unconditional LSL</w:t>
      </w:r>
      <w:r w:rsidRPr="00892DE3">
        <w:t xml:space="preserve"> is disclosed as a current liability; even where the Department does not expect to settle the liability within 12 months because it will not have the unconditional right to defer the settlement of the entitlement should an employee take leave within 12 months.</w:t>
      </w:r>
      <w:r w:rsidR="00BD16A7" w:rsidRPr="00892DE3">
        <w:t xml:space="preserve"> </w:t>
      </w:r>
      <w:r w:rsidR="00BD16A7" w:rsidRPr="00892DE3">
        <w:rPr>
          <w:rStyle w:val="SourceReference"/>
        </w:rPr>
        <w:t>[AASB 101.69(d)]</w:t>
      </w:r>
    </w:p>
    <w:p w:rsidR="00435E10" w:rsidRPr="00892DE3" w:rsidRDefault="00435E10" w:rsidP="00435E10">
      <w:r w:rsidRPr="00892DE3">
        <w:t>The components of this current LSL liability are measured at:</w:t>
      </w:r>
    </w:p>
    <w:p w:rsidR="00435E10" w:rsidRPr="00892DE3" w:rsidRDefault="00435E10" w:rsidP="00435E10">
      <w:pPr>
        <w:pStyle w:val="ListBullet"/>
      </w:pPr>
      <w:r w:rsidRPr="00892DE3">
        <w:t>undiscounted value – if the Department expects to wholly settle within 12 months; or</w:t>
      </w:r>
    </w:p>
    <w:p w:rsidR="00435E10" w:rsidRPr="00892DE3" w:rsidRDefault="00435E10" w:rsidP="00435E10">
      <w:pPr>
        <w:pStyle w:val="ListBullet"/>
      </w:pPr>
      <w:r w:rsidRPr="00892DE3">
        <w:t xml:space="preserve">present value – if the </w:t>
      </w:r>
      <w:r w:rsidR="00BD16A7" w:rsidRPr="00892DE3">
        <w:t xml:space="preserve">Department </w:t>
      </w:r>
      <w:r w:rsidRPr="00892DE3">
        <w:t>does not expect to wholly settle within 12 months.</w:t>
      </w:r>
    </w:p>
    <w:p w:rsidR="00435E10" w:rsidRPr="00892DE3" w:rsidRDefault="00435E10" w:rsidP="00435E10">
      <w:r w:rsidRPr="00892DE3">
        <w:rPr>
          <w:b/>
        </w:rPr>
        <w:lastRenderedPageBreak/>
        <w:t xml:space="preserve">Conditional </w:t>
      </w:r>
      <w:r w:rsidR="00154F17" w:rsidRPr="00892DE3">
        <w:rPr>
          <w:b/>
        </w:rPr>
        <w:t>LSL</w:t>
      </w:r>
      <w:r w:rsidRPr="00892DE3">
        <w:t xml:space="preserve"> is disclosed as a non-current liability. There is an unconditional right to defer the settlement of the entitlement until the employee has completed the requisite years of service. This non-current LSL is measured at present value.</w:t>
      </w:r>
    </w:p>
    <w:p w:rsidR="006312BC" w:rsidRPr="00892DE3" w:rsidRDefault="00435E10">
      <w:pPr>
        <w:rPr>
          <w:rStyle w:val="SourceReference"/>
        </w:rPr>
      </w:pPr>
      <w:r w:rsidRPr="00892DE3">
        <w:t xml:space="preserve">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 </w:t>
      </w:r>
      <w:r w:rsidRPr="00892DE3">
        <w:rPr>
          <w:rStyle w:val="SourceReference"/>
        </w:rPr>
        <w:t>[AASB 119.28]</w:t>
      </w:r>
    </w:p>
    <w:p w:rsidR="00B57A69" w:rsidRPr="00892DE3" w:rsidRDefault="00B57A69"/>
    <w:tbl>
      <w:tblPr>
        <w:tblStyle w:val="ModelReportGuidanceTable"/>
        <w:tblW w:w="9854" w:type="dxa"/>
        <w:tblLayout w:type="fixed"/>
        <w:tblLook w:val="04A0" w:firstRow="1" w:lastRow="0" w:firstColumn="1" w:lastColumn="0" w:noHBand="0" w:noVBand="1"/>
      </w:tblPr>
      <w:tblGrid>
        <w:gridCol w:w="9854"/>
      </w:tblGrid>
      <w:tr w:rsidR="006312BC" w:rsidRPr="00892DE3" w:rsidTr="00011E1F">
        <w:trPr>
          <w:cnfStyle w:val="100000000000" w:firstRow="1" w:lastRow="0" w:firstColumn="0" w:lastColumn="0" w:oddVBand="0" w:evenVBand="0" w:oddHBand="0" w:evenHBand="0" w:firstRowFirstColumn="0" w:firstRowLastColumn="0" w:lastRowFirstColumn="0" w:lastRowLastColumn="0"/>
          <w:tblHeader/>
        </w:trPr>
        <w:tc>
          <w:tcPr>
            <w:tcW w:w="9854" w:type="dxa"/>
          </w:tcPr>
          <w:p w:rsidR="006312BC" w:rsidRPr="00892DE3" w:rsidRDefault="006312BC" w:rsidP="00435E10">
            <w:r w:rsidRPr="00892DE3">
              <w:t>Guidance – Employee benefits</w:t>
            </w:r>
          </w:p>
        </w:tc>
      </w:tr>
      <w:tr w:rsidR="006312BC" w:rsidRPr="00892DE3" w:rsidTr="00011E1F">
        <w:tc>
          <w:tcPr>
            <w:tcW w:w="9854" w:type="dxa"/>
          </w:tcPr>
          <w:p w:rsidR="006312BC" w:rsidRPr="00892DE3" w:rsidRDefault="006312BC" w:rsidP="006312BC">
            <w:r w:rsidRPr="00892DE3">
              <w:t xml:space="preserve">Entities classifying expenses by function shall disclose additional information on the nature of expenses, including employee benefits expense. </w:t>
            </w:r>
            <w:r w:rsidRPr="00892DE3">
              <w:rPr>
                <w:rStyle w:val="SourceReference"/>
              </w:rPr>
              <w:t>[AASB 101.104]</w:t>
            </w:r>
          </w:p>
          <w:p w:rsidR="006312BC" w:rsidRPr="00892DE3" w:rsidRDefault="006312BC" w:rsidP="006312BC">
            <w:r w:rsidRPr="00892DE3">
              <w:rPr>
                <w:b/>
              </w:rPr>
              <w:t>Distinction between short-term and long-term employee benefits</w:t>
            </w:r>
            <w:r w:rsidRPr="00892DE3">
              <w:t xml:space="preserve">: Employee benefits are classified as short-term when they are expected to be settled wholly within 12 months after the employees render the related services. </w:t>
            </w:r>
            <w:r w:rsidRPr="00892DE3">
              <w:rPr>
                <w:rStyle w:val="SourceReference"/>
              </w:rPr>
              <w:t>[AASB</w:t>
            </w:r>
            <w:r w:rsidR="00DC55D4" w:rsidRPr="00892DE3">
              <w:rPr>
                <w:rStyle w:val="SourceReference"/>
              </w:rPr>
              <w:t> </w:t>
            </w:r>
            <w:r w:rsidRPr="00892DE3">
              <w:rPr>
                <w:rStyle w:val="SourceReference"/>
              </w:rPr>
              <w:t>119.8]</w:t>
            </w:r>
          </w:p>
          <w:p w:rsidR="006312BC" w:rsidRPr="00892DE3" w:rsidRDefault="006312BC" w:rsidP="006312BC">
            <w:r w:rsidRPr="00892DE3">
              <w:t>Government departments should review their current short-term employee benefits to ensure their classification remains appropriate.</w:t>
            </w:r>
          </w:p>
          <w:p w:rsidR="00075658" w:rsidRPr="00892DE3" w:rsidRDefault="006312BC" w:rsidP="0035487C">
            <w:pPr>
              <w:spacing w:after="180"/>
            </w:pPr>
            <w:r w:rsidRPr="00892DE3">
              <w:rPr>
                <w:b/>
              </w:rPr>
              <w:t>Measurement of short-term and long-term employee benefits</w:t>
            </w:r>
            <w:r w:rsidRPr="00892DE3">
              <w:t>: 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‘short-term/long-term’ classification and measurement. It is generally expected that the accrued annual leave will be wholly settled before the end of the next annual reporting period, the provisions will need to be measured at present values (on a discounted basis).</w:t>
            </w:r>
          </w:p>
          <w:p w:rsidR="00075658" w:rsidRPr="00892DE3" w:rsidRDefault="00842133" w:rsidP="00075658">
            <w:pPr>
              <w:jc w:val="center"/>
            </w:pPr>
            <w:r w:rsidRPr="00892DE3">
              <w:rPr>
                <w:noProof/>
                <w:lang w:eastAsia="en-AU"/>
              </w:rPr>
              <w:drawing>
                <wp:inline distT="0" distB="0" distL="0" distR="0" wp14:anchorId="55CB86E5" wp14:editId="7C02D4FB">
                  <wp:extent cx="3600450" cy="3295624"/>
                  <wp:effectExtent l="0" t="0" r="0"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07233" cy="3301832"/>
                          </a:xfrm>
                          <a:prstGeom prst="rect">
                            <a:avLst/>
                          </a:prstGeom>
                          <a:noFill/>
                          <a:ln>
                            <a:noFill/>
                          </a:ln>
                        </pic:spPr>
                      </pic:pic>
                    </a:graphicData>
                  </a:graphic>
                </wp:inline>
              </w:drawing>
            </w:r>
          </w:p>
          <w:p w:rsidR="00075658" w:rsidRPr="00892DE3" w:rsidRDefault="00075658" w:rsidP="0035487C"/>
          <w:p w:rsidR="006312BC" w:rsidRPr="00892DE3" w:rsidRDefault="006312BC" w:rsidP="006312BC">
            <w:pPr>
              <w:rPr>
                <w:b/>
              </w:rPr>
            </w:pPr>
            <w:r w:rsidRPr="00892DE3">
              <w:rPr>
                <w:b/>
              </w:rPr>
              <w:t>Unit of account</w:t>
            </w:r>
          </w:p>
          <w:p w:rsidR="006312BC" w:rsidRPr="00892DE3" w:rsidRDefault="006312BC" w:rsidP="006312BC">
            <w:r w:rsidRPr="00892DE3">
              <w:t xml:space="preserve">The definition of short-term employee benefits introduces the notion of ‘wholly’. The expectation of the timing of settlement is based on the entity level, not at the individual employee level. </w:t>
            </w:r>
          </w:p>
          <w:p w:rsidR="006312BC" w:rsidRPr="00892DE3" w:rsidRDefault="006312BC" w:rsidP="006312BC">
            <w:r w:rsidRPr="00892DE3">
              <w:t>It is unnecessary for departments to obtain detailed information of each employee’s anticipated timing for their leave settlement. This Model Report assumes the annual leave accrued by the Department of Technology as at 30 June 2017 is not expected to be settled wholly within 12 months thereafter. Accordingly, the provision for annual leave is classified as long-term for measurement purposes, and is discounted to its present value.</w:t>
            </w:r>
          </w:p>
          <w:p w:rsidR="006312BC" w:rsidRPr="00892DE3" w:rsidRDefault="006312BC" w:rsidP="006312BC">
            <w:r w:rsidRPr="00892DE3">
              <w:t xml:space="preserve">Entities should form their own reasonable expectations of the timing of </w:t>
            </w:r>
            <w:r w:rsidR="00A62633" w:rsidRPr="00892DE3">
              <w:t>employee benefit</w:t>
            </w:r>
            <w:r w:rsidRPr="00892DE3">
              <w:t xml:space="preserve"> settlement as long as it is not temporary in their own context. Where employee benefits are expected to be settled wholly within 12</w:t>
            </w:r>
            <w:r w:rsidR="00DC55D4" w:rsidRPr="00892DE3">
              <w:t> </w:t>
            </w:r>
            <w:r w:rsidRPr="00892DE3">
              <w:t>months, they should be classified as ‘short-term employee benefits’ and measured at nominal values without discounting.</w:t>
            </w:r>
          </w:p>
          <w:p w:rsidR="006312BC" w:rsidRPr="00892DE3" w:rsidRDefault="006312BC" w:rsidP="006A58CA">
            <w:r w:rsidRPr="00892DE3">
              <w:t>The Model Report assumes the discounting method is done on an annual basis, and entities are encouraged to adopt similar assumptions to ensure the consistency of departmental reports.</w:t>
            </w:r>
            <w:r w:rsidR="004C0C42" w:rsidRPr="00892DE3">
              <w:t xml:space="preserve"> Please refer to Appendix </w:t>
            </w:r>
            <w:r w:rsidR="006A58CA">
              <w:t>6</w:t>
            </w:r>
            <w:r w:rsidR="006A58CA" w:rsidRPr="00892DE3">
              <w:t xml:space="preserve"> </w:t>
            </w:r>
            <w:r w:rsidR="004C0C42" w:rsidRPr="00892DE3">
              <w:t xml:space="preserve">for further guidance on estimating annual leave provisions under AASB 119. </w:t>
            </w:r>
          </w:p>
        </w:tc>
      </w:tr>
    </w:tbl>
    <w:p w:rsidR="00011E1F" w:rsidRPr="00892DE3" w:rsidRDefault="00011E1F">
      <w:r w:rsidRPr="00892DE3">
        <w:br w:type="page"/>
      </w:r>
    </w:p>
    <w:tbl>
      <w:tblPr>
        <w:tblStyle w:val="ModelReportGuidanceTable"/>
        <w:tblW w:w="9854" w:type="dxa"/>
        <w:tblLayout w:type="fixed"/>
        <w:tblLook w:val="04A0" w:firstRow="1" w:lastRow="0" w:firstColumn="1" w:lastColumn="0" w:noHBand="0" w:noVBand="1"/>
      </w:tblPr>
      <w:tblGrid>
        <w:gridCol w:w="9854"/>
      </w:tblGrid>
      <w:tr w:rsidR="00011E1F" w:rsidRPr="00892DE3" w:rsidTr="00011E1F">
        <w:trPr>
          <w:cnfStyle w:val="100000000000" w:firstRow="1" w:lastRow="0" w:firstColumn="0" w:lastColumn="0" w:oddVBand="0" w:evenVBand="0" w:oddHBand="0" w:evenHBand="0" w:firstRowFirstColumn="0" w:firstRowLastColumn="0" w:lastRowFirstColumn="0" w:lastRowLastColumn="0"/>
          <w:tblHeader/>
        </w:trPr>
        <w:tc>
          <w:tcPr>
            <w:tcW w:w="9854" w:type="dxa"/>
          </w:tcPr>
          <w:p w:rsidR="00011E1F" w:rsidRPr="00892DE3" w:rsidRDefault="00011E1F" w:rsidP="003432FE">
            <w:r w:rsidRPr="00892DE3">
              <w:lastRenderedPageBreak/>
              <w:t xml:space="preserve">Guidance – Employee benefits </w:t>
            </w:r>
            <w:r w:rsidRPr="0041634C">
              <w:rPr>
                <w:i/>
              </w:rPr>
              <w:t>(continued)</w:t>
            </w:r>
          </w:p>
        </w:tc>
      </w:tr>
      <w:tr w:rsidR="00B57A69" w:rsidRPr="00892DE3" w:rsidTr="00011E1F">
        <w:tc>
          <w:tcPr>
            <w:tcW w:w="9854" w:type="dxa"/>
          </w:tcPr>
          <w:p w:rsidR="00B57A69" w:rsidRPr="00892DE3" w:rsidRDefault="00B57A69" w:rsidP="00B57A69">
            <w:r w:rsidRPr="00892DE3">
              <w:rPr>
                <w:b/>
              </w:rPr>
              <w:t>Current/non-current classification of employee benefits</w:t>
            </w:r>
            <w:r w:rsidRPr="00892DE3">
              <w:t xml:space="preserve">: All annual leave and unconditional vested LSL are disclosed as a current liabilities. </w:t>
            </w:r>
            <w:r w:rsidRPr="00892DE3">
              <w:rPr>
                <w:rStyle w:val="SourceReference"/>
              </w:rPr>
              <w:t>[AASB 101.69(d)]</w:t>
            </w:r>
          </w:p>
          <w:p w:rsidR="00B57A69" w:rsidRPr="00892DE3" w:rsidRDefault="00B57A69" w:rsidP="00B57A69">
            <w:r w:rsidRPr="00892DE3">
              <w:t>Conditional LSL (less than seven years of continuous service) is disclosed as a non-current liability and measured at present value.</w:t>
            </w:r>
          </w:p>
          <w:p w:rsidR="00B57A69" w:rsidRPr="00892DE3" w:rsidRDefault="00B57A69" w:rsidP="00B57A69">
            <w:r w:rsidRPr="00892DE3">
              <w:t>In measuring employee benefits, consideration is given to expected future wage and salary levels, experience of employee departures and periods of service. Expected future payments are discounted using a single weighted average discount rate based on market yields of national government bonds in Australia that reflects the estimated timing and amount of benefit payment.</w:t>
            </w:r>
          </w:p>
        </w:tc>
      </w:tr>
    </w:tbl>
    <w:p w:rsidR="006312BC" w:rsidRPr="00892DE3" w:rsidRDefault="006312BC" w:rsidP="00D31BB8">
      <w:pPr>
        <w:pStyle w:val="Heading3"/>
      </w:pPr>
      <w:r w:rsidRPr="00892DE3">
        <w:t>Superannuation contributions</w:t>
      </w:r>
    </w:p>
    <w:p w:rsidR="006312BC" w:rsidRPr="00892DE3" w:rsidRDefault="006312BC" w:rsidP="006312BC">
      <w:r w:rsidRPr="00892DE3">
        <w:t>Employees of the Department are entitled to receive superannuation benefits and the Department contributes to both defined benefit and defined contribution plans. The defined benefit plan(s) provides benefits based on years of service and final average salary.</w:t>
      </w:r>
    </w:p>
    <w:p w:rsidR="006312BC" w:rsidRPr="00892DE3" w:rsidRDefault="006312BC" w:rsidP="00315311">
      <w:pPr>
        <w:ind w:right="-143"/>
      </w:pPr>
      <w:r w:rsidRPr="00892DE3">
        <w:t>As noted before, the defined benefit liability is recognised in DTF as an administered liability. However, superannuation contributions paid or payable for the reporting period are included as part of employee benefits in the comprehensive operating statement of the Department.</w:t>
      </w:r>
    </w:p>
    <w:p w:rsidR="006312BC" w:rsidRPr="00892DE3" w:rsidRDefault="006312BC" w:rsidP="006312BC">
      <w:pPr>
        <w:pStyle w:val="TableUnits"/>
      </w:pPr>
      <w:r w:rsidRPr="00892DE3">
        <w:t>($ thousand)</w:t>
      </w:r>
    </w:p>
    <w:tbl>
      <w:tblPr>
        <w:tblStyle w:val="ModelReportFinancialTable"/>
        <w:tblW w:w="9749" w:type="dxa"/>
        <w:tblLayout w:type="fixed"/>
        <w:tblLook w:val="06A0" w:firstRow="1" w:lastRow="0" w:firstColumn="1" w:lastColumn="0" w:noHBand="1" w:noVBand="1"/>
      </w:tblPr>
      <w:tblGrid>
        <w:gridCol w:w="1379"/>
        <w:gridCol w:w="3060"/>
        <w:gridCol w:w="1260"/>
        <w:gridCol w:w="1170"/>
        <w:gridCol w:w="1530"/>
        <w:gridCol w:w="1350"/>
      </w:tblGrid>
      <w:tr w:rsidR="006312BC" w:rsidRPr="00892DE3" w:rsidTr="00DC55D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379" w:type="dxa"/>
            <w:tcBorders>
              <w:bottom w:val="nil"/>
            </w:tcBorders>
            <w:shd w:val="clear" w:color="auto" w:fill="auto"/>
          </w:tcPr>
          <w:p w:rsidR="006312BC" w:rsidRPr="00892DE3" w:rsidRDefault="006312BC" w:rsidP="006312BC">
            <w:r w:rsidRPr="00892DE3">
              <w:t>Source reference</w:t>
            </w:r>
          </w:p>
        </w:tc>
        <w:tc>
          <w:tcPr>
            <w:tcW w:w="3060" w:type="dxa"/>
          </w:tcPr>
          <w:p w:rsidR="006312BC" w:rsidRPr="00892DE3" w:rsidRDefault="006312BC" w:rsidP="006312BC">
            <w:pPr>
              <w:jc w:val="left"/>
              <w:cnfStyle w:val="100000000000" w:firstRow="1" w:lastRow="0" w:firstColumn="0" w:lastColumn="0" w:oddVBand="0" w:evenVBand="0" w:oddHBand="0" w:evenHBand="0" w:firstRowFirstColumn="0" w:firstRowLastColumn="0" w:lastRowFirstColumn="0" w:lastRowLastColumn="0"/>
            </w:pPr>
          </w:p>
        </w:tc>
        <w:tc>
          <w:tcPr>
            <w:tcW w:w="2430" w:type="dxa"/>
            <w:gridSpan w:val="2"/>
            <w:noWrap/>
          </w:tcPr>
          <w:p w:rsidR="006312BC" w:rsidRPr="00892DE3" w:rsidRDefault="006312BC" w:rsidP="006312BC">
            <w:pPr>
              <w:jc w:val="center"/>
              <w:cnfStyle w:val="100000000000" w:firstRow="1" w:lastRow="0" w:firstColumn="0" w:lastColumn="0" w:oddVBand="0" w:evenVBand="0" w:oddHBand="0" w:evenHBand="0" w:firstRowFirstColumn="0" w:firstRowLastColumn="0" w:lastRowFirstColumn="0" w:lastRowLastColumn="0"/>
            </w:pPr>
            <w:r w:rsidRPr="00892DE3">
              <w:t>Paid contribution for the year</w:t>
            </w:r>
          </w:p>
        </w:tc>
        <w:tc>
          <w:tcPr>
            <w:tcW w:w="2880" w:type="dxa"/>
            <w:gridSpan w:val="2"/>
          </w:tcPr>
          <w:p w:rsidR="006312BC" w:rsidRPr="00892DE3" w:rsidRDefault="006312BC" w:rsidP="006312BC">
            <w:pPr>
              <w:jc w:val="center"/>
              <w:cnfStyle w:val="100000000000" w:firstRow="1" w:lastRow="0" w:firstColumn="0" w:lastColumn="0" w:oddVBand="0" w:evenVBand="0" w:oddHBand="0" w:evenHBand="0" w:firstRowFirstColumn="0" w:firstRowLastColumn="0" w:lastRowFirstColumn="0" w:lastRowLastColumn="0"/>
            </w:pPr>
            <w:r w:rsidRPr="00892DE3">
              <w:t>Contribution outstanding at year end</w:t>
            </w:r>
          </w:p>
        </w:tc>
      </w:tr>
      <w:tr w:rsidR="006312BC" w:rsidRPr="00892DE3" w:rsidTr="00DC55D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379" w:type="dxa"/>
            <w:tcBorders>
              <w:bottom w:val="nil"/>
            </w:tcBorders>
            <w:shd w:val="clear" w:color="auto" w:fill="auto"/>
          </w:tcPr>
          <w:p w:rsidR="006312BC" w:rsidRPr="00892DE3" w:rsidRDefault="006312BC" w:rsidP="006312BC"/>
        </w:tc>
        <w:tc>
          <w:tcPr>
            <w:tcW w:w="3060" w:type="dxa"/>
            <w:hideMark/>
          </w:tcPr>
          <w:p w:rsidR="006312BC" w:rsidRPr="00892DE3" w:rsidRDefault="006312BC" w:rsidP="006312BC">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260" w:type="dxa"/>
            <w:noWrap/>
            <w:hideMark/>
          </w:tcPr>
          <w:p w:rsidR="006312BC" w:rsidRPr="00892DE3" w:rsidRDefault="006312BC" w:rsidP="00450E27">
            <w:pPr>
              <w:cnfStyle w:val="100000000000" w:firstRow="1" w:lastRow="0" w:firstColumn="0" w:lastColumn="0" w:oddVBand="0" w:evenVBand="0" w:oddHBand="0" w:evenHBand="0" w:firstRowFirstColumn="0" w:firstRowLastColumn="0" w:lastRowFirstColumn="0" w:lastRowLastColumn="0"/>
            </w:pPr>
            <w:r w:rsidRPr="00892DE3">
              <w:t>2017</w:t>
            </w:r>
          </w:p>
        </w:tc>
        <w:tc>
          <w:tcPr>
            <w:tcW w:w="1170" w:type="dxa"/>
            <w:noWrap/>
            <w:hideMark/>
          </w:tcPr>
          <w:p w:rsidR="006312BC" w:rsidRPr="00892DE3" w:rsidRDefault="006312BC" w:rsidP="00450E27">
            <w:pPr>
              <w:cnfStyle w:val="100000000000" w:firstRow="1" w:lastRow="0" w:firstColumn="0" w:lastColumn="0" w:oddVBand="0" w:evenVBand="0" w:oddHBand="0" w:evenHBand="0" w:firstRowFirstColumn="0" w:firstRowLastColumn="0" w:lastRowFirstColumn="0" w:lastRowLastColumn="0"/>
            </w:pPr>
            <w:r w:rsidRPr="00892DE3">
              <w:t>2016</w:t>
            </w:r>
          </w:p>
        </w:tc>
        <w:tc>
          <w:tcPr>
            <w:tcW w:w="1530" w:type="dxa"/>
          </w:tcPr>
          <w:p w:rsidR="006312BC" w:rsidRPr="00892DE3" w:rsidRDefault="006312BC" w:rsidP="00450E27">
            <w:pPr>
              <w:cnfStyle w:val="100000000000" w:firstRow="1" w:lastRow="0" w:firstColumn="0" w:lastColumn="0" w:oddVBand="0" w:evenVBand="0" w:oddHBand="0" w:evenHBand="0" w:firstRowFirstColumn="0" w:firstRowLastColumn="0" w:lastRowFirstColumn="0" w:lastRowLastColumn="0"/>
            </w:pPr>
            <w:r w:rsidRPr="00892DE3">
              <w:t>2017</w:t>
            </w:r>
          </w:p>
        </w:tc>
        <w:tc>
          <w:tcPr>
            <w:tcW w:w="1350" w:type="dxa"/>
          </w:tcPr>
          <w:p w:rsidR="006312BC" w:rsidRPr="00892DE3" w:rsidRDefault="006312BC" w:rsidP="00450E27">
            <w:pPr>
              <w:cnfStyle w:val="100000000000" w:firstRow="1" w:lastRow="0" w:firstColumn="0" w:lastColumn="0" w:oddVBand="0" w:evenVBand="0" w:oddHBand="0" w:evenHBand="0" w:firstRowFirstColumn="0" w:firstRowLastColumn="0" w:lastRowFirstColumn="0" w:lastRowLastColumn="0"/>
            </w:pPr>
            <w:r w:rsidRPr="00892DE3">
              <w:t>2016</w:t>
            </w:r>
          </w:p>
        </w:tc>
      </w:tr>
      <w:tr w:rsidR="006312BC"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6312BC" w:rsidRPr="00892DE3" w:rsidRDefault="006312BC" w:rsidP="006312BC"/>
        </w:tc>
        <w:tc>
          <w:tcPr>
            <w:tcW w:w="3060" w:type="dxa"/>
            <w:hideMark/>
          </w:tcPr>
          <w:p w:rsidR="006312BC" w:rsidRPr="00892DE3" w:rsidRDefault="006312BC" w:rsidP="00315311">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Defined benefit plans </w:t>
            </w:r>
            <w:r w:rsidRPr="00892DE3">
              <w:rPr>
                <w:b/>
                <w:vertAlign w:val="superscript"/>
              </w:rPr>
              <w:t>(</w:t>
            </w:r>
            <w:r w:rsidR="00315311" w:rsidRPr="00892DE3">
              <w:rPr>
                <w:b/>
                <w:vertAlign w:val="superscript"/>
              </w:rPr>
              <w:t>a</w:t>
            </w:r>
            <w:r w:rsidRPr="00892DE3">
              <w:rPr>
                <w:b/>
                <w:vertAlign w:val="superscript"/>
              </w:rPr>
              <w:t>)</w:t>
            </w:r>
          </w:p>
        </w:tc>
        <w:tc>
          <w:tcPr>
            <w:tcW w:w="1260" w:type="dxa"/>
            <w:shd w:val="clear" w:color="auto" w:fill="EBEBEB" w:themeFill="background2"/>
            <w:noWrap/>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p>
        </w:tc>
        <w:tc>
          <w:tcPr>
            <w:tcW w:w="1170" w:type="dxa"/>
            <w:noWrap/>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p>
        </w:tc>
        <w:tc>
          <w:tcPr>
            <w:tcW w:w="1530" w:type="dxa"/>
            <w:shd w:val="clear" w:color="auto" w:fill="EBEBEB" w:themeFill="background2"/>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p>
        </w:tc>
        <w:tc>
          <w:tcPr>
            <w:tcW w:w="1350" w:type="dxa"/>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p>
        </w:tc>
      </w:tr>
      <w:tr w:rsidR="006312BC"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6312BC" w:rsidRPr="00892DE3" w:rsidRDefault="006312BC" w:rsidP="006312BC"/>
        </w:tc>
        <w:tc>
          <w:tcPr>
            <w:tcW w:w="3060" w:type="dxa"/>
            <w:hideMark/>
          </w:tcPr>
          <w:p w:rsidR="006312BC" w:rsidRPr="00892DE3" w:rsidRDefault="006312BC" w:rsidP="006312BC">
            <w:pPr>
              <w:jc w:val="left"/>
              <w:cnfStyle w:val="000000000000" w:firstRow="0" w:lastRow="0" w:firstColumn="0" w:lastColumn="0" w:oddVBand="0" w:evenVBand="0" w:oddHBand="0" w:evenHBand="0" w:firstRowFirstColumn="0" w:firstRowLastColumn="0" w:lastRowFirstColumn="0" w:lastRowLastColumn="0"/>
            </w:pPr>
            <w:r w:rsidRPr="00892DE3">
              <w:t>State Superannuation Fund</w:t>
            </w:r>
          </w:p>
        </w:tc>
        <w:tc>
          <w:tcPr>
            <w:tcW w:w="1260" w:type="dxa"/>
            <w:shd w:val="clear" w:color="auto" w:fill="EBEBEB" w:themeFill="background2"/>
            <w:noWrap/>
            <w:hideMark/>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271</w:t>
            </w:r>
          </w:p>
        </w:tc>
        <w:tc>
          <w:tcPr>
            <w:tcW w:w="1170" w:type="dxa"/>
            <w:noWrap/>
            <w:hideMark/>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195</w:t>
            </w:r>
          </w:p>
        </w:tc>
        <w:tc>
          <w:tcPr>
            <w:tcW w:w="1530" w:type="dxa"/>
            <w:shd w:val="clear" w:color="auto" w:fill="EBEBEB" w:themeFill="background2"/>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45</w:t>
            </w:r>
          </w:p>
        </w:tc>
        <w:tc>
          <w:tcPr>
            <w:tcW w:w="1350" w:type="dxa"/>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33</w:t>
            </w:r>
          </w:p>
        </w:tc>
      </w:tr>
      <w:tr w:rsidR="006312BC"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6312BC" w:rsidRPr="00892DE3" w:rsidRDefault="006312BC" w:rsidP="006312BC"/>
        </w:tc>
        <w:tc>
          <w:tcPr>
            <w:tcW w:w="3060" w:type="dxa"/>
            <w:hideMark/>
          </w:tcPr>
          <w:p w:rsidR="006312BC" w:rsidRPr="00892DE3" w:rsidRDefault="006312BC" w:rsidP="006312BC">
            <w:pPr>
              <w:jc w:val="left"/>
              <w:cnfStyle w:val="000000000000" w:firstRow="0" w:lastRow="0" w:firstColumn="0" w:lastColumn="0" w:oddVBand="0" w:evenVBand="0" w:oddHBand="0" w:evenHBand="0" w:firstRowFirstColumn="0" w:firstRowLastColumn="0" w:lastRowFirstColumn="0" w:lastRowLastColumn="0"/>
            </w:pPr>
            <w:r w:rsidRPr="00892DE3">
              <w:t>Other</w:t>
            </w:r>
          </w:p>
        </w:tc>
        <w:tc>
          <w:tcPr>
            <w:tcW w:w="1260" w:type="dxa"/>
            <w:shd w:val="clear" w:color="auto" w:fill="EBEBEB" w:themeFill="background2"/>
            <w:noWrap/>
            <w:hideMark/>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113</w:t>
            </w:r>
          </w:p>
        </w:tc>
        <w:tc>
          <w:tcPr>
            <w:tcW w:w="1170" w:type="dxa"/>
            <w:noWrap/>
            <w:hideMark/>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81</w:t>
            </w:r>
          </w:p>
        </w:tc>
        <w:tc>
          <w:tcPr>
            <w:tcW w:w="1530" w:type="dxa"/>
            <w:shd w:val="clear" w:color="auto" w:fill="EBEBEB" w:themeFill="background2"/>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23</w:t>
            </w:r>
          </w:p>
        </w:tc>
        <w:tc>
          <w:tcPr>
            <w:tcW w:w="1350" w:type="dxa"/>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16</w:t>
            </w:r>
          </w:p>
        </w:tc>
      </w:tr>
      <w:tr w:rsidR="006312BC"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6312BC" w:rsidRPr="00892DE3" w:rsidRDefault="006312BC" w:rsidP="006312BC">
            <w:r w:rsidRPr="00892DE3">
              <w:t>AASB 119.53</w:t>
            </w:r>
          </w:p>
        </w:tc>
        <w:tc>
          <w:tcPr>
            <w:tcW w:w="3060" w:type="dxa"/>
          </w:tcPr>
          <w:p w:rsidR="006312BC" w:rsidRPr="00892DE3" w:rsidRDefault="00315311" w:rsidP="006312BC">
            <w:pPr>
              <w:jc w:val="left"/>
              <w:cnfStyle w:val="000000000000" w:firstRow="0" w:lastRow="0" w:firstColumn="0" w:lastColumn="0" w:oddVBand="0" w:evenVBand="0" w:oddHBand="0" w:evenHBand="0" w:firstRowFirstColumn="0" w:firstRowLastColumn="0" w:lastRowFirstColumn="0" w:lastRowLastColumn="0"/>
              <w:rPr>
                <w:b/>
              </w:rPr>
            </w:pPr>
            <w:r w:rsidRPr="00892DE3">
              <w:rPr>
                <w:b/>
              </w:rPr>
              <w:t>Defined contribution plans</w:t>
            </w:r>
          </w:p>
        </w:tc>
        <w:tc>
          <w:tcPr>
            <w:tcW w:w="1260" w:type="dxa"/>
            <w:shd w:val="clear" w:color="auto" w:fill="EBEBEB" w:themeFill="background2"/>
            <w:noWrap/>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170" w:type="dxa"/>
            <w:noWrap/>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530" w:type="dxa"/>
            <w:shd w:val="clear" w:color="auto" w:fill="EBEBEB" w:themeFill="background2"/>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350" w:type="dxa"/>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6312BC"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6312BC" w:rsidRPr="00892DE3" w:rsidRDefault="006312BC" w:rsidP="006312BC"/>
        </w:tc>
        <w:tc>
          <w:tcPr>
            <w:tcW w:w="3060" w:type="dxa"/>
          </w:tcPr>
          <w:p w:rsidR="006312BC" w:rsidRPr="00892DE3" w:rsidRDefault="006312BC" w:rsidP="006312BC">
            <w:pPr>
              <w:jc w:val="left"/>
              <w:cnfStyle w:val="000000000000" w:firstRow="0" w:lastRow="0" w:firstColumn="0" w:lastColumn="0" w:oddVBand="0" w:evenVBand="0" w:oddHBand="0" w:evenHBand="0" w:firstRowFirstColumn="0" w:firstRowLastColumn="0" w:lastRowFirstColumn="0" w:lastRowLastColumn="0"/>
            </w:pPr>
            <w:r w:rsidRPr="00892DE3">
              <w:t>VicSuper</w:t>
            </w:r>
          </w:p>
        </w:tc>
        <w:tc>
          <w:tcPr>
            <w:tcW w:w="1260" w:type="dxa"/>
            <w:shd w:val="clear" w:color="auto" w:fill="EBEBEB" w:themeFill="background2"/>
            <w:noWrap/>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141</w:t>
            </w:r>
          </w:p>
        </w:tc>
        <w:tc>
          <w:tcPr>
            <w:tcW w:w="1170" w:type="dxa"/>
            <w:noWrap/>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93</w:t>
            </w:r>
          </w:p>
        </w:tc>
        <w:tc>
          <w:tcPr>
            <w:tcW w:w="1530" w:type="dxa"/>
            <w:shd w:val="clear" w:color="auto" w:fill="EBEBEB" w:themeFill="background2"/>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24</w:t>
            </w:r>
          </w:p>
        </w:tc>
        <w:tc>
          <w:tcPr>
            <w:tcW w:w="1350" w:type="dxa"/>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16</w:t>
            </w:r>
          </w:p>
        </w:tc>
      </w:tr>
      <w:tr w:rsidR="006312BC"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6312BC" w:rsidRPr="00892DE3" w:rsidRDefault="006312BC" w:rsidP="006312BC"/>
        </w:tc>
        <w:tc>
          <w:tcPr>
            <w:tcW w:w="3060" w:type="dxa"/>
            <w:tcBorders>
              <w:bottom w:val="single" w:sz="6" w:space="0" w:color="auto"/>
            </w:tcBorders>
          </w:tcPr>
          <w:p w:rsidR="006312BC" w:rsidRPr="00892DE3" w:rsidRDefault="006312BC" w:rsidP="006312BC">
            <w:pPr>
              <w:jc w:val="left"/>
              <w:cnfStyle w:val="000000000000" w:firstRow="0" w:lastRow="0" w:firstColumn="0" w:lastColumn="0" w:oddVBand="0" w:evenVBand="0" w:oddHBand="0" w:evenHBand="0" w:firstRowFirstColumn="0" w:firstRowLastColumn="0" w:lastRowFirstColumn="0" w:lastRowLastColumn="0"/>
            </w:pPr>
            <w:r w:rsidRPr="00892DE3">
              <w:t>Other</w:t>
            </w:r>
          </w:p>
        </w:tc>
        <w:tc>
          <w:tcPr>
            <w:tcW w:w="1260" w:type="dxa"/>
            <w:tcBorders>
              <w:bottom w:val="single" w:sz="6" w:space="0" w:color="auto"/>
            </w:tcBorders>
            <w:shd w:val="clear" w:color="auto" w:fill="EBEBEB" w:themeFill="background2"/>
            <w:noWrap/>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59</w:t>
            </w:r>
          </w:p>
        </w:tc>
        <w:tc>
          <w:tcPr>
            <w:tcW w:w="1170" w:type="dxa"/>
            <w:tcBorders>
              <w:bottom w:val="single" w:sz="6" w:space="0" w:color="auto"/>
            </w:tcBorders>
            <w:noWrap/>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39</w:t>
            </w:r>
          </w:p>
        </w:tc>
        <w:tc>
          <w:tcPr>
            <w:tcW w:w="1530" w:type="dxa"/>
            <w:tcBorders>
              <w:bottom w:val="single" w:sz="6" w:space="0" w:color="auto"/>
            </w:tcBorders>
            <w:shd w:val="clear" w:color="auto" w:fill="EBEBEB" w:themeFill="background2"/>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12</w:t>
            </w:r>
          </w:p>
        </w:tc>
        <w:tc>
          <w:tcPr>
            <w:tcW w:w="1350" w:type="dxa"/>
            <w:tcBorders>
              <w:bottom w:val="single" w:sz="6" w:space="0" w:color="auto"/>
            </w:tcBorders>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pPr>
            <w:r w:rsidRPr="00892DE3">
              <w:t xml:space="preserve"> 8</w:t>
            </w:r>
          </w:p>
        </w:tc>
      </w:tr>
      <w:tr w:rsidR="006312BC"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6312BC" w:rsidRPr="00892DE3" w:rsidRDefault="006312BC" w:rsidP="006312BC"/>
        </w:tc>
        <w:tc>
          <w:tcPr>
            <w:tcW w:w="3060" w:type="dxa"/>
            <w:tcBorders>
              <w:top w:val="single" w:sz="6" w:space="0" w:color="auto"/>
              <w:bottom w:val="single" w:sz="12" w:space="0" w:color="auto"/>
            </w:tcBorders>
            <w:hideMark/>
          </w:tcPr>
          <w:p w:rsidR="006312BC" w:rsidRPr="00892DE3" w:rsidRDefault="006312BC" w:rsidP="006312BC">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w:t>
            </w:r>
          </w:p>
        </w:tc>
        <w:tc>
          <w:tcPr>
            <w:tcW w:w="1260" w:type="dxa"/>
            <w:tcBorders>
              <w:top w:val="single" w:sz="6" w:space="0" w:color="auto"/>
              <w:bottom w:val="single" w:sz="12" w:space="0" w:color="auto"/>
            </w:tcBorders>
            <w:shd w:val="clear" w:color="auto" w:fill="EBEBEB" w:themeFill="background2"/>
            <w:noWrap/>
            <w:hideMark/>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583</w:t>
            </w:r>
          </w:p>
        </w:tc>
        <w:tc>
          <w:tcPr>
            <w:tcW w:w="1170" w:type="dxa"/>
            <w:tcBorders>
              <w:top w:val="single" w:sz="6" w:space="0" w:color="auto"/>
              <w:bottom w:val="single" w:sz="12" w:space="0" w:color="auto"/>
            </w:tcBorders>
            <w:noWrap/>
            <w:hideMark/>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408</w:t>
            </w:r>
          </w:p>
        </w:tc>
        <w:tc>
          <w:tcPr>
            <w:tcW w:w="1530" w:type="dxa"/>
            <w:tcBorders>
              <w:top w:val="single" w:sz="6" w:space="0" w:color="auto"/>
              <w:bottom w:val="single" w:sz="12" w:space="0" w:color="auto"/>
            </w:tcBorders>
            <w:shd w:val="clear" w:color="auto" w:fill="EBEBEB" w:themeFill="background2"/>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103</w:t>
            </w:r>
          </w:p>
        </w:tc>
        <w:tc>
          <w:tcPr>
            <w:tcW w:w="1350" w:type="dxa"/>
            <w:tcBorders>
              <w:top w:val="single" w:sz="6" w:space="0" w:color="auto"/>
              <w:bottom w:val="single" w:sz="12" w:space="0" w:color="auto"/>
            </w:tcBorders>
          </w:tcPr>
          <w:p w:rsidR="006312BC" w:rsidRPr="00892DE3" w:rsidRDefault="006312BC" w:rsidP="00450E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72</w:t>
            </w:r>
          </w:p>
        </w:tc>
      </w:tr>
    </w:tbl>
    <w:p w:rsidR="0019619C" w:rsidRPr="00892DE3" w:rsidRDefault="0019619C" w:rsidP="0019619C">
      <w:pPr>
        <w:pStyle w:val="Note"/>
      </w:pPr>
      <w:r w:rsidRPr="00892DE3">
        <w:t>Note:</w:t>
      </w:r>
    </w:p>
    <w:p w:rsidR="006312BC" w:rsidRPr="00892DE3" w:rsidRDefault="0019619C" w:rsidP="0019619C">
      <w:pPr>
        <w:pStyle w:val="Note"/>
      </w:pPr>
      <w:r w:rsidRPr="00892DE3">
        <w:t>(</w:t>
      </w:r>
      <w:r w:rsidR="00315311" w:rsidRPr="00892DE3">
        <w:t>a</w:t>
      </w:r>
      <w:r w:rsidRPr="00892DE3">
        <w:t>)</w:t>
      </w:r>
      <w:r w:rsidRPr="00892DE3">
        <w:tab/>
        <w:t xml:space="preserve">The </w:t>
      </w:r>
      <w:r w:rsidR="007A7DF2" w:rsidRPr="00892DE3">
        <w:t xml:space="preserve">basis </w:t>
      </w:r>
      <w:r w:rsidRPr="00892DE3">
        <w:t>for determining the level of contributions is determined by the various actuaries of the defined benefit superannuation plans.</w:t>
      </w:r>
    </w:p>
    <w:p w:rsidR="0019619C" w:rsidRPr="00892DE3" w:rsidRDefault="0019619C" w:rsidP="0019619C"/>
    <w:tbl>
      <w:tblPr>
        <w:tblStyle w:val="ModelReportGuidanceTable"/>
        <w:tblW w:w="9854" w:type="dxa"/>
        <w:tblLayout w:type="fixed"/>
        <w:tblLook w:val="04A0" w:firstRow="1" w:lastRow="0" w:firstColumn="1" w:lastColumn="0" w:noHBand="0" w:noVBand="1"/>
      </w:tblPr>
      <w:tblGrid>
        <w:gridCol w:w="9854"/>
      </w:tblGrid>
      <w:tr w:rsidR="0019619C" w:rsidRPr="00892DE3" w:rsidTr="00011E1F">
        <w:trPr>
          <w:cnfStyle w:val="100000000000" w:firstRow="1" w:lastRow="0" w:firstColumn="0" w:lastColumn="0" w:oddVBand="0" w:evenVBand="0" w:oddHBand="0" w:evenHBand="0" w:firstRowFirstColumn="0" w:firstRowLastColumn="0" w:lastRowFirstColumn="0" w:lastRowLastColumn="0"/>
          <w:tblHeader/>
        </w:trPr>
        <w:tc>
          <w:tcPr>
            <w:tcW w:w="9854" w:type="dxa"/>
          </w:tcPr>
          <w:p w:rsidR="0019619C" w:rsidRPr="00892DE3" w:rsidRDefault="0019619C" w:rsidP="0019619C">
            <w:r w:rsidRPr="00892DE3">
              <w:t>Guidance – Superannuation</w:t>
            </w:r>
          </w:p>
        </w:tc>
      </w:tr>
      <w:tr w:rsidR="0019619C" w:rsidRPr="00892DE3" w:rsidTr="00011E1F">
        <w:tc>
          <w:tcPr>
            <w:tcW w:w="9854" w:type="dxa"/>
          </w:tcPr>
          <w:p w:rsidR="0019619C" w:rsidRPr="00892DE3" w:rsidRDefault="0019619C" w:rsidP="0019619C">
            <w:r w:rsidRPr="00892DE3">
              <w:t xml:space="preserve">Superannuation expenses are reported differently depending on whether employees are members of defined benefit or defined contribution plans. For defined contribution (accumulation) superannuation plans, expenses are the employer contributions paid or payable in respect of employees who are members of the plans during the reporting period. </w:t>
            </w:r>
          </w:p>
          <w:p w:rsidR="0019619C" w:rsidRPr="00892DE3" w:rsidRDefault="0019619C" w:rsidP="0019619C">
            <w:r w:rsidRPr="00892DE3">
              <w:t>Employer superannuation expenses in relation to employees who are members of defined benefit superannuation plans are disclosed as an expense. FRD 112D requires certain entities, such as the Director of Housing and Victorian Universities, to recognise defined benefit liabilities or surpluses of defined benefit plans (listed in Appendix A of FRD 112D) in accordance with the requirements of AASB 119. All other entities are exempt from the recognition of the defined benefit liability or surplus of the plans. Instead, the entities account for contributions to these plans as if they were defined contribution plans under AASB 119.</w:t>
            </w:r>
          </w:p>
          <w:p w:rsidR="0019619C" w:rsidRPr="00892DE3" w:rsidRDefault="0019619C" w:rsidP="0019619C">
            <w:r w:rsidRPr="00892DE3">
              <w:t>Where an entity has employees who are members of defined benefit plans not listed in Appendix A of FRD 112D, it must recognise any associated defined benefit liability or surplus in accordance with requirements for defined benefit plans under AASB 119.</w:t>
            </w:r>
          </w:p>
          <w:p w:rsidR="0019619C" w:rsidRPr="00892DE3" w:rsidRDefault="0019619C" w:rsidP="0019619C">
            <w:r w:rsidRPr="00892DE3">
              <w:rPr>
                <w:b/>
              </w:rPr>
              <w:t>Multi-employer plans</w:t>
            </w:r>
            <w:r w:rsidRPr="00892DE3">
              <w:t xml:space="preserve">: </w:t>
            </w:r>
            <w:r w:rsidR="00B57A69" w:rsidRPr="00892DE3">
              <w:t xml:space="preserve">Defined </w:t>
            </w:r>
            <w:r w:rsidRPr="00892DE3">
              <w:t xml:space="preserve">contribution plans (other than state plans) or defined benefit plans that: </w:t>
            </w:r>
          </w:p>
          <w:p w:rsidR="0019619C" w:rsidRPr="00892DE3" w:rsidRDefault="0019619C" w:rsidP="0019619C">
            <w:pPr>
              <w:pStyle w:val="List"/>
            </w:pPr>
            <w:r w:rsidRPr="00892DE3">
              <w:t>(a)</w:t>
            </w:r>
            <w:r w:rsidRPr="00892DE3">
              <w:tab/>
              <w:t>pool the assets of contributed entities that are not under common control; and</w:t>
            </w:r>
          </w:p>
          <w:p w:rsidR="0019619C" w:rsidRPr="00892DE3" w:rsidRDefault="0019619C" w:rsidP="0019619C">
            <w:pPr>
              <w:pStyle w:val="List"/>
            </w:pPr>
            <w:r w:rsidRPr="00892DE3">
              <w:t>(b)</w:t>
            </w:r>
            <w:r w:rsidRPr="00892DE3">
              <w:tab/>
              <w:t xml:space="preserve">use those assets to provide benefits to employees of more than one entity (without regard to the identity of the entity that employs the employees concerned). </w:t>
            </w:r>
            <w:r w:rsidRPr="00892DE3">
              <w:rPr>
                <w:rStyle w:val="SourceReference"/>
              </w:rPr>
              <w:t>[AASB 119.7, 31, 33 34]</w:t>
            </w:r>
          </w:p>
          <w:p w:rsidR="0019619C" w:rsidRPr="00892DE3" w:rsidRDefault="0019619C" w:rsidP="003A5C49">
            <w:r w:rsidRPr="00892DE3">
              <w:t>Multi-employer plans are distinct from group administration plans and plans that share risks between various entities under common control.</w:t>
            </w:r>
          </w:p>
        </w:tc>
      </w:tr>
    </w:tbl>
    <w:p w:rsidR="00011E1F" w:rsidRPr="00892DE3" w:rsidRDefault="00011E1F"/>
    <w:p w:rsidR="00011E1F" w:rsidRPr="00892DE3" w:rsidRDefault="00011E1F">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011E1F" w:rsidRPr="00892DE3" w:rsidTr="003432FE">
        <w:trPr>
          <w:cnfStyle w:val="100000000000" w:firstRow="1" w:lastRow="0" w:firstColumn="0" w:lastColumn="0" w:oddVBand="0" w:evenVBand="0" w:oddHBand="0" w:evenHBand="0" w:firstRowFirstColumn="0" w:firstRowLastColumn="0" w:lastRowFirstColumn="0" w:lastRowLastColumn="0"/>
          <w:tblHeader/>
        </w:trPr>
        <w:tc>
          <w:tcPr>
            <w:tcW w:w="9854" w:type="dxa"/>
          </w:tcPr>
          <w:p w:rsidR="00011E1F" w:rsidRPr="00892DE3" w:rsidRDefault="00011E1F" w:rsidP="003432FE">
            <w:r w:rsidRPr="00892DE3">
              <w:lastRenderedPageBreak/>
              <w:t xml:space="preserve">Guidance – Superannuation </w:t>
            </w:r>
            <w:r w:rsidRPr="0041634C">
              <w:rPr>
                <w:i/>
              </w:rPr>
              <w:t>(continued)</w:t>
            </w:r>
          </w:p>
        </w:tc>
      </w:tr>
      <w:tr w:rsidR="003A5C49" w:rsidRPr="00892DE3" w:rsidTr="00011E1F">
        <w:tc>
          <w:tcPr>
            <w:tcW w:w="9854" w:type="dxa"/>
          </w:tcPr>
          <w:p w:rsidR="003A5C49" w:rsidRPr="00892DE3" w:rsidRDefault="003A5C49" w:rsidP="00011E1F">
            <w:r w:rsidRPr="00892DE3">
              <w:rPr>
                <w:b/>
              </w:rPr>
              <w:t>Insufficient information</w:t>
            </w:r>
            <w:r w:rsidRPr="00892DE3">
              <w:t>: When sufficient information is not available to use defined benefit accounting for a multi</w:t>
            </w:r>
            <w:r w:rsidRPr="00892DE3">
              <w:noBreakHyphen/>
              <w:t>employer plan that is a defined benefit plan, an entity shall account for the plan as though it were a defined contribution plan and disclose as such:</w:t>
            </w:r>
          </w:p>
          <w:p w:rsidR="003A5C49" w:rsidRPr="00892DE3" w:rsidRDefault="003A5C49" w:rsidP="003A5C49">
            <w:pPr>
              <w:pStyle w:val="List"/>
            </w:pPr>
            <w:r w:rsidRPr="00892DE3">
              <w:t>(a)</w:t>
            </w:r>
            <w:r w:rsidRPr="00892DE3">
              <w:tab/>
              <w:t xml:space="preserve">the fact that the plan is a defined benefit plan; </w:t>
            </w:r>
          </w:p>
          <w:p w:rsidR="003A5C49" w:rsidRPr="00892DE3" w:rsidRDefault="003A5C49" w:rsidP="003A5C49">
            <w:pPr>
              <w:pStyle w:val="List"/>
            </w:pPr>
            <w:r w:rsidRPr="00892DE3">
              <w:t>(b)</w:t>
            </w:r>
            <w:r w:rsidRPr="00892DE3">
              <w:tab/>
              <w:t>the reason why sufficient information is not available to enable the entity to account for the plan as a defined benefit plan; and</w:t>
            </w:r>
          </w:p>
          <w:p w:rsidR="003A5C49" w:rsidRPr="00892DE3" w:rsidRDefault="003A5C49" w:rsidP="003A5C49">
            <w:pPr>
              <w:pStyle w:val="List"/>
            </w:pPr>
            <w:r w:rsidRPr="00892DE3">
              <w:t>(c)</w:t>
            </w:r>
            <w:r w:rsidRPr="00892DE3">
              <w:tab/>
              <w:t>to the extent that a surplus or deficit in the plan may affect the amount of future contributions:</w:t>
            </w:r>
          </w:p>
          <w:p w:rsidR="003A5C49" w:rsidRPr="00892DE3" w:rsidRDefault="003A5C49" w:rsidP="003A5C49">
            <w:pPr>
              <w:pStyle w:val="List2"/>
            </w:pPr>
            <w:r w:rsidRPr="00892DE3">
              <w:t>(i)</w:t>
            </w:r>
            <w:r w:rsidRPr="00892DE3">
              <w:tab/>
              <w:t>any available information about that surplus or deficit;</w:t>
            </w:r>
          </w:p>
          <w:p w:rsidR="003A5C49" w:rsidRPr="00892DE3" w:rsidRDefault="003A5C49" w:rsidP="003A5C49">
            <w:pPr>
              <w:pStyle w:val="List2"/>
            </w:pPr>
            <w:r w:rsidRPr="00892DE3">
              <w:t>(ii)</w:t>
            </w:r>
            <w:r w:rsidRPr="00892DE3">
              <w:tab/>
              <w:t>the basis used to determine that surplus or deficit; and</w:t>
            </w:r>
          </w:p>
          <w:p w:rsidR="003A5C49" w:rsidRPr="00892DE3" w:rsidRDefault="003A5C49" w:rsidP="003A5C49">
            <w:pPr>
              <w:pStyle w:val="List2"/>
            </w:pPr>
            <w:r w:rsidRPr="00892DE3">
              <w:t>(iii)</w:t>
            </w:r>
            <w:r w:rsidRPr="00892DE3">
              <w:tab/>
              <w:t xml:space="preserve">the implications, if any, for the entity. </w:t>
            </w:r>
            <w:r w:rsidRPr="00892DE3">
              <w:rPr>
                <w:rStyle w:val="SourceReference"/>
              </w:rPr>
              <w:t>[AASB 119.30]</w:t>
            </w:r>
          </w:p>
        </w:tc>
      </w:tr>
    </w:tbl>
    <w:p w:rsidR="0019619C" w:rsidRPr="00892DE3" w:rsidRDefault="0019619C" w:rsidP="0019303F">
      <w:pPr>
        <w:pStyle w:val="Heading2"/>
      </w:pPr>
      <w:bookmarkStart w:id="99" w:name="_Toc474336130"/>
      <w:bookmarkStart w:id="100" w:name="_Toc478055728"/>
      <w:r w:rsidRPr="00892DE3">
        <w:t>Grant expenses</w:t>
      </w:r>
      <w:bookmarkEnd w:id="99"/>
      <w:bookmarkEnd w:id="100"/>
    </w:p>
    <w:p w:rsidR="0019619C" w:rsidRPr="00892DE3" w:rsidRDefault="0019619C" w:rsidP="0019619C">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409"/>
        <w:gridCol w:w="1234"/>
        <w:gridCol w:w="994"/>
      </w:tblGrid>
      <w:tr w:rsidR="007B3499" w:rsidRPr="00892DE3" w:rsidTr="003A5C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390" w:type="dxa"/>
            <w:hideMark/>
          </w:tcPr>
          <w:p w:rsidR="007B3499" w:rsidRPr="00892DE3" w:rsidRDefault="007B3499" w:rsidP="003A5C49">
            <w:pPr>
              <w:ind w:left="0" w:firstLine="0"/>
            </w:pPr>
            <w:r w:rsidRPr="00892DE3">
              <w:t xml:space="preserve"> </w:t>
            </w:r>
          </w:p>
        </w:tc>
        <w:tc>
          <w:tcPr>
            <w:tcW w:w="1064" w:type="dxa"/>
            <w:tcBorders>
              <w:bottom w:val="nil"/>
            </w:tcBorders>
            <w:noWrap/>
            <w:hideMark/>
          </w:tcPr>
          <w:p w:rsidR="007B3499" w:rsidRPr="00892DE3" w:rsidRDefault="007B3499" w:rsidP="003A5C49">
            <w:pPr>
              <w:cnfStyle w:val="100000000000" w:firstRow="1" w:lastRow="0" w:firstColumn="0" w:lastColumn="0" w:oddVBand="0" w:evenVBand="0" w:oddHBand="0" w:evenHBand="0" w:firstRowFirstColumn="0" w:firstRowLastColumn="0" w:lastRowFirstColumn="0" w:lastRowLastColumn="0"/>
            </w:pPr>
            <w:r w:rsidRPr="00892DE3">
              <w:t>2017</w:t>
            </w:r>
          </w:p>
        </w:tc>
        <w:tc>
          <w:tcPr>
            <w:tcW w:w="857" w:type="dxa"/>
            <w:noWrap/>
            <w:hideMark/>
          </w:tcPr>
          <w:p w:rsidR="007B3499" w:rsidRPr="00892DE3" w:rsidRDefault="007B3499" w:rsidP="003A5C49">
            <w:pPr>
              <w:cnfStyle w:val="100000000000" w:firstRow="1" w:lastRow="0" w:firstColumn="0" w:lastColumn="0" w:oddVBand="0" w:evenVBand="0" w:oddHBand="0" w:evenHBand="0" w:firstRowFirstColumn="0" w:firstRowLastColumn="0" w:lastRowFirstColumn="0" w:lastRowLastColumn="0"/>
            </w:pPr>
            <w:r w:rsidRPr="00892DE3">
              <w:t>2016</w:t>
            </w:r>
          </w:p>
        </w:tc>
      </w:tr>
      <w:tr w:rsidR="007B3499" w:rsidRPr="00892DE3" w:rsidTr="003A5C49">
        <w:tc>
          <w:tcPr>
            <w:cnfStyle w:val="001000000000" w:firstRow="0" w:lastRow="0" w:firstColumn="1" w:lastColumn="0" w:oddVBand="0" w:evenVBand="0" w:oddHBand="0" w:evenHBand="0" w:firstRowFirstColumn="0" w:firstRowLastColumn="0" w:lastRowFirstColumn="0" w:lastRowLastColumn="0"/>
            <w:tcW w:w="6390" w:type="dxa"/>
            <w:hideMark/>
          </w:tcPr>
          <w:p w:rsidR="007B3499" w:rsidRPr="00892DE3" w:rsidRDefault="007B3499" w:rsidP="003A5C49">
            <w:pPr>
              <w:ind w:left="0" w:firstLine="0"/>
            </w:pPr>
            <w:r w:rsidRPr="00892DE3">
              <w:t>General purpose grants</w:t>
            </w:r>
          </w:p>
        </w:tc>
        <w:tc>
          <w:tcPr>
            <w:tcW w:w="1064" w:type="dxa"/>
            <w:shd w:val="clear" w:color="auto" w:fill="EBEBEB" w:themeFill="background2"/>
            <w:noWrap/>
            <w:hideMark/>
          </w:tcPr>
          <w:p w:rsidR="007B3499" w:rsidRPr="00892DE3" w:rsidRDefault="007B3499" w:rsidP="003A5C49">
            <w:pPr>
              <w:cnfStyle w:val="000000000000" w:firstRow="0" w:lastRow="0" w:firstColumn="0" w:lastColumn="0" w:oddVBand="0" w:evenVBand="0" w:oddHBand="0" w:evenHBand="0" w:firstRowFirstColumn="0" w:firstRowLastColumn="0" w:lastRowFirstColumn="0" w:lastRowLastColumn="0"/>
            </w:pPr>
            <w:r w:rsidRPr="00892DE3">
              <w:t>19 052</w:t>
            </w:r>
          </w:p>
        </w:tc>
        <w:tc>
          <w:tcPr>
            <w:tcW w:w="857" w:type="dxa"/>
            <w:noWrap/>
            <w:hideMark/>
          </w:tcPr>
          <w:p w:rsidR="007B3499" w:rsidRPr="00892DE3" w:rsidRDefault="007B3499" w:rsidP="003A5C49">
            <w:pPr>
              <w:cnfStyle w:val="000000000000" w:firstRow="0" w:lastRow="0" w:firstColumn="0" w:lastColumn="0" w:oddVBand="0" w:evenVBand="0" w:oddHBand="0" w:evenHBand="0" w:firstRowFirstColumn="0" w:firstRowLastColumn="0" w:lastRowFirstColumn="0" w:lastRowLastColumn="0"/>
            </w:pPr>
            <w:r w:rsidRPr="00892DE3">
              <w:t>41 445</w:t>
            </w:r>
          </w:p>
        </w:tc>
      </w:tr>
      <w:tr w:rsidR="007B3499" w:rsidRPr="00892DE3" w:rsidTr="003A5C49">
        <w:tc>
          <w:tcPr>
            <w:cnfStyle w:val="001000000000" w:firstRow="0" w:lastRow="0" w:firstColumn="1" w:lastColumn="0" w:oddVBand="0" w:evenVBand="0" w:oddHBand="0" w:evenHBand="0" w:firstRowFirstColumn="0" w:firstRowLastColumn="0" w:lastRowFirstColumn="0" w:lastRowLastColumn="0"/>
            <w:tcW w:w="6390" w:type="dxa"/>
            <w:hideMark/>
          </w:tcPr>
          <w:p w:rsidR="007B3499" w:rsidRPr="00892DE3" w:rsidRDefault="007B3499" w:rsidP="003A5C49">
            <w:pPr>
              <w:ind w:left="0" w:firstLine="0"/>
            </w:pPr>
            <w:r w:rsidRPr="00892DE3">
              <w:t>Specific purpose grants for on</w:t>
            </w:r>
            <w:r w:rsidRPr="00892DE3">
              <w:noBreakHyphen/>
              <w:t>passing</w:t>
            </w:r>
          </w:p>
        </w:tc>
        <w:tc>
          <w:tcPr>
            <w:tcW w:w="1064" w:type="dxa"/>
            <w:shd w:val="clear" w:color="auto" w:fill="EBEBEB" w:themeFill="background2"/>
            <w:noWrap/>
            <w:hideMark/>
          </w:tcPr>
          <w:p w:rsidR="007B3499" w:rsidRPr="00892DE3" w:rsidRDefault="007B3499" w:rsidP="003A5C49">
            <w:pPr>
              <w:cnfStyle w:val="000000000000" w:firstRow="0" w:lastRow="0" w:firstColumn="0" w:lastColumn="0" w:oddVBand="0" w:evenVBand="0" w:oddHBand="0" w:evenHBand="0" w:firstRowFirstColumn="0" w:firstRowLastColumn="0" w:lastRowFirstColumn="0" w:lastRowLastColumn="0"/>
            </w:pPr>
            <w:r w:rsidRPr="00892DE3">
              <w:t>11 688</w:t>
            </w:r>
          </w:p>
        </w:tc>
        <w:tc>
          <w:tcPr>
            <w:tcW w:w="857" w:type="dxa"/>
            <w:noWrap/>
            <w:hideMark/>
          </w:tcPr>
          <w:p w:rsidR="007B3499" w:rsidRPr="00892DE3" w:rsidRDefault="007B3499" w:rsidP="003A5C49">
            <w:pPr>
              <w:cnfStyle w:val="000000000000" w:firstRow="0" w:lastRow="0" w:firstColumn="0" w:lastColumn="0" w:oddVBand="0" w:evenVBand="0" w:oddHBand="0" w:evenHBand="0" w:firstRowFirstColumn="0" w:firstRowLastColumn="0" w:lastRowFirstColumn="0" w:lastRowLastColumn="0"/>
            </w:pPr>
            <w:r w:rsidRPr="00892DE3">
              <w:t>-</w:t>
            </w:r>
          </w:p>
        </w:tc>
      </w:tr>
      <w:tr w:rsidR="007B3499" w:rsidRPr="00892DE3" w:rsidTr="003A5C49">
        <w:tc>
          <w:tcPr>
            <w:cnfStyle w:val="001000000000" w:firstRow="0" w:lastRow="0" w:firstColumn="1" w:lastColumn="0" w:oddVBand="0" w:evenVBand="0" w:oddHBand="0" w:evenHBand="0" w:firstRowFirstColumn="0" w:firstRowLastColumn="0" w:lastRowFirstColumn="0" w:lastRowLastColumn="0"/>
            <w:tcW w:w="6390" w:type="dxa"/>
            <w:hideMark/>
          </w:tcPr>
          <w:p w:rsidR="007B3499" w:rsidRPr="00892DE3" w:rsidRDefault="007B3499" w:rsidP="003A5C49">
            <w:pPr>
              <w:ind w:left="0" w:firstLine="0"/>
            </w:pPr>
            <w:r w:rsidRPr="00892DE3">
              <w:t>Payments for specific purposes</w:t>
            </w:r>
          </w:p>
        </w:tc>
        <w:tc>
          <w:tcPr>
            <w:tcW w:w="1064" w:type="dxa"/>
            <w:shd w:val="clear" w:color="auto" w:fill="EBEBEB" w:themeFill="background2"/>
            <w:noWrap/>
            <w:hideMark/>
          </w:tcPr>
          <w:p w:rsidR="007B3499" w:rsidRPr="00892DE3" w:rsidRDefault="007B3499" w:rsidP="003A5C49">
            <w:pPr>
              <w:cnfStyle w:val="000000000000" w:firstRow="0" w:lastRow="0" w:firstColumn="0" w:lastColumn="0" w:oddVBand="0" w:evenVBand="0" w:oddHBand="0" w:evenHBand="0" w:firstRowFirstColumn="0" w:firstRowLastColumn="0" w:lastRowFirstColumn="0" w:lastRowLastColumn="0"/>
            </w:pPr>
            <w:r w:rsidRPr="00892DE3">
              <w:t>2 144</w:t>
            </w:r>
          </w:p>
        </w:tc>
        <w:tc>
          <w:tcPr>
            <w:tcW w:w="857" w:type="dxa"/>
            <w:noWrap/>
            <w:hideMark/>
          </w:tcPr>
          <w:p w:rsidR="007B3499" w:rsidRPr="00892DE3" w:rsidRDefault="007B3499" w:rsidP="003A5C49">
            <w:pPr>
              <w:cnfStyle w:val="000000000000" w:firstRow="0" w:lastRow="0" w:firstColumn="0" w:lastColumn="0" w:oddVBand="0" w:evenVBand="0" w:oddHBand="0" w:evenHBand="0" w:firstRowFirstColumn="0" w:firstRowLastColumn="0" w:lastRowFirstColumn="0" w:lastRowLastColumn="0"/>
            </w:pPr>
            <w:r w:rsidRPr="00892DE3">
              <w:t>1 595</w:t>
            </w:r>
          </w:p>
        </w:tc>
      </w:tr>
      <w:tr w:rsidR="007B3499" w:rsidRPr="00892DE3" w:rsidTr="003A5C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hideMark/>
          </w:tcPr>
          <w:p w:rsidR="007B3499" w:rsidRPr="00892DE3" w:rsidRDefault="007B3499" w:rsidP="003A5C49">
            <w:pPr>
              <w:ind w:left="0" w:firstLine="0"/>
            </w:pPr>
            <w:r w:rsidRPr="00892DE3">
              <w:t>Total grant expenses</w:t>
            </w:r>
          </w:p>
        </w:tc>
        <w:tc>
          <w:tcPr>
            <w:tcW w:w="1064" w:type="dxa"/>
            <w:shd w:val="clear" w:color="auto" w:fill="EBEBEB" w:themeFill="background2"/>
            <w:noWrap/>
            <w:hideMark/>
          </w:tcPr>
          <w:p w:rsidR="007B3499" w:rsidRPr="00892DE3" w:rsidRDefault="007B3499" w:rsidP="003A5C49">
            <w:pPr>
              <w:cnfStyle w:val="010000000000" w:firstRow="0" w:lastRow="1" w:firstColumn="0" w:lastColumn="0" w:oddVBand="0" w:evenVBand="0" w:oddHBand="0" w:evenHBand="0" w:firstRowFirstColumn="0" w:firstRowLastColumn="0" w:lastRowFirstColumn="0" w:lastRowLastColumn="0"/>
            </w:pPr>
            <w:r w:rsidRPr="00892DE3">
              <w:t>32 883</w:t>
            </w:r>
          </w:p>
        </w:tc>
        <w:tc>
          <w:tcPr>
            <w:tcW w:w="857" w:type="dxa"/>
            <w:noWrap/>
            <w:hideMark/>
          </w:tcPr>
          <w:p w:rsidR="007B3499" w:rsidRPr="00892DE3" w:rsidRDefault="007B3499" w:rsidP="003A5C49">
            <w:pPr>
              <w:cnfStyle w:val="010000000000" w:firstRow="0" w:lastRow="1" w:firstColumn="0" w:lastColumn="0" w:oddVBand="0" w:evenVBand="0" w:oddHBand="0" w:evenHBand="0" w:firstRowFirstColumn="0" w:firstRowLastColumn="0" w:lastRowFirstColumn="0" w:lastRowLastColumn="0"/>
            </w:pPr>
            <w:r w:rsidRPr="00892DE3">
              <w:t>43 040</w:t>
            </w:r>
          </w:p>
        </w:tc>
      </w:tr>
    </w:tbl>
    <w:p w:rsidR="00DC3D6B" w:rsidRPr="00892DE3" w:rsidRDefault="00DC3D6B" w:rsidP="0019619C">
      <w:r w:rsidRPr="00892DE3">
        <w:t xml:space="preserve">Grant expenses are contributions of the </w:t>
      </w:r>
      <w:r w:rsidR="003A5C49" w:rsidRPr="00892DE3">
        <w:t>D</w:t>
      </w:r>
      <w:r w:rsidRPr="00892DE3">
        <w:t xml:space="preserve">epartment’s resources to another party for specific or general purposes where there is no expectation that the amount will be repaid in equal value (either by money, goods or services). </w:t>
      </w:r>
    </w:p>
    <w:p w:rsidR="0019619C" w:rsidRPr="00892DE3" w:rsidRDefault="0019619C" w:rsidP="0019619C">
      <w:r w:rsidRPr="00892DE3">
        <w:t>Grants can either be operating or capital in nature. Grants can be paid as general purpose grants</w:t>
      </w:r>
      <w:r w:rsidR="003A5C49" w:rsidRPr="00892DE3">
        <w:t>,</w:t>
      </w:r>
      <w:r w:rsidRPr="00892DE3">
        <w:t xml:space="preserve"> which refer to grants that are not subject to conditions regarding their use. Alternatively, they may be paid as specific purpose grants which are paid for a particular purpose and/or have conditions attached regarding their use.</w:t>
      </w:r>
    </w:p>
    <w:p w:rsidR="0019619C" w:rsidRPr="00892DE3" w:rsidRDefault="0019619C" w:rsidP="0019619C">
      <w:r w:rsidRPr="00892DE3">
        <w:t>Grant</w:t>
      </w:r>
      <w:r w:rsidR="007E72DB" w:rsidRPr="00892DE3">
        <w:t xml:space="preserve"> expenses </w:t>
      </w:r>
      <w:r w:rsidRPr="00892DE3">
        <w:t>are recognised in the reporting period in which they are paid or payable.</w:t>
      </w:r>
      <w:r w:rsidR="007E72DB" w:rsidRPr="00892DE3">
        <w:t xml:space="preserve"> Grants can take the form of money, assets, goods, services or forgiveness of liabilities. </w:t>
      </w:r>
      <w:r w:rsidRPr="00892DE3">
        <w:t xml:space="preserve"> </w:t>
      </w:r>
      <w:r w:rsidRPr="00892DE3">
        <w:rPr>
          <w:rStyle w:val="SourceReference"/>
        </w:rPr>
        <w:t>[AASB Framework paragraph 83]</w:t>
      </w:r>
    </w:p>
    <w:p w:rsidR="0019619C" w:rsidRPr="00892DE3" w:rsidRDefault="0019619C" w:rsidP="0019303F">
      <w:pPr>
        <w:pStyle w:val="Heading2"/>
      </w:pPr>
      <w:bookmarkStart w:id="101" w:name="_Toc474336131"/>
      <w:bookmarkStart w:id="102" w:name="_Toc478055729"/>
      <w:r w:rsidRPr="00892DE3">
        <w:t>Capital asset charge</w:t>
      </w:r>
      <w:bookmarkEnd w:id="101"/>
      <w:bookmarkEnd w:id="102"/>
    </w:p>
    <w:p w:rsidR="0019619C" w:rsidRPr="00892DE3" w:rsidRDefault="0019619C" w:rsidP="0019619C">
      <w:pPr>
        <w:pStyle w:val="TableUnits"/>
      </w:pPr>
      <w:r w:rsidRPr="00892DE3">
        <w:t>($ thousand)</w:t>
      </w:r>
    </w:p>
    <w:tbl>
      <w:tblPr>
        <w:tblStyle w:val="ModelReportFinancialTable"/>
        <w:tblW w:w="9717" w:type="dxa"/>
        <w:tblLayout w:type="fixed"/>
        <w:tblLook w:val="06E0" w:firstRow="1" w:lastRow="1" w:firstColumn="1" w:lastColumn="0" w:noHBand="1" w:noVBand="1"/>
      </w:tblPr>
      <w:tblGrid>
        <w:gridCol w:w="1617"/>
        <w:gridCol w:w="6152"/>
        <w:gridCol w:w="1080"/>
        <w:gridCol w:w="868"/>
      </w:tblGrid>
      <w:tr w:rsidR="0019619C" w:rsidRPr="00892DE3" w:rsidTr="007B34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7" w:type="dxa"/>
            <w:tcBorders>
              <w:bottom w:val="nil"/>
            </w:tcBorders>
            <w:shd w:val="clear" w:color="auto" w:fill="auto"/>
          </w:tcPr>
          <w:p w:rsidR="0019619C" w:rsidRPr="00892DE3" w:rsidRDefault="0019619C" w:rsidP="0019619C">
            <w:r w:rsidRPr="00892DE3">
              <w:t>Source reference</w:t>
            </w:r>
          </w:p>
        </w:tc>
        <w:tc>
          <w:tcPr>
            <w:tcW w:w="6152" w:type="dxa"/>
            <w:hideMark/>
          </w:tcPr>
          <w:p w:rsidR="0019619C" w:rsidRPr="00892DE3" w:rsidRDefault="0019619C" w:rsidP="0019619C">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080" w:type="dxa"/>
            <w:noWrap/>
            <w:hideMark/>
          </w:tcPr>
          <w:p w:rsidR="0019619C" w:rsidRPr="00892DE3" w:rsidRDefault="0019619C" w:rsidP="00450E27">
            <w:pPr>
              <w:cnfStyle w:val="100000000000" w:firstRow="1" w:lastRow="0" w:firstColumn="0" w:lastColumn="0" w:oddVBand="0" w:evenVBand="0" w:oddHBand="0" w:evenHBand="0" w:firstRowFirstColumn="0" w:firstRowLastColumn="0" w:lastRowFirstColumn="0" w:lastRowLastColumn="0"/>
            </w:pPr>
            <w:r w:rsidRPr="00892DE3">
              <w:t>2017</w:t>
            </w:r>
          </w:p>
        </w:tc>
        <w:tc>
          <w:tcPr>
            <w:tcW w:w="868" w:type="dxa"/>
            <w:noWrap/>
            <w:hideMark/>
          </w:tcPr>
          <w:p w:rsidR="0019619C" w:rsidRPr="00892DE3" w:rsidRDefault="0019619C" w:rsidP="00450E27">
            <w:pPr>
              <w:cnfStyle w:val="100000000000" w:firstRow="1" w:lastRow="0" w:firstColumn="0" w:lastColumn="0" w:oddVBand="0" w:evenVBand="0" w:oddHBand="0" w:evenHBand="0" w:firstRowFirstColumn="0" w:firstRowLastColumn="0" w:lastRowFirstColumn="0" w:lastRowLastColumn="0"/>
            </w:pPr>
            <w:r w:rsidRPr="00892DE3">
              <w:t>2016</w:t>
            </w:r>
          </w:p>
        </w:tc>
      </w:tr>
      <w:tr w:rsidR="0019619C" w:rsidRPr="00892DE3" w:rsidTr="007B3499">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617" w:type="dxa"/>
            <w:shd w:val="clear" w:color="auto" w:fill="auto"/>
          </w:tcPr>
          <w:p w:rsidR="0019619C" w:rsidRPr="00892DE3" w:rsidRDefault="0019619C" w:rsidP="0019619C">
            <w:r w:rsidRPr="00892DE3">
              <w:t>AASB 101.85, BOF 4.3</w:t>
            </w:r>
          </w:p>
        </w:tc>
        <w:tc>
          <w:tcPr>
            <w:tcW w:w="6152" w:type="dxa"/>
            <w:hideMark/>
          </w:tcPr>
          <w:p w:rsidR="0019619C" w:rsidRPr="00892DE3" w:rsidRDefault="0019619C" w:rsidP="0019619C">
            <w:pPr>
              <w:jc w:val="left"/>
              <w:cnfStyle w:val="010000000000" w:firstRow="0" w:lastRow="1" w:firstColumn="0" w:lastColumn="0" w:oddVBand="0" w:evenVBand="0" w:oddHBand="0" w:evenHBand="0" w:firstRowFirstColumn="0" w:firstRowLastColumn="0" w:lastRowFirstColumn="0" w:lastRowLastColumn="0"/>
              <w:rPr>
                <w:b w:val="0"/>
              </w:rPr>
            </w:pPr>
            <w:r w:rsidRPr="00892DE3">
              <w:rPr>
                <w:b w:val="0"/>
              </w:rPr>
              <w:t>Capital asset charge</w:t>
            </w:r>
          </w:p>
        </w:tc>
        <w:tc>
          <w:tcPr>
            <w:tcW w:w="1080" w:type="dxa"/>
            <w:shd w:val="clear" w:color="auto" w:fill="EBEBEB" w:themeFill="background2"/>
            <w:noWrap/>
            <w:hideMark/>
          </w:tcPr>
          <w:p w:rsidR="0019619C" w:rsidRPr="00892DE3" w:rsidRDefault="0019619C" w:rsidP="00450E27">
            <w:pPr>
              <w:cnfStyle w:val="010000000000" w:firstRow="0" w:lastRow="1" w:firstColumn="0" w:lastColumn="0" w:oddVBand="0" w:evenVBand="0" w:oddHBand="0" w:evenHBand="0" w:firstRowFirstColumn="0" w:firstRowLastColumn="0" w:lastRowFirstColumn="0" w:lastRowLastColumn="0"/>
              <w:rPr>
                <w:b w:val="0"/>
              </w:rPr>
            </w:pPr>
            <w:r w:rsidRPr="00892DE3">
              <w:rPr>
                <w:b w:val="0"/>
              </w:rPr>
              <w:t>1 309</w:t>
            </w:r>
          </w:p>
        </w:tc>
        <w:tc>
          <w:tcPr>
            <w:tcW w:w="868" w:type="dxa"/>
            <w:noWrap/>
            <w:hideMark/>
          </w:tcPr>
          <w:p w:rsidR="0019619C" w:rsidRPr="00892DE3" w:rsidRDefault="0019619C" w:rsidP="00450E27">
            <w:pPr>
              <w:cnfStyle w:val="010000000000" w:firstRow="0" w:lastRow="1" w:firstColumn="0" w:lastColumn="0" w:oddVBand="0" w:evenVBand="0" w:oddHBand="0" w:evenHBand="0" w:firstRowFirstColumn="0" w:firstRowLastColumn="0" w:lastRowFirstColumn="0" w:lastRowLastColumn="0"/>
              <w:rPr>
                <w:b w:val="0"/>
              </w:rPr>
            </w:pPr>
            <w:r w:rsidRPr="00892DE3">
              <w:rPr>
                <w:b w:val="0"/>
              </w:rPr>
              <w:t>720</w:t>
            </w:r>
          </w:p>
        </w:tc>
      </w:tr>
    </w:tbl>
    <w:p w:rsidR="0019619C" w:rsidRPr="00892DE3" w:rsidRDefault="0019619C" w:rsidP="0019619C">
      <w:r w:rsidRPr="00892DE3">
        <w:t xml:space="preserve">A </w:t>
      </w:r>
      <w:r w:rsidRPr="00892DE3">
        <w:rPr>
          <w:b/>
        </w:rPr>
        <w:t>capital asset charge</w:t>
      </w:r>
      <w:r w:rsidRPr="00892DE3">
        <w:t xml:space="preserve"> is a charge levied on the written down value of controlled non-current physical assets in a department’s balance sheet. It aims to attribute to the Department outputs, a cost of capital used in service delivery. Imposing this charge provides incentives for the Department to identify and dispose of underutilised or surplus non</w:t>
      </w:r>
      <w:r w:rsidRPr="00892DE3">
        <w:noBreakHyphen/>
        <w:t>current physical assets.</w:t>
      </w:r>
    </w:p>
    <w:p w:rsidR="00011E1F" w:rsidRPr="00892DE3" w:rsidRDefault="00011E1F">
      <w:pPr>
        <w:keepLines w:val="0"/>
        <w:rPr>
          <w:rFonts w:asciiTheme="majorHAnsi" w:eastAsiaTheme="majorEastAsia" w:hAnsiTheme="majorHAnsi" w:cstheme="majorBidi"/>
          <w:b/>
          <w:spacing w:val="-2"/>
          <w:sz w:val="24"/>
          <w:szCs w:val="26"/>
        </w:rPr>
      </w:pPr>
      <w:bookmarkStart w:id="103" w:name="_Toc474336132"/>
      <w:r w:rsidRPr="00892DE3">
        <w:br w:type="page"/>
      </w:r>
    </w:p>
    <w:p w:rsidR="0019619C" w:rsidRPr="00892DE3" w:rsidRDefault="0019619C" w:rsidP="0019303F">
      <w:pPr>
        <w:pStyle w:val="Heading2"/>
      </w:pPr>
      <w:bookmarkStart w:id="104" w:name="_Toc478055730"/>
      <w:r w:rsidRPr="00892DE3">
        <w:lastRenderedPageBreak/>
        <w:t>Other operating expenses</w:t>
      </w:r>
      <w:bookmarkEnd w:id="103"/>
      <w:bookmarkEnd w:id="104"/>
    </w:p>
    <w:p w:rsidR="0019619C" w:rsidRPr="00892DE3" w:rsidRDefault="0019619C" w:rsidP="0019619C">
      <w:pPr>
        <w:pStyle w:val="TableUnits"/>
      </w:pPr>
      <w:r w:rsidRPr="00892DE3">
        <w:t>($ thousand)</w:t>
      </w:r>
    </w:p>
    <w:tbl>
      <w:tblPr>
        <w:tblStyle w:val="ModelReportFinancialTable"/>
        <w:tblW w:w="9731" w:type="dxa"/>
        <w:tblLayout w:type="fixed"/>
        <w:tblLook w:val="06A0" w:firstRow="1" w:lastRow="0" w:firstColumn="1" w:lastColumn="0" w:noHBand="1" w:noVBand="1"/>
      </w:tblPr>
      <w:tblGrid>
        <w:gridCol w:w="1617"/>
        <w:gridCol w:w="6242"/>
        <w:gridCol w:w="927"/>
        <w:gridCol w:w="945"/>
      </w:tblGrid>
      <w:tr w:rsidR="0019619C" w:rsidRPr="00892DE3" w:rsidTr="007B349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617" w:type="dxa"/>
            <w:tcBorders>
              <w:bottom w:val="nil"/>
            </w:tcBorders>
            <w:shd w:val="clear" w:color="auto" w:fill="auto"/>
          </w:tcPr>
          <w:p w:rsidR="0019619C" w:rsidRPr="00892DE3" w:rsidRDefault="0019619C" w:rsidP="0019619C">
            <w:r w:rsidRPr="00892DE3">
              <w:t>Source reference</w:t>
            </w:r>
          </w:p>
        </w:tc>
        <w:tc>
          <w:tcPr>
            <w:tcW w:w="6242" w:type="dxa"/>
            <w:hideMark/>
          </w:tcPr>
          <w:p w:rsidR="0019619C" w:rsidRPr="00892DE3" w:rsidRDefault="0019619C" w:rsidP="0019619C">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27" w:type="dxa"/>
            <w:noWrap/>
            <w:hideMark/>
          </w:tcPr>
          <w:p w:rsidR="0019619C" w:rsidRPr="00892DE3" w:rsidRDefault="0019619C" w:rsidP="00450E27">
            <w:pPr>
              <w:cnfStyle w:val="100000000000" w:firstRow="1" w:lastRow="0" w:firstColumn="0" w:lastColumn="0" w:oddVBand="0" w:evenVBand="0" w:oddHBand="0" w:evenHBand="0" w:firstRowFirstColumn="0" w:firstRowLastColumn="0" w:lastRowFirstColumn="0" w:lastRowLastColumn="0"/>
            </w:pPr>
            <w:r w:rsidRPr="00892DE3">
              <w:t>2017</w:t>
            </w:r>
          </w:p>
        </w:tc>
        <w:tc>
          <w:tcPr>
            <w:tcW w:w="945" w:type="dxa"/>
            <w:noWrap/>
            <w:hideMark/>
          </w:tcPr>
          <w:p w:rsidR="0019619C" w:rsidRPr="00892DE3" w:rsidRDefault="0019619C" w:rsidP="00450E27">
            <w:pPr>
              <w:cnfStyle w:val="100000000000" w:firstRow="1" w:lastRow="0" w:firstColumn="0" w:lastColumn="0" w:oddVBand="0" w:evenVBand="0" w:oddHBand="0" w:evenHBand="0" w:firstRowFirstColumn="0" w:firstRowLastColumn="0" w:lastRowFirstColumn="0" w:lastRowLastColumn="0"/>
            </w:pPr>
            <w:r w:rsidRPr="00892DE3">
              <w:t>2016</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r w:rsidRPr="00892DE3">
              <w:t>AASB 101.97</w:t>
            </w:r>
          </w:p>
        </w:tc>
        <w:tc>
          <w:tcPr>
            <w:tcW w:w="6242" w:type="dxa"/>
            <w:hideMark/>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Supp</w:t>
            </w:r>
            <w:r w:rsidR="007B3499" w:rsidRPr="00892DE3">
              <w:t>lies and services</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rPr>
                <w:noProof/>
              </w:rPr>
            </w:pP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rPr>
                <w:noProof/>
              </w:rPr>
            </w:pP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hideMark/>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Purchase of inventories</w:t>
            </w:r>
          </w:p>
        </w:tc>
        <w:tc>
          <w:tcPr>
            <w:tcW w:w="927" w:type="dxa"/>
            <w:shd w:val="clear" w:color="auto" w:fill="EBEBEB" w:themeFill="background2"/>
            <w:noWrap/>
            <w:hideMark/>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2 005</w:t>
            </w:r>
          </w:p>
        </w:tc>
        <w:tc>
          <w:tcPr>
            <w:tcW w:w="945" w:type="dxa"/>
            <w:noWrap/>
            <w:hideMark/>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1 334</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hideMark/>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Purchase of services (including remuneration of auditors)</w:t>
            </w:r>
          </w:p>
        </w:tc>
        <w:tc>
          <w:tcPr>
            <w:tcW w:w="927" w:type="dxa"/>
            <w:shd w:val="clear" w:color="auto" w:fill="EBEBEB" w:themeFill="background2"/>
            <w:noWrap/>
            <w:hideMark/>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3 635</w:t>
            </w:r>
          </w:p>
        </w:tc>
        <w:tc>
          <w:tcPr>
            <w:tcW w:w="945" w:type="dxa"/>
            <w:noWrap/>
            <w:hideMark/>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2 151</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Maintenance</w:t>
            </w:r>
            <w:r w:rsidRPr="00892DE3">
              <w:rPr>
                <w:vertAlign w:val="superscript"/>
              </w:rPr>
              <w:t xml:space="preserve"> </w:t>
            </w:r>
            <w:r w:rsidR="007B3499" w:rsidRPr="00892DE3">
              <w:rPr>
                <w:szCs w:val="16"/>
                <w:vertAlign w:val="superscript"/>
              </w:rPr>
              <w:t>(a</w:t>
            </w:r>
            <w:r w:rsidRPr="00892DE3">
              <w:rPr>
                <w:szCs w:val="16"/>
                <w:vertAlign w:val="superscript"/>
              </w:rPr>
              <w:t>)</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223</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94</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Other borrowing cost (other than interest)</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307</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144</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Fair value assets and services provided free of charge or for nominal consideration</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Cash donations and gifts</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303</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214</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Land at fair value</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142</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123</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Plant and equipment at cost</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rPr>
                <w:noProof/>
              </w:rPr>
            </w:pPr>
            <w:r w:rsidRPr="00892DE3">
              <w:t xml:space="preserve"> 110</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rPr>
                <w:noProof/>
              </w:rPr>
            </w:pPr>
            <w:r w:rsidRPr="00892DE3">
              <w:t xml:space="preserve"> 15</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Cultural assets at fair value</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154</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Other assets</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57</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194</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FD3105">
            <w:r w:rsidRPr="00892DE3">
              <w:t>AASB 140.75(f)(ii),</w:t>
            </w:r>
            <w:r w:rsidR="00FD3105" w:rsidRPr="00892DE3">
              <w:t xml:space="preserve"> </w:t>
            </w:r>
            <w:r w:rsidRPr="00892DE3">
              <w:t>(iii)</w:t>
            </w:r>
          </w:p>
        </w:tc>
        <w:tc>
          <w:tcPr>
            <w:tcW w:w="6242" w:type="dxa"/>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Direct operating expenses of investment properties generating rental income</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421</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409</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Operating lease rental expenses</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Lease payments</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3 295</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1 098</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r w:rsidRPr="00892DE3">
              <w:t>AASB 117.35(c)</w:t>
            </w:r>
          </w:p>
        </w:tc>
        <w:tc>
          <w:tcPr>
            <w:tcW w:w="6242" w:type="dxa"/>
            <w:tcBorders>
              <w:bottom w:val="single" w:sz="6" w:space="0" w:color="auto"/>
            </w:tcBorders>
          </w:tcPr>
          <w:p w:rsidR="0019619C" w:rsidRPr="00892DE3" w:rsidRDefault="0019619C" w:rsidP="007B3499">
            <w:pPr>
              <w:ind w:left="170"/>
              <w:jc w:val="left"/>
              <w:cnfStyle w:val="000000000000" w:firstRow="0" w:lastRow="0" w:firstColumn="0" w:lastColumn="0" w:oddVBand="0" w:evenVBand="0" w:oddHBand="0" w:evenHBand="0" w:firstRowFirstColumn="0" w:firstRowLastColumn="0" w:lastRowFirstColumn="0" w:lastRowLastColumn="0"/>
            </w:pPr>
            <w:r w:rsidRPr="00892DE3">
              <w:t>Subleases</w:t>
            </w:r>
          </w:p>
        </w:tc>
        <w:tc>
          <w:tcPr>
            <w:tcW w:w="927" w:type="dxa"/>
            <w:tcBorders>
              <w:bottom w:val="single" w:sz="6" w:space="0" w:color="auto"/>
            </w:tcBorders>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422</w:t>
            </w:r>
          </w:p>
        </w:tc>
        <w:tc>
          <w:tcPr>
            <w:tcW w:w="945" w:type="dxa"/>
            <w:tcBorders>
              <w:bottom w:val="single" w:sz="6" w:space="0" w:color="auto"/>
            </w:tcBorders>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Borders>
              <w:top w:val="single" w:sz="6" w:space="0" w:color="auto"/>
              <w:bottom w:val="nil"/>
            </w:tcBorders>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rPr>
                <w:b/>
              </w:rPr>
            </w:pPr>
            <w:r w:rsidRPr="00892DE3">
              <w:rPr>
                <w:b/>
              </w:rPr>
              <w:t>Subtotal</w:t>
            </w:r>
          </w:p>
        </w:tc>
        <w:tc>
          <w:tcPr>
            <w:tcW w:w="927" w:type="dxa"/>
            <w:tcBorders>
              <w:top w:val="single" w:sz="6" w:space="0" w:color="auto"/>
              <w:bottom w:val="nil"/>
            </w:tcBorders>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rPr>
                <w:b/>
              </w:rPr>
            </w:pPr>
            <w:r w:rsidRPr="00892DE3">
              <w:rPr>
                <w:b/>
              </w:rPr>
              <w:t>11 074</w:t>
            </w:r>
          </w:p>
        </w:tc>
        <w:tc>
          <w:tcPr>
            <w:tcW w:w="945" w:type="dxa"/>
            <w:tcBorders>
              <w:top w:val="single" w:sz="6" w:space="0" w:color="auto"/>
              <w:bottom w:val="nil"/>
            </w:tcBorders>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rPr>
                <w:b/>
              </w:rPr>
            </w:pPr>
            <w:r w:rsidRPr="00892DE3">
              <w:rPr>
                <w:b/>
              </w:rPr>
              <w:t>5 776</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Borders>
              <w:top w:val="nil"/>
            </w:tcBorders>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 xml:space="preserve">Bad debts from transactions </w:t>
            </w:r>
          </w:p>
        </w:tc>
        <w:tc>
          <w:tcPr>
            <w:tcW w:w="927" w:type="dxa"/>
            <w:tcBorders>
              <w:top w:val="nil"/>
            </w:tcBorders>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75</w:t>
            </w:r>
          </w:p>
        </w:tc>
        <w:tc>
          <w:tcPr>
            <w:tcW w:w="945" w:type="dxa"/>
            <w:tcBorders>
              <w:top w:val="nil"/>
            </w:tcBorders>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50</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r w:rsidRPr="00892DE3">
              <w:t>AASB 102.36(d)</w:t>
            </w:r>
          </w:p>
        </w:tc>
        <w:tc>
          <w:tcPr>
            <w:tcW w:w="6242" w:type="dxa"/>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Cost of goods sold/distributed</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1 463</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1 077</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Cost of biological assets sold – commercial</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1 290</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Cost of biological assets sold – livestock</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250</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r w:rsidRPr="00892DE3">
              <w:t>AASB 101.98(f)</w:t>
            </w:r>
          </w:p>
        </w:tc>
        <w:tc>
          <w:tcPr>
            <w:tcW w:w="6242" w:type="dxa"/>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Settlement of litigation</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869</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783</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r w:rsidRPr="00892DE3">
              <w:t>AASB 138.126</w:t>
            </w:r>
          </w:p>
        </w:tc>
        <w:tc>
          <w:tcPr>
            <w:tcW w:w="6242" w:type="dxa"/>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Research and development costs immediately expensed</w:t>
            </w:r>
          </w:p>
        </w:tc>
        <w:tc>
          <w:tcPr>
            <w:tcW w:w="927" w:type="dxa"/>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651</w:t>
            </w:r>
          </w:p>
        </w:tc>
        <w:tc>
          <w:tcPr>
            <w:tcW w:w="945" w:type="dxa"/>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 xml:space="preserve"> 495</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r w:rsidRPr="00892DE3">
              <w:t>FRD 11A.3</w:t>
            </w:r>
          </w:p>
        </w:tc>
        <w:tc>
          <w:tcPr>
            <w:tcW w:w="6242" w:type="dxa"/>
            <w:tcBorders>
              <w:bottom w:val="single" w:sz="6" w:space="0" w:color="auto"/>
            </w:tcBorders>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pPr>
            <w:r w:rsidRPr="00892DE3">
              <w:t>Ex-gratia expense</w:t>
            </w:r>
          </w:p>
        </w:tc>
        <w:tc>
          <w:tcPr>
            <w:tcW w:w="927" w:type="dxa"/>
            <w:tcBorders>
              <w:bottom w:val="single" w:sz="6" w:space="0" w:color="auto"/>
            </w:tcBorders>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156</w:t>
            </w:r>
          </w:p>
        </w:tc>
        <w:tc>
          <w:tcPr>
            <w:tcW w:w="945" w:type="dxa"/>
            <w:tcBorders>
              <w:bottom w:val="single" w:sz="6" w:space="0" w:color="auto"/>
            </w:tcBorders>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pPr>
            <w:r w:rsidRPr="00892DE3">
              <w:t>16</w:t>
            </w:r>
          </w:p>
        </w:tc>
      </w:tr>
      <w:tr w:rsidR="0019619C" w:rsidRPr="00892DE3" w:rsidTr="007B3499">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19619C" w:rsidRPr="00892DE3" w:rsidRDefault="0019619C" w:rsidP="0019619C"/>
        </w:tc>
        <w:tc>
          <w:tcPr>
            <w:tcW w:w="6242" w:type="dxa"/>
            <w:tcBorders>
              <w:top w:val="single" w:sz="6" w:space="0" w:color="auto"/>
              <w:bottom w:val="single" w:sz="12" w:space="0" w:color="auto"/>
            </w:tcBorders>
          </w:tcPr>
          <w:p w:rsidR="0019619C" w:rsidRPr="00892DE3" w:rsidRDefault="0019619C" w:rsidP="0019619C">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operating expenses</w:t>
            </w:r>
          </w:p>
        </w:tc>
        <w:tc>
          <w:tcPr>
            <w:tcW w:w="927" w:type="dxa"/>
            <w:tcBorders>
              <w:top w:val="single" w:sz="6" w:space="0" w:color="auto"/>
              <w:bottom w:val="single" w:sz="12" w:space="0" w:color="auto"/>
            </w:tcBorders>
            <w:shd w:val="clear" w:color="auto" w:fill="EBEBEB" w:themeFill="background2"/>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rPr>
                <w:b/>
              </w:rPr>
            </w:pPr>
            <w:r w:rsidRPr="00892DE3">
              <w:rPr>
                <w:b/>
              </w:rPr>
              <w:t>15 828</w:t>
            </w:r>
          </w:p>
        </w:tc>
        <w:tc>
          <w:tcPr>
            <w:tcW w:w="945" w:type="dxa"/>
            <w:tcBorders>
              <w:top w:val="single" w:sz="6" w:space="0" w:color="auto"/>
              <w:bottom w:val="single" w:sz="12" w:space="0" w:color="auto"/>
            </w:tcBorders>
            <w:noWrap/>
          </w:tcPr>
          <w:p w:rsidR="0019619C" w:rsidRPr="00892DE3" w:rsidRDefault="0019619C" w:rsidP="00450E27">
            <w:pPr>
              <w:cnfStyle w:val="000000000000" w:firstRow="0" w:lastRow="0" w:firstColumn="0" w:lastColumn="0" w:oddVBand="0" w:evenVBand="0" w:oddHBand="0" w:evenHBand="0" w:firstRowFirstColumn="0" w:firstRowLastColumn="0" w:lastRowFirstColumn="0" w:lastRowLastColumn="0"/>
              <w:rPr>
                <w:b/>
              </w:rPr>
            </w:pPr>
            <w:r w:rsidRPr="00892DE3">
              <w:rPr>
                <w:b/>
              </w:rPr>
              <w:t>8 197</w:t>
            </w:r>
          </w:p>
        </w:tc>
      </w:tr>
    </w:tbl>
    <w:p w:rsidR="004E3FF9" w:rsidRPr="00892DE3" w:rsidRDefault="004E3FF9" w:rsidP="004E3FF9">
      <w:pPr>
        <w:pStyle w:val="Note"/>
      </w:pPr>
      <w:r w:rsidRPr="00892DE3">
        <w:t xml:space="preserve">Note: </w:t>
      </w:r>
    </w:p>
    <w:p w:rsidR="004E3FF9" w:rsidRPr="00892DE3" w:rsidRDefault="004E3FF9" w:rsidP="004E3FF9">
      <w:pPr>
        <w:pStyle w:val="Note"/>
      </w:pPr>
      <w:r w:rsidRPr="00892DE3">
        <w:t>(</w:t>
      </w:r>
      <w:r w:rsidR="007B3499" w:rsidRPr="00892DE3">
        <w:t>a</w:t>
      </w:r>
      <w:r w:rsidRPr="00892DE3">
        <w:t>)</w:t>
      </w:r>
      <w:r w:rsidRPr="00892DE3">
        <w:tab/>
        <w:t xml:space="preserve">Of the balance in ‘other operating expenses – maintenance’, $XXX [$xxx in 2015] related to operating and maintenance expenses of assets contracted under the public private partnership arrangements [insert if relevant]. </w:t>
      </w:r>
      <w:r w:rsidRPr="00892DE3">
        <w:rPr>
          <w:rStyle w:val="SourceReference"/>
        </w:rPr>
        <w:t>[PAEC Report 115, Recommendation 13]</w:t>
      </w:r>
    </w:p>
    <w:p w:rsidR="004E3FF9" w:rsidRPr="00892DE3" w:rsidRDefault="004E3FF9" w:rsidP="004E3FF9">
      <w:r w:rsidRPr="00892DE3">
        <w:t>Other operating expenses generally represent the day-to-day running costs incurred in normal operations. It also includes bad debts expense from transactions that are mutually agreed.</w:t>
      </w:r>
    </w:p>
    <w:p w:rsidR="004E3FF9" w:rsidRPr="00892DE3" w:rsidRDefault="004E3FF9" w:rsidP="004E3FF9">
      <w:r w:rsidRPr="00892DE3">
        <w:rPr>
          <w:b/>
        </w:rPr>
        <w:t>Supplies and services</w:t>
      </w:r>
      <w:r w:rsidRPr="00892DE3">
        <w:t xml:space="preserve"> are recognised as an expense in the reporting period in which they are incurred. The carrying amounts of any inventories held for distribution are expensed when the inventories are distributed.</w:t>
      </w:r>
    </w:p>
    <w:p w:rsidR="004E3FF9" w:rsidRPr="00892DE3" w:rsidRDefault="004E3FF9" w:rsidP="004E3FF9">
      <w:r w:rsidRPr="00892DE3">
        <w:rPr>
          <w:b/>
        </w:rPr>
        <w:t>Contributions of resources provided free of charge or for nominal consideration</w:t>
      </w:r>
      <w:r w:rsidRPr="00892DE3">
        <w:t xml:space="preserve"> are recognised at their fair value when the recipient obtains control over the resources, irrespective of whether restrictions or conditions are imposed over the use of the contributions. The exception to this would be when the resource is received from another government department (or agency) as a consequence of a restructuring of administrative arrangements, in which case such a transfer will be recognised at its carrying value in the transferring </w:t>
      </w:r>
      <w:r w:rsidR="00011E1F" w:rsidRPr="00892DE3">
        <w:t>d</w:t>
      </w:r>
      <w:r w:rsidRPr="00892DE3">
        <w:t xml:space="preserve">epartment or agency. Contributions in the form of services are only recognised when a fair value can be reliably determined and the services would have been purchased if not donated. </w:t>
      </w:r>
      <w:r w:rsidRPr="00892DE3">
        <w:rPr>
          <w:rStyle w:val="SourceReference"/>
        </w:rPr>
        <w:t>[AASB 1004.9]</w:t>
      </w:r>
    </w:p>
    <w:p w:rsidR="004E3FF9" w:rsidRPr="00892DE3" w:rsidRDefault="004E3FF9" w:rsidP="004E3FF9">
      <w:r w:rsidRPr="00892DE3">
        <w:rPr>
          <w:b/>
        </w:rPr>
        <w:t>Operating lease payments</w:t>
      </w:r>
      <w:r w:rsidRPr="00892DE3">
        <w:t xml:space="preserve"> (including contingent rentals) are recognised on a straight line basis over the lease term, except where another systematic basis is more representative of the time pattern of the benefits derived from the use of the leased asset. </w:t>
      </w:r>
      <w:r w:rsidRPr="00892DE3">
        <w:rPr>
          <w:rStyle w:val="SourceReference"/>
        </w:rPr>
        <w:t>[AASB 117.33]</w:t>
      </w:r>
    </w:p>
    <w:p w:rsidR="0019619C" w:rsidRPr="00892DE3" w:rsidRDefault="004E3FF9" w:rsidP="004E3FF9">
      <w:r w:rsidRPr="00892DE3">
        <w:rPr>
          <w:b/>
        </w:rPr>
        <w:t>Research activities</w:t>
      </w:r>
      <w:r w:rsidRPr="00892DE3">
        <w:t xml:space="preserve">: Expenditure on research activities is recognised as an expense in the period in which it is incurred. </w:t>
      </w:r>
      <w:r w:rsidRPr="00892DE3">
        <w:rPr>
          <w:rStyle w:val="SourceReference"/>
        </w:rPr>
        <w:t>[AASB 138.54]</w:t>
      </w:r>
    </w:p>
    <w:p w:rsidR="004E3FF9" w:rsidRPr="00892DE3" w:rsidRDefault="004E3FF9" w:rsidP="004E3FF9"/>
    <w:tbl>
      <w:tblPr>
        <w:tblStyle w:val="ModelReportGuidanceTable"/>
        <w:tblW w:w="9854" w:type="dxa"/>
        <w:tblLayout w:type="fixed"/>
        <w:tblLook w:val="04A0" w:firstRow="1" w:lastRow="0" w:firstColumn="1" w:lastColumn="0" w:noHBand="0" w:noVBand="1"/>
      </w:tblPr>
      <w:tblGrid>
        <w:gridCol w:w="9854"/>
      </w:tblGrid>
      <w:tr w:rsidR="004E3FF9" w:rsidRPr="00892DE3" w:rsidTr="00011E1F">
        <w:trPr>
          <w:cnfStyle w:val="100000000000" w:firstRow="1" w:lastRow="0" w:firstColumn="0" w:lastColumn="0" w:oddVBand="0" w:evenVBand="0" w:oddHBand="0" w:evenHBand="0" w:firstRowFirstColumn="0" w:firstRowLastColumn="0" w:lastRowFirstColumn="0" w:lastRowLastColumn="0"/>
          <w:tblHeader/>
        </w:trPr>
        <w:tc>
          <w:tcPr>
            <w:tcW w:w="9854" w:type="dxa"/>
          </w:tcPr>
          <w:p w:rsidR="004E3FF9" w:rsidRPr="00892DE3" w:rsidRDefault="004E3FF9" w:rsidP="004E3FF9">
            <w:r w:rsidRPr="00892DE3">
              <w:t>Guidance – Other operating expenses</w:t>
            </w:r>
          </w:p>
        </w:tc>
      </w:tr>
      <w:tr w:rsidR="004E3FF9" w:rsidRPr="00892DE3" w:rsidTr="00011E1F">
        <w:tc>
          <w:tcPr>
            <w:tcW w:w="9854" w:type="dxa"/>
          </w:tcPr>
          <w:p w:rsidR="004E3FF9" w:rsidRPr="00892DE3" w:rsidRDefault="00011E1F" w:rsidP="004E3FF9">
            <w:r w:rsidRPr="00892DE3">
              <w:t>Public Accounts and Estimates Committee (</w:t>
            </w:r>
            <w:r w:rsidR="004E3FF9" w:rsidRPr="00892DE3">
              <w:t>PAEC</w:t>
            </w:r>
            <w:r w:rsidRPr="00892DE3">
              <w:t>)</w:t>
            </w:r>
            <w:r w:rsidR="004E3FF9" w:rsidRPr="00892DE3">
              <w:t xml:space="preserve"> Report 102, recommendation 70 requested more detailed disclosure of other operating expenses. The illustrative disclosures include the more common items required to be disclosed by other AAS.</w:t>
            </w:r>
          </w:p>
          <w:p w:rsidR="004E3FF9" w:rsidRPr="00892DE3" w:rsidRDefault="004E3FF9" w:rsidP="004E3FF9">
            <w:r w:rsidRPr="00892DE3">
              <w:rPr>
                <w:b/>
              </w:rPr>
              <w:t>Cost of sales</w:t>
            </w:r>
            <w:r w:rsidRPr="00892DE3">
              <w:t xml:space="preserve">: When inventories are sold, the carrying amount of those inventories shall be recognised as an expense in the period in which the related income is recognised. The amount of any write down of inventories to net realisable value and all losses of inventories shall be recognised as an expense in the period the write down or loss occurs. </w:t>
            </w:r>
          </w:p>
          <w:p w:rsidR="00DB3D3C" w:rsidRPr="00892DE3" w:rsidRDefault="004E3FF9" w:rsidP="00011E1F">
            <w:r w:rsidRPr="00892DE3">
              <w:t xml:space="preserve">The amount of any reversal of any write down of inventories, arising from an increase in net realisable value, shall be recognised as a reduction in the amount of inventories recognised as an expense in the period in which the reversal occurs. </w:t>
            </w:r>
            <w:r w:rsidRPr="00892DE3">
              <w:rPr>
                <w:rStyle w:val="SourceReference"/>
              </w:rPr>
              <w:t>[AASB 102.34]</w:t>
            </w:r>
          </w:p>
        </w:tc>
      </w:tr>
    </w:tbl>
    <w:p w:rsidR="00011E1F" w:rsidRPr="00892DE3" w:rsidRDefault="00011E1F"/>
    <w:p w:rsidR="00011E1F" w:rsidRPr="00892DE3" w:rsidRDefault="00011E1F">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011E1F" w:rsidRPr="00892DE3" w:rsidTr="00011E1F">
        <w:trPr>
          <w:cnfStyle w:val="100000000000" w:firstRow="1" w:lastRow="0" w:firstColumn="0" w:lastColumn="0" w:oddVBand="0" w:evenVBand="0" w:oddHBand="0" w:evenHBand="0" w:firstRowFirstColumn="0" w:firstRowLastColumn="0" w:lastRowFirstColumn="0" w:lastRowLastColumn="0"/>
          <w:tblHeader/>
        </w:trPr>
        <w:tc>
          <w:tcPr>
            <w:tcW w:w="9854" w:type="dxa"/>
          </w:tcPr>
          <w:p w:rsidR="00011E1F" w:rsidRPr="00892DE3" w:rsidRDefault="00011E1F" w:rsidP="003432FE">
            <w:r w:rsidRPr="00892DE3">
              <w:lastRenderedPageBreak/>
              <w:t xml:space="preserve">Guidance – Other operating expenses </w:t>
            </w:r>
            <w:r w:rsidRPr="00491373">
              <w:rPr>
                <w:i/>
              </w:rPr>
              <w:t>(continued)</w:t>
            </w:r>
          </w:p>
        </w:tc>
      </w:tr>
      <w:tr w:rsidR="00011E1F" w:rsidRPr="00892DE3" w:rsidTr="00011E1F">
        <w:tc>
          <w:tcPr>
            <w:tcW w:w="9854" w:type="dxa"/>
          </w:tcPr>
          <w:p w:rsidR="00011E1F" w:rsidRPr="00892DE3" w:rsidRDefault="00011E1F" w:rsidP="00011E1F">
            <w:r w:rsidRPr="00892DE3">
              <w:t xml:space="preserve">When inventories held for distribution by a not-for-profit entity are distributed, the carrying amount of those inventories shall be recognised as an expense. The amount of any write down of inventories for loss of service potential and all losses of inventories shall be recognised as ’other economic flow’ in the period the write down or loss occurs. The amount of any reversal of any write down of inventories arising from a reversal of the circumstances that gave rise to the loss of service potential shall be recognised as a reduction in the amount of inventories recognised as an other economic flow in the period in which the reversal occurs. </w:t>
            </w:r>
            <w:r w:rsidRPr="00892DE3">
              <w:rPr>
                <w:rStyle w:val="SourceReference"/>
              </w:rPr>
              <w:t>[AASB 102.Aus 34.1]</w:t>
            </w:r>
          </w:p>
          <w:p w:rsidR="00011E1F" w:rsidRPr="00892DE3" w:rsidRDefault="00011E1F" w:rsidP="00011E1F">
            <w:r w:rsidRPr="00892DE3">
              <w:t>The loss of service potential for inventories held for distribution by not-for-profit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It is strongly encouraged that entities use their judgement in determining the most appropriate basis (bases) in assessing any loss in service potential for inventories held for distribution.</w:t>
            </w:r>
          </w:p>
          <w:p w:rsidR="00011E1F" w:rsidRPr="00892DE3" w:rsidRDefault="00011E1F" w:rsidP="00011E1F">
            <w:r w:rsidRPr="00892DE3">
              <w:t>Entities should refer to the AASB 102 Inventories paragraphs BC12 BC20 for detailed guidance on assessing loss of service potential.</w:t>
            </w:r>
          </w:p>
        </w:tc>
      </w:tr>
    </w:tbl>
    <w:p w:rsidR="00DB3D3C" w:rsidRPr="00892DE3" w:rsidRDefault="00DB3D3C"/>
    <w:p w:rsidR="00DB3D3C" w:rsidRPr="00892DE3" w:rsidRDefault="00DB3D3C"/>
    <w:bookmarkEnd w:id="96"/>
    <w:p w:rsidR="00FD3105" w:rsidRPr="00892DE3" w:rsidRDefault="00FD3105">
      <w:pPr>
        <w:sectPr w:rsidR="00FD3105" w:rsidRPr="00892DE3" w:rsidSect="00AE7A4B">
          <w:footerReference w:type="even" r:id="rId110"/>
          <w:footerReference w:type="default" r:id="rId111"/>
          <w:type w:val="continuous"/>
          <w:pgSz w:w="11906" w:h="16838" w:code="9"/>
          <w:pgMar w:top="1134" w:right="1134" w:bottom="1134" w:left="1134" w:header="624" w:footer="567" w:gutter="0"/>
          <w:cols w:sep="1" w:space="567"/>
          <w:titlePg/>
          <w:docGrid w:linePitch="360"/>
        </w:sectPr>
      </w:pPr>
    </w:p>
    <w:p w:rsidR="004E3FF9" w:rsidRPr="00892DE3" w:rsidRDefault="004E3FF9" w:rsidP="004E3FF9">
      <w:pPr>
        <w:pStyle w:val="Heading1"/>
      </w:pPr>
      <w:bookmarkStart w:id="105" w:name="Section4"/>
      <w:r w:rsidRPr="00892DE3">
        <w:lastRenderedPageBreak/>
        <w:t>DISAGGREGATED FINANCIAL INFORMATION BY OUTPUT</w:t>
      </w:r>
    </w:p>
    <w:p w:rsidR="00FD3105" w:rsidRPr="00892DE3" w:rsidRDefault="00FD3105" w:rsidP="00FD3105">
      <w:pPr>
        <w:pStyle w:val="Heading30"/>
        <w:sectPr w:rsidR="00FD3105" w:rsidRPr="00892DE3" w:rsidSect="00FD3105">
          <w:footerReference w:type="first" r:id="rId112"/>
          <w:pgSz w:w="11906" w:h="16838" w:code="9"/>
          <w:pgMar w:top="1134" w:right="1134" w:bottom="1134" w:left="1134" w:header="624" w:footer="567" w:gutter="0"/>
          <w:cols w:sep="1" w:space="567"/>
          <w:titlePg/>
          <w:docGrid w:linePitch="360"/>
        </w:sectPr>
      </w:pPr>
    </w:p>
    <w:p w:rsidR="004E3FF9" w:rsidRPr="00892DE3" w:rsidRDefault="004E3FF9" w:rsidP="00FD3105">
      <w:pPr>
        <w:pStyle w:val="Heading30"/>
      </w:pPr>
      <w:r w:rsidRPr="00892DE3">
        <w:lastRenderedPageBreak/>
        <w:t>Introduction</w:t>
      </w:r>
    </w:p>
    <w:p w:rsidR="004E3FF9" w:rsidRPr="00892DE3" w:rsidRDefault="004E3FF9" w:rsidP="004E3FF9">
      <w:r w:rsidRPr="00892DE3">
        <w:t xml:space="preserve">The </w:t>
      </w:r>
      <w:r w:rsidR="00BB48EC" w:rsidRPr="00892DE3">
        <w:t xml:space="preserve">Department of Technology (the </w:t>
      </w:r>
      <w:r w:rsidRPr="00892DE3">
        <w:t>Department</w:t>
      </w:r>
      <w:r w:rsidR="00BB48EC" w:rsidRPr="00892DE3">
        <w:t>)</w:t>
      </w:r>
      <w:r w:rsidRPr="00892DE3">
        <w:t xml:space="preserve"> is predominantly funded by accrual based parliamentary appropriations for the provision of outputs. This section provides a description of the departmental outputs </w:t>
      </w:r>
      <w:r w:rsidR="00C759B4" w:rsidRPr="00892DE3">
        <w:t>delivered</w:t>
      </w:r>
      <w:r w:rsidRPr="00892DE3">
        <w:t xml:space="preserve"> during the year ended 30 June 2017 along with the objectives of those outputs. </w:t>
      </w:r>
      <w:r w:rsidRPr="00892DE3">
        <w:rPr>
          <w:rStyle w:val="SourceReference"/>
        </w:rPr>
        <w:t>[AASB 1052.15]</w:t>
      </w:r>
    </w:p>
    <w:p w:rsidR="004E3FF9" w:rsidRPr="00892DE3" w:rsidRDefault="004E3FF9" w:rsidP="004E3FF9">
      <w:r w:rsidRPr="00892DE3">
        <w:t>This section disaggregates revenue and income that enables the delivery of service</w:t>
      </w:r>
      <w:r w:rsidR="00C759B4" w:rsidRPr="00892DE3">
        <w:t>s</w:t>
      </w:r>
      <w:r w:rsidRPr="00892DE3">
        <w:t xml:space="preserve"> (described in Section 2) by output and records the allocation of expenses incurred (describ</w:t>
      </w:r>
      <w:r w:rsidR="00C759B4" w:rsidRPr="00892DE3">
        <w:t>ed in Section 3) also by output, which form part of controlled balances of the Department.</w:t>
      </w:r>
    </w:p>
    <w:p w:rsidR="004E3FF9" w:rsidRPr="00892DE3" w:rsidRDefault="00C759B4" w:rsidP="004E3FF9">
      <w:r w:rsidRPr="00892DE3">
        <w:t>It</w:t>
      </w:r>
      <w:r w:rsidR="004E3FF9" w:rsidRPr="00892DE3">
        <w:t xml:space="preserve"> also provides information</w:t>
      </w:r>
      <w:r w:rsidRPr="00892DE3">
        <w:t xml:space="preserve"> on</w:t>
      </w:r>
      <w:r w:rsidR="004E3FF9" w:rsidRPr="00892DE3">
        <w:t xml:space="preserve"> </w:t>
      </w:r>
      <w:r w:rsidRPr="00892DE3">
        <w:t xml:space="preserve">items </w:t>
      </w:r>
      <w:r w:rsidR="004E3FF9" w:rsidRPr="00892DE3">
        <w:t>administered in connection with these outputs.</w:t>
      </w:r>
    </w:p>
    <w:p w:rsidR="004E3FF9" w:rsidRPr="00892DE3" w:rsidRDefault="00FD3105" w:rsidP="00FD3105">
      <w:pPr>
        <w:pStyle w:val="Heading30"/>
      </w:pPr>
      <w:r w:rsidRPr="00892DE3">
        <w:br w:type="column"/>
      </w:r>
      <w:r w:rsidR="004E3FF9" w:rsidRPr="00892DE3">
        <w:lastRenderedPageBreak/>
        <w:t>Structure</w:t>
      </w:r>
    </w:p>
    <w:p w:rsidR="008C4951" w:rsidRPr="00892DE3" w:rsidRDefault="00FD3105">
      <w:pPr>
        <w:pStyle w:val="TOC9"/>
        <w:rPr>
          <w:rFonts w:eastAsiaTheme="minorEastAsia"/>
          <w:spacing w:val="0"/>
          <w:sz w:val="22"/>
          <w:szCs w:val="22"/>
          <w:lang w:eastAsia="en-AU"/>
        </w:rPr>
      </w:pPr>
      <w:r w:rsidRPr="00892DE3">
        <w:fldChar w:fldCharType="begin"/>
      </w:r>
      <w:r w:rsidRPr="00892DE3">
        <w:instrText xml:space="preserve"> TOC \h \z \t "Heading 2 (#),9" \b Section4 \* MERGEFORMAT </w:instrText>
      </w:r>
      <w:r w:rsidRPr="00892DE3">
        <w:fldChar w:fldCharType="separate"/>
      </w:r>
      <w:hyperlink w:anchor="_Toc477880665" w:history="1">
        <w:r w:rsidR="008C4951" w:rsidRPr="00892DE3">
          <w:rPr>
            <w:rStyle w:val="Hyperlink"/>
          </w:rPr>
          <w:t>4.1</w:t>
        </w:r>
        <w:r w:rsidR="008C4951" w:rsidRPr="00892DE3">
          <w:rPr>
            <w:rFonts w:eastAsiaTheme="minorEastAsia"/>
            <w:spacing w:val="0"/>
            <w:sz w:val="22"/>
            <w:szCs w:val="22"/>
            <w:lang w:eastAsia="en-AU"/>
          </w:rPr>
          <w:tab/>
        </w:r>
        <w:r w:rsidR="008C4951" w:rsidRPr="00892DE3">
          <w:rPr>
            <w:rStyle w:val="Hyperlink"/>
          </w:rPr>
          <w:t>Departmental outputs – Descriptions and objectives</w:t>
        </w:r>
        <w:r w:rsidR="008C4951" w:rsidRPr="00892DE3">
          <w:rPr>
            <w:webHidden/>
          </w:rPr>
          <w:tab/>
        </w:r>
        <w:r w:rsidR="008C4951" w:rsidRPr="00892DE3">
          <w:rPr>
            <w:webHidden/>
          </w:rPr>
          <w:fldChar w:fldCharType="begin"/>
        </w:r>
        <w:r w:rsidR="008C4951" w:rsidRPr="00892DE3">
          <w:rPr>
            <w:webHidden/>
          </w:rPr>
          <w:instrText xml:space="preserve"> PAGEREF _Toc477880665 \h </w:instrText>
        </w:r>
        <w:r w:rsidR="008C4951" w:rsidRPr="00892DE3">
          <w:rPr>
            <w:webHidden/>
          </w:rPr>
        </w:r>
        <w:r w:rsidR="008C4951" w:rsidRPr="00892DE3">
          <w:rPr>
            <w:webHidden/>
          </w:rPr>
          <w:fldChar w:fldCharType="separate"/>
        </w:r>
        <w:r w:rsidR="00F63B17">
          <w:rPr>
            <w:webHidden/>
          </w:rPr>
          <w:t>102</w:t>
        </w:r>
        <w:r w:rsidR="008C4951" w:rsidRPr="00892DE3">
          <w:rPr>
            <w:webHidden/>
          </w:rPr>
          <w:fldChar w:fldCharType="end"/>
        </w:r>
      </w:hyperlink>
    </w:p>
    <w:p w:rsidR="008C4951" w:rsidRPr="00892DE3" w:rsidRDefault="003C212D">
      <w:pPr>
        <w:pStyle w:val="TOC9"/>
        <w:rPr>
          <w:rFonts w:eastAsiaTheme="minorEastAsia"/>
          <w:spacing w:val="0"/>
          <w:sz w:val="22"/>
          <w:szCs w:val="22"/>
          <w:lang w:eastAsia="en-AU"/>
        </w:rPr>
      </w:pPr>
      <w:hyperlink w:anchor="_Toc477880666" w:history="1">
        <w:r w:rsidR="008C4951" w:rsidRPr="00892DE3">
          <w:rPr>
            <w:rStyle w:val="Hyperlink"/>
          </w:rPr>
          <w:t>4.2</w:t>
        </w:r>
        <w:r w:rsidR="008C4951" w:rsidRPr="00892DE3">
          <w:rPr>
            <w:rFonts w:eastAsiaTheme="minorEastAsia"/>
            <w:spacing w:val="0"/>
            <w:sz w:val="22"/>
            <w:szCs w:val="22"/>
            <w:lang w:eastAsia="en-AU"/>
          </w:rPr>
          <w:tab/>
        </w:r>
        <w:r w:rsidR="008C4951" w:rsidRPr="00892DE3">
          <w:rPr>
            <w:rStyle w:val="Hyperlink"/>
          </w:rPr>
          <w:t xml:space="preserve">Administered items </w:t>
        </w:r>
        <w:r w:rsidR="008C4951" w:rsidRPr="00892DE3">
          <w:rPr>
            <w:webHidden/>
          </w:rPr>
          <w:tab/>
        </w:r>
        <w:r w:rsidR="008C4951" w:rsidRPr="00892DE3">
          <w:rPr>
            <w:webHidden/>
          </w:rPr>
          <w:fldChar w:fldCharType="begin"/>
        </w:r>
        <w:r w:rsidR="008C4951" w:rsidRPr="00892DE3">
          <w:rPr>
            <w:webHidden/>
          </w:rPr>
          <w:instrText xml:space="preserve"> PAGEREF _Toc477880666 \h </w:instrText>
        </w:r>
        <w:r w:rsidR="008C4951" w:rsidRPr="00892DE3">
          <w:rPr>
            <w:webHidden/>
          </w:rPr>
        </w:r>
        <w:r w:rsidR="008C4951" w:rsidRPr="00892DE3">
          <w:rPr>
            <w:webHidden/>
          </w:rPr>
          <w:fldChar w:fldCharType="separate"/>
        </w:r>
        <w:r w:rsidR="00F63B17">
          <w:rPr>
            <w:webHidden/>
          </w:rPr>
          <w:t>105</w:t>
        </w:r>
        <w:r w:rsidR="008C4951" w:rsidRPr="00892DE3">
          <w:rPr>
            <w:webHidden/>
          </w:rPr>
          <w:fldChar w:fldCharType="end"/>
        </w:r>
      </w:hyperlink>
    </w:p>
    <w:p w:rsidR="008C4951" w:rsidRPr="00892DE3" w:rsidRDefault="003C212D">
      <w:pPr>
        <w:pStyle w:val="TOC9"/>
        <w:rPr>
          <w:rFonts w:eastAsiaTheme="minorEastAsia"/>
          <w:spacing w:val="0"/>
          <w:sz w:val="22"/>
          <w:szCs w:val="22"/>
          <w:lang w:eastAsia="en-AU"/>
        </w:rPr>
      </w:pPr>
      <w:hyperlink w:anchor="_Toc477880667" w:history="1">
        <w:r w:rsidR="008C4951" w:rsidRPr="00892DE3">
          <w:rPr>
            <w:rStyle w:val="Hyperlink"/>
          </w:rPr>
          <w:t>4.3</w:t>
        </w:r>
        <w:r w:rsidR="008C4951" w:rsidRPr="00892DE3">
          <w:rPr>
            <w:rFonts w:eastAsiaTheme="minorEastAsia"/>
            <w:spacing w:val="0"/>
            <w:sz w:val="22"/>
            <w:szCs w:val="22"/>
            <w:lang w:eastAsia="en-AU"/>
          </w:rPr>
          <w:tab/>
        </w:r>
        <w:r w:rsidR="008C4951" w:rsidRPr="00892DE3">
          <w:rPr>
            <w:rStyle w:val="Hyperlink"/>
          </w:rPr>
          <w:t>Restructuring of administrative arrangements</w:t>
        </w:r>
        <w:r w:rsidR="008C4951" w:rsidRPr="00892DE3">
          <w:rPr>
            <w:webHidden/>
          </w:rPr>
          <w:tab/>
        </w:r>
        <w:r w:rsidR="008C4951" w:rsidRPr="00892DE3">
          <w:rPr>
            <w:webHidden/>
          </w:rPr>
          <w:fldChar w:fldCharType="begin"/>
        </w:r>
        <w:r w:rsidR="008C4951" w:rsidRPr="00892DE3">
          <w:rPr>
            <w:webHidden/>
          </w:rPr>
          <w:instrText xml:space="preserve"> PAGEREF _Toc477880667 \h </w:instrText>
        </w:r>
        <w:r w:rsidR="008C4951" w:rsidRPr="00892DE3">
          <w:rPr>
            <w:webHidden/>
          </w:rPr>
        </w:r>
        <w:r w:rsidR="008C4951" w:rsidRPr="00892DE3">
          <w:rPr>
            <w:webHidden/>
          </w:rPr>
          <w:fldChar w:fldCharType="separate"/>
        </w:r>
        <w:r w:rsidR="00F63B17">
          <w:rPr>
            <w:webHidden/>
          </w:rPr>
          <w:t>109</w:t>
        </w:r>
        <w:r w:rsidR="008C4951" w:rsidRPr="00892DE3">
          <w:rPr>
            <w:webHidden/>
          </w:rPr>
          <w:fldChar w:fldCharType="end"/>
        </w:r>
      </w:hyperlink>
    </w:p>
    <w:p w:rsidR="004E3FF9" w:rsidRPr="00892DE3" w:rsidRDefault="00FD3105" w:rsidP="004E3FF9">
      <w:r w:rsidRPr="00892DE3">
        <w:fldChar w:fldCharType="end"/>
      </w:r>
    </w:p>
    <w:p w:rsidR="00FD3105" w:rsidRPr="00892DE3" w:rsidRDefault="00FD3105" w:rsidP="004E3FF9">
      <w:pPr>
        <w:sectPr w:rsidR="00FD3105" w:rsidRPr="00892DE3" w:rsidSect="00FD3105">
          <w:type w:val="continuous"/>
          <w:pgSz w:w="11906" w:h="16838" w:code="9"/>
          <w:pgMar w:top="1134" w:right="1134" w:bottom="1134" w:left="1134" w:header="624" w:footer="567" w:gutter="0"/>
          <w:cols w:num="2" w:space="567"/>
          <w:titlePg/>
          <w:docGrid w:linePitch="360"/>
        </w:sectPr>
      </w:pPr>
    </w:p>
    <w:p w:rsidR="004E3FF9" w:rsidRPr="00892DE3" w:rsidRDefault="004E3FF9" w:rsidP="004E3FF9">
      <w:pPr>
        <w:pStyle w:val="HighlightBoxHeading"/>
      </w:pPr>
      <w:r w:rsidRPr="00892DE3">
        <w:lastRenderedPageBreak/>
        <w:t>Judgement required</w:t>
      </w:r>
    </w:p>
    <w:p w:rsidR="004E3FF9" w:rsidRPr="00892DE3" w:rsidRDefault="004E3FF9" w:rsidP="004E3FF9">
      <w:pPr>
        <w:pStyle w:val="HighlightBoxText"/>
      </w:pPr>
      <w:r w:rsidRPr="00892DE3">
        <w:t>Judgement is required in allocating income and expenditure to specific outputs. [Include judgements made in making allocation</w:t>
      </w:r>
      <w:r w:rsidR="00BB48EC" w:rsidRPr="00892DE3">
        <w:t>.</w:t>
      </w:r>
      <w:r w:rsidRPr="00892DE3">
        <w:t>] For the period under review there were no amounts unallocated.</w:t>
      </w:r>
    </w:p>
    <w:p w:rsidR="004E3FF9" w:rsidRPr="00892DE3" w:rsidRDefault="004E3FF9" w:rsidP="004E3FF9">
      <w:pPr>
        <w:pStyle w:val="HighlightBoxHeading"/>
      </w:pPr>
      <w:r w:rsidRPr="00892DE3">
        <w:t>Distinction between controlled and administered items</w:t>
      </w:r>
    </w:p>
    <w:p w:rsidR="004E3FF9" w:rsidRPr="00892DE3" w:rsidRDefault="004E3FF9" w:rsidP="004E3FF9">
      <w:pPr>
        <w:pStyle w:val="HighlightBoxText"/>
      </w:pPr>
      <w:r w:rsidRPr="00892DE3">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rsidR="004E3FF9" w:rsidRPr="00892DE3" w:rsidRDefault="004E3FF9" w:rsidP="0019303F">
      <w:pPr>
        <w:pStyle w:val="Heading2"/>
      </w:pPr>
      <w:bookmarkStart w:id="106" w:name="_Toc477880665"/>
      <w:bookmarkStart w:id="107" w:name="_Toc478055736"/>
      <w:r w:rsidRPr="00892DE3">
        <w:t>Departmental outputs – Descriptions and objectives</w:t>
      </w:r>
      <w:bookmarkEnd w:id="106"/>
      <w:bookmarkEnd w:id="107"/>
    </w:p>
    <w:p w:rsidR="004E3FF9" w:rsidRPr="00892DE3" w:rsidRDefault="004E3FF9" w:rsidP="004E3FF9">
      <w:pPr>
        <w:pStyle w:val="Heading30"/>
      </w:pPr>
      <w:r w:rsidRPr="00892DE3">
        <w:t>Strategic policy advice</w:t>
      </w:r>
    </w:p>
    <w:p w:rsidR="004E3FF9" w:rsidRPr="00892DE3" w:rsidRDefault="004E3FF9" w:rsidP="004E3FF9">
      <w:r w:rsidRPr="00892DE3">
        <w:rPr>
          <w:b/>
        </w:rPr>
        <w:t>Description of output</w:t>
      </w:r>
      <w:r w:rsidRPr="00892DE3">
        <w:t>: Provision of policy advice to the Government on the development, promotion, and support of information and biological technology in the public and private sectors.</w:t>
      </w:r>
    </w:p>
    <w:p w:rsidR="004E3FF9" w:rsidRPr="00892DE3" w:rsidRDefault="004E3FF9" w:rsidP="004E3FF9">
      <w:r w:rsidRPr="00892DE3">
        <w:rPr>
          <w:b/>
        </w:rPr>
        <w:t>Objectives</w:t>
      </w:r>
      <w:r w:rsidRPr="00892DE3">
        <w:t>: Improved economic performance of the State through the application of leading edge technology and to promote leadership in scientific research and innovation.</w:t>
      </w:r>
    </w:p>
    <w:p w:rsidR="004E3FF9" w:rsidRPr="00892DE3" w:rsidRDefault="004E3FF9" w:rsidP="004E3FF9">
      <w:r w:rsidRPr="00892DE3">
        <w:t xml:space="preserve">Contribution to </w:t>
      </w:r>
      <w:r w:rsidR="006A1F53" w:rsidRPr="00892DE3">
        <w:rPr>
          <w:i/>
          <w:color w:val="0072CE" w:themeColor="accent4"/>
        </w:rPr>
        <w:t>[Sustainability Thriving Victoria]</w:t>
      </w:r>
      <w:r w:rsidRPr="00892DE3">
        <w:rPr>
          <w:color w:val="0072CE" w:themeColor="accent4"/>
        </w:rPr>
        <w:t xml:space="preserve"> </w:t>
      </w:r>
      <w:r w:rsidRPr="00892DE3">
        <w:t>Government outcomes</w:t>
      </w:r>
      <w:r w:rsidR="00D13314" w:rsidRPr="00892DE3">
        <w:t xml:space="preserve"> include</w:t>
      </w:r>
      <w:r w:rsidRPr="00892DE3">
        <w:t>:</w:t>
      </w:r>
    </w:p>
    <w:p w:rsidR="004E3FF9" w:rsidRPr="00892DE3" w:rsidRDefault="004E3FF9" w:rsidP="004E3FF9">
      <w:pPr>
        <w:pStyle w:val="ListBullet"/>
      </w:pPr>
      <w:r w:rsidRPr="00892DE3">
        <w:t>quality jobs and thriving innovative industries; and</w:t>
      </w:r>
    </w:p>
    <w:p w:rsidR="004E3FF9" w:rsidRPr="00892DE3" w:rsidRDefault="004E3FF9" w:rsidP="004E3FF9">
      <w:pPr>
        <w:pStyle w:val="ListBullet"/>
      </w:pPr>
      <w:r w:rsidRPr="00892DE3">
        <w:t>growing and linking all of Victoria.</w:t>
      </w:r>
    </w:p>
    <w:p w:rsidR="004E3FF9" w:rsidRPr="00892DE3" w:rsidRDefault="004E3FF9" w:rsidP="004E3FF9">
      <w:pPr>
        <w:pStyle w:val="Heading30"/>
      </w:pPr>
      <w:r w:rsidRPr="00892DE3">
        <w:t>Information technology and telecommunication</w:t>
      </w:r>
    </w:p>
    <w:p w:rsidR="004E3FF9" w:rsidRPr="00892DE3" w:rsidRDefault="004E3FF9" w:rsidP="004E3FF9">
      <w:r w:rsidRPr="00892DE3">
        <w:rPr>
          <w:b/>
        </w:rPr>
        <w:t>Description of output</w:t>
      </w:r>
      <w:r w:rsidRPr="00892DE3">
        <w:t xml:space="preserve">: Provision of payroll, accounting and database management service and training to a range of agencies. The Information Technology and Telecommunications (IT&amp;T) division provides services on the application and use of IT&amp;T to other governments on a fee for service basis. </w:t>
      </w:r>
    </w:p>
    <w:p w:rsidR="004E3FF9" w:rsidRPr="00892DE3" w:rsidRDefault="004E3FF9" w:rsidP="004E3FF9">
      <w:r w:rsidRPr="00892DE3">
        <w:rPr>
          <w:b/>
        </w:rPr>
        <w:t>Objectives</w:t>
      </w:r>
      <w:r w:rsidRPr="00892DE3">
        <w:t>: Efficient and economical operation of government activities to ensure optimal use of resources. Leadership in IT&amp;T promotes Victoria as a centre for excellence in the application of new IT.</w:t>
      </w:r>
    </w:p>
    <w:p w:rsidR="004E3FF9" w:rsidRPr="00892DE3" w:rsidRDefault="004E3FF9" w:rsidP="004E3FF9">
      <w:r w:rsidRPr="00892DE3">
        <w:t xml:space="preserve">Contribution to </w:t>
      </w:r>
      <w:r w:rsidR="006A1F53" w:rsidRPr="00892DE3">
        <w:rPr>
          <w:i/>
          <w:color w:val="0072CE" w:themeColor="accent4"/>
        </w:rPr>
        <w:t>[Sustainability Thriving Victoria]</w:t>
      </w:r>
      <w:r w:rsidR="006A1F53" w:rsidRPr="00892DE3">
        <w:rPr>
          <w:color w:val="0072CE" w:themeColor="accent4"/>
        </w:rPr>
        <w:t xml:space="preserve"> </w:t>
      </w:r>
      <w:r w:rsidRPr="00892DE3">
        <w:t>Government outcomes</w:t>
      </w:r>
      <w:r w:rsidR="00D13314" w:rsidRPr="00892DE3">
        <w:t xml:space="preserve"> include</w:t>
      </w:r>
      <w:r w:rsidRPr="00892DE3">
        <w:t>:</w:t>
      </w:r>
    </w:p>
    <w:p w:rsidR="004E3FF9" w:rsidRPr="00892DE3" w:rsidRDefault="004E3FF9" w:rsidP="004E3FF9">
      <w:pPr>
        <w:pStyle w:val="ListBullet"/>
      </w:pPr>
      <w:r w:rsidRPr="00892DE3">
        <w:t>quality jobs and thriving innovative industries; and</w:t>
      </w:r>
    </w:p>
    <w:p w:rsidR="004E3FF9" w:rsidRPr="00892DE3" w:rsidRDefault="004E3FF9" w:rsidP="004E3FF9">
      <w:pPr>
        <w:pStyle w:val="ListBullet"/>
      </w:pPr>
      <w:r w:rsidRPr="00892DE3">
        <w:t>sound financial management.</w:t>
      </w:r>
    </w:p>
    <w:p w:rsidR="004E3FF9" w:rsidRPr="00892DE3" w:rsidRDefault="004E3FF9" w:rsidP="004E3FF9">
      <w:pPr>
        <w:pStyle w:val="Heading30"/>
      </w:pPr>
      <w:r w:rsidRPr="00892DE3">
        <w:t>Research and development of biological technology</w:t>
      </w:r>
    </w:p>
    <w:p w:rsidR="004E3FF9" w:rsidRPr="00892DE3" w:rsidRDefault="004E3FF9" w:rsidP="004E3FF9">
      <w:r w:rsidRPr="00892DE3">
        <w:rPr>
          <w:b/>
        </w:rPr>
        <w:t>Description of output</w:t>
      </w:r>
      <w:r w:rsidRPr="00892DE3">
        <w:t>: Research and development of new biological technology for application in amongst others, the agricultural and health sectors. Commercial development of this new technology is primarily undertaken by Gene Sciences Victoria, a business unit of the Department.</w:t>
      </w:r>
    </w:p>
    <w:p w:rsidR="004E3FF9" w:rsidRPr="00892DE3" w:rsidRDefault="004E3FF9" w:rsidP="004E3FF9">
      <w:r w:rsidRPr="00892DE3">
        <w:rPr>
          <w:b/>
        </w:rPr>
        <w:t>Objectives</w:t>
      </w:r>
      <w:r w:rsidRPr="00892DE3">
        <w:t xml:space="preserve">: Improving the quality of life of Victorians through eradicating diseases and enhancing nutrition through higher quality agricultural products. Improved agricultural products are also considered to contribute to the economic growth of the State. Contribution to </w:t>
      </w:r>
      <w:r w:rsidR="006A1F53" w:rsidRPr="00892DE3">
        <w:rPr>
          <w:i/>
          <w:color w:val="0072CE" w:themeColor="accent4"/>
        </w:rPr>
        <w:t>[Sustainability Thriving Victoria]</w:t>
      </w:r>
      <w:r w:rsidRPr="00892DE3">
        <w:t xml:space="preserve"> Government outcomes</w:t>
      </w:r>
      <w:r w:rsidR="00D13314" w:rsidRPr="00892DE3">
        <w:t xml:space="preserve"> include</w:t>
      </w:r>
      <w:r w:rsidRPr="00892DE3">
        <w:t>:</w:t>
      </w:r>
    </w:p>
    <w:p w:rsidR="004E3FF9" w:rsidRPr="00892DE3" w:rsidRDefault="004E3FF9" w:rsidP="004E3FF9">
      <w:pPr>
        <w:pStyle w:val="ListBullet"/>
      </w:pPr>
      <w:r w:rsidRPr="00892DE3">
        <w:t>protecting the environment for future generations; and</w:t>
      </w:r>
    </w:p>
    <w:p w:rsidR="004E3FF9" w:rsidRPr="00892DE3" w:rsidRDefault="004E3FF9" w:rsidP="004E3FF9">
      <w:pPr>
        <w:pStyle w:val="ListBullet"/>
      </w:pPr>
      <w:r w:rsidRPr="00892DE3">
        <w:t xml:space="preserve">quality jobs and </w:t>
      </w:r>
      <w:r w:rsidR="007839E2" w:rsidRPr="00892DE3">
        <w:t>thriving innovative industries.</w:t>
      </w:r>
    </w:p>
    <w:p w:rsidR="007839E2" w:rsidRPr="00892DE3" w:rsidRDefault="007839E2" w:rsidP="007839E2">
      <w:pPr>
        <w:sectPr w:rsidR="007839E2" w:rsidRPr="00892DE3" w:rsidSect="00FD3105">
          <w:type w:val="continuous"/>
          <w:pgSz w:w="11906" w:h="16838" w:code="9"/>
          <w:pgMar w:top="1134" w:right="1134" w:bottom="1134" w:left="1134" w:header="624" w:footer="567" w:gutter="0"/>
          <w:cols w:sep="1" w:space="567"/>
          <w:titlePg/>
          <w:docGrid w:linePitch="360"/>
        </w:sectPr>
      </w:pPr>
    </w:p>
    <w:p w:rsidR="007839E2" w:rsidRPr="00892DE3" w:rsidRDefault="00FD3105" w:rsidP="00ED43D1">
      <w:pPr>
        <w:pStyle w:val="TableHeading"/>
      </w:pPr>
      <w:r w:rsidRPr="00892DE3">
        <w:lastRenderedPageBreak/>
        <w:t>Departmental outputs –</w:t>
      </w:r>
      <w:r w:rsidR="007839E2" w:rsidRPr="00892DE3">
        <w:t xml:space="preserve"> Controlled income and expenses for the year ended 30 June 2017</w:t>
      </w:r>
      <w:r w:rsidR="00ED43D1" w:rsidRPr="00892DE3">
        <w:t xml:space="preserve"> </w:t>
      </w:r>
      <w:r w:rsidR="00ED43D1" w:rsidRPr="00892DE3">
        <w:rPr>
          <w:rStyle w:val="SourceReference"/>
          <w:b w:val="0"/>
        </w:rPr>
        <w:t>[AASB 1052.15(c), 15(d)]</w:t>
      </w:r>
      <w:r w:rsidR="007839E2" w:rsidRPr="00892DE3">
        <w:tab/>
      </w:r>
      <w:r w:rsidR="00ED43D1" w:rsidRPr="00892DE3">
        <w:tab/>
      </w:r>
      <w:r w:rsidR="007839E2" w:rsidRPr="00892DE3">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6530"/>
        <w:gridCol w:w="804"/>
        <w:gridCol w:w="804"/>
        <w:gridCol w:w="713"/>
        <w:gridCol w:w="802"/>
        <w:gridCol w:w="891"/>
        <w:gridCol w:w="802"/>
        <w:gridCol w:w="802"/>
        <w:gridCol w:w="713"/>
        <w:gridCol w:w="868"/>
        <w:gridCol w:w="843"/>
      </w:tblGrid>
      <w:tr w:rsidR="007839E2" w:rsidRPr="00892DE3" w:rsidTr="00D043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pPr>
              <w:ind w:left="0" w:firstLine="0"/>
            </w:pPr>
          </w:p>
        </w:tc>
        <w:tc>
          <w:tcPr>
            <w:tcW w:w="1624" w:type="dxa"/>
            <w:gridSpan w:val="2"/>
            <w:noWrap/>
          </w:tcPr>
          <w:p w:rsidR="007839E2" w:rsidRPr="00892DE3" w:rsidRDefault="007839E2" w:rsidP="00D0431C">
            <w:pPr>
              <w:jc w:val="center"/>
              <w:cnfStyle w:val="100000000000" w:firstRow="1" w:lastRow="0" w:firstColumn="0" w:lastColumn="0" w:oddVBand="0" w:evenVBand="0" w:oddHBand="0" w:evenHBand="0" w:firstRowFirstColumn="0" w:firstRowLastColumn="0" w:lastRowFirstColumn="0" w:lastRowLastColumn="0"/>
            </w:pPr>
            <w:r w:rsidRPr="00892DE3">
              <w:t xml:space="preserve">Strategic </w:t>
            </w:r>
            <w:r w:rsidR="00D0431C" w:rsidRPr="00892DE3">
              <w:br/>
            </w:r>
            <w:r w:rsidRPr="00892DE3">
              <w:t>policy advice</w:t>
            </w:r>
            <w:r w:rsidR="00FD3105" w:rsidRPr="00892DE3">
              <w:t xml:space="preserve"> </w:t>
            </w:r>
            <w:r w:rsidRPr="00892DE3">
              <w:rPr>
                <w:vertAlign w:val="superscript"/>
              </w:rPr>
              <w:t>(</w:t>
            </w:r>
            <w:r w:rsidR="00FD3105" w:rsidRPr="00892DE3">
              <w:rPr>
                <w:vertAlign w:val="superscript"/>
              </w:rPr>
              <w:t>a</w:t>
            </w:r>
            <w:r w:rsidRPr="00892DE3">
              <w:rPr>
                <w:vertAlign w:val="superscript"/>
              </w:rPr>
              <w:t>)</w:t>
            </w:r>
          </w:p>
        </w:tc>
        <w:tc>
          <w:tcPr>
            <w:tcW w:w="1532" w:type="dxa"/>
            <w:gridSpan w:val="2"/>
          </w:tcPr>
          <w:p w:rsidR="007839E2" w:rsidRPr="00892DE3" w:rsidRDefault="00FD3105" w:rsidP="00D0431C">
            <w:pPr>
              <w:jc w:val="center"/>
              <w:cnfStyle w:val="100000000000" w:firstRow="1" w:lastRow="0" w:firstColumn="0" w:lastColumn="0" w:oddVBand="0" w:evenVBand="0" w:oddHBand="0" w:evenHBand="0" w:firstRowFirstColumn="0" w:firstRowLastColumn="0" w:lastRowFirstColumn="0" w:lastRowLastColumn="0"/>
            </w:pPr>
            <w:r w:rsidRPr="00892DE3">
              <w:t xml:space="preserve">IT&amp;T </w:t>
            </w:r>
            <w:r w:rsidR="00D0431C" w:rsidRPr="00892DE3">
              <w:br/>
            </w:r>
            <w:r w:rsidRPr="00892DE3">
              <w:t xml:space="preserve">services </w:t>
            </w:r>
            <w:r w:rsidRPr="00892DE3">
              <w:rPr>
                <w:vertAlign w:val="superscript"/>
              </w:rPr>
              <w:t>(a</w:t>
            </w:r>
            <w:r w:rsidR="007839E2" w:rsidRPr="00892DE3">
              <w:rPr>
                <w:vertAlign w:val="superscript"/>
              </w:rPr>
              <w:t>)</w:t>
            </w:r>
          </w:p>
        </w:tc>
        <w:tc>
          <w:tcPr>
            <w:tcW w:w="1712" w:type="dxa"/>
            <w:gridSpan w:val="2"/>
          </w:tcPr>
          <w:p w:rsidR="007839E2" w:rsidRPr="00892DE3" w:rsidRDefault="00FD3105" w:rsidP="00D0431C">
            <w:pPr>
              <w:jc w:val="center"/>
              <w:cnfStyle w:val="100000000000" w:firstRow="1" w:lastRow="0" w:firstColumn="0" w:lastColumn="0" w:oddVBand="0" w:evenVBand="0" w:oddHBand="0" w:evenHBand="0" w:firstRowFirstColumn="0" w:firstRowLastColumn="0" w:lastRowFirstColumn="0" w:lastRowLastColumn="0"/>
            </w:pPr>
            <w:r w:rsidRPr="00892DE3">
              <w:t xml:space="preserve">New technology administration </w:t>
            </w:r>
            <w:r w:rsidRPr="00892DE3">
              <w:rPr>
                <w:vertAlign w:val="superscript"/>
              </w:rPr>
              <w:t>(a</w:t>
            </w:r>
            <w:r w:rsidR="007839E2" w:rsidRPr="00892DE3">
              <w:rPr>
                <w:vertAlign w:val="superscript"/>
              </w:rPr>
              <w:t>)(</w:t>
            </w:r>
            <w:r w:rsidRPr="00892DE3">
              <w:rPr>
                <w:vertAlign w:val="superscript"/>
              </w:rPr>
              <w:t>b</w:t>
            </w:r>
            <w:r w:rsidR="007839E2" w:rsidRPr="00892DE3">
              <w:rPr>
                <w:vertAlign w:val="superscript"/>
              </w:rPr>
              <w:t>)</w:t>
            </w:r>
          </w:p>
        </w:tc>
        <w:tc>
          <w:tcPr>
            <w:tcW w:w="1532" w:type="dxa"/>
            <w:gridSpan w:val="2"/>
          </w:tcPr>
          <w:p w:rsidR="007839E2" w:rsidRPr="00892DE3" w:rsidRDefault="00FD3105" w:rsidP="00D0431C">
            <w:pPr>
              <w:jc w:val="center"/>
              <w:cnfStyle w:val="100000000000" w:firstRow="1" w:lastRow="0" w:firstColumn="0" w:lastColumn="0" w:oddVBand="0" w:evenVBand="0" w:oddHBand="0" w:evenHBand="0" w:firstRowFirstColumn="0" w:firstRowLastColumn="0" w:lastRowFirstColumn="0" w:lastRowLastColumn="0"/>
            </w:pPr>
            <w:r w:rsidRPr="00892DE3">
              <w:t xml:space="preserve">R&amp;D biological technology </w:t>
            </w:r>
            <w:r w:rsidRPr="00892DE3">
              <w:rPr>
                <w:vertAlign w:val="superscript"/>
              </w:rPr>
              <w:t>(a</w:t>
            </w:r>
            <w:r w:rsidR="007839E2" w:rsidRPr="00892DE3">
              <w:rPr>
                <w:vertAlign w:val="superscript"/>
              </w:rPr>
              <w:t>)(</w:t>
            </w:r>
            <w:r w:rsidRPr="00892DE3">
              <w:rPr>
                <w:vertAlign w:val="superscript"/>
              </w:rPr>
              <w:t>c</w:t>
            </w:r>
            <w:r w:rsidR="007839E2" w:rsidRPr="00892DE3">
              <w:rPr>
                <w:vertAlign w:val="superscript"/>
              </w:rPr>
              <w:t>)</w:t>
            </w:r>
          </w:p>
        </w:tc>
        <w:tc>
          <w:tcPr>
            <w:tcW w:w="1730" w:type="dxa"/>
            <w:gridSpan w:val="2"/>
          </w:tcPr>
          <w:p w:rsidR="007839E2" w:rsidRPr="00892DE3" w:rsidRDefault="007839E2" w:rsidP="00D0431C">
            <w:pPr>
              <w:jc w:val="center"/>
              <w:cnfStyle w:val="100000000000" w:firstRow="1" w:lastRow="0" w:firstColumn="0" w:lastColumn="0" w:oddVBand="0" w:evenVBand="0" w:oddHBand="0" w:evenHBand="0" w:firstRowFirstColumn="0" w:firstRowLastColumn="0" w:lastRowFirstColumn="0" w:lastRowLastColumn="0"/>
            </w:pPr>
            <w:r w:rsidRPr="00892DE3">
              <w:t xml:space="preserve">Departmental </w:t>
            </w:r>
            <w:r w:rsidR="00D0431C" w:rsidRPr="00892DE3">
              <w:br/>
            </w:r>
            <w:r w:rsidRPr="00892DE3">
              <w:t>total</w:t>
            </w:r>
          </w:p>
        </w:tc>
      </w:tr>
      <w:tr w:rsidR="007839E2" w:rsidRPr="00892DE3" w:rsidTr="00D043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pPr>
              <w:ind w:left="0" w:firstLine="0"/>
            </w:pPr>
          </w:p>
        </w:tc>
        <w:tc>
          <w:tcPr>
            <w:tcW w:w="812" w:type="dxa"/>
            <w:tcBorders>
              <w:bottom w:val="nil"/>
            </w:tcBorders>
            <w:noWrap/>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pPr>
            <w:r w:rsidRPr="00892DE3">
              <w:t>2017</w:t>
            </w:r>
          </w:p>
        </w:tc>
        <w:tc>
          <w:tcPr>
            <w:tcW w:w="812" w:type="dxa"/>
            <w:noWrap/>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pPr>
            <w:r w:rsidRPr="00892DE3">
              <w:t>2016</w:t>
            </w:r>
          </w:p>
        </w:tc>
        <w:tc>
          <w:tcPr>
            <w:tcW w:w="721" w:type="dxa"/>
            <w:tcBorders>
              <w:bottom w:val="nil"/>
            </w:tcBorders>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pPr>
            <w:r w:rsidRPr="00892DE3">
              <w:t>2017</w:t>
            </w:r>
          </w:p>
        </w:tc>
        <w:tc>
          <w:tcPr>
            <w:tcW w:w="811"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pPr>
            <w:r w:rsidRPr="00892DE3">
              <w:t>2016</w:t>
            </w:r>
          </w:p>
        </w:tc>
        <w:tc>
          <w:tcPr>
            <w:tcW w:w="901" w:type="dxa"/>
            <w:tcBorders>
              <w:bottom w:val="nil"/>
            </w:tcBorders>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pPr>
            <w:r w:rsidRPr="00892DE3">
              <w:t>2017</w:t>
            </w:r>
          </w:p>
        </w:tc>
        <w:tc>
          <w:tcPr>
            <w:tcW w:w="811"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pPr>
            <w:r w:rsidRPr="00892DE3">
              <w:t>2016</w:t>
            </w:r>
          </w:p>
        </w:tc>
        <w:tc>
          <w:tcPr>
            <w:tcW w:w="811" w:type="dxa"/>
            <w:tcBorders>
              <w:bottom w:val="nil"/>
            </w:tcBorders>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pPr>
            <w:r w:rsidRPr="00892DE3">
              <w:t>2017</w:t>
            </w:r>
          </w:p>
        </w:tc>
        <w:tc>
          <w:tcPr>
            <w:tcW w:w="721"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pPr>
            <w:r w:rsidRPr="00892DE3">
              <w:t>2016</w:t>
            </w:r>
          </w:p>
        </w:tc>
        <w:tc>
          <w:tcPr>
            <w:tcW w:w="878" w:type="dxa"/>
            <w:tcBorders>
              <w:bottom w:val="nil"/>
            </w:tcBorders>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pPr>
            <w:r w:rsidRPr="00892DE3">
              <w:t>2017</w:t>
            </w:r>
          </w:p>
        </w:tc>
        <w:tc>
          <w:tcPr>
            <w:tcW w:w="852"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pPr>
            <w:r w:rsidRPr="00892DE3">
              <w:t>2016</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pPr>
              <w:rPr>
                <w:b/>
              </w:rPr>
            </w:pPr>
            <w:r w:rsidRPr="00892DE3">
              <w:rPr>
                <w:b/>
              </w:rPr>
              <w:t>Income from transactions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w:t>
            </w:r>
          </w:p>
        </w:tc>
        <w:tc>
          <w:tcPr>
            <w:tcW w:w="72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Output appropriations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36 042</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30 000</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9 500</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7 000</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13 167</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26 682</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26 826</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85 535</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63 682</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Special appropriations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1 980</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3 587</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5 384</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3 020</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760</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4 789</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8 128</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11 396</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Interest</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1 154</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1 120</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1 071</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816</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970</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961</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669</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3 864</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2 897</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Sale of goods and services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702</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555</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756</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703</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204</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88</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177</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1 839</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1 346</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Grants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48</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50</w:t>
            </w:r>
          </w:p>
        </w:tc>
        <w:tc>
          <w:tcPr>
            <w:tcW w:w="721" w:type="dxa"/>
            <w:shd w:val="clear" w:color="auto" w:fill="EBEBEB" w:themeFill="background2"/>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1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85</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90</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173</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306</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140</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Fair value of assets and services received free of charge or for nominal consideration</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849</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696</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34</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109</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180</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903</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526</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1 589</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1 708</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Other income</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4 333</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4 159</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950</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775</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255</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157</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675</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6 213</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5 091</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pPr>
              <w:rPr>
                <w:b/>
              </w:rPr>
            </w:pPr>
            <w:r w:rsidRPr="00892DE3">
              <w:rPr>
                <w:b/>
              </w:rPr>
              <w:t>Expenses from transactions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w:t>
            </w:r>
          </w:p>
        </w:tc>
        <w:tc>
          <w:tcPr>
            <w:tcW w:w="72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Employee expenses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(3 883)</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(5 258)</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(2 586)</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(3 388)</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(2 729)</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(2 324)</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(4 569)</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(13 767)</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(10 970)</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Depreciation</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(4 725)</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(4 615)</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(1 807)</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(3 530)</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(4 276)</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(4 013)</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(4 290)</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(15 099)</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(12 157)</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Interest expense</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(259)</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(275)</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(179)</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(232)</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(1 860)</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(1 829)</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(68)</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(2 366)</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(2 336)</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Grant expenses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(19 525)</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(25 217)</w:t>
            </w:r>
          </w:p>
        </w:tc>
        <w:tc>
          <w:tcPr>
            <w:tcW w:w="721" w:type="dxa"/>
            <w:shd w:val="clear" w:color="auto" w:fill="EBEBEB" w:themeFill="background2"/>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1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(822)</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(17 823)</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(12 536)</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(32 883)</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(43 040)</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Capital asset charge</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(403)</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(350)</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(403)</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(237)</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(219)</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(133)</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(284)</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(1 309)</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(720)</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Borders>
              <w:bottom w:val="single" w:sz="6" w:space="0" w:color="auto"/>
            </w:tcBorders>
          </w:tcPr>
          <w:p w:rsidR="007839E2" w:rsidRPr="00892DE3" w:rsidRDefault="007839E2" w:rsidP="007839E2">
            <w:r w:rsidRPr="00892DE3">
              <w:t>Other operating expenses</w:t>
            </w:r>
          </w:p>
        </w:tc>
        <w:tc>
          <w:tcPr>
            <w:tcW w:w="812" w:type="dxa"/>
            <w:tcBorders>
              <w:bottom w:val="single" w:sz="6" w:space="0" w:color="auto"/>
            </w:tcBorders>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(3 990)</w:t>
            </w:r>
          </w:p>
        </w:tc>
        <w:tc>
          <w:tcPr>
            <w:tcW w:w="812" w:type="dxa"/>
            <w:tcBorders>
              <w:bottom w:val="single" w:sz="6" w:space="0" w:color="auto"/>
            </w:tcBorders>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(3 887)</w:t>
            </w:r>
          </w:p>
        </w:tc>
        <w:tc>
          <w:tcPr>
            <w:tcW w:w="721" w:type="dxa"/>
            <w:tcBorders>
              <w:bottom w:val="single" w:sz="6" w:space="0" w:color="auto"/>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(1 328)</w:t>
            </w:r>
          </w:p>
        </w:tc>
        <w:tc>
          <w:tcPr>
            <w:tcW w:w="811" w:type="dxa"/>
            <w:tcBorders>
              <w:bottom w:val="single" w:sz="6" w:space="0" w:color="auto"/>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(1 112)</w:t>
            </w:r>
          </w:p>
        </w:tc>
        <w:tc>
          <w:tcPr>
            <w:tcW w:w="901" w:type="dxa"/>
            <w:tcBorders>
              <w:bottom w:val="single" w:sz="6" w:space="0" w:color="auto"/>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(3 525)</w:t>
            </w:r>
          </w:p>
        </w:tc>
        <w:tc>
          <w:tcPr>
            <w:tcW w:w="811" w:type="dxa"/>
            <w:tcBorders>
              <w:bottom w:val="single" w:sz="6" w:space="0" w:color="auto"/>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(3 198)</w:t>
            </w:r>
          </w:p>
        </w:tc>
        <w:tc>
          <w:tcPr>
            <w:tcW w:w="811" w:type="dxa"/>
            <w:tcBorders>
              <w:bottom w:val="single" w:sz="6" w:space="0" w:color="auto"/>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(6 985)</w:t>
            </w:r>
          </w:p>
        </w:tc>
        <w:tc>
          <w:tcPr>
            <w:tcW w:w="721" w:type="dxa"/>
            <w:tcBorders>
              <w:bottom w:val="single" w:sz="6" w:space="0" w:color="auto"/>
            </w:tcBorders>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tcBorders>
              <w:bottom w:val="single" w:sz="6" w:space="0" w:color="auto"/>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(15 828)</w:t>
            </w:r>
          </w:p>
        </w:tc>
        <w:tc>
          <w:tcPr>
            <w:tcW w:w="852" w:type="dxa"/>
            <w:tcBorders>
              <w:bottom w:val="single" w:sz="6" w:space="0" w:color="auto"/>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(8 197)</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Borders>
              <w:top w:val="single" w:sz="6" w:space="0" w:color="auto"/>
              <w:bottom w:val="nil"/>
            </w:tcBorders>
          </w:tcPr>
          <w:p w:rsidR="007839E2" w:rsidRPr="00892DE3" w:rsidRDefault="007839E2" w:rsidP="007839E2">
            <w:pPr>
              <w:rPr>
                <w:b/>
              </w:rPr>
            </w:pPr>
            <w:r w:rsidRPr="00892DE3">
              <w:rPr>
                <w:b/>
              </w:rPr>
              <w:t>Net result from transactions (net operating balance)</w:t>
            </w:r>
          </w:p>
        </w:tc>
        <w:tc>
          <w:tcPr>
            <w:tcW w:w="812" w:type="dxa"/>
            <w:tcBorders>
              <w:top w:val="single" w:sz="6" w:space="0" w:color="auto"/>
              <w:bottom w:val="nil"/>
            </w:tcBorders>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12 322</w:t>
            </w:r>
          </w:p>
        </w:tc>
        <w:tc>
          <w:tcPr>
            <w:tcW w:w="812" w:type="dxa"/>
            <w:tcBorders>
              <w:top w:val="single" w:sz="6" w:space="0" w:color="auto"/>
              <w:bottom w:val="nil"/>
            </w:tcBorders>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565</w:t>
            </w:r>
          </w:p>
        </w:tc>
        <w:tc>
          <w:tcPr>
            <w:tcW w:w="721" w:type="dxa"/>
            <w:tcBorders>
              <w:top w:val="single" w:sz="6" w:space="0" w:color="auto"/>
              <w:bottom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11 392</w:t>
            </w:r>
          </w:p>
        </w:tc>
        <w:tc>
          <w:tcPr>
            <w:tcW w:w="811" w:type="dxa"/>
            <w:tcBorders>
              <w:top w:val="single" w:sz="6" w:space="0" w:color="auto"/>
              <w:bottom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3 924</w:t>
            </w:r>
          </w:p>
        </w:tc>
        <w:tc>
          <w:tcPr>
            <w:tcW w:w="901" w:type="dxa"/>
            <w:tcBorders>
              <w:top w:val="single" w:sz="6" w:space="0" w:color="auto"/>
              <w:bottom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2 190</w:t>
            </w:r>
          </w:p>
        </w:tc>
        <w:tc>
          <w:tcPr>
            <w:tcW w:w="811" w:type="dxa"/>
            <w:tcBorders>
              <w:top w:val="single" w:sz="6" w:space="0" w:color="auto"/>
              <w:bottom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4 350</w:t>
            </w:r>
          </w:p>
        </w:tc>
        <w:tc>
          <w:tcPr>
            <w:tcW w:w="811" w:type="dxa"/>
            <w:tcBorders>
              <w:top w:val="single" w:sz="6" w:space="0" w:color="auto"/>
              <w:bottom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318</w:t>
            </w:r>
          </w:p>
        </w:tc>
        <w:tc>
          <w:tcPr>
            <w:tcW w:w="721" w:type="dxa"/>
            <w:tcBorders>
              <w:top w:val="single" w:sz="6" w:space="0" w:color="auto"/>
              <w:bottom w:val="nil"/>
            </w:tcBorders>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878" w:type="dxa"/>
            <w:tcBorders>
              <w:top w:val="single" w:sz="6" w:space="0" w:color="auto"/>
              <w:bottom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26 223</w:t>
            </w:r>
          </w:p>
        </w:tc>
        <w:tc>
          <w:tcPr>
            <w:tcW w:w="852" w:type="dxa"/>
            <w:tcBorders>
              <w:top w:val="single" w:sz="6" w:space="0" w:color="auto"/>
              <w:bottom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8 839</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Borders>
              <w:top w:val="nil"/>
            </w:tcBorders>
          </w:tcPr>
          <w:p w:rsidR="007839E2" w:rsidRPr="00892DE3" w:rsidRDefault="007839E2" w:rsidP="007839E2">
            <w:pPr>
              <w:rPr>
                <w:b/>
              </w:rPr>
            </w:pPr>
            <w:r w:rsidRPr="00892DE3">
              <w:rPr>
                <w:b/>
              </w:rPr>
              <w:t>Other economic flows included in net result</w:t>
            </w:r>
          </w:p>
        </w:tc>
        <w:tc>
          <w:tcPr>
            <w:tcW w:w="812" w:type="dxa"/>
            <w:tcBorders>
              <w:top w:val="nil"/>
            </w:tcBorders>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12" w:type="dxa"/>
            <w:tcBorders>
              <w:top w:val="nil"/>
            </w:tcBorders>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21" w:type="dxa"/>
            <w:tcBorders>
              <w:top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11" w:type="dxa"/>
            <w:tcBorders>
              <w:top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01" w:type="dxa"/>
            <w:tcBorders>
              <w:top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11" w:type="dxa"/>
            <w:tcBorders>
              <w:top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11" w:type="dxa"/>
            <w:tcBorders>
              <w:top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721" w:type="dxa"/>
            <w:tcBorders>
              <w:top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78" w:type="dxa"/>
            <w:tcBorders>
              <w:top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2" w:type="dxa"/>
            <w:tcBorders>
              <w:top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Net gain/(loss) on non</w:t>
            </w:r>
            <w:r w:rsidRPr="00892DE3">
              <w:noBreakHyphen/>
              <w:t>financial assets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(5 898)</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1 547</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80</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297</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(334)</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(39)</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991</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(5 161)</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1 805</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Net gain/(loss) on financial instruments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(2 099)</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(140)</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(162)</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(241)</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(2 830)</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(3 590)</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(800)</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(5 891)</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(3 971)</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Share of net profits/(losses) of associates and joint entities, excluding dividends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1 055</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652</w:t>
            </w:r>
          </w:p>
        </w:tc>
        <w:tc>
          <w:tcPr>
            <w:tcW w:w="721" w:type="dxa"/>
            <w:shd w:val="clear" w:color="auto" w:fill="EBEBEB" w:themeFill="background2"/>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1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231</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745</w:t>
            </w:r>
          </w:p>
        </w:tc>
        <w:tc>
          <w:tcPr>
            <w:tcW w:w="811" w:type="dxa"/>
            <w:shd w:val="clear" w:color="auto" w:fill="EBEBEB" w:themeFill="background2"/>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1 286</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1 397</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Borders>
              <w:bottom w:val="single" w:sz="6" w:space="0" w:color="auto"/>
            </w:tcBorders>
          </w:tcPr>
          <w:p w:rsidR="007839E2" w:rsidRPr="00892DE3" w:rsidRDefault="007839E2" w:rsidP="007839E2">
            <w:r w:rsidRPr="00892DE3">
              <w:t>Other gains/(losses) from other economic flows</w:t>
            </w:r>
          </w:p>
        </w:tc>
        <w:tc>
          <w:tcPr>
            <w:tcW w:w="812" w:type="dxa"/>
            <w:tcBorders>
              <w:bottom w:val="single" w:sz="6" w:space="0" w:color="auto"/>
            </w:tcBorders>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(681)</w:t>
            </w:r>
          </w:p>
        </w:tc>
        <w:tc>
          <w:tcPr>
            <w:tcW w:w="812" w:type="dxa"/>
            <w:tcBorders>
              <w:bottom w:val="single" w:sz="6" w:space="0" w:color="auto"/>
            </w:tcBorders>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(956)</w:t>
            </w:r>
          </w:p>
        </w:tc>
        <w:tc>
          <w:tcPr>
            <w:tcW w:w="721" w:type="dxa"/>
            <w:tcBorders>
              <w:bottom w:val="single" w:sz="6" w:space="0" w:color="auto"/>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(459)</w:t>
            </w:r>
          </w:p>
        </w:tc>
        <w:tc>
          <w:tcPr>
            <w:tcW w:w="811" w:type="dxa"/>
            <w:tcBorders>
              <w:bottom w:val="single" w:sz="6" w:space="0" w:color="auto"/>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(696)</w:t>
            </w:r>
          </w:p>
        </w:tc>
        <w:tc>
          <w:tcPr>
            <w:tcW w:w="901" w:type="dxa"/>
            <w:tcBorders>
              <w:bottom w:val="single" w:sz="6" w:space="0" w:color="auto"/>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(516)</w:t>
            </w:r>
          </w:p>
        </w:tc>
        <w:tc>
          <w:tcPr>
            <w:tcW w:w="811" w:type="dxa"/>
            <w:tcBorders>
              <w:bottom w:val="single" w:sz="6" w:space="0" w:color="auto"/>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(395)</w:t>
            </w:r>
          </w:p>
        </w:tc>
        <w:tc>
          <w:tcPr>
            <w:tcW w:w="811" w:type="dxa"/>
            <w:tcBorders>
              <w:bottom w:val="single" w:sz="6" w:space="0" w:color="auto"/>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(1 240)</w:t>
            </w:r>
          </w:p>
        </w:tc>
        <w:tc>
          <w:tcPr>
            <w:tcW w:w="721" w:type="dxa"/>
            <w:tcBorders>
              <w:bottom w:val="single" w:sz="6" w:space="0" w:color="auto"/>
            </w:tcBorders>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tcBorders>
              <w:bottom w:val="single" w:sz="6" w:space="0" w:color="auto"/>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(2 895)</w:t>
            </w:r>
          </w:p>
        </w:tc>
        <w:tc>
          <w:tcPr>
            <w:tcW w:w="852" w:type="dxa"/>
            <w:tcBorders>
              <w:bottom w:val="single" w:sz="6" w:space="0" w:color="auto"/>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(2 047)</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Borders>
              <w:top w:val="single" w:sz="6" w:space="0" w:color="auto"/>
              <w:bottom w:val="nil"/>
            </w:tcBorders>
          </w:tcPr>
          <w:p w:rsidR="007839E2" w:rsidRPr="00892DE3" w:rsidRDefault="007839E2" w:rsidP="007839E2">
            <w:pPr>
              <w:rPr>
                <w:b/>
              </w:rPr>
            </w:pPr>
            <w:r w:rsidRPr="00892DE3">
              <w:rPr>
                <w:b/>
              </w:rPr>
              <w:t>Net result from continuing operations</w:t>
            </w:r>
          </w:p>
        </w:tc>
        <w:tc>
          <w:tcPr>
            <w:tcW w:w="812" w:type="dxa"/>
            <w:tcBorders>
              <w:top w:val="single" w:sz="6" w:space="0" w:color="auto"/>
              <w:bottom w:val="nil"/>
            </w:tcBorders>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4 700</w:t>
            </w:r>
          </w:p>
        </w:tc>
        <w:tc>
          <w:tcPr>
            <w:tcW w:w="812" w:type="dxa"/>
            <w:tcBorders>
              <w:top w:val="single" w:sz="6" w:space="0" w:color="auto"/>
              <w:bottom w:val="nil"/>
            </w:tcBorders>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1 668</w:t>
            </w:r>
          </w:p>
        </w:tc>
        <w:tc>
          <w:tcPr>
            <w:tcW w:w="721" w:type="dxa"/>
            <w:tcBorders>
              <w:top w:val="single" w:sz="6" w:space="0" w:color="auto"/>
              <w:bottom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10 851</w:t>
            </w:r>
          </w:p>
        </w:tc>
        <w:tc>
          <w:tcPr>
            <w:tcW w:w="811" w:type="dxa"/>
            <w:tcBorders>
              <w:top w:val="single" w:sz="6" w:space="0" w:color="auto"/>
              <w:bottom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3 285</w:t>
            </w:r>
          </w:p>
        </w:tc>
        <w:tc>
          <w:tcPr>
            <w:tcW w:w="901" w:type="dxa"/>
            <w:tcBorders>
              <w:top w:val="single" w:sz="6" w:space="0" w:color="auto"/>
              <w:bottom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(1 259)</w:t>
            </w:r>
          </w:p>
        </w:tc>
        <w:tc>
          <w:tcPr>
            <w:tcW w:w="811" w:type="dxa"/>
            <w:tcBorders>
              <w:top w:val="single" w:sz="6" w:space="0" w:color="auto"/>
              <w:bottom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1 070</w:t>
            </w:r>
          </w:p>
        </w:tc>
        <w:tc>
          <w:tcPr>
            <w:tcW w:w="811" w:type="dxa"/>
            <w:tcBorders>
              <w:top w:val="single" w:sz="6" w:space="0" w:color="auto"/>
              <w:bottom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(731)</w:t>
            </w:r>
          </w:p>
        </w:tc>
        <w:tc>
          <w:tcPr>
            <w:tcW w:w="721" w:type="dxa"/>
            <w:tcBorders>
              <w:top w:val="single" w:sz="6" w:space="0" w:color="auto"/>
              <w:bottom w:val="nil"/>
            </w:tcBorders>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878" w:type="dxa"/>
            <w:tcBorders>
              <w:top w:val="single" w:sz="6" w:space="0" w:color="auto"/>
              <w:bottom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13 562</w:t>
            </w:r>
          </w:p>
        </w:tc>
        <w:tc>
          <w:tcPr>
            <w:tcW w:w="852" w:type="dxa"/>
            <w:tcBorders>
              <w:top w:val="single" w:sz="6" w:space="0" w:color="auto"/>
              <w:bottom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6 023</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Borders>
              <w:top w:val="nil"/>
            </w:tcBorders>
          </w:tcPr>
          <w:p w:rsidR="007839E2" w:rsidRPr="00892DE3" w:rsidRDefault="007839E2" w:rsidP="007839E2">
            <w:r w:rsidRPr="00892DE3">
              <w:t>Net result from discontinued operations</w:t>
            </w:r>
          </w:p>
        </w:tc>
        <w:tc>
          <w:tcPr>
            <w:tcW w:w="812" w:type="dxa"/>
            <w:tcBorders>
              <w:top w:val="nil"/>
            </w:tcBorders>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(317)</w:t>
            </w:r>
          </w:p>
        </w:tc>
        <w:tc>
          <w:tcPr>
            <w:tcW w:w="812" w:type="dxa"/>
            <w:tcBorders>
              <w:top w:val="nil"/>
            </w:tcBorders>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1 326</w:t>
            </w:r>
          </w:p>
        </w:tc>
        <w:tc>
          <w:tcPr>
            <w:tcW w:w="721" w:type="dxa"/>
            <w:tcBorders>
              <w:top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1 545</w:t>
            </w:r>
          </w:p>
        </w:tc>
        <w:tc>
          <w:tcPr>
            <w:tcW w:w="811" w:type="dxa"/>
            <w:tcBorders>
              <w:top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2 530</w:t>
            </w:r>
          </w:p>
        </w:tc>
        <w:tc>
          <w:tcPr>
            <w:tcW w:w="901" w:type="dxa"/>
            <w:tcBorders>
              <w:top w:val="nil"/>
            </w:tcBorders>
            <w:shd w:val="clear" w:color="auto" w:fill="EBEBEB" w:themeFill="background2"/>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11" w:type="dxa"/>
            <w:tcBorders>
              <w:top w:val="nil"/>
            </w:tcBorders>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11" w:type="dxa"/>
            <w:tcBorders>
              <w:top w:val="nil"/>
            </w:tcBorders>
            <w:shd w:val="clear" w:color="auto" w:fill="EBEBEB" w:themeFill="background2"/>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21" w:type="dxa"/>
            <w:tcBorders>
              <w:top w:val="nil"/>
            </w:tcBorders>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tcBorders>
              <w:top w:val="nil"/>
            </w:tcBorders>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1 229</w:t>
            </w:r>
          </w:p>
        </w:tc>
        <w:tc>
          <w:tcPr>
            <w:tcW w:w="852" w:type="dxa"/>
            <w:tcBorders>
              <w:top w:val="nil"/>
            </w:tcBorders>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3 856</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pPr>
              <w:rPr>
                <w:b/>
              </w:rPr>
            </w:pPr>
            <w:r w:rsidRPr="00892DE3">
              <w:rPr>
                <w:b/>
              </w:rPr>
              <w:t>Other economic flows – other comprehensive income</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72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rPr>
                <w:b/>
              </w:rPr>
            </w:pP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Changes in physical asset revaluation surplus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1 238</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(484)</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773</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1 588</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(385)</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28</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1 954</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3 580</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1 133</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Transfer from physical asset revaluation surplus to accumulated surplus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156</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614</w:t>
            </w:r>
          </w:p>
        </w:tc>
        <w:tc>
          <w:tcPr>
            <w:tcW w:w="72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113</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386</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34</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822</w:t>
            </w:r>
          </w:p>
        </w:tc>
        <w:tc>
          <w:tcPr>
            <w:tcW w:w="81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333</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637</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1 822</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Changes to financial assets available</w:t>
            </w:r>
            <w:r w:rsidRPr="00892DE3">
              <w:noBreakHyphen/>
              <w:t>for</w:t>
            </w:r>
            <w:r w:rsidRPr="00892DE3">
              <w:noBreakHyphen/>
              <w:t>sale revaluation surplus</w:t>
            </w:r>
          </w:p>
        </w:tc>
        <w:tc>
          <w:tcPr>
            <w:tcW w:w="812" w:type="dxa"/>
            <w:shd w:val="clear" w:color="auto" w:fill="EBEBEB" w:themeFill="background2"/>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(1 250)</w:t>
            </w:r>
          </w:p>
        </w:tc>
        <w:tc>
          <w:tcPr>
            <w:tcW w:w="812" w:type="dxa"/>
            <w:noWrap/>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996</w:t>
            </w:r>
          </w:p>
        </w:tc>
        <w:tc>
          <w:tcPr>
            <w:tcW w:w="721" w:type="dxa"/>
            <w:shd w:val="clear" w:color="auto" w:fill="EBEBEB" w:themeFill="background2"/>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1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01"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(273)</w:t>
            </w:r>
          </w:p>
        </w:tc>
        <w:tc>
          <w:tcPr>
            <w:tcW w:w="811"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150</w:t>
            </w:r>
          </w:p>
        </w:tc>
        <w:tc>
          <w:tcPr>
            <w:tcW w:w="811" w:type="dxa"/>
            <w:shd w:val="clear" w:color="auto" w:fill="EBEBEB" w:themeFill="background2"/>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7839E2" w:rsidRPr="00892DE3" w:rsidRDefault="00ED43D1" w:rsidP="007839E2">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(1 523)</w:t>
            </w:r>
          </w:p>
        </w:tc>
        <w:tc>
          <w:tcPr>
            <w:tcW w:w="852" w:type="dxa"/>
          </w:tcPr>
          <w:p w:rsidR="007839E2" w:rsidRPr="00892DE3" w:rsidRDefault="007839E2" w:rsidP="007839E2">
            <w:pPr>
              <w:ind w:left="170" w:hanging="170"/>
              <w:cnfStyle w:val="000000000000" w:firstRow="0" w:lastRow="0" w:firstColumn="0" w:lastColumn="0" w:oddVBand="0" w:evenVBand="0" w:oddHBand="0" w:evenHBand="0" w:firstRowFirstColumn="0" w:firstRowLastColumn="0" w:lastRowFirstColumn="0" w:lastRowLastColumn="0"/>
            </w:pPr>
            <w:r w:rsidRPr="00892DE3">
              <w:t>1 146</w:t>
            </w:r>
          </w:p>
        </w:tc>
      </w:tr>
      <w:tr w:rsidR="007839E2" w:rsidRPr="00892DE3" w:rsidTr="00D0431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0" w:type="dxa"/>
          </w:tcPr>
          <w:p w:rsidR="007839E2" w:rsidRPr="00892DE3" w:rsidRDefault="007839E2" w:rsidP="007839E2">
            <w:r w:rsidRPr="00892DE3">
              <w:t>Comprehensive result</w:t>
            </w:r>
          </w:p>
        </w:tc>
        <w:tc>
          <w:tcPr>
            <w:tcW w:w="812" w:type="dxa"/>
            <w:shd w:val="clear" w:color="auto" w:fill="EBEBEB" w:themeFill="background2"/>
            <w:noWrap/>
          </w:tcPr>
          <w:p w:rsidR="007839E2" w:rsidRPr="00892DE3" w:rsidRDefault="007839E2" w:rsidP="007839E2">
            <w:pPr>
              <w:ind w:left="170" w:hanging="170"/>
              <w:cnfStyle w:val="010000000000" w:firstRow="0" w:lastRow="1" w:firstColumn="0" w:lastColumn="0" w:oddVBand="0" w:evenVBand="0" w:oddHBand="0" w:evenHBand="0" w:firstRowFirstColumn="0" w:firstRowLastColumn="0" w:lastRowFirstColumn="0" w:lastRowLastColumn="0"/>
            </w:pPr>
            <w:r w:rsidRPr="00892DE3">
              <w:t>5 572</w:t>
            </w:r>
          </w:p>
        </w:tc>
        <w:tc>
          <w:tcPr>
            <w:tcW w:w="812" w:type="dxa"/>
            <w:noWrap/>
          </w:tcPr>
          <w:p w:rsidR="007839E2" w:rsidRPr="00892DE3" w:rsidRDefault="007839E2" w:rsidP="007839E2">
            <w:pPr>
              <w:ind w:left="170" w:hanging="170"/>
              <w:cnfStyle w:val="010000000000" w:firstRow="0" w:lastRow="1" w:firstColumn="0" w:lastColumn="0" w:oddVBand="0" w:evenVBand="0" w:oddHBand="0" w:evenHBand="0" w:firstRowFirstColumn="0" w:firstRowLastColumn="0" w:lastRowFirstColumn="0" w:lastRowLastColumn="0"/>
            </w:pPr>
            <w:r w:rsidRPr="00892DE3">
              <w:t>4 120</w:t>
            </w:r>
          </w:p>
        </w:tc>
        <w:tc>
          <w:tcPr>
            <w:tcW w:w="721" w:type="dxa"/>
            <w:shd w:val="clear" w:color="auto" w:fill="EBEBEB" w:themeFill="background2"/>
          </w:tcPr>
          <w:p w:rsidR="007839E2" w:rsidRPr="00892DE3" w:rsidRDefault="007839E2" w:rsidP="007839E2">
            <w:pPr>
              <w:ind w:left="170" w:hanging="170"/>
              <w:cnfStyle w:val="010000000000" w:firstRow="0" w:lastRow="1" w:firstColumn="0" w:lastColumn="0" w:oddVBand="0" w:evenVBand="0" w:oddHBand="0" w:evenHBand="0" w:firstRowFirstColumn="0" w:firstRowLastColumn="0" w:lastRowFirstColumn="0" w:lastRowLastColumn="0"/>
            </w:pPr>
            <w:r w:rsidRPr="00892DE3">
              <w:t>13 282</w:t>
            </w:r>
          </w:p>
        </w:tc>
        <w:tc>
          <w:tcPr>
            <w:tcW w:w="811" w:type="dxa"/>
          </w:tcPr>
          <w:p w:rsidR="007839E2" w:rsidRPr="00892DE3" w:rsidRDefault="007839E2" w:rsidP="007839E2">
            <w:pPr>
              <w:ind w:left="170" w:hanging="170"/>
              <w:cnfStyle w:val="010000000000" w:firstRow="0" w:lastRow="1" w:firstColumn="0" w:lastColumn="0" w:oddVBand="0" w:evenVBand="0" w:oddHBand="0" w:evenHBand="0" w:firstRowFirstColumn="0" w:firstRowLastColumn="0" w:lastRowFirstColumn="0" w:lastRowLastColumn="0"/>
            </w:pPr>
            <w:r w:rsidRPr="00892DE3">
              <w:t>7 790</w:t>
            </w:r>
          </w:p>
        </w:tc>
        <w:tc>
          <w:tcPr>
            <w:tcW w:w="901" w:type="dxa"/>
            <w:shd w:val="clear" w:color="auto" w:fill="EBEBEB" w:themeFill="background2"/>
          </w:tcPr>
          <w:p w:rsidR="007839E2" w:rsidRPr="00892DE3" w:rsidRDefault="007839E2" w:rsidP="007839E2">
            <w:pPr>
              <w:ind w:left="170" w:hanging="170"/>
              <w:cnfStyle w:val="010000000000" w:firstRow="0" w:lastRow="1" w:firstColumn="0" w:lastColumn="0" w:oddVBand="0" w:evenVBand="0" w:oddHBand="0" w:evenHBand="0" w:firstRowFirstColumn="0" w:firstRowLastColumn="0" w:lastRowFirstColumn="0" w:lastRowLastColumn="0"/>
            </w:pPr>
            <w:r w:rsidRPr="00892DE3">
              <w:t>792</w:t>
            </w:r>
          </w:p>
        </w:tc>
        <w:tc>
          <w:tcPr>
            <w:tcW w:w="811" w:type="dxa"/>
          </w:tcPr>
          <w:p w:rsidR="007839E2" w:rsidRPr="00892DE3" w:rsidRDefault="007839E2" w:rsidP="007839E2">
            <w:pPr>
              <w:ind w:left="170" w:hanging="170"/>
              <w:cnfStyle w:val="010000000000" w:firstRow="0" w:lastRow="1" w:firstColumn="0" w:lastColumn="0" w:oddVBand="0" w:evenVBand="0" w:oddHBand="0" w:evenHBand="0" w:firstRowFirstColumn="0" w:firstRowLastColumn="0" w:lastRowFirstColumn="0" w:lastRowLastColumn="0"/>
            </w:pPr>
            <w:r w:rsidRPr="00892DE3">
              <w:t>2 070</w:t>
            </w:r>
          </w:p>
        </w:tc>
        <w:tc>
          <w:tcPr>
            <w:tcW w:w="811" w:type="dxa"/>
            <w:shd w:val="clear" w:color="auto" w:fill="EBEBEB" w:themeFill="background2"/>
          </w:tcPr>
          <w:p w:rsidR="007839E2" w:rsidRPr="00892DE3" w:rsidRDefault="007839E2" w:rsidP="007839E2">
            <w:pPr>
              <w:ind w:left="170" w:hanging="170"/>
              <w:cnfStyle w:val="010000000000" w:firstRow="0" w:lastRow="1" w:firstColumn="0" w:lastColumn="0" w:oddVBand="0" w:evenVBand="0" w:oddHBand="0" w:evenHBand="0" w:firstRowFirstColumn="0" w:firstRowLastColumn="0" w:lastRowFirstColumn="0" w:lastRowLastColumn="0"/>
            </w:pPr>
            <w:r w:rsidRPr="00892DE3">
              <w:t>1 556</w:t>
            </w:r>
          </w:p>
        </w:tc>
        <w:tc>
          <w:tcPr>
            <w:tcW w:w="721" w:type="dxa"/>
          </w:tcPr>
          <w:p w:rsidR="007839E2" w:rsidRPr="00892DE3" w:rsidRDefault="00ED43D1" w:rsidP="007839E2">
            <w:pPr>
              <w:ind w:left="170" w:hanging="170"/>
              <w:cnfStyle w:val="010000000000" w:firstRow="0" w:lastRow="1" w:firstColumn="0" w:lastColumn="0" w:oddVBand="0" w:evenVBand="0" w:oddHBand="0" w:evenHBand="0" w:firstRowFirstColumn="0" w:firstRowLastColumn="0" w:lastRowFirstColumn="0" w:lastRowLastColumn="0"/>
            </w:pPr>
            <w:r w:rsidRPr="00892DE3">
              <w:t>..</w:t>
            </w:r>
          </w:p>
        </w:tc>
        <w:tc>
          <w:tcPr>
            <w:tcW w:w="878" w:type="dxa"/>
            <w:shd w:val="clear" w:color="auto" w:fill="EBEBEB" w:themeFill="background2"/>
          </w:tcPr>
          <w:p w:rsidR="007839E2" w:rsidRPr="00892DE3" w:rsidRDefault="007839E2" w:rsidP="007839E2">
            <w:pPr>
              <w:ind w:left="170" w:hanging="170"/>
              <w:cnfStyle w:val="010000000000" w:firstRow="0" w:lastRow="1" w:firstColumn="0" w:lastColumn="0" w:oddVBand="0" w:evenVBand="0" w:oddHBand="0" w:evenHBand="0" w:firstRowFirstColumn="0" w:firstRowLastColumn="0" w:lastRowFirstColumn="0" w:lastRowLastColumn="0"/>
            </w:pPr>
            <w:r w:rsidRPr="00892DE3">
              <w:t>21 203</w:t>
            </w:r>
          </w:p>
        </w:tc>
        <w:tc>
          <w:tcPr>
            <w:tcW w:w="852" w:type="dxa"/>
          </w:tcPr>
          <w:p w:rsidR="007839E2" w:rsidRPr="00892DE3" w:rsidRDefault="007839E2" w:rsidP="007839E2">
            <w:pPr>
              <w:ind w:left="170" w:hanging="170"/>
              <w:cnfStyle w:val="010000000000" w:firstRow="0" w:lastRow="1" w:firstColumn="0" w:lastColumn="0" w:oddVBand="0" w:evenVBand="0" w:oddHBand="0" w:evenHBand="0" w:firstRowFirstColumn="0" w:firstRowLastColumn="0" w:lastRowFirstColumn="0" w:lastRowLastColumn="0"/>
            </w:pPr>
            <w:r w:rsidRPr="00892DE3">
              <w:t>13 980</w:t>
            </w:r>
          </w:p>
        </w:tc>
      </w:tr>
    </w:tbl>
    <w:p w:rsidR="007839E2" w:rsidRPr="00892DE3" w:rsidRDefault="007839E2" w:rsidP="007839E2">
      <w:pPr>
        <w:pStyle w:val="Note"/>
      </w:pPr>
      <w:r w:rsidRPr="00892DE3">
        <w:t xml:space="preserve">Notes: </w:t>
      </w:r>
    </w:p>
    <w:p w:rsidR="007839E2" w:rsidRPr="00892DE3" w:rsidRDefault="007839E2" w:rsidP="007839E2">
      <w:pPr>
        <w:pStyle w:val="Note"/>
      </w:pPr>
      <w:r w:rsidRPr="00892DE3">
        <w:t>(</w:t>
      </w:r>
      <w:r w:rsidR="00ED43D1" w:rsidRPr="00892DE3">
        <w:t>a</w:t>
      </w:r>
      <w:r w:rsidRPr="00892DE3">
        <w:t>)</w:t>
      </w:r>
      <w:r w:rsidRPr="00892DE3">
        <w:tab/>
        <w:t>Information about the objectives of these departmental outputs is located in the Report of Operations under the ‘Operational and budgetary objectives and performance against objectives’ section.</w:t>
      </w:r>
    </w:p>
    <w:p w:rsidR="007839E2" w:rsidRPr="00892DE3" w:rsidRDefault="007839E2" w:rsidP="007839E2">
      <w:pPr>
        <w:pStyle w:val="Note"/>
      </w:pPr>
      <w:r w:rsidRPr="00892DE3">
        <w:t>(</w:t>
      </w:r>
      <w:r w:rsidR="00ED43D1" w:rsidRPr="00892DE3">
        <w:t>b</w:t>
      </w:r>
      <w:r w:rsidRPr="00892DE3">
        <w:t>)</w:t>
      </w:r>
      <w:r w:rsidRPr="00892DE3">
        <w:tab/>
        <w:t xml:space="preserve">Based on the Administrative Arrangements Order [No. xxx] 2016, figures for the current financial year for the new technology administration output reflect the period from 1 July 2016 to 31 August 2016, figures for the comparative year are not adjusted. Figures for the period from 1 September 2016 to 30 June 2017 are reported by the Department of Cabinet Administration. </w:t>
      </w:r>
    </w:p>
    <w:p w:rsidR="007839E2" w:rsidRPr="00892DE3" w:rsidRDefault="007839E2" w:rsidP="007839E2">
      <w:pPr>
        <w:pStyle w:val="Note"/>
      </w:pPr>
      <w:r w:rsidRPr="00892DE3">
        <w:t>(</w:t>
      </w:r>
      <w:r w:rsidR="00ED43D1" w:rsidRPr="00892DE3">
        <w:t>c</w:t>
      </w:r>
      <w:r w:rsidRPr="00892DE3">
        <w:t>)</w:t>
      </w:r>
      <w:r w:rsidRPr="00892DE3">
        <w:tab/>
        <w:t xml:space="preserve">Based on the Administrative Arrangements Order [No. xxx] 2016, figures for the current financial year for the R&amp;D biological technology output reflect the period from 1 September 2016 to 30 June 2017. Figures for the period from </w:t>
      </w:r>
      <w:r w:rsidR="00ED43D1" w:rsidRPr="00892DE3">
        <w:br/>
      </w:r>
      <w:r w:rsidRPr="00892DE3">
        <w:t>1 July 2016 to 31 August 2016, and figures for the comparative year, are reported by the Department of Natural Resources.</w:t>
      </w:r>
    </w:p>
    <w:p w:rsidR="007839E2" w:rsidRPr="00892DE3" w:rsidRDefault="007839E2">
      <w:pPr>
        <w:keepLines w:val="0"/>
      </w:pPr>
      <w:r w:rsidRPr="00892DE3">
        <w:br w:type="page"/>
      </w:r>
    </w:p>
    <w:p w:rsidR="007839E2" w:rsidRPr="00892DE3" w:rsidRDefault="00FD3105" w:rsidP="00ED43D1">
      <w:pPr>
        <w:pStyle w:val="TableHeading"/>
      </w:pPr>
      <w:r w:rsidRPr="00892DE3">
        <w:lastRenderedPageBreak/>
        <w:t>Departmental outputs –</w:t>
      </w:r>
      <w:r w:rsidR="007839E2" w:rsidRPr="00892DE3">
        <w:t xml:space="preserve"> Controlled assets and liabilities at 30 June 2017</w:t>
      </w:r>
      <w:r w:rsidR="00ED43D1" w:rsidRPr="00892DE3">
        <w:t xml:space="preserve"> </w:t>
      </w:r>
      <w:r w:rsidR="00ED43D1" w:rsidRPr="00892DE3">
        <w:rPr>
          <w:rStyle w:val="SourceReference"/>
          <w:b w:val="0"/>
        </w:rPr>
        <w:t>[AASB 1052.16]</w:t>
      </w:r>
      <w:r w:rsidR="007839E2" w:rsidRPr="00892DE3">
        <w:tab/>
      </w:r>
      <w:r w:rsidR="007839E2" w:rsidRPr="00892DE3">
        <w:tab/>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6818"/>
        <w:gridCol w:w="829"/>
        <w:gridCol w:w="831"/>
        <w:gridCol w:w="693"/>
        <w:gridCol w:w="692"/>
        <w:gridCol w:w="831"/>
        <w:gridCol w:w="786"/>
        <w:gridCol w:w="810"/>
        <w:gridCol w:w="696"/>
        <w:gridCol w:w="754"/>
        <w:gridCol w:w="832"/>
      </w:tblGrid>
      <w:tr w:rsidR="007839E2" w:rsidRPr="00892DE3" w:rsidTr="00D043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ind w:left="0" w:firstLine="0"/>
              <w:rPr>
                <w:rFonts w:cstheme="majorHAnsi"/>
              </w:rPr>
            </w:pPr>
          </w:p>
        </w:tc>
        <w:tc>
          <w:tcPr>
            <w:tcW w:w="1679" w:type="dxa"/>
            <w:gridSpan w:val="2"/>
            <w:noWrap/>
          </w:tcPr>
          <w:p w:rsidR="007839E2" w:rsidRPr="00892DE3" w:rsidRDefault="007839E2" w:rsidP="007839E2">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Strategic </w:t>
            </w:r>
            <w:r w:rsidR="00D0431C" w:rsidRPr="00892DE3">
              <w:rPr>
                <w:rFonts w:cstheme="majorHAnsi"/>
              </w:rPr>
              <w:br/>
            </w:r>
            <w:r w:rsidRPr="00892DE3">
              <w:rPr>
                <w:rFonts w:cstheme="majorHAnsi"/>
              </w:rPr>
              <w:t>policy advice</w:t>
            </w:r>
          </w:p>
        </w:tc>
        <w:tc>
          <w:tcPr>
            <w:tcW w:w="1399" w:type="dxa"/>
            <w:gridSpan w:val="2"/>
          </w:tcPr>
          <w:p w:rsidR="007839E2" w:rsidRPr="00892DE3" w:rsidRDefault="007839E2" w:rsidP="007839E2">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IT&amp;T </w:t>
            </w:r>
            <w:r w:rsidR="00D0431C" w:rsidRPr="00892DE3">
              <w:rPr>
                <w:rFonts w:cstheme="majorHAnsi"/>
              </w:rPr>
              <w:br/>
            </w:r>
            <w:r w:rsidRPr="00892DE3">
              <w:rPr>
                <w:rFonts w:cstheme="majorHAnsi"/>
              </w:rPr>
              <w:t>services</w:t>
            </w:r>
          </w:p>
        </w:tc>
        <w:tc>
          <w:tcPr>
            <w:tcW w:w="1634" w:type="dxa"/>
            <w:gridSpan w:val="2"/>
          </w:tcPr>
          <w:p w:rsidR="007839E2" w:rsidRPr="00892DE3" w:rsidRDefault="007839E2" w:rsidP="00ED43D1">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New technology administration </w:t>
            </w:r>
            <w:r w:rsidR="00ED43D1" w:rsidRPr="00892DE3">
              <w:rPr>
                <w:rFonts w:cstheme="majorHAnsi"/>
                <w:vertAlign w:val="superscript"/>
              </w:rPr>
              <w:t>(a</w:t>
            </w:r>
            <w:r w:rsidRPr="00892DE3">
              <w:rPr>
                <w:rFonts w:cstheme="majorHAnsi"/>
                <w:vertAlign w:val="superscript"/>
              </w:rPr>
              <w:t>)</w:t>
            </w:r>
          </w:p>
        </w:tc>
        <w:tc>
          <w:tcPr>
            <w:tcW w:w="1522" w:type="dxa"/>
            <w:gridSpan w:val="2"/>
          </w:tcPr>
          <w:p w:rsidR="007839E2" w:rsidRPr="00892DE3" w:rsidRDefault="00ED43D1" w:rsidP="007839E2">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R&amp;D biological technology </w:t>
            </w:r>
            <w:r w:rsidRPr="00892DE3">
              <w:rPr>
                <w:rFonts w:cstheme="majorHAnsi"/>
                <w:vertAlign w:val="superscript"/>
              </w:rPr>
              <w:t>(b</w:t>
            </w:r>
            <w:r w:rsidR="007839E2" w:rsidRPr="00892DE3">
              <w:rPr>
                <w:rFonts w:cstheme="majorHAnsi"/>
                <w:vertAlign w:val="superscript"/>
              </w:rPr>
              <w:t>)</w:t>
            </w:r>
          </w:p>
        </w:tc>
        <w:tc>
          <w:tcPr>
            <w:tcW w:w="1603" w:type="dxa"/>
            <w:gridSpan w:val="2"/>
          </w:tcPr>
          <w:p w:rsidR="007839E2" w:rsidRPr="00892DE3" w:rsidRDefault="007839E2" w:rsidP="007839E2">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Departmental </w:t>
            </w:r>
            <w:r w:rsidR="00D0431C" w:rsidRPr="00892DE3">
              <w:rPr>
                <w:rFonts w:cstheme="majorHAnsi"/>
              </w:rPr>
              <w:br/>
            </w:r>
            <w:r w:rsidRPr="00892DE3">
              <w:rPr>
                <w:rFonts w:cstheme="majorHAnsi"/>
              </w:rPr>
              <w:t>total</w:t>
            </w:r>
          </w:p>
        </w:tc>
      </w:tr>
      <w:tr w:rsidR="007839E2" w:rsidRPr="00892DE3" w:rsidTr="00D043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ind w:left="0" w:firstLine="0"/>
              <w:rPr>
                <w:rFonts w:cstheme="majorHAnsi"/>
              </w:rPr>
            </w:pPr>
          </w:p>
        </w:tc>
        <w:tc>
          <w:tcPr>
            <w:tcW w:w="839" w:type="dxa"/>
            <w:noWrap/>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840" w:type="dxa"/>
            <w:noWrap/>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700"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699"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840"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794"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819"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703"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762"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841"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ind w:left="0" w:firstLine="0"/>
              <w:rPr>
                <w:rFonts w:cstheme="majorHAnsi"/>
                <w:b/>
              </w:rPr>
            </w:pPr>
            <w:r w:rsidRPr="00892DE3">
              <w:rPr>
                <w:rFonts w:cstheme="majorHAnsi"/>
                <w:b/>
              </w:rPr>
              <w:t>Assets</w:t>
            </w:r>
          </w:p>
        </w:tc>
        <w:tc>
          <w:tcPr>
            <w:tcW w:w="839"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40"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0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69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4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94"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1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03"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62"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ind w:left="0" w:firstLine="0"/>
              <w:rPr>
                <w:rFonts w:cstheme="majorHAnsi"/>
              </w:rPr>
            </w:pPr>
            <w:r w:rsidRPr="00892DE3">
              <w:rPr>
                <w:rFonts w:cstheme="majorHAnsi"/>
              </w:rPr>
              <w:t>Financial assets</w:t>
            </w:r>
          </w:p>
        </w:tc>
        <w:tc>
          <w:tcPr>
            <w:tcW w:w="839"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77 617</w:t>
            </w:r>
          </w:p>
        </w:tc>
        <w:tc>
          <w:tcPr>
            <w:tcW w:w="840"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58 442</w:t>
            </w:r>
          </w:p>
        </w:tc>
        <w:tc>
          <w:tcPr>
            <w:tcW w:w="70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31 365</w:t>
            </w:r>
          </w:p>
        </w:tc>
        <w:tc>
          <w:tcPr>
            <w:tcW w:w="69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17 505</w:t>
            </w:r>
          </w:p>
        </w:tc>
        <w:tc>
          <w:tcPr>
            <w:tcW w:w="840" w:type="dxa"/>
          </w:tcPr>
          <w:p w:rsidR="007839E2" w:rsidRPr="00892DE3" w:rsidRDefault="00ED43D1"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27 845</w:t>
            </w:r>
          </w:p>
        </w:tc>
        <w:tc>
          <w:tcPr>
            <w:tcW w:w="81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14 326</w:t>
            </w:r>
          </w:p>
        </w:tc>
        <w:tc>
          <w:tcPr>
            <w:tcW w:w="703" w:type="dxa"/>
          </w:tcPr>
          <w:p w:rsidR="007839E2" w:rsidRPr="00892DE3" w:rsidRDefault="00ED43D1"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123 308</w:t>
            </w: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103 792</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903" w:type="dxa"/>
            <w:tcBorders>
              <w:bottom w:val="single" w:sz="6" w:space="0" w:color="auto"/>
            </w:tcBorders>
          </w:tcPr>
          <w:p w:rsidR="007839E2" w:rsidRPr="00892DE3" w:rsidRDefault="007839E2" w:rsidP="007839E2">
            <w:pPr>
              <w:ind w:left="0" w:firstLine="0"/>
              <w:rPr>
                <w:rFonts w:cstheme="majorHAnsi"/>
              </w:rPr>
            </w:pPr>
            <w:r w:rsidRPr="00892DE3">
              <w:rPr>
                <w:rFonts w:cstheme="majorHAnsi"/>
              </w:rPr>
              <w:t>Non</w:t>
            </w:r>
            <w:r w:rsidRPr="00892DE3">
              <w:rPr>
                <w:rFonts w:cstheme="majorHAnsi"/>
              </w:rPr>
              <w:noBreakHyphen/>
              <w:t>financial assets</w:t>
            </w:r>
          </w:p>
        </w:tc>
        <w:tc>
          <w:tcPr>
            <w:tcW w:w="839" w:type="dxa"/>
            <w:tcBorders>
              <w:bottom w:val="single" w:sz="6" w:space="0" w:color="auto"/>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40 363</w:t>
            </w:r>
          </w:p>
        </w:tc>
        <w:tc>
          <w:tcPr>
            <w:tcW w:w="840" w:type="dxa"/>
            <w:tcBorders>
              <w:bottom w:val="single" w:sz="6" w:space="0" w:color="auto"/>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60 342</w:t>
            </w:r>
          </w:p>
        </w:tc>
        <w:tc>
          <w:tcPr>
            <w:tcW w:w="700" w:type="dxa"/>
            <w:tcBorders>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19 739</w:t>
            </w:r>
          </w:p>
        </w:tc>
        <w:tc>
          <w:tcPr>
            <w:tcW w:w="699" w:type="dxa"/>
            <w:tcBorders>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19 989</w:t>
            </w:r>
          </w:p>
        </w:tc>
        <w:tc>
          <w:tcPr>
            <w:tcW w:w="840" w:type="dxa"/>
            <w:tcBorders>
              <w:bottom w:val="single" w:sz="6" w:space="0" w:color="auto"/>
            </w:tcBorders>
          </w:tcPr>
          <w:p w:rsidR="007839E2" w:rsidRPr="00892DE3" w:rsidRDefault="00ED43D1"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43 664</w:t>
            </w:r>
          </w:p>
        </w:tc>
        <w:tc>
          <w:tcPr>
            <w:tcW w:w="819" w:type="dxa"/>
            <w:tcBorders>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55 623</w:t>
            </w:r>
          </w:p>
        </w:tc>
        <w:tc>
          <w:tcPr>
            <w:tcW w:w="703" w:type="dxa"/>
            <w:tcBorders>
              <w:bottom w:val="single" w:sz="6" w:space="0" w:color="auto"/>
            </w:tcBorders>
          </w:tcPr>
          <w:p w:rsidR="007839E2" w:rsidRPr="00892DE3" w:rsidRDefault="00ED43D1"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115 726</w:t>
            </w:r>
          </w:p>
        </w:tc>
        <w:tc>
          <w:tcPr>
            <w:tcW w:w="841" w:type="dxa"/>
            <w:tcBorders>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123 995</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7839E2" w:rsidRPr="00892DE3" w:rsidRDefault="007839E2" w:rsidP="007839E2">
            <w:pPr>
              <w:ind w:left="0" w:firstLine="0"/>
              <w:rPr>
                <w:rFonts w:cstheme="majorHAnsi"/>
                <w:b/>
              </w:rPr>
            </w:pPr>
            <w:r w:rsidRPr="00892DE3">
              <w:rPr>
                <w:rFonts w:cstheme="majorHAnsi"/>
                <w:b/>
              </w:rPr>
              <w:t>Total assets</w:t>
            </w:r>
          </w:p>
        </w:tc>
        <w:tc>
          <w:tcPr>
            <w:tcW w:w="839" w:type="dxa"/>
            <w:tcBorders>
              <w:top w:val="single" w:sz="6" w:space="0" w:color="auto"/>
              <w:bottom w:val="single" w:sz="6" w:space="0" w:color="auto"/>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117 980</w:t>
            </w:r>
          </w:p>
        </w:tc>
        <w:tc>
          <w:tcPr>
            <w:tcW w:w="840" w:type="dxa"/>
            <w:tcBorders>
              <w:top w:val="single" w:sz="6" w:space="0" w:color="auto"/>
              <w:bottom w:val="single" w:sz="6" w:space="0" w:color="auto"/>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118 784</w:t>
            </w:r>
          </w:p>
        </w:tc>
        <w:tc>
          <w:tcPr>
            <w:tcW w:w="700"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51 104</w:t>
            </w:r>
          </w:p>
        </w:tc>
        <w:tc>
          <w:tcPr>
            <w:tcW w:w="699"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37 493</w:t>
            </w:r>
          </w:p>
        </w:tc>
        <w:tc>
          <w:tcPr>
            <w:tcW w:w="840" w:type="dxa"/>
            <w:tcBorders>
              <w:top w:val="single" w:sz="6" w:space="0" w:color="auto"/>
              <w:bottom w:val="single" w:sz="6" w:space="0" w:color="auto"/>
            </w:tcBorders>
          </w:tcPr>
          <w:p w:rsidR="007839E2" w:rsidRPr="00892DE3" w:rsidRDefault="00ED43D1"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71 509</w:t>
            </w:r>
          </w:p>
        </w:tc>
        <w:tc>
          <w:tcPr>
            <w:tcW w:w="819"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69 950</w:t>
            </w:r>
          </w:p>
        </w:tc>
        <w:tc>
          <w:tcPr>
            <w:tcW w:w="703" w:type="dxa"/>
            <w:tcBorders>
              <w:top w:val="single" w:sz="6" w:space="0" w:color="auto"/>
              <w:bottom w:val="single" w:sz="6" w:space="0" w:color="auto"/>
            </w:tcBorders>
          </w:tcPr>
          <w:p w:rsidR="007839E2" w:rsidRPr="00892DE3" w:rsidRDefault="00ED43D1"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239 034</w:t>
            </w:r>
          </w:p>
        </w:tc>
        <w:tc>
          <w:tcPr>
            <w:tcW w:w="841"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227 787</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7839E2" w:rsidRPr="00892DE3" w:rsidRDefault="007839E2" w:rsidP="007839E2">
            <w:pPr>
              <w:ind w:left="0" w:firstLine="0"/>
              <w:rPr>
                <w:rFonts w:cstheme="majorHAnsi"/>
                <w:b/>
              </w:rPr>
            </w:pPr>
            <w:r w:rsidRPr="00892DE3">
              <w:rPr>
                <w:rFonts w:cstheme="majorHAnsi"/>
                <w:b/>
              </w:rPr>
              <w:t>Liabilities</w:t>
            </w:r>
          </w:p>
        </w:tc>
        <w:tc>
          <w:tcPr>
            <w:tcW w:w="839" w:type="dxa"/>
            <w:tcBorders>
              <w:top w:val="single" w:sz="6" w:space="0" w:color="auto"/>
              <w:bottom w:val="single" w:sz="6" w:space="0" w:color="auto"/>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37 035</w:t>
            </w:r>
          </w:p>
        </w:tc>
        <w:tc>
          <w:tcPr>
            <w:tcW w:w="840" w:type="dxa"/>
            <w:tcBorders>
              <w:top w:val="single" w:sz="6" w:space="0" w:color="auto"/>
              <w:bottom w:val="single" w:sz="6" w:space="0" w:color="auto"/>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43 409</w:t>
            </w:r>
          </w:p>
        </w:tc>
        <w:tc>
          <w:tcPr>
            <w:tcW w:w="700"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17 540</w:t>
            </w:r>
          </w:p>
        </w:tc>
        <w:tc>
          <w:tcPr>
            <w:tcW w:w="699"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17 211</w:t>
            </w:r>
          </w:p>
        </w:tc>
        <w:tc>
          <w:tcPr>
            <w:tcW w:w="840" w:type="dxa"/>
            <w:tcBorders>
              <w:top w:val="single" w:sz="6" w:space="0" w:color="auto"/>
              <w:bottom w:val="single" w:sz="6" w:space="0" w:color="auto"/>
            </w:tcBorders>
          </w:tcPr>
          <w:p w:rsidR="007839E2" w:rsidRPr="00892DE3" w:rsidRDefault="00ED43D1"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52 206</w:t>
            </w:r>
          </w:p>
        </w:tc>
        <w:tc>
          <w:tcPr>
            <w:tcW w:w="819"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43 027</w:t>
            </w:r>
          </w:p>
        </w:tc>
        <w:tc>
          <w:tcPr>
            <w:tcW w:w="703" w:type="dxa"/>
            <w:tcBorders>
              <w:top w:val="single" w:sz="6" w:space="0" w:color="auto"/>
              <w:bottom w:val="single" w:sz="6" w:space="0" w:color="auto"/>
            </w:tcBorders>
          </w:tcPr>
          <w:p w:rsidR="007839E2" w:rsidRPr="00892DE3" w:rsidRDefault="00ED43D1"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97 601</w:t>
            </w:r>
          </w:p>
        </w:tc>
        <w:tc>
          <w:tcPr>
            <w:tcW w:w="841"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112 826</w:t>
            </w:r>
          </w:p>
        </w:tc>
      </w:tr>
      <w:tr w:rsidR="007839E2" w:rsidRPr="00892DE3" w:rsidTr="00D0431C">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7839E2" w:rsidRPr="00892DE3" w:rsidRDefault="007839E2" w:rsidP="007839E2">
            <w:pPr>
              <w:ind w:left="0" w:firstLine="0"/>
              <w:rPr>
                <w:rFonts w:cstheme="majorHAnsi"/>
                <w:b/>
              </w:rPr>
            </w:pPr>
            <w:r w:rsidRPr="00892DE3">
              <w:rPr>
                <w:rFonts w:cstheme="majorHAnsi"/>
                <w:b/>
              </w:rPr>
              <w:t>Total liabilities</w:t>
            </w:r>
          </w:p>
        </w:tc>
        <w:tc>
          <w:tcPr>
            <w:tcW w:w="839" w:type="dxa"/>
            <w:tcBorders>
              <w:top w:val="single" w:sz="6" w:space="0" w:color="auto"/>
              <w:bottom w:val="single" w:sz="6" w:space="0" w:color="auto"/>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37 035</w:t>
            </w:r>
          </w:p>
        </w:tc>
        <w:tc>
          <w:tcPr>
            <w:tcW w:w="840" w:type="dxa"/>
            <w:tcBorders>
              <w:top w:val="single" w:sz="6" w:space="0" w:color="auto"/>
              <w:bottom w:val="single" w:sz="6" w:space="0" w:color="auto"/>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43 409</w:t>
            </w:r>
          </w:p>
        </w:tc>
        <w:tc>
          <w:tcPr>
            <w:tcW w:w="700"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17 540</w:t>
            </w:r>
          </w:p>
        </w:tc>
        <w:tc>
          <w:tcPr>
            <w:tcW w:w="699"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17 211</w:t>
            </w:r>
          </w:p>
        </w:tc>
        <w:tc>
          <w:tcPr>
            <w:tcW w:w="840" w:type="dxa"/>
            <w:tcBorders>
              <w:top w:val="single" w:sz="6" w:space="0" w:color="auto"/>
              <w:bottom w:val="single" w:sz="6" w:space="0" w:color="auto"/>
            </w:tcBorders>
          </w:tcPr>
          <w:p w:rsidR="007839E2" w:rsidRPr="00892DE3" w:rsidRDefault="00ED43D1"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52 206</w:t>
            </w:r>
          </w:p>
        </w:tc>
        <w:tc>
          <w:tcPr>
            <w:tcW w:w="819"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43 027</w:t>
            </w:r>
          </w:p>
        </w:tc>
        <w:tc>
          <w:tcPr>
            <w:tcW w:w="703" w:type="dxa"/>
            <w:tcBorders>
              <w:top w:val="single" w:sz="6" w:space="0" w:color="auto"/>
              <w:bottom w:val="single" w:sz="6" w:space="0" w:color="auto"/>
            </w:tcBorders>
          </w:tcPr>
          <w:p w:rsidR="007839E2" w:rsidRPr="00892DE3" w:rsidRDefault="00ED43D1"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97 601</w:t>
            </w:r>
          </w:p>
        </w:tc>
        <w:tc>
          <w:tcPr>
            <w:tcW w:w="841" w:type="dxa"/>
            <w:tcBorders>
              <w:top w:val="single" w:sz="6" w:space="0" w:color="auto"/>
              <w:bottom w:val="single" w:sz="6"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112 826</w:t>
            </w:r>
          </w:p>
        </w:tc>
      </w:tr>
      <w:tr w:rsidR="007839E2" w:rsidRPr="00892DE3" w:rsidTr="00D0431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12" w:space="0" w:color="auto"/>
            </w:tcBorders>
          </w:tcPr>
          <w:p w:rsidR="007839E2" w:rsidRPr="00892DE3" w:rsidRDefault="007839E2" w:rsidP="007839E2">
            <w:pPr>
              <w:ind w:left="0" w:firstLine="0"/>
              <w:rPr>
                <w:rFonts w:cstheme="majorHAnsi"/>
              </w:rPr>
            </w:pPr>
            <w:r w:rsidRPr="00892DE3">
              <w:rPr>
                <w:rFonts w:cstheme="majorHAnsi"/>
              </w:rPr>
              <w:t>Net assets</w:t>
            </w:r>
          </w:p>
        </w:tc>
        <w:tc>
          <w:tcPr>
            <w:tcW w:w="839" w:type="dxa"/>
            <w:tcBorders>
              <w:top w:val="single" w:sz="6" w:space="0" w:color="auto"/>
              <w:bottom w:val="single" w:sz="12" w:space="0" w:color="auto"/>
            </w:tcBorders>
            <w:noWrap/>
          </w:tcPr>
          <w:p w:rsidR="007839E2" w:rsidRPr="00892DE3" w:rsidRDefault="007839E2" w:rsidP="007839E2">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80 946</w:t>
            </w:r>
          </w:p>
        </w:tc>
        <w:tc>
          <w:tcPr>
            <w:tcW w:w="840" w:type="dxa"/>
            <w:tcBorders>
              <w:top w:val="single" w:sz="6" w:space="0" w:color="auto"/>
              <w:bottom w:val="single" w:sz="12" w:space="0" w:color="auto"/>
            </w:tcBorders>
            <w:noWrap/>
          </w:tcPr>
          <w:p w:rsidR="007839E2" w:rsidRPr="00892DE3" w:rsidRDefault="007839E2" w:rsidP="007839E2">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75 375</w:t>
            </w:r>
          </w:p>
        </w:tc>
        <w:tc>
          <w:tcPr>
            <w:tcW w:w="700" w:type="dxa"/>
            <w:tcBorders>
              <w:top w:val="single" w:sz="6" w:space="0" w:color="auto"/>
              <w:bottom w:val="single" w:sz="12" w:space="0" w:color="auto"/>
            </w:tcBorders>
          </w:tcPr>
          <w:p w:rsidR="007839E2" w:rsidRPr="00892DE3" w:rsidRDefault="007839E2" w:rsidP="007839E2">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33 564</w:t>
            </w:r>
          </w:p>
        </w:tc>
        <w:tc>
          <w:tcPr>
            <w:tcW w:w="699" w:type="dxa"/>
            <w:tcBorders>
              <w:top w:val="single" w:sz="6" w:space="0" w:color="auto"/>
              <w:bottom w:val="single" w:sz="12" w:space="0" w:color="auto"/>
            </w:tcBorders>
          </w:tcPr>
          <w:p w:rsidR="007839E2" w:rsidRPr="00892DE3" w:rsidRDefault="007839E2" w:rsidP="007839E2">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20 283</w:t>
            </w:r>
          </w:p>
        </w:tc>
        <w:tc>
          <w:tcPr>
            <w:tcW w:w="840" w:type="dxa"/>
            <w:tcBorders>
              <w:top w:val="single" w:sz="6" w:space="0" w:color="auto"/>
              <w:bottom w:val="single" w:sz="12" w:space="0" w:color="auto"/>
            </w:tcBorders>
          </w:tcPr>
          <w:p w:rsidR="007839E2" w:rsidRPr="00892DE3" w:rsidRDefault="00ED43D1" w:rsidP="007839E2">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top w:val="single" w:sz="6" w:space="0" w:color="auto"/>
              <w:bottom w:val="single" w:sz="12" w:space="0" w:color="auto"/>
            </w:tcBorders>
          </w:tcPr>
          <w:p w:rsidR="007839E2" w:rsidRPr="00892DE3" w:rsidRDefault="007839E2" w:rsidP="007839E2">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19 303</w:t>
            </w:r>
          </w:p>
        </w:tc>
        <w:tc>
          <w:tcPr>
            <w:tcW w:w="819" w:type="dxa"/>
            <w:tcBorders>
              <w:top w:val="single" w:sz="6" w:space="0" w:color="auto"/>
              <w:bottom w:val="single" w:sz="12" w:space="0" w:color="auto"/>
            </w:tcBorders>
          </w:tcPr>
          <w:p w:rsidR="007839E2" w:rsidRPr="00892DE3" w:rsidRDefault="007839E2" w:rsidP="007839E2">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26 923</w:t>
            </w:r>
          </w:p>
        </w:tc>
        <w:tc>
          <w:tcPr>
            <w:tcW w:w="703" w:type="dxa"/>
            <w:tcBorders>
              <w:top w:val="single" w:sz="6" w:space="0" w:color="auto"/>
              <w:bottom w:val="single" w:sz="12" w:space="0" w:color="auto"/>
            </w:tcBorders>
          </w:tcPr>
          <w:p w:rsidR="007839E2" w:rsidRPr="00892DE3" w:rsidRDefault="00ED43D1" w:rsidP="007839E2">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top w:val="single" w:sz="6" w:space="0" w:color="auto"/>
              <w:bottom w:val="single" w:sz="12" w:space="0" w:color="auto"/>
            </w:tcBorders>
          </w:tcPr>
          <w:p w:rsidR="007839E2" w:rsidRPr="00892DE3" w:rsidRDefault="007839E2" w:rsidP="007839E2">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141 432</w:t>
            </w:r>
          </w:p>
        </w:tc>
        <w:tc>
          <w:tcPr>
            <w:tcW w:w="841" w:type="dxa"/>
            <w:tcBorders>
              <w:top w:val="single" w:sz="6" w:space="0" w:color="auto"/>
              <w:bottom w:val="single" w:sz="12" w:space="0" w:color="auto"/>
            </w:tcBorders>
          </w:tcPr>
          <w:p w:rsidR="007839E2" w:rsidRPr="00892DE3" w:rsidRDefault="007839E2" w:rsidP="007839E2">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114 961</w:t>
            </w:r>
          </w:p>
        </w:tc>
      </w:tr>
    </w:tbl>
    <w:p w:rsidR="007839E2" w:rsidRPr="00892DE3" w:rsidRDefault="007839E2" w:rsidP="007839E2">
      <w:pPr>
        <w:pStyle w:val="Note"/>
      </w:pPr>
      <w:r w:rsidRPr="00892DE3">
        <w:t>Notes:</w:t>
      </w:r>
    </w:p>
    <w:p w:rsidR="007839E2" w:rsidRPr="00892DE3" w:rsidRDefault="007839E2" w:rsidP="007839E2">
      <w:pPr>
        <w:pStyle w:val="Note"/>
      </w:pPr>
      <w:r w:rsidRPr="00892DE3">
        <w:t>(</w:t>
      </w:r>
      <w:r w:rsidR="00ED43D1" w:rsidRPr="00892DE3">
        <w:t>a</w:t>
      </w:r>
      <w:r w:rsidRPr="00892DE3">
        <w:t>)</w:t>
      </w:r>
      <w:r w:rsidRPr="00892DE3">
        <w:tab/>
        <w:t>Based on the Administrative Arrangements Order [No. xxx] 2016, figures for the assets and liabilities for the new technology administration output for the comparative year are not adjusted. Figures for the assets and liabilities of the output for the current year are reported by the Department of Cabinet Administration.</w:t>
      </w:r>
    </w:p>
    <w:p w:rsidR="007839E2" w:rsidRPr="00892DE3" w:rsidRDefault="007839E2" w:rsidP="007839E2">
      <w:pPr>
        <w:pStyle w:val="Note"/>
      </w:pPr>
      <w:r w:rsidRPr="00892DE3">
        <w:t>(</w:t>
      </w:r>
      <w:r w:rsidR="00ED43D1" w:rsidRPr="00892DE3">
        <w:t>b</w:t>
      </w:r>
      <w:r w:rsidRPr="00892DE3">
        <w:t>)</w:t>
      </w:r>
      <w:r w:rsidRPr="00892DE3">
        <w:tab/>
        <w:t>Based on the Administrative Arrangements Order [No. xxx] 2016, figures for the assets and liabilities for the R&amp;D biological technology output for the current financial year are as at 30 June 2017. Figures for the assets and liabilities of the output for the comparative year are reported by the Department of Natural Resources.</w:t>
      </w:r>
    </w:p>
    <w:p w:rsidR="00ED43D1" w:rsidRPr="00892DE3" w:rsidRDefault="00ED43D1" w:rsidP="00ED43D1"/>
    <w:p w:rsidR="00ED43D1" w:rsidRPr="00892DE3" w:rsidRDefault="00ED43D1" w:rsidP="00ED43D1">
      <w:pPr>
        <w:sectPr w:rsidR="00ED43D1" w:rsidRPr="00892DE3" w:rsidSect="007839E2">
          <w:headerReference w:type="even" r:id="rId113"/>
          <w:headerReference w:type="default" r:id="rId114"/>
          <w:footerReference w:type="even" r:id="rId115"/>
          <w:footerReference w:type="default" r:id="rId116"/>
          <w:pgSz w:w="16838" w:h="11906" w:orient="landscape" w:code="9"/>
          <w:pgMar w:top="1134" w:right="1134" w:bottom="1134" w:left="1134" w:header="624" w:footer="567" w:gutter="0"/>
          <w:cols w:sep="1" w:space="567"/>
          <w:docGrid w:linePitch="360"/>
        </w:sectPr>
      </w:pPr>
    </w:p>
    <w:p w:rsidR="007839E2" w:rsidRPr="00892DE3" w:rsidRDefault="007839E2" w:rsidP="007839E2">
      <w:pPr>
        <w:pStyle w:val="Heading30"/>
      </w:pPr>
      <w:r w:rsidRPr="00892DE3">
        <w:lastRenderedPageBreak/>
        <w:t>Changes in outputs</w:t>
      </w:r>
    </w:p>
    <w:p w:rsidR="007839E2" w:rsidRPr="00892DE3" w:rsidRDefault="007839E2" w:rsidP="007839E2">
      <w:r w:rsidRPr="00892DE3">
        <w:t xml:space="preserve">The research and development of biological technology output was transferred from the Department of Natural Resources to the Department as a consequence of machinery of government changes announced on 2 August 2016. However, accounts and reports for this output for the purposes of the </w:t>
      </w:r>
      <w:r w:rsidRPr="00892DE3">
        <w:rPr>
          <w:i/>
        </w:rPr>
        <w:t>Financial Management Act 1994</w:t>
      </w:r>
      <w:r w:rsidRPr="00892DE3">
        <w:t xml:space="preserve"> (FMA) were kept and provided from 1 September 2016 as per the Administrative Arrangements Order [No. xxx] 2016. Expenses and income attributable to the transferred outputs for the reporting period are disclosed in 4.3 ‘Restructuring of administrative arrangements’.</w:t>
      </w:r>
    </w:p>
    <w:p w:rsidR="007839E2" w:rsidRPr="00892DE3" w:rsidRDefault="007839E2" w:rsidP="007839E2">
      <w:r w:rsidRPr="00892DE3">
        <w:t>At the same time, activities of the Commissioner for Technology, under the new technology administration output, were transferred to the Department of Cabinet Administration. This is in line with the Government’s commitment to continuously improve efficiency through centralisation of common administrative functions within Victorian government departments. Accounts and reports for this output for the purposes of the FMA were kept and provided until 31 August 2016 as per the Administrative Arrangements Order [No. xxx] 2016.</w:t>
      </w:r>
    </w:p>
    <w:p w:rsidR="007839E2" w:rsidRPr="00892DE3" w:rsidRDefault="007839E2" w:rsidP="0019303F">
      <w:pPr>
        <w:pStyle w:val="Heading2"/>
      </w:pPr>
      <w:bookmarkStart w:id="108" w:name="_Toc477880666"/>
      <w:bookmarkStart w:id="109" w:name="_Toc478055737"/>
      <w:r w:rsidRPr="00892DE3">
        <w:t>Administered items</w:t>
      </w:r>
      <w:r w:rsidR="00D0431C" w:rsidRPr="00892DE3">
        <w:t xml:space="preserve"> </w:t>
      </w:r>
      <w:r w:rsidRPr="00892DE3">
        <w:rPr>
          <w:rStyle w:val="SourceReference"/>
          <w:b w:val="0"/>
        </w:rPr>
        <w:t>[AASB 1050.7, 1050.24]</w:t>
      </w:r>
      <w:bookmarkEnd w:id="108"/>
      <w:bookmarkEnd w:id="109"/>
    </w:p>
    <w:p w:rsidR="007839E2" w:rsidRPr="00892DE3" w:rsidRDefault="007839E2" w:rsidP="007839E2">
      <w:r w:rsidRPr="00892DE3">
        <w:t>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rsidR="007839E2" w:rsidRPr="00892DE3" w:rsidRDefault="007839E2" w:rsidP="007839E2">
      <w:r w:rsidRPr="00892DE3">
        <w:t xml:space="preserve">The Department does not gain control over assets arising from taxes, fines and regulatory fees, consequently no income is recognised in the Department’s financial statements. The Department collects these amounts on behalf of the State. Accordingly, the amounts are disclosed as income in the schedule of Administered Items. </w:t>
      </w:r>
      <w:r w:rsidR="00D0431C" w:rsidRPr="00892DE3">
        <w:br/>
      </w:r>
      <w:r w:rsidRPr="00892DE3">
        <w:rPr>
          <w:rStyle w:val="SourceReference"/>
        </w:rPr>
        <w:t>[AASB 1050.7, 1050.12]</w:t>
      </w:r>
    </w:p>
    <w:p w:rsidR="00D0431C" w:rsidRPr="00892DE3" w:rsidRDefault="00D0431C" w:rsidP="007839E2"/>
    <w:p w:rsidR="00D0431C" w:rsidRPr="00892DE3" w:rsidRDefault="00D0431C" w:rsidP="007839E2"/>
    <w:p w:rsidR="00D0431C" w:rsidRPr="00892DE3" w:rsidRDefault="00D0431C" w:rsidP="007839E2"/>
    <w:p w:rsidR="00D0431C" w:rsidRPr="00892DE3" w:rsidRDefault="00D0431C" w:rsidP="007839E2">
      <w:pPr>
        <w:sectPr w:rsidR="00D0431C" w:rsidRPr="00892DE3" w:rsidSect="00D0431C">
          <w:headerReference w:type="even" r:id="rId117"/>
          <w:headerReference w:type="default" r:id="rId118"/>
          <w:footerReference w:type="even" r:id="rId119"/>
          <w:footerReference w:type="default" r:id="rId120"/>
          <w:pgSz w:w="11906" w:h="16838" w:code="9"/>
          <w:pgMar w:top="1134" w:right="1134" w:bottom="1134" w:left="1134" w:header="624" w:footer="567" w:gutter="0"/>
          <w:cols w:sep="1" w:space="567"/>
          <w:docGrid w:linePitch="360"/>
        </w:sectPr>
      </w:pPr>
    </w:p>
    <w:p w:rsidR="007839E2" w:rsidRPr="00892DE3" w:rsidRDefault="007839E2" w:rsidP="007839E2">
      <w:pPr>
        <w:pStyle w:val="Heading30"/>
      </w:pPr>
      <w:r w:rsidRPr="00892DE3">
        <w:lastRenderedPageBreak/>
        <w:t xml:space="preserve">Administered (non-controlled) items </w:t>
      </w:r>
      <w:r w:rsidRPr="00892DE3">
        <w:rPr>
          <w:rStyle w:val="SourceReference"/>
          <w:b w:val="0"/>
        </w:rPr>
        <w:t>[AASB 1050.7, FRD 9A]</w:t>
      </w:r>
    </w:p>
    <w:p w:rsidR="007839E2" w:rsidRPr="00892DE3" w:rsidRDefault="007839E2" w:rsidP="007839E2">
      <w:pPr>
        <w:pStyle w:val="TableHeading"/>
      </w:pPr>
      <w:r w:rsidRPr="00892DE3">
        <w:t>For the financial year ended 30 June 2017</w:t>
      </w:r>
      <w:r w:rsidRPr="00892DE3">
        <w:tab/>
      </w:r>
      <w:r w:rsidRPr="00892DE3">
        <w:tab/>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6818"/>
        <w:gridCol w:w="829"/>
        <w:gridCol w:w="831"/>
        <w:gridCol w:w="693"/>
        <w:gridCol w:w="692"/>
        <w:gridCol w:w="831"/>
        <w:gridCol w:w="786"/>
        <w:gridCol w:w="810"/>
        <w:gridCol w:w="696"/>
        <w:gridCol w:w="754"/>
        <w:gridCol w:w="832"/>
      </w:tblGrid>
      <w:tr w:rsidR="007839E2" w:rsidRPr="00892DE3" w:rsidTr="00CF5A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spacing w:beforeAutospacing="1" w:afterAutospacing="1"/>
              <w:rPr>
                <w:rFonts w:cstheme="majorHAnsi"/>
                <w:szCs w:val="20"/>
              </w:rPr>
            </w:pPr>
          </w:p>
        </w:tc>
        <w:tc>
          <w:tcPr>
            <w:tcW w:w="1679" w:type="dxa"/>
            <w:gridSpan w:val="2"/>
            <w:noWrap/>
          </w:tcPr>
          <w:p w:rsidR="007839E2" w:rsidRPr="00892DE3" w:rsidRDefault="007839E2" w:rsidP="006F49E6">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Strategic </w:t>
            </w:r>
            <w:r w:rsidR="00D0431C" w:rsidRPr="00892DE3">
              <w:rPr>
                <w:rFonts w:cstheme="majorHAnsi"/>
              </w:rPr>
              <w:br/>
            </w:r>
            <w:r w:rsidRPr="00892DE3">
              <w:rPr>
                <w:rFonts w:cstheme="majorHAnsi"/>
              </w:rPr>
              <w:t>policy advice</w:t>
            </w:r>
          </w:p>
        </w:tc>
        <w:tc>
          <w:tcPr>
            <w:tcW w:w="1399" w:type="dxa"/>
            <w:gridSpan w:val="2"/>
          </w:tcPr>
          <w:p w:rsidR="007839E2" w:rsidRPr="00892DE3" w:rsidRDefault="007839E2" w:rsidP="006F49E6">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IT&amp;T </w:t>
            </w:r>
            <w:r w:rsidR="00D0431C" w:rsidRPr="00892DE3">
              <w:rPr>
                <w:rFonts w:cstheme="majorHAnsi"/>
              </w:rPr>
              <w:br/>
            </w:r>
            <w:r w:rsidRPr="00892DE3">
              <w:rPr>
                <w:rFonts w:cstheme="majorHAnsi"/>
              </w:rPr>
              <w:t>services</w:t>
            </w:r>
          </w:p>
        </w:tc>
        <w:tc>
          <w:tcPr>
            <w:tcW w:w="1634" w:type="dxa"/>
            <w:gridSpan w:val="2"/>
          </w:tcPr>
          <w:p w:rsidR="007839E2" w:rsidRPr="00892DE3" w:rsidRDefault="007839E2" w:rsidP="00D0431C">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New technology administration</w:t>
            </w:r>
            <w:r w:rsidRPr="00892DE3">
              <w:rPr>
                <w:rFonts w:cstheme="majorHAnsi"/>
                <w:vertAlign w:val="superscript"/>
              </w:rPr>
              <w:t xml:space="preserve"> </w:t>
            </w:r>
            <w:r w:rsidR="00D0431C" w:rsidRPr="00892DE3">
              <w:rPr>
                <w:rFonts w:cstheme="majorHAnsi"/>
                <w:vertAlign w:val="superscript"/>
              </w:rPr>
              <w:t>(a</w:t>
            </w:r>
            <w:r w:rsidRPr="00892DE3">
              <w:rPr>
                <w:rFonts w:cstheme="majorHAnsi"/>
                <w:vertAlign w:val="superscript"/>
              </w:rPr>
              <w:t>)</w:t>
            </w:r>
          </w:p>
        </w:tc>
        <w:tc>
          <w:tcPr>
            <w:tcW w:w="1522" w:type="dxa"/>
            <w:gridSpan w:val="2"/>
          </w:tcPr>
          <w:p w:rsidR="007839E2" w:rsidRPr="00892DE3" w:rsidRDefault="007839E2" w:rsidP="006F49E6">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R&amp;D biological technology</w:t>
            </w:r>
            <w:r w:rsidR="00D0431C" w:rsidRPr="00892DE3">
              <w:rPr>
                <w:rFonts w:cstheme="majorHAnsi"/>
                <w:vertAlign w:val="superscript"/>
              </w:rPr>
              <w:t xml:space="preserve"> (b</w:t>
            </w:r>
            <w:r w:rsidRPr="00892DE3">
              <w:rPr>
                <w:rFonts w:cstheme="majorHAnsi"/>
                <w:vertAlign w:val="superscript"/>
              </w:rPr>
              <w:t>)</w:t>
            </w:r>
          </w:p>
        </w:tc>
        <w:tc>
          <w:tcPr>
            <w:tcW w:w="1603" w:type="dxa"/>
            <w:gridSpan w:val="2"/>
          </w:tcPr>
          <w:p w:rsidR="007839E2" w:rsidRPr="00892DE3" w:rsidRDefault="007839E2" w:rsidP="00D0431C">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Departmental </w:t>
            </w:r>
            <w:r w:rsidR="00D0431C" w:rsidRPr="00892DE3">
              <w:rPr>
                <w:rFonts w:cstheme="majorHAnsi"/>
              </w:rPr>
              <w:br/>
            </w:r>
            <w:r w:rsidRPr="00892DE3">
              <w:rPr>
                <w:rFonts w:cstheme="majorHAnsi"/>
              </w:rPr>
              <w:t>total</w:t>
            </w:r>
          </w:p>
        </w:tc>
      </w:tr>
      <w:tr w:rsidR="007839E2" w:rsidRPr="00892DE3" w:rsidTr="00CF5A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spacing w:beforeAutospacing="1" w:afterAutospacing="1"/>
              <w:rPr>
                <w:rFonts w:cstheme="majorHAnsi"/>
                <w:i w:val="0"/>
                <w:szCs w:val="20"/>
              </w:rPr>
            </w:pPr>
          </w:p>
        </w:tc>
        <w:tc>
          <w:tcPr>
            <w:tcW w:w="839" w:type="dxa"/>
            <w:noWrap/>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840" w:type="dxa"/>
            <w:noWrap/>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700"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699"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840"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794"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819"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703"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762"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841" w:type="dxa"/>
          </w:tcPr>
          <w:p w:rsidR="007839E2" w:rsidRPr="00892DE3" w:rsidRDefault="007839E2" w:rsidP="007839E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rPr>
                <w:rFonts w:cstheme="majorHAnsi"/>
                <w:b/>
              </w:rPr>
            </w:pPr>
            <w:r w:rsidRPr="00892DE3">
              <w:rPr>
                <w:rFonts w:cstheme="majorHAnsi"/>
                <w:b/>
              </w:rPr>
              <w:t>Administered income from transactions</w:t>
            </w:r>
          </w:p>
        </w:tc>
        <w:tc>
          <w:tcPr>
            <w:tcW w:w="839"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840"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70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69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84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794"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81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703"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762"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rPr>
                <w:rFonts w:cstheme="majorHAnsi"/>
              </w:rPr>
            </w:pPr>
            <w:r w:rsidRPr="00892DE3">
              <w:rPr>
                <w:rFonts w:cstheme="majorHAnsi"/>
              </w:rPr>
              <w:t>Appropriations – payments made on behalf of the State</w:t>
            </w:r>
          </w:p>
        </w:tc>
        <w:tc>
          <w:tcPr>
            <w:tcW w:w="839"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6 786</w:t>
            </w:r>
          </w:p>
        </w:tc>
        <w:tc>
          <w:tcPr>
            <w:tcW w:w="840"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6 245</w:t>
            </w:r>
          </w:p>
        </w:tc>
        <w:tc>
          <w:tcPr>
            <w:tcW w:w="70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3 550</w:t>
            </w:r>
          </w:p>
        </w:tc>
        <w:tc>
          <w:tcPr>
            <w:tcW w:w="69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3 487</w:t>
            </w:r>
          </w:p>
        </w:tc>
        <w:tc>
          <w:tcPr>
            <w:tcW w:w="84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546</w:t>
            </w:r>
          </w:p>
        </w:tc>
        <w:tc>
          <w:tcPr>
            <w:tcW w:w="794"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1 137</w:t>
            </w:r>
          </w:p>
        </w:tc>
        <w:tc>
          <w:tcPr>
            <w:tcW w:w="81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1 137</w:t>
            </w:r>
          </w:p>
        </w:tc>
        <w:tc>
          <w:tcPr>
            <w:tcW w:w="703"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rPr>
                <w:rFonts w:cstheme="majorHAnsi"/>
              </w:rPr>
            </w:pPr>
            <w:r w:rsidRPr="00892DE3">
              <w:rPr>
                <w:rFonts w:cstheme="majorHAnsi"/>
              </w:rPr>
              <w:t>Sales of goods and services</w:t>
            </w:r>
            <w:r w:rsidRPr="00892DE3">
              <w:t xml:space="preserve"> [include fees]</w:t>
            </w:r>
          </w:p>
        </w:tc>
        <w:tc>
          <w:tcPr>
            <w:tcW w:w="839"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5 887</w:t>
            </w:r>
          </w:p>
        </w:tc>
        <w:tc>
          <w:tcPr>
            <w:tcW w:w="840"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5 634</w:t>
            </w:r>
          </w:p>
        </w:tc>
        <w:tc>
          <w:tcPr>
            <w:tcW w:w="70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3 003</w:t>
            </w:r>
          </w:p>
        </w:tc>
        <w:tc>
          <w:tcPr>
            <w:tcW w:w="69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2 318</w:t>
            </w:r>
          </w:p>
        </w:tc>
        <w:tc>
          <w:tcPr>
            <w:tcW w:w="840"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3 517</w:t>
            </w:r>
          </w:p>
        </w:tc>
        <w:tc>
          <w:tcPr>
            <w:tcW w:w="81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2 725</w:t>
            </w:r>
          </w:p>
        </w:tc>
        <w:tc>
          <w:tcPr>
            <w:tcW w:w="703"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11 615</w:t>
            </w: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11 469</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rPr>
                <w:rFonts w:cstheme="majorHAnsi"/>
              </w:rPr>
            </w:pPr>
            <w:r w:rsidRPr="00892DE3">
              <w:rPr>
                <w:rFonts w:cstheme="majorHAnsi"/>
              </w:rPr>
              <w:t>Grants</w:t>
            </w:r>
          </w:p>
        </w:tc>
        <w:tc>
          <w:tcPr>
            <w:tcW w:w="839"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871</w:t>
            </w:r>
          </w:p>
        </w:tc>
        <w:tc>
          <w:tcPr>
            <w:tcW w:w="840"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1 790</w:t>
            </w:r>
          </w:p>
        </w:tc>
        <w:tc>
          <w:tcPr>
            <w:tcW w:w="70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222</w:t>
            </w:r>
          </w:p>
        </w:tc>
        <w:tc>
          <w:tcPr>
            <w:tcW w:w="69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301</w:t>
            </w:r>
          </w:p>
        </w:tc>
        <w:tc>
          <w:tcPr>
            <w:tcW w:w="84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2 330</w:t>
            </w:r>
          </w:p>
        </w:tc>
        <w:tc>
          <w:tcPr>
            <w:tcW w:w="794"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2 996</w:t>
            </w:r>
          </w:p>
        </w:tc>
        <w:tc>
          <w:tcPr>
            <w:tcW w:w="81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162</w:t>
            </w:r>
          </w:p>
        </w:tc>
        <w:tc>
          <w:tcPr>
            <w:tcW w:w="703"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3 585</w:t>
            </w: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5 087</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rPr>
                <w:rFonts w:cstheme="majorHAnsi"/>
              </w:rPr>
            </w:pPr>
            <w:r w:rsidRPr="00892DE3">
              <w:rPr>
                <w:rFonts w:cstheme="majorHAnsi"/>
              </w:rPr>
              <w:t>Taxation income</w:t>
            </w:r>
          </w:p>
        </w:tc>
        <w:tc>
          <w:tcPr>
            <w:tcW w:w="839" w:type="dxa"/>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0"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5 176</w:t>
            </w:r>
          </w:p>
        </w:tc>
        <w:tc>
          <w:tcPr>
            <w:tcW w:w="794"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4 982</w:t>
            </w:r>
          </w:p>
        </w:tc>
        <w:tc>
          <w:tcPr>
            <w:tcW w:w="819"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3"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5 176</w:t>
            </w: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4 982</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7839E2" w:rsidRPr="00892DE3" w:rsidRDefault="007839E2" w:rsidP="007839E2">
            <w:pPr>
              <w:rPr>
                <w:rFonts w:cstheme="majorHAnsi"/>
              </w:rPr>
            </w:pPr>
            <w:r w:rsidRPr="00892DE3">
              <w:rPr>
                <w:rFonts w:cstheme="majorHAnsi"/>
              </w:rPr>
              <w:t>Fines</w:t>
            </w:r>
          </w:p>
        </w:tc>
        <w:tc>
          <w:tcPr>
            <w:tcW w:w="839" w:type="dxa"/>
            <w:tcBorders>
              <w:bottom w:val="single" w:sz="4" w:space="0" w:color="auto"/>
            </w:tcBorders>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0"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6 213</w:t>
            </w:r>
          </w:p>
        </w:tc>
        <w:tc>
          <w:tcPr>
            <w:tcW w:w="794"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5 988</w:t>
            </w:r>
          </w:p>
        </w:tc>
        <w:tc>
          <w:tcPr>
            <w:tcW w:w="819"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3"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6 213</w:t>
            </w:r>
          </w:p>
        </w:tc>
        <w:tc>
          <w:tcPr>
            <w:tcW w:w="841"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5 988</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bottom w:val="nil"/>
            </w:tcBorders>
          </w:tcPr>
          <w:p w:rsidR="007839E2" w:rsidRPr="00892DE3" w:rsidRDefault="007839E2" w:rsidP="007839E2">
            <w:pPr>
              <w:rPr>
                <w:rFonts w:cstheme="majorHAnsi"/>
                <w:b/>
              </w:rPr>
            </w:pPr>
            <w:r w:rsidRPr="00892DE3">
              <w:rPr>
                <w:rFonts w:cstheme="majorHAnsi"/>
                <w:b/>
              </w:rPr>
              <w:t>Total administered income from transactions</w:t>
            </w:r>
          </w:p>
        </w:tc>
        <w:tc>
          <w:tcPr>
            <w:tcW w:w="839" w:type="dxa"/>
            <w:tcBorders>
              <w:top w:val="single" w:sz="4" w:space="0" w:color="auto"/>
              <w:bottom w:val="nil"/>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13 544</w:t>
            </w:r>
          </w:p>
        </w:tc>
        <w:tc>
          <w:tcPr>
            <w:tcW w:w="840" w:type="dxa"/>
            <w:tcBorders>
              <w:top w:val="single" w:sz="4" w:space="0" w:color="auto"/>
              <w:bottom w:val="nil"/>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13 669</w:t>
            </w:r>
          </w:p>
        </w:tc>
        <w:tc>
          <w:tcPr>
            <w:tcW w:w="700"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6 775</w:t>
            </w:r>
          </w:p>
        </w:tc>
        <w:tc>
          <w:tcPr>
            <w:tcW w:w="699"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6 106</w:t>
            </w:r>
          </w:p>
        </w:tc>
        <w:tc>
          <w:tcPr>
            <w:tcW w:w="840"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14 265</w:t>
            </w:r>
          </w:p>
        </w:tc>
        <w:tc>
          <w:tcPr>
            <w:tcW w:w="794"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18 620</w:t>
            </w:r>
          </w:p>
        </w:tc>
        <w:tc>
          <w:tcPr>
            <w:tcW w:w="819"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4 024</w:t>
            </w:r>
          </w:p>
        </w:tc>
        <w:tc>
          <w:tcPr>
            <w:tcW w:w="703" w:type="dxa"/>
            <w:tcBorders>
              <w:top w:val="single" w:sz="4" w:space="0" w:color="auto"/>
              <w:bottom w:val="nil"/>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w:t>
            </w:r>
          </w:p>
        </w:tc>
        <w:tc>
          <w:tcPr>
            <w:tcW w:w="762"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38 608</w:t>
            </w:r>
          </w:p>
        </w:tc>
        <w:tc>
          <w:tcPr>
            <w:tcW w:w="841"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38 395</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nil"/>
            </w:tcBorders>
          </w:tcPr>
          <w:p w:rsidR="007839E2" w:rsidRPr="00892DE3" w:rsidRDefault="007839E2" w:rsidP="007839E2">
            <w:pPr>
              <w:rPr>
                <w:rFonts w:cstheme="majorHAnsi"/>
                <w:b/>
              </w:rPr>
            </w:pPr>
            <w:r w:rsidRPr="00892DE3">
              <w:rPr>
                <w:rFonts w:cstheme="majorHAnsi"/>
                <w:b/>
              </w:rPr>
              <w:t>Administered expenses from transactions</w:t>
            </w:r>
          </w:p>
        </w:tc>
        <w:tc>
          <w:tcPr>
            <w:tcW w:w="839" w:type="dxa"/>
            <w:tcBorders>
              <w:top w:val="nil"/>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40" w:type="dxa"/>
            <w:tcBorders>
              <w:top w:val="nil"/>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00"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699"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0"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94"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19"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3"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62"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1"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rPr>
                <w:rFonts w:cstheme="majorHAnsi"/>
              </w:rPr>
            </w:pPr>
            <w:r w:rsidRPr="00892DE3">
              <w:rPr>
                <w:rFonts w:cstheme="majorHAnsi"/>
              </w:rPr>
              <w:t>Payments made on behalf of the State</w:t>
            </w:r>
          </w:p>
        </w:tc>
        <w:tc>
          <w:tcPr>
            <w:tcW w:w="839"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(6 786)</w:t>
            </w:r>
          </w:p>
        </w:tc>
        <w:tc>
          <w:tcPr>
            <w:tcW w:w="840"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(6 245)</w:t>
            </w:r>
          </w:p>
        </w:tc>
        <w:tc>
          <w:tcPr>
            <w:tcW w:w="70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(3 550)</w:t>
            </w:r>
          </w:p>
        </w:tc>
        <w:tc>
          <w:tcPr>
            <w:tcW w:w="69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(2 987)</w:t>
            </w:r>
          </w:p>
        </w:tc>
        <w:tc>
          <w:tcPr>
            <w:tcW w:w="84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(546)</w:t>
            </w:r>
          </w:p>
        </w:tc>
        <w:tc>
          <w:tcPr>
            <w:tcW w:w="794"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(1 637)</w:t>
            </w:r>
          </w:p>
        </w:tc>
        <w:tc>
          <w:tcPr>
            <w:tcW w:w="81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(1 137)</w:t>
            </w:r>
          </w:p>
        </w:tc>
        <w:tc>
          <w:tcPr>
            <w:tcW w:w="703"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7839E2" w:rsidRPr="00892DE3" w:rsidRDefault="007839E2" w:rsidP="007839E2">
            <w:pPr>
              <w:rPr>
                <w:rFonts w:cstheme="majorHAnsi"/>
              </w:rPr>
            </w:pPr>
            <w:r w:rsidRPr="00892DE3">
              <w:rPr>
                <w:rFonts w:cstheme="majorHAnsi"/>
              </w:rPr>
              <w:t>Payments into the consolidated fund</w:t>
            </w:r>
          </w:p>
        </w:tc>
        <w:tc>
          <w:tcPr>
            <w:tcW w:w="839" w:type="dxa"/>
            <w:tcBorders>
              <w:bottom w:val="single" w:sz="4" w:space="0" w:color="auto"/>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(6 758)</w:t>
            </w:r>
          </w:p>
        </w:tc>
        <w:tc>
          <w:tcPr>
            <w:tcW w:w="840" w:type="dxa"/>
            <w:tcBorders>
              <w:bottom w:val="single" w:sz="4" w:space="0" w:color="auto"/>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(7 424)</w:t>
            </w:r>
          </w:p>
        </w:tc>
        <w:tc>
          <w:tcPr>
            <w:tcW w:w="700"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(3 225)</w:t>
            </w:r>
          </w:p>
        </w:tc>
        <w:tc>
          <w:tcPr>
            <w:tcW w:w="699"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(2 619)</w:t>
            </w:r>
          </w:p>
        </w:tc>
        <w:tc>
          <w:tcPr>
            <w:tcW w:w="840"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(13 719)</w:t>
            </w:r>
          </w:p>
        </w:tc>
        <w:tc>
          <w:tcPr>
            <w:tcW w:w="794"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(17 483)</w:t>
            </w:r>
          </w:p>
        </w:tc>
        <w:tc>
          <w:tcPr>
            <w:tcW w:w="819"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(2 887)</w:t>
            </w:r>
          </w:p>
        </w:tc>
        <w:tc>
          <w:tcPr>
            <w:tcW w:w="703"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(26 589)</w:t>
            </w:r>
          </w:p>
        </w:tc>
        <w:tc>
          <w:tcPr>
            <w:tcW w:w="841"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(27 526)</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bottom w:val="nil"/>
            </w:tcBorders>
          </w:tcPr>
          <w:p w:rsidR="007839E2" w:rsidRPr="00892DE3" w:rsidRDefault="007839E2" w:rsidP="007839E2">
            <w:pPr>
              <w:rPr>
                <w:rFonts w:cstheme="majorHAnsi"/>
                <w:b/>
              </w:rPr>
            </w:pPr>
            <w:r w:rsidRPr="00892DE3">
              <w:rPr>
                <w:rFonts w:cstheme="majorHAnsi"/>
                <w:b/>
              </w:rPr>
              <w:t>Total administered net result from transactions (net operating balance)</w:t>
            </w:r>
          </w:p>
        </w:tc>
        <w:tc>
          <w:tcPr>
            <w:tcW w:w="839" w:type="dxa"/>
            <w:tcBorders>
              <w:top w:val="single" w:sz="4" w:space="0" w:color="auto"/>
              <w:bottom w:val="nil"/>
            </w:tcBorders>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840" w:type="dxa"/>
            <w:tcBorders>
              <w:top w:val="single" w:sz="4" w:space="0" w:color="auto"/>
              <w:bottom w:val="nil"/>
            </w:tcBorders>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00" w:type="dxa"/>
            <w:tcBorders>
              <w:top w:val="single" w:sz="4" w:space="0" w:color="auto"/>
              <w:bottom w:val="nil"/>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699"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500</w:t>
            </w:r>
          </w:p>
        </w:tc>
        <w:tc>
          <w:tcPr>
            <w:tcW w:w="840" w:type="dxa"/>
            <w:tcBorders>
              <w:top w:val="single" w:sz="4" w:space="0" w:color="auto"/>
              <w:bottom w:val="nil"/>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(500)</w:t>
            </w:r>
          </w:p>
        </w:tc>
        <w:tc>
          <w:tcPr>
            <w:tcW w:w="819" w:type="dxa"/>
            <w:tcBorders>
              <w:top w:val="single" w:sz="4" w:space="0" w:color="auto"/>
              <w:bottom w:val="nil"/>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03" w:type="dxa"/>
            <w:tcBorders>
              <w:top w:val="single" w:sz="4" w:space="0" w:color="auto"/>
              <w:bottom w:val="nil"/>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4" w:space="0" w:color="auto"/>
              <w:bottom w:val="nil"/>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841" w:type="dxa"/>
            <w:tcBorders>
              <w:top w:val="single" w:sz="4" w:space="0" w:color="auto"/>
              <w:bottom w:val="nil"/>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nil"/>
            </w:tcBorders>
          </w:tcPr>
          <w:p w:rsidR="007839E2" w:rsidRPr="00892DE3" w:rsidRDefault="007839E2" w:rsidP="007839E2">
            <w:pPr>
              <w:rPr>
                <w:rFonts w:cstheme="majorHAnsi"/>
                <w:b/>
              </w:rPr>
            </w:pPr>
            <w:r w:rsidRPr="00892DE3">
              <w:rPr>
                <w:rFonts w:cstheme="majorHAnsi"/>
                <w:b/>
              </w:rPr>
              <w:t>Administered other economic flows included in administered net result</w:t>
            </w:r>
          </w:p>
        </w:tc>
        <w:tc>
          <w:tcPr>
            <w:tcW w:w="839" w:type="dxa"/>
            <w:tcBorders>
              <w:top w:val="nil"/>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0" w:type="dxa"/>
            <w:tcBorders>
              <w:top w:val="nil"/>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0"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699"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0"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94"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19"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3"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62"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1"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rPr>
                <w:rFonts w:cstheme="majorHAnsi"/>
              </w:rPr>
            </w:pPr>
            <w:r w:rsidRPr="00892DE3">
              <w:rPr>
                <w:rFonts w:cstheme="majorHAnsi"/>
              </w:rPr>
              <w:t>Net gain/(loss) on financial instruments</w:t>
            </w:r>
          </w:p>
        </w:tc>
        <w:tc>
          <w:tcPr>
            <w:tcW w:w="839"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253</w:t>
            </w:r>
          </w:p>
        </w:tc>
        <w:tc>
          <w:tcPr>
            <w:tcW w:w="840"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(156)</w:t>
            </w:r>
          </w:p>
        </w:tc>
        <w:tc>
          <w:tcPr>
            <w:tcW w:w="700"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19"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3"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253</w:t>
            </w: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(156)</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7839E2" w:rsidRPr="00892DE3" w:rsidRDefault="007839E2" w:rsidP="007839E2">
            <w:pPr>
              <w:rPr>
                <w:rFonts w:cstheme="majorHAnsi"/>
              </w:rPr>
            </w:pPr>
            <w:r w:rsidRPr="00892DE3">
              <w:rPr>
                <w:rFonts w:cstheme="majorHAnsi"/>
              </w:rPr>
              <w:t>Other gains/(losses) from other economic flows</w:t>
            </w:r>
          </w:p>
        </w:tc>
        <w:tc>
          <w:tcPr>
            <w:tcW w:w="839" w:type="dxa"/>
            <w:tcBorders>
              <w:bottom w:val="single" w:sz="4" w:space="0" w:color="auto"/>
            </w:tcBorders>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0"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19"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225</w:t>
            </w:r>
          </w:p>
        </w:tc>
        <w:tc>
          <w:tcPr>
            <w:tcW w:w="703"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88</w:t>
            </w:r>
          </w:p>
        </w:tc>
        <w:tc>
          <w:tcPr>
            <w:tcW w:w="762"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225</w:t>
            </w:r>
          </w:p>
        </w:tc>
        <w:tc>
          <w:tcPr>
            <w:tcW w:w="841" w:type="dxa"/>
            <w:tcBorders>
              <w:bottom w:val="single" w:sz="4" w:space="0" w:color="auto"/>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88</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bottom w:val="nil"/>
            </w:tcBorders>
          </w:tcPr>
          <w:p w:rsidR="007839E2" w:rsidRPr="00892DE3" w:rsidRDefault="007839E2" w:rsidP="007839E2">
            <w:pPr>
              <w:rPr>
                <w:rFonts w:cstheme="majorHAnsi"/>
                <w:b/>
              </w:rPr>
            </w:pPr>
            <w:r w:rsidRPr="00892DE3">
              <w:rPr>
                <w:rFonts w:cstheme="majorHAnsi"/>
                <w:b/>
              </w:rPr>
              <w:t>Administered net result</w:t>
            </w:r>
          </w:p>
        </w:tc>
        <w:tc>
          <w:tcPr>
            <w:tcW w:w="839" w:type="dxa"/>
            <w:tcBorders>
              <w:top w:val="single" w:sz="4" w:space="0" w:color="auto"/>
              <w:bottom w:val="nil"/>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253</w:t>
            </w:r>
          </w:p>
        </w:tc>
        <w:tc>
          <w:tcPr>
            <w:tcW w:w="840" w:type="dxa"/>
            <w:tcBorders>
              <w:top w:val="single" w:sz="4" w:space="0" w:color="auto"/>
              <w:bottom w:val="nil"/>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(156)</w:t>
            </w:r>
          </w:p>
        </w:tc>
        <w:tc>
          <w:tcPr>
            <w:tcW w:w="700" w:type="dxa"/>
            <w:tcBorders>
              <w:top w:val="single" w:sz="4" w:space="0" w:color="auto"/>
              <w:bottom w:val="nil"/>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w:t>
            </w:r>
          </w:p>
        </w:tc>
        <w:tc>
          <w:tcPr>
            <w:tcW w:w="699"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500</w:t>
            </w:r>
          </w:p>
        </w:tc>
        <w:tc>
          <w:tcPr>
            <w:tcW w:w="840" w:type="dxa"/>
            <w:tcBorders>
              <w:top w:val="single" w:sz="4" w:space="0" w:color="auto"/>
              <w:bottom w:val="nil"/>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w:t>
            </w:r>
          </w:p>
        </w:tc>
        <w:tc>
          <w:tcPr>
            <w:tcW w:w="794"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(500)</w:t>
            </w:r>
          </w:p>
        </w:tc>
        <w:tc>
          <w:tcPr>
            <w:tcW w:w="819"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225</w:t>
            </w:r>
          </w:p>
        </w:tc>
        <w:tc>
          <w:tcPr>
            <w:tcW w:w="703"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88</w:t>
            </w:r>
          </w:p>
        </w:tc>
        <w:tc>
          <w:tcPr>
            <w:tcW w:w="762"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478</w:t>
            </w:r>
          </w:p>
        </w:tc>
        <w:tc>
          <w:tcPr>
            <w:tcW w:w="841" w:type="dxa"/>
            <w:tcBorders>
              <w:top w:val="single" w:sz="4" w:space="0" w:color="auto"/>
              <w:bottom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(68)</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nil"/>
            </w:tcBorders>
          </w:tcPr>
          <w:p w:rsidR="007839E2" w:rsidRPr="00892DE3" w:rsidRDefault="007839E2" w:rsidP="007839E2">
            <w:pPr>
              <w:rPr>
                <w:rFonts w:cstheme="majorHAnsi"/>
                <w:b/>
              </w:rPr>
            </w:pPr>
            <w:r w:rsidRPr="00892DE3">
              <w:rPr>
                <w:rFonts w:cstheme="majorHAnsi"/>
                <w:b/>
              </w:rPr>
              <w:t>Administered other economic flows – other comprehensive income</w:t>
            </w:r>
          </w:p>
        </w:tc>
        <w:tc>
          <w:tcPr>
            <w:tcW w:w="839" w:type="dxa"/>
            <w:tcBorders>
              <w:top w:val="nil"/>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40" w:type="dxa"/>
            <w:tcBorders>
              <w:top w:val="nil"/>
            </w:tcBorders>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00"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699"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0"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94"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19"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3"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62"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1" w:type="dxa"/>
            <w:tcBorders>
              <w:top w:val="nil"/>
            </w:tcBorders>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rPr>
                <w:rFonts w:cstheme="majorHAnsi"/>
                <w:b/>
              </w:rPr>
            </w:pPr>
            <w:r w:rsidRPr="00892DE3">
              <w:rPr>
                <w:rFonts w:cstheme="majorHAnsi"/>
                <w:b/>
              </w:rPr>
              <w:t>Items that will not be reclassified to administered net result</w:t>
            </w:r>
          </w:p>
        </w:tc>
        <w:tc>
          <w:tcPr>
            <w:tcW w:w="839"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40"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0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69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840"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794"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81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703"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762"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7839E2" w:rsidRPr="00892DE3" w:rsidRDefault="007839E2" w:rsidP="007839E2">
            <w:pPr>
              <w:rPr>
                <w:rFonts w:cstheme="majorHAnsi"/>
              </w:rPr>
            </w:pPr>
            <w:r w:rsidRPr="00892DE3">
              <w:rPr>
                <w:rFonts w:cstheme="majorHAnsi"/>
              </w:rPr>
              <w:t>Adjustment to accumulated surplus/(deficit) due to change in accounting policy</w:t>
            </w:r>
          </w:p>
        </w:tc>
        <w:tc>
          <w:tcPr>
            <w:tcW w:w="839" w:type="dxa"/>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noWrap/>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153</w:t>
            </w:r>
          </w:p>
        </w:tc>
        <w:tc>
          <w:tcPr>
            <w:tcW w:w="700"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201</w:t>
            </w:r>
          </w:p>
        </w:tc>
        <w:tc>
          <w:tcPr>
            <w:tcW w:w="840"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243</w:t>
            </w:r>
          </w:p>
        </w:tc>
        <w:tc>
          <w:tcPr>
            <w:tcW w:w="819"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3"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1" w:type="dxa"/>
          </w:tcPr>
          <w:p w:rsidR="007839E2" w:rsidRPr="00892DE3" w:rsidRDefault="007839E2"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597</w:t>
            </w:r>
          </w:p>
        </w:tc>
      </w:tr>
      <w:tr w:rsidR="007839E2"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7839E2" w:rsidRPr="00892DE3" w:rsidRDefault="007839E2" w:rsidP="007839E2">
            <w:pPr>
              <w:rPr>
                <w:rFonts w:cstheme="majorHAnsi"/>
              </w:rPr>
            </w:pPr>
            <w:r w:rsidRPr="00892DE3">
              <w:rPr>
                <w:rFonts w:cstheme="majorHAnsi"/>
              </w:rPr>
              <w:t>Changes in physical asset revaluation surplus</w:t>
            </w:r>
          </w:p>
        </w:tc>
        <w:tc>
          <w:tcPr>
            <w:tcW w:w="839" w:type="dxa"/>
            <w:tcBorders>
              <w:bottom w:val="single" w:sz="4" w:space="0" w:color="auto"/>
            </w:tcBorders>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noWrap/>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0"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19"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3"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1" w:type="dxa"/>
            <w:tcBorders>
              <w:bottom w:val="single" w:sz="4" w:space="0" w:color="auto"/>
            </w:tcBorders>
          </w:tcPr>
          <w:p w:rsidR="007839E2" w:rsidRPr="00892DE3" w:rsidRDefault="00CF5A34" w:rsidP="007839E2">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7839E2" w:rsidRPr="00892DE3" w:rsidTr="00CF5A3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bottom w:val="single" w:sz="12" w:space="0" w:color="auto"/>
            </w:tcBorders>
          </w:tcPr>
          <w:p w:rsidR="007839E2" w:rsidRPr="00892DE3" w:rsidRDefault="007839E2" w:rsidP="00450E27">
            <w:pPr>
              <w:ind w:left="0" w:firstLine="0"/>
            </w:pPr>
            <w:r w:rsidRPr="00892DE3">
              <w:t>Total administered comprehensive result</w:t>
            </w:r>
          </w:p>
        </w:tc>
        <w:tc>
          <w:tcPr>
            <w:tcW w:w="839" w:type="dxa"/>
            <w:tcBorders>
              <w:top w:val="single" w:sz="4" w:space="0" w:color="auto"/>
              <w:bottom w:val="single" w:sz="12" w:space="0" w:color="auto"/>
            </w:tcBorders>
            <w:noWrap/>
          </w:tcPr>
          <w:p w:rsidR="007839E2" w:rsidRPr="00892DE3" w:rsidRDefault="007839E2" w:rsidP="00450E27">
            <w:pPr>
              <w:cnfStyle w:val="010000000000" w:firstRow="0" w:lastRow="1" w:firstColumn="0" w:lastColumn="0" w:oddVBand="0" w:evenVBand="0" w:oddHBand="0" w:evenHBand="0" w:firstRowFirstColumn="0" w:firstRowLastColumn="0" w:lastRowFirstColumn="0" w:lastRowLastColumn="0"/>
            </w:pPr>
            <w:r w:rsidRPr="00892DE3">
              <w:t>253</w:t>
            </w:r>
          </w:p>
        </w:tc>
        <w:tc>
          <w:tcPr>
            <w:tcW w:w="840" w:type="dxa"/>
            <w:tcBorders>
              <w:top w:val="single" w:sz="4" w:space="0" w:color="auto"/>
              <w:bottom w:val="single" w:sz="12" w:space="0" w:color="auto"/>
            </w:tcBorders>
            <w:noWrap/>
          </w:tcPr>
          <w:p w:rsidR="007839E2" w:rsidRPr="00892DE3" w:rsidRDefault="007839E2" w:rsidP="00450E27">
            <w:pPr>
              <w:cnfStyle w:val="010000000000" w:firstRow="0" w:lastRow="1" w:firstColumn="0" w:lastColumn="0" w:oddVBand="0" w:evenVBand="0" w:oddHBand="0" w:evenHBand="0" w:firstRowFirstColumn="0" w:firstRowLastColumn="0" w:lastRowFirstColumn="0" w:lastRowLastColumn="0"/>
            </w:pPr>
            <w:r w:rsidRPr="00892DE3">
              <w:t>(3)</w:t>
            </w:r>
          </w:p>
        </w:tc>
        <w:tc>
          <w:tcPr>
            <w:tcW w:w="700" w:type="dxa"/>
            <w:tcBorders>
              <w:top w:val="single" w:sz="4" w:space="0" w:color="auto"/>
              <w:bottom w:val="single" w:sz="12" w:space="0" w:color="auto"/>
            </w:tcBorders>
          </w:tcPr>
          <w:p w:rsidR="007839E2" w:rsidRPr="00892DE3" w:rsidRDefault="00CF5A34" w:rsidP="00450E27">
            <w:pPr>
              <w:cnfStyle w:val="010000000000" w:firstRow="0" w:lastRow="1" w:firstColumn="0" w:lastColumn="0" w:oddVBand="0" w:evenVBand="0" w:oddHBand="0" w:evenHBand="0" w:firstRowFirstColumn="0" w:firstRowLastColumn="0" w:lastRowFirstColumn="0" w:lastRowLastColumn="0"/>
            </w:pPr>
            <w:r w:rsidRPr="00892DE3">
              <w:t>..</w:t>
            </w:r>
          </w:p>
        </w:tc>
        <w:tc>
          <w:tcPr>
            <w:tcW w:w="699" w:type="dxa"/>
            <w:tcBorders>
              <w:top w:val="single" w:sz="4" w:space="0" w:color="auto"/>
              <w:bottom w:val="single" w:sz="12" w:space="0" w:color="auto"/>
            </w:tcBorders>
          </w:tcPr>
          <w:p w:rsidR="007839E2" w:rsidRPr="00892DE3" w:rsidRDefault="007839E2" w:rsidP="00450E27">
            <w:pPr>
              <w:cnfStyle w:val="010000000000" w:firstRow="0" w:lastRow="1" w:firstColumn="0" w:lastColumn="0" w:oddVBand="0" w:evenVBand="0" w:oddHBand="0" w:evenHBand="0" w:firstRowFirstColumn="0" w:firstRowLastColumn="0" w:lastRowFirstColumn="0" w:lastRowLastColumn="0"/>
            </w:pPr>
            <w:r w:rsidRPr="00892DE3">
              <w:t>701</w:t>
            </w:r>
          </w:p>
        </w:tc>
        <w:tc>
          <w:tcPr>
            <w:tcW w:w="840" w:type="dxa"/>
            <w:tcBorders>
              <w:top w:val="single" w:sz="4" w:space="0" w:color="auto"/>
              <w:bottom w:val="single" w:sz="12" w:space="0" w:color="auto"/>
            </w:tcBorders>
          </w:tcPr>
          <w:p w:rsidR="007839E2" w:rsidRPr="00892DE3" w:rsidRDefault="00CF5A34" w:rsidP="00450E27">
            <w:pPr>
              <w:cnfStyle w:val="010000000000" w:firstRow="0" w:lastRow="1" w:firstColumn="0" w:lastColumn="0" w:oddVBand="0" w:evenVBand="0" w:oddHBand="0" w:evenHBand="0" w:firstRowFirstColumn="0" w:firstRowLastColumn="0" w:lastRowFirstColumn="0" w:lastRowLastColumn="0"/>
            </w:pPr>
            <w:r w:rsidRPr="00892DE3">
              <w:t>..</w:t>
            </w:r>
          </w:p>
        </w:tc>
        <w:tc>
          <w:tcPr>
            <w:tcW w:w="794" w:type="dxa"/>
            <w:tcBorders>
              <w:top w:val="single" w:sz="4" w:space="0" w:color="auto"/>
              <w:bottom w:val="single" w:sz="12" w:space="0" w:color="auto"/>
            </w:tcBorders>
          </w:tcPr>
          <w:p w:rsidR="007839E2" w:rsidRPr="00892DE3" w:rsidRDefault="007839E2" w:rsidP="00450E27">
            <w:pPr>
              <w:cnfStyle w:val="010000000000" w:firstRow="0" w:lastRow="1" w:firstColumn="0" w:lastColumn="0" w:oddVBand="0" w:evenVBand="0" w:oddHBand="0" w:evenHBand="0" w:firstRowFirstColumn="0" w:firstRowLastColumn="0" w:lastRowFirstColumn="0" w:lastRowLastColumn="0"/>
            </w:pPr>
            <w:r w:rsidRPr="00892DE3">
              <w:t>(257)</w:t>
            </w:r>
          </w:p>
        </w:tc>
        <w:tc>
          <w:tcPr>
            <w:tcW w:w="819" w:type="dxa"/>
            <w:tcBorders>
              <w:top w:val="single" w:sz="4" w:space="0" w:color="auto"/>
              <w:bottom w:val="single" w:sz="12" w:space="0" w:color="auto"/>
            </w:tcBorders>
          </w:tcPr>
          <w:p w:rsidR="007839E2" w:rsidRPr="00892DE3" w:rsidRDefault="007839E2" w:rsidP="00450E27">
            <w:pPr>
              <w:cnfStyle w:val="010000000000" w:firstRow="0" w:lastRow="1" w:firstColumn="0" w:lastColumn="0" w:oddVBand="0" w:evenVBand="0" w:oddHBand="0" w:evenHBand="0" w:firstRowFirstColumn="0" w:firstRowLastColumn="0" w:lastRowFirstColumn="0" w:lastRowLastColumn="0"/>
            </w:pPr>
            <w:r w:rsidRPr="00892DE3">
              <w:t>225</w:t>
            </w:r>
          </w:p>
        </w:tc>
        <w:tc>
          <w:tcPr>
            <w:tcW w:w="703" w:type="dxa"/>
            <w:tcBorders>
              <w:top w:val="single" w:sz="4" w:space="0" w:color="auto"/>
              <w:bottom w:val="single" w:sz="12" w:space="0" w:color="auto"/>
            </w:tcBorders>
          </w:tcPr>
          <w:p w:rsidR="007839E2" w:rsidRPr="00892DE3" w:rsidRDefault="007839E2" w:rsidP="00450E27">
            <w:pPr>
              <w:cnfStyle w:val="010000000000" w:firstRow="0" w:lastRow="1" w:firstColumn="0" w:lastColumn="0" w:oddVBand="0" w:evenVBand="0" w:oddHBand="0" w:evenHBand="0" w:firstRowFirstColumn="0" w:firstRowLastColumn="0" w:lastRowFirstColumn="0" w:lastRowLastColumn="0"/>
            </w:pPr>
            <w:r w:rsidRPr="00892DE3">
              <w:t>88</w:t>
            </w:r>
          </w:p>
        </w:tc>
        <w:tc>
          <w:tcPr>
            <w:tcW w:w="762" w:type="dxa"/>
            <w:tcBorders>
              <w:top w:val="single" w:sz="4" w:space="0" w:color="auto"/>
              <w:bottom w:val="single" w:sz="12" w:space="0" w:color="auto"/>
            </w:tcBorders>
          </w:tcPr>
          <w:p w:rsidR="007839E2" w:rsidRPr="00892DE3" w:rsidRDefault="007839E2" w:rsidP="00450E27">
            <w:pPr>
              <w:cnfStyle w:val="010000000000" w:firstRow="0" w:lastRow="1" w:firstColumn="0" w:lastColumn="0" w:oddVBand="0" w:evenVBand="0" w:oddHBand="0" w:evenHBand="0" w:firstRowFirstColumn="0" w:firstRowLastColumn="0" w:lastRowFirstColumn="0" w:lastRowLastColumn="0"/>
            </w:pPr>
            <w:r w:rsidRPr="00892DE3">
              <w:t>478</w:t>
            </w:r>
          </w:p>
        </w:tc>
        <w:tc>
          <w:tcPr>
            <w:tcW w:w="841" w:type="dxa"/>
            <w:tcBorders>
              <w:top w:val="single" w:sz="4" w:space="0" w:color="auto"/>
              <w:bottom w:val="single" w:sz="12" w:space="0" w:color="auto"/>
            </w:tcBorders>
          </w:tcPr>
          <w:p w:rsidR="007839E2" w:rsidRPr="00892DE3" w:rsidRDefault="007839E2" w:rsidP="00450E27">
            <w:pPr>
              <w:cnfStyle w:val="010000000000" w:firstRow="0" w:lastRow="1" w:firstColumn="0" w:lastColumn="0" w:oddVBand="0" w:evenVBand="0" w:oddHBand="0" w:evenHBand="0" w:firstRowFirstColumn="0" w:firstRowLastColumn="0" w:lastRowFirstColumn="0" w:lastRowLastColumn="0"/>
            </w:pPr>
            <w:r w:rsidRPr="00892DE3">
              <w:t>529</w:t>
            </w:r>
          </w:p>
        </w:tc>
      </w:tr>
    </w:tbl>
    <w:p w:rsidR="00450E27" w:rsidRPr="00892DE3" w:rsidRDefault="00450E27" w:rsidP="00450E27">
      <w:pPr>
        <w:pStyle w:val="Note"/>
      </w:pPr>
      <w:r w:rsidRPr="00892DE3">
        <w:t>Notes:</w:t>
      </w:r>
    </w:p>
    <w:p w:rsidR="00450E27" w:rsidRPr="00892DE3" w:rsidRDefault="00450E27" w:rsidP="00CF5A34">
      <w:pPr>
        <w:pStyle w:val="Note"/>
      </w:pPr>
      <w:r w:rsidRPr="00892DE3">
        <w:t>(</w:t>
      </w:r>
      <w:r w:rsidR="00AA6AAF" w:rsidRPr="00892DE3">
        <w:t>a</w:t>
      </w:r>
      <w:r w:rsidRPr="00892DE3">
        <w:t>)</w:t>
      </w:r>
      <w:r w:rsidRPr="00892DE3">
        <w:tab/>
        <w:t>Based on the Administrative Arrangements Order [No. xxx] 2016, figures for the income and expenses for the new technology administration output for the comparative year are not adjusted. Figures for the income and expenses of the output for the current year are reported by the Department of Cabinet Administration.</w:t>
      </w:r>
    </w:p>
    <w:p w:rsidR="00450E27" w:rsidRPr="00892DE3" w:rsidRDefault="00450E27" w:rsidP="00CF5A34">
      <w:pPr>
        <w:pStyle w:val="Note"/>
      </w:pPr>
      <w:r w:rsidRPr="00892DE3">
        <w:t>(</w:t>
      </w:r>
      <w:r w:rsidR="00AA6AAF" w:rsidRPr="00892DE3">
        <w:t>b</w:t>
      </w:r>
      <w:r w:rsidRPr="00892DE3">
        <w:t>)</w:t>
      </w:r>
      <w:r w:rsidRPr="00892DE3">
        <w:tab/>
        <w:t>Based on the Administrative Arrangements Order [No. xxx] 2016, figures for the income and expenses for the R&amp;D biological technology output for the current financial year are as at 30 June 2017. Figures for the income and expenses of the output for the comparative year are reported by the Department of Natural Resources.</w:t>
      </w:r>
    </w:p>
    <w:p w:rsidR="006F49E6" w:rsidRPr="00892DE3" w:rsidRDefault="006F49E6">
      <w:pPr>
        <w:keepLines w:val="0"/>
      </w:pPr>
      <w:r w:rsidRPr="00892DE3">
        <w:br w:type="page"/>
      </w:r>
    </w:p>
    <w:p w:rsidR="006F49E6" w:rsidRPr="00892DE3" w:rsidRDefault="006F49E6" w:rsidP="006F49E6">
      <w:pPr>
        <w:pStyle w:val="Heading30"/>
      </w:pPr>
      <w:r w:rsidRPr="00892DE3">
        <w:lastRenderedPageBreak/>
        <w:t xml:space="preserve">Administered (non-controlled) items </w:t>
      </w:r>
      <w:r w:rsidRPr="00892DE3">
        <w:rPr>
          <w:i/>
        </w:rPr>
        <w:t>(continued)</w:t>
      </w:r>
      <w:r w:rsidRPr="00892DE3">
        <w:t xml:space="preserve"> </w:t>
      </w:r>
      <w:r w:rsidRPr="00892DE3">
        <w:rPr>
          <w:rStyle w:val="SourceReference"/>
        </w:rPr>
        <w:t>[AASB 1050.7, FRD 9A]</w:t>
      </w:r>
    </w:p>
    <w:p w:rsidR="00450E27" w:rsidRPr="00892DE3" w:rsidRDefault="006F49E6" w:rsidP="006F49E6">
      <w:pPr>
        <w:pStyle w:val="TableHeading"/>
      </w:pPr>
      <w:r w:rsidRPr="00892DE3">
        <w:t xml:space="preserve">For the financial year ended 30 June 2017 </w:t>
      </w:r>
      <w:r w:rsidRPr="00892DE3">
        <w:tab/>
      </w:r>
      <w:r w:rsidRPr="00892DE3">
        <w:tab/>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6818"/>
        <w:gridCol w:w="829"/>
        <w:gridCol w:w="831"/>
        <w:gridCol w:w="693"/>
        <w:gridCol w:w="692"/>
        <w:gridCol w:w="831"/>
        <w:gridCol w:w="786"/>
        <w:gridCol w:w="810"/>
        <w:gridCol w:w="696"/>
        <w:gridCol w:w="754"/>
        <w:gridCol w:w="832"/>
      </w:tblGrid>
      <w:tr w:rsidR="006F49E6" w:rsidRPr="00892DE3" w:rsidTr="00CF5A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03" w:type="dxa"/>
          </w:tcPr>
          <w:p w:rsidR="006F49E6" w:rsidRPr="00892DE3" w:rsidRDefault="006F49E6" w:rsidP="006F49E6">
            <w:pPr>
              <w:ind w:left="0" w:firstLine="0"/>
              <w:rPr>
                <w:rFonts w:cstheme="majorHAnsi"/>
              </w:rPr>
            </w:pPr>
          </w:p>
        </w:tc>
        <w:tc>
          <w:tcPr>
            <w:tcW w:w="1679" w:type="dxa"/>
            <w:gridSpan w:val="2"/>
            <w:noWrap/>
          </w:tcPr>
          <w:p w:rsidR="006F49E6" w:rsidRPr="00892DE3" w:rsidRDefault="006F49E6" w:rsidP="006F49E6">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Strategic </w:t>
            </w:r>
            <w:r w:rsidRPr="00892DE3">
              <w:rPr>
                <w:rFonts w:cstheme="majorHAnsi"/>
              </w:rPr>
              <w:br/>
              <w:t>policy advice</w:t>
            </w:r>
          </w:p>
        </w:tc>
        <w:tc>
          <w:tcPr>
            <w:tcW w:w="1399" w:type="dxa"/>
            <w:gridSpan w:val="2"/>
          </w:tcPr>
          <w:p w:rsidR="006F49E6" w:rsidRPr="00892DE3" w:rsidRDefault="006F49E6" w:rsidP="006F49E6">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IT&amp;T </w:t>
            </w:r>
            <w:r w:rsidR="00CF5A34" w:rsidRPr="00892DE3">
              <w:rPr>
                <w:rFonts w:cstheme="majorHAnsi"/>
              </w:rPr>
              <w:br/>
            </w:r>
            <w:r w:rsidRPr="00892DE3">
              <w:rPr>
                <w:rFonts w:cstheme="majorHAnsi"/>
              </w:rPr>
              <w:t>services</w:t>
            </w:r>
          </w:p>
        </w:tc>
        <w:tc>
          <w:tcPr>
            <w:tcW w:w="1634" w:type="dxa"/>
            <w:gridSpan w:val="2"/>
          </w:tcPr>
          <w:p w:rsidR="006F49E6" w:rsidRPr="00892DE3" w:rsidRDefault="00CF5A34" w:rsidP="00CF5A34">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New technology administration </w:t>
            </w:r>
            <w:r w:rsidRPr="00892DE3">
              <w:rPr>
                <w:rFonts w:cstheme="majorHAnsi"/>
                <w:vertAlign w:val="superscript"/>
              </w:rPr>
              <w:t>(a</w:t>
            </w:r>
            <w:r w:rsidR="006F49E6" w:rsidRPr="00892DE3">
              <w:rPr>
                <w:rFonts w:cstheme="majorHAnsi"/>
                <w:vertAlign w:val="superscript"/>
              </w:rPr>
              <w:t>)</w:t>
            </w:r>
          </w:p>
        </w:tc>
        <w:tc>
          <w:tcPr>
            <w:tcW w:w="1522" w:type="dxa"/>
            <w:gridSpan w:val="2"/>
          </w:tcPr>
          <w:p w:rsidR="006F49E6" w:rsidRPr="00892DE3" w:rsidRDefault="00CF5A34" w:rsidP="00CF5A34">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R&amp;D biological technology </w:t>
            </w:r>
            <w:r w:rsidRPr="00892DE3">
              <w:rPr>
                <w:rFonts w:cstheme="majorHAnsi"/>
                <w:vertAlign w:val="superscript"/>
              </w:rPr>
              <w:t>(b</w:t>
            </w:r>
            <w:r w:rsidR="006F49E6" w:rsidRPr="00892DE3">
              <w:rPr>
                <w:rFonts w:cstheme="majorHAnsi"/>
                <w:vertAlign w:val="superscript"/>
              </w:rPr>
              <w:t>)</w:t>
            </w:r>
          </w:p>
        </w:tc>
        <w:tc>
          <w:tcPr>
            <w:tcW w:w="1603" w:type="dxa"/>
            <w:gridSpan w:val="2"/>
          </w:tcPr>
          <w:p w:rsidR="006F49E6" w:rsidRPr="00892DE3" w:rsidRDefault="006F49E6" w:rsidP="006F49E6">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Departmental </w:t>
            </w:r>
            <w:r w:rsidR="00CF5A34" w:rsidRPr="00892DE3">
              <w:rPr>
                <w:rFonts w:cstheme="majorHAnsi"/>
              </w:rPr>
              <w:br/>
            </w:r>
            <w:r w:rsidRPr="00892DE3">
              <w:rPr>
                <w:rFonts w:cstheme="majorHAnsi"/>
              </w:rPr>
              <w:t>total</w:t>
            </w:r>
          </w:p>
        </w:tc>
      </w:tr>
      <w:tr w:rsidR="006F49E6" w:rsidRPr="00892DE3" w:rsidTr="00CF5A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03" w:type="dxa"/>
          </w:tcPr>
          <w:p w:rsidR="006F49E6" w:rsidRPr="00892DE3" w:rsidRDefault="006F49E6" w:rsidP="006F49E6">
            <w:pPr>
              <w:ind w:left="0" w:firstLine="0"/>
              <w:rPr>
                <w:rFonts w:cstheme="majorHAnsi"/>
              </w:rPr>
            </w:pPr>
          </w:p>
        </w:tc>
        <w:tc>
          <w:tcPr>
            <w:tcW w:w="839" w:type="dxa"/>
            <w:noWrap/>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840" w:type="dxa"/>
            <w:noWrap/>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700" w:type="dxa"/>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699" w:type="dxa"/>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840" w:type="dxa"/>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794" w:type="dxa"/>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819" w:type="dxa"/>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703" w:type="dxa"/>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c>
          <w:tcPr>
            <w:tcW w:w="762" w:type="dxa"/>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841" w:type="dxa"/>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6F49E6" w:rsidRPr="00892DE3" w:rsidRDefault="006F49E6" w:rsidP="006F49E6">
            <w:pPr>
              <w:rPr>
                <w:rFonts w:cstheme="majorHAnsi"/>
                <w:b/>
              </w:rPr>
            </w:pPr>
            <w:r w:rsidRPr="00892DE3">
              <w:rPr>
                <w:rFonts w:cstheme="majorHAnsi"/>
                <w:b/>
              </w:rPr>
              <w:t>Administered financial assets</w:t>
            </w:r>
          </w:p>
        </w:tc>
        <w:tc>
          <w:tcPr>
            <w:tcW w:w="839" w:type="dxa"/>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840" w:type="dxa"/>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700"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699"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840"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794"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819"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703"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762"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841"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6F49E6" w:rsidRPr="00892DE3" w:rsidRDefault="006F49E6" w:rsidP="006F49E6">
            <w:pPr>
              <w:rPr>
                <w:rFonts w:cstheme="majorHAnsi"/>
              </w:rPr>
            </w:pPr>
            <w:r w:rsidRPr="00892DE3">
              <w:rPr>
                <w:rFonts w:cstheme="majorHAnsi"/>
              </w:rPr>
              <w:t>Receivables</w:t>
            </w:r>
          </w:p>
        </w:tc>
        <w:tc>
          <w:tcPr>
            <w:tcW w:w="839" w:type="dxa"/>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443</w:t>
            </w:r>
          </w:p>
        </w:tc>
        <w:tc>
          <w:tcPr>
            <w:tcW w:w="840" w:type="dxa"/>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746</w:t>
            </w:r>
          </w:p>
        </w:tc>
        <w:tc>
          <w:tcPr>
            <w:tcW w:w="700"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3 242</w:t>
            </w:r>
          </w:p>
        </w:tc>
        <w:tc>
          <w:tcPr>
            <w:tcW w:w="699"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1 491</w:t>
            </w:r>
          </w:p>
        </w:tc>
        <w:tc>
          <w:tcPr>
            <w:tcW w:w="840" w:type="dxa"/>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4 167</w:t>
            </w:r>
          </w:p>
        </w:tc>
        <w:tc>
          <w:tcPr>
            <w:tcW w:w="819"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5 407</w:t>
            </w:r>
          </w:p>
        </w:tc>
        <w:tc>
          <w:tcPr>
            <w:tcW w:w="703" w:type="dxa"/>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9 092</w:t>
            </w:r>
          </w:p>
        </w:tc>
        <w:tc>
          <w:tcPr>
            <w:tcW w:w="841"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6 404</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bottom w:val="single" w:sz="6" w:space="0" w:color="auto"/>
            </w:tcBorders>
          </w:tcPr>
          <w:p w:rsidR="006F49E6" w:rsidRPr="00892DE3" w:rsidRDefault="006F49E6" w:rsidP="006F49E6">
            <w:pPr>
              <w:rPr>
                <w:rFonts w:cstheme="majorHAnsi"/>
              </w:rPr>
            </w:pPr>
            <w:r w:rsidRPr="00892DE3">
              <w:rPr>
                <w:rFonts w:cstheme="majorHAnsi"/>
              </w:rPr>
              <w:t>Investments and other financial assets</w:t>
            </w:r>
          </w:p>
        </w:tc>
        <w:tc>
          <w:tcPr>
            <w:tcW w:w="839" w:type="dxa"/>
            <w:tcBorders>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5 897</w:t>
            </w:r>
          </w:p>
        </w:tc>
        <w:tc>
          <w:tcPr>
            <w:tcW w:w="840" w:type="dxa"/>
            <w:tcBorders>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4 378</w:t>
            </w:r>
          </w:p>
        </w:tc>
        <w:tc>
          <w:tcPr>
            <w:tcW w:w="700"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4 090</w:t>
            </w:r>
          </w:p>
        </w:tc>
        <w:tc>
          <w:tcPr>
            <w:tcW w:w="699"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3 051</w:t>
            </w:r>
          </w:p>
        </w:tc>
        <w:tc>
          <w:tcPr>
            <w:tcW w:w="840" w:type="dxa"/>
            <w:tcBorders>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4 573</w:t>
            </w:r>
          </w:p>
        </w:tc>
        <w:tc>
          <w:tcPr>
            <w:tcW w:w="819"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2 245</w:t>
            </w:r>
          </w:p>
        </w:tc>
        <w:tc>
          <w:tcPr>
            <w:tcW w:w="703" w:type="dxa"/>
            <w:tcBorders>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12 232</w:t>
            </w:r>
          </w:p>
        </w:tc>
        <w:tc>
          <w:tcPr>
            <w:tcW w:w="841"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12 002</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6F49E6" w:rsidRPr="00892DE3" w:rsidRDefault="006F49E6" w:rsidP="006F49E6">
            <w:pPr>
              <w:rPr>
                <w:rFonts w:cstheme="majorHAnsi"/>
                <w:b/>
              </w:rPr>
            </w:pPr>
            <w:r w:rsidRPr="00892DE3">
              <w:rPr>
                <w:rFonts w:cstheme="majorHAnsi"/>
                <w:b/>
              </w:rPr>
              <w:t>Total administered financial assets</w:t>
            </w:r>
          </w:p>
        </w:tc>
        <w:tc>
          <w:tcPr>
            <w:tcW w:w="839" w:type="dxa"/>
            <w:tcBorders>
              <w:top w:val="single" w:sz="6" w:space="0" w:color="auto"/>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6 340</w:t>
            </w:r>
          </w:p>
        </w:tc>
        <w:tc>
          <w:tcPr>
            <w:tcW w:w="840" w:type="dxa"/>
            <w:tcBorders>
              <w:top w:val="single" w:sz="6" w:space="0" w:color="auto"/>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5 124</w:t>
            </w:r>
          </w:p>
        </w:tc>
        <w:tc>
          <w:tcPr>
            <w:tcW w:w="700"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7 332</w:t>
            </w:r>
          </w:p>
        </w:tc>
        <w:tc>
          <w:tcPr>
            <w:tcW w:w="699"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4 542</w:t>
            </w:r>
          </w:p>
        </w:tc>
        <w:tc>
          <w:tcPr>
            <w:tcW w:w="840" w:type="dxa"/>
            <w:tcBorders>
              <w:top w:val="single" w:sz="6" w:space="0" w:color="auto"/>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8 740</w:t>
            </w:r>
          </w:p>
        </w:tc>
        <w:tc>
          <w:tcPr>
            <w:tcW w:w="819"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7 652</w:t>
            </w:r>
          </w:p>
        </w:tc>
        <w:tc>
          <w:tcPr>
            <w:tcW w:w="703" w:type="dxa"/>
            <w:tcBorders>
              <w:top w:val="single" w:sz="6" w:space="0" w:color="auto"/>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21 324</w:t>
            </w:r>
          </w:p>
        </w:tc>
        <w:tc>
          <w:tcPr>
            <w:tcW w:w="841"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18 406</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tcBorders>
          </w:tcPr>
          <w:p w:rsidR="006F49E6" w:rsidRPr="00892DE3" w:rsidRDefault="006F49E6" w:rsidP="006F49E6">
            <w:pPr>
              <w:rPr>
                <w:rFonts w:cstheme="majorHAnsi"/>
                <w:b/>
              </w:rPr>
            </w:pPr>
            <w:r w:rsidRPr="00892DE3">
              <w:rPr>
                <w:rFonts w:cstheme="majorHAnsi"/>
                <w:b/>
              </w:rPr>
              <w:t>Administered non</w:t>
            </w:r>
            <w:r w:rsidRPr="00892DE3">
              <w:rPr>
                <w:rFonts w:cstheme="majorHAnsi"/>
                <w:b/>
              </w:rPr>
              <w:noBreakHyphen/>
              <w:t>financial assets</w:t>
            </w:r>
            <w:r w:rsidR="00CF5A34" w:rsidRPr="00892DE3">
              <w:rPr>
                <w:rFonts w:cstheme="majorHAnsi"/>
                <w:b/>
                <w:vertAlign w:val="superscript"/>
              </w:rPr>
              <w:t xml:space="preserve"> (c</w:t>
            </w:r>
            <w:r w:rsidRPr="00892DE3">
              <w:rPr>
                <w:rFonts w:cstheme="majorHAnsi"/>
                <w:b/>
                <w:vertAlign w:val="superscript"/>
              </w:rPr>
              <w:t>)</w:t>
            </w:r>
          </w:p>
        </w:tc>
        <w:tc>
          <w:tcPr>
            <w:tcW w:w="839" w:type="dxa"/>
            <w:tcBorders>
              <w:top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840" w:type="dxa"/>
            <w:tcBorders>
              <w:top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700"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699"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840"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i/>
                <w:noProof/>
              </w:rPr>
            </w:pPr>
          </w:p>
        </w:tc>
        <w:tc>
          <w:tcPr>
            <w:tcW w:w="794"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819"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703"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i/>
                <w:noProof/>
              </w:rPr>
            </w:pPr>
          </w:p>
        </w:tc>
        <w:tc>
          <w:tcPr>
            <w:tcW w:w="762"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841"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6F49E6" w:rsidRPr="00892DE3" w:rsidRDefault="006F49E6" w:rsidP="006F49E6">
            <w:pPr>
              <w:rPr>
                <w:rFonts w:cstheme="majorHAnsi"/>
              </w:rPr>
            </w:pPr>
            <w:r w:rsidRPr="00892DE3">
              <w:rPr>
                <w:rFonts w:cstheme="majorHAnsi"/>
              </w:rPr>
              <w:t>Inventories</w:t>
            </w:r>
          </w:p>
        </w:tc>
        <w:tc>
          <w:tcPr>
            <w:tcW w:w="839" w:type="dxa"/>
            <w:noWrap/>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noWrap/>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0"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243</w:t>
            </w:r>
          </w:p>
        </w:tc>
        <w:tc>
          <w:tcPr>
            <w:tcW w:w="699" w:type="dxa"/>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1 894</w:t>
            </w:r>
          </w:p>
        </w:tc>
        <w:tc>
          <w:tcPr>
            <w:tcW w:w="819"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1 109</w:t>
            </w:r>
          </w:p>
        </w:tc>
        <w:tc>
          <w:tcPr>
            <w:tcW w:w="703" w:type="dxa"/>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1 352</w:t>
            </w:r>
          </w:p>
        </w:tc>
        <w:tc>
          <w:tcPr>
            <w:tcW w:w="841"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1 894</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bottom w:val="single" w:sz="6" w:space="0" w:color="auto"/>
            </w:tcBorders>
          </w:tcPr>
          <w:p w:rsidR="006F49E6" w:rsidRPr="00892DE3" w:rsidRDefault="006F49E6" w:rsidP="006F49E6">
            <w:pPr>
              <w:rPr>
                <w:rFonts w:cstheme="majorHAnsi"/>
              </w:rPr>
            </w:pPr>
            <w:r w:rsidRPr="00892DE3">
              <w:rPr>
                <w:rFonts w:cstheme="majorHAnsi"/>
              </w:rPr>
              <w:t>Prepayments</w:t>
            </w:r>
          </w:p>
        </w:tc>
        <w:tc>
          <w:tcPr>
            <w:tcW w:w="839" w:type="dxa"/>
            <w:tcBorders>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578</w:t>
            </w:r>
          </w:p>
        </w:tc>
        <w:tc>
          <w:tcPr>
            <w:tcW w:w="840" w:type="dxa"/>
            <w:tcBorders>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872</w:t>
            </w:r>
          </w:p>
        </w:tc>
        <w:tc>
          <w:tcPr>
            <w:tcW w:w="700"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326</w:t>
            </w:r>
          </w:p>
        </w:tc>
        <w:tc>
          <w:tcPr>
            <w:tcW w:w="699"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537</w:t>
            </w:r>
          </w:p>
        </w:tc>
        <w:tc>
          <w:tcPr>
            <w:tcW w:w="840" w:type="dxa"/>
            <w:tcBorders>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901</w:t>
            </w:r>
          </w:p>
        </w:tc>
        <w:tc>
          <w:tcPr>
            <w:tcW w:w="819"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783</w:t>
            </w:r>
          </w:p>
        </w:tc>
        <w:tc>
          <w:tcPr>
            <w:tcW w:w="703" w:type="dxa"/>
            <w:tcBorders>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1 687</w:t>
            </w:r>
          </w:p>
        </w:tc>
        <w:tc>
          <w:tcPr>
            <w:tcW w:w="841"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2 310</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6F49E6" w:rsidRPr="00892DE3" w:rsidRDefault="006F49E6" w:rsidP="006F49E6">
            <w:pPr>
              <w:rPr>
                <w:rFonts w:cstheme="majorHAnsi"/>
                <w:b/>
              </w:rPr>
            </w:pPr>
            <w:r w:rsidRPr="00892DE3">
              <w:rPr>
                <w:rFonts w:cstheme="majorHAnsi"/>
                <w:b/>
              </w:rPr>
              <w:t>Total administered non</w:t>
            </w:r>
            <w:r w:rsidRPr="00892DE3">
              <w:rPr>
                <w:rFonts w:cstheme="majorHAnsi"/>
                <w:b/>
              </w:rPr>
              <w:noBreakHyphen/>
              <w:t xml:space="preserve">financial assets </w:t>
            </w:r>
          </w:p>
        </w:tc>
        <w:tc>
          <w:tcPr>
            <w:tcW w:w="839" w:type="dxa"/>
            <w:tcBorders>
              <w:top w:val="single" w:sz="6" w:space="0" w:color="auto"/>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578</w:t>
            </w:r>
          </w:p>
        </w:tc>
        <w:tc>
          <w:tcPr>
            <w:tcW w:w="840" w:type="dxa"/>
            <w:tcBorders>
              <w:top w:val="single" w:sz="6" w:space="0" w:color="auto"/>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872</w:t>
            </w:r>
          </w:p>
        </w:tc>
        <w:tc>
          <w:tcPr>
            <w:tcW w:w="700"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569</w:t>
            </w:r>
          </w:p>
        </w:tc>
        <w:tc>
          <w:tcPr>
            <w:tcW w:w="699"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537</w:t>
            </w:r>
          </w:p>
        </w:tc>
        <w:tc>
          <w:tcPr>
            <w:tcW w:w="840" w:type="dxa"/>
            <w:tcBorders>
              <w:top w:val="single" w:sz="6" w:space="0" w:color="auto"/>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2 795</w:t>
            </w:r>
          </w:p>
        </w:tc>
        <w:tc>
          <w:tcPr>
            <w:tcW w:w="819"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1 892</w:t>
            </w:r>
          </w:p>
        </w:tc>
        <w:tc>
          <w:tcPr>
            <w:tcW w:w="703" w:type="dxa"/>
            <w:tcBorders>
              <w:top w:val="single" w:sz="6" w:space="0" w:color="auto"/>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3 039</w:t>
            </w:r>
          </w:p>
        </w:tc>
        <w:tc>
          <w:tcPr>
            <w:tcW w:w="841"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4 204</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6F49E6" w:rsidRPr="00892DE3" w:rsidRDefault="006F49E6" w:rsidP="006F49E6">
            <w:pPr>
              <w:rPr>
                <w:rFonts w:cstheme="majorHAnsi"/>
                <w:b/>
              </w:rPr>
            </w:pPr>
            <w:r w:rsidRPr="00892DE3">
              <w:rPr>
                <w:rFonts w:cstheme="majorHAnsi"/>
                <w:b/>
              </w:rPr>
              <w:t>Total administered assets</w:t>
            </w:r>
          </w:p>
        </w:tc>
        <w:tc>
          <w:tcPr>
            <w:tcW w:w="839" w:type="dxa"/>
            <w:tcBorders>
              <w:top w:val="single" w:sz="6" w:space="0" w:color="auto"/>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6 918</w:t>
            </w:r>
          </w:p>
        </w:tc>
        <w:tc>
          <w:tcPr>
            <w:tcW w:w="840" w:type="dxa"/>
            <w:tcBorders>
              <w:top w:val="single" w:sz="6" w:space="0" w:color="auto"/>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5 996</w:t>
            </w:r>
          </w:p>
        </w:tc>
        <w:tc>
          <w:tcPr>
            <w:tcW w:w="700"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7 901</w:t>
            </w:r>
          </w:p>
        </w:tc>
        <w:tc>
          <w:tcPr>
            <w:tcW w:w="699"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5 079</w:t>
            </w:r>
          </w:p>
        </w:tc>
        <w:tc>
          <w:tcPr>
            <w:tcW w:w="840" w:type="dxa"/>
            <w:tcBorders>
              <w:top w:val="single" w:sz="6" w:space="0" w:color="auto"/>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11 535</w:t>
            </w:r>
          </w:p>
        </w:tc>
        <w:tc>
          <w:tcPr>
            <w:tcW w:w="819"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9 544</w:t>
            </w:r>
          </w:p>
        </w:tc>
        <w:tc>
          <w:tcPr>
            <w:tcW w:w="703" w:type="dxa"/>
            <w:tcBorders>
              <w:top w:val="single" w:sz="6" w:space="0" w:color="auto"/>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24 363</w:t>
            </w:r>
          </w:p>
        </w:tc>
        <w:tc>
          <w:tcPr>
            <w:tcW w:w="841"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22 610</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tcBorders>
          </w:tcPr>
          <w:p w:rsidR="006F49E6" w:rsidRPr="00892DE3" w:rsidRDefault="006F49E6" w:rsidP="006F49E6">
            <w:pPr>
              <w:rPr>
                <w:rFonts w:cstheme="majorHAnsi"/>
                <w:b/>
              </w:rPr>
            </w:pPr>
            <w:r w:rsidRPr="00892DE3">
              <w:rPr>
                <w:rFonts w:cstheme="majorHAnsi"/>
                <w:b/>
              </w:rPr>
              <w:t>Administered liabilities</w:t>
            </w:r>
            <w:r w:rsidR="00CF5A34" w:rsidRPr="00892DE3">
              <w:rPr>
                <w:rFonts w:cstheme="majorHAnsi"/>
                <w:b/>
                <w:vertAlign w:val="superscript"/>
              </w:rPr>
              <w:t xml:space="preserve"> (d</w:t>
            </w:r>
            <w:r w:rsidRPr="00892DE3">
              <w:rPr>
                <w:rFonts w:cstheme="majorHAnsi"/>
                <w:b/>
                <w:vertAlign w:val="superscript"/>
              </w:rPr>
              <w:t>)</w:t>
            </w:r>
          </w:p>
        </w:tc>
        <w:tc>
          <w:tcPr>
            <w:tcW w:w="839" w:type="dxa"/>
            <w:tcBorders>
              <w:top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840" w:type="dxa"/>
            <w:tcBorders>
              <w:top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700"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699"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840"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i/>
              </w:rPr>
            </w:pPr>
          </w:p>
        </w:tc>
        <w:tc>
          <w:tcPr>
            <w:tcW w:w="794"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819"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703"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i/>
              </w:rPr>
            </w:pPr>
          </w:p>
        </w:tc>
        <w:tc>
          <w:tcPr>
            <w:tcW w:w="762"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841" w:type="dxa"/>
            <w:tcBorders>
              <w:top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Pr>
          <w:p w:rsidR="006F49E6" w:rsidRPr="00892DE3" w:rsidRDefault="006F49E6" w:rsidP="006F49E6">
            <w:pPr>
              <w:rPr>
                <w:rFonts w:cstheme="majorHAnsi"/>
              </w:rPr>
            </w:pPr>
            <w:r w:rsidRPr="00892DE3">
              <w:rPr>
                <w:rFonts w:cstheme="majorHAnsi"/>
              </w:rPr>
              <w:t>Payables</w:t>
            </w:r>
          </w:p>
        </w:tc>
        <w:tc>
          <w:tcPr>
            <w:tcW w:w="839" w:type="dxa"/>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1 364</w:t>
            </w:r>
          </w:p>
        </w:tc>
        <w:tc>
          <w:tcPr>
            <w:tcW w:w="840" w:type="dxa"/>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1 093</w:t>
            </w:r>
          </w:p>
        </w:tc>
        <w:tc>
          <w:tcPr>
            <w:tcW w:w="700"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921</w:t>
            </w:r>
          </w:p>
        </w:tc>
        <w:tc>
          <w:tcPr>
            <w:tcW w:w="699"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849</w:t>
            </w:r>
          </w:p>
        </w:tc>
        <w:tc>
          <w:tcPr>
            <w:tcW w:w="840" w:type="dxa"/>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2 277</w:t>
            </w:r>
          </w:p>
        </w:tc>
        <w:tc>
          <w:tcPr>
            <w:tcW w:w="819"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2 107</w:t>
            </w:r>
          </w:p>
        </w:tc>
        <w:tc>
          <w:tcPr>
            <w:tcW w:w="703" w:type="dxa"/>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4 392</w:t>
            </w:r>
          </w:p>
        </w:tc>
        <w:tc>
          <w:tcPr>
            <w:tcW w:w="841"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4 219</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bottom w:val="single" w:sz="6" w:space="0" w:color="auto"/>
            </w:tcBorders>
          </w:tcPr>
          <w:p w:rsidR="006F49E6" w:rsidRPr="00892DE3" w:rsidRDefault="006F49E6" w:rsidP="006F49E6">
            <w:pPr>
              <w:rPr>
                <w:rFonts w:cstheme="majorHAnsi"/>
              </w:rPr>
            </w:pPr>
            <w:r w:rsidRPr="00892DE3">
              <w:rPr>
                <w:rFonts w:cstheme="majorHAnsi"/>
              </w:rPr>
              <w:t>Borrowings</w:t>
            </w:r>
          </w:p>
        </w:tc>
        <w:tc>
          <w:tcPr>
            <w:tcW w:w="839" w:type="dxa"/>
            <w:tcBorders>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2 015</w:t>
            </w:r>
          </w:p>
        </w:tc>
        <w:tc>
          <w:tcPr>
            <w:tcW w:w="840" w:type="dxa"/>
            <w:tcBorders>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2 227</w:t>
            </w:r>
          </w:p>
        </w:tc>
        <w:tc>
          <w:tcPr>
            <w:tcW w:w="700"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543</w:t>
            </w:r>
          </w:p>
        </w:tc>
        <w:tc>
          <w:tcPr>
            <w:tcW w:w="699"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764</w:t>
            </w:r>
          </w:p>
        </w:tc>
        <w:tc>
          <w:tcPr>
            <w:tcW w:w="840" w:type="dxa"/>
            <w:tcBorders>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272</w:t>
            </w:r>
          </w:p>
        </w:tc>
        <w:tc>
          <w:tcPr>
            <w:tcW w:w="819"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221</w:t>
            </w:r>
          </w:p>
        </w:tc>
        <w:tc>
          <w:tcPr>
            <w:tcW w:w="703" w:type="dxa"/>
            <w:tcBorders>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2 779</w:t>
            </w:r>
          </w:p>
        </w:tc>
        <w:tc>
          <w:tcPr>
            <w:tcW w:w="841" w:type="dxa"/>
            <w:tcBorders>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3 263</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6F49E6" w:rsidRPr="00892DE3" w:rsidRDefault="006F49E6" w:rsidP="006F49E6">
            <w:pPr>
              <w:rPr>
                <w:rFonts w:cstheme="majorHAnsi"/>
                <w:b/>
              </w:rPr>
            </w:pPr>
            <w:r w:rsidRPr="00892DE3">
              <w:rPr>
                <w:rFonts w:cstheme="majorHAnsi"/>
                <w:b/>
              </w:rPr>
              <w:t>Total administered liabilities</w:t>
            </w:r>
          </w:p>
        </w:tc>
        <w:tc>
          <w:tcPr>
            <w:tcW w:w="839" w:type="dxa"/>
            <w:tcBorders>
              <w:top w:val="single" w:sz="6" w:space="0" w:color="auto"/>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3 379</w:t>
            </w:r>
          </w:p>
        </w:tc>
        <w:tc>
          <w:tcPr>
            <w:tcW w:w="840" w:type="dxa"/>
            <w:tcBorders>
              <w:top w:val="single" w:sz="6" w:space="0" w:color="auto"/>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3 320</w:t>
            </w:r>
          </w:p>
        </w:tc>
        <w:tc>
          <w:tcPr>
            <w:tcW w:w="700"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1 464</w:t>
            </w:r>
          </w:p>
        </w:tc>
        <w:tc>
          <w:tcPr>
            <w:tcW w:w="699"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1 613</w:t>
            </w:r>
          </w:p>
        </w:tc>
        <w:tc>
          <w:tcPr>
            <w:tcW w:w="840" w:type="dxa"/>
            <w:tcBorders>
              <w:top w:val="single" w:sz="6" w:space="0" w:color="auto"/>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2 549</w:t>
            </w:r>
          </w:p>
        </w:tc>
        <w:tc>
          <w:tcPr>
            <w:tcW w:w="819"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2 328</w:t>
            </w:r>
          </w:p>
        </w:tc>
        <w:tc>
          <w:tcPr>
            <w:tcW w:w="703" w:type="dxa"/>
            <w:tcBorders>
              <w:top w:val="single" w:sz="6" w:space="0" w:color="auto"/>
              <w:bottom w:val="single" w:sz="6" w:space="0" w:color="auto"/>
            </w:tcBorders>
          </w:tcPr>
          <w:p w:rsidR="006F49E6" w:rsidRPr="00892DE3" w:rsidRDefault="00CF5A34"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7 171</w:t>
            </w:r>
          </w:p>
        </w:tc>
        <w:tc>
          <w:tcPr>
            <w:tcW w:w="841" w:type="dxa"/>
            <w:tcBorders>
              <w:top w:val="single" w:sz="6" w:space="0" w:color="auto"/>
              <w:bottom w:val="single" w:sz="6" w:space="0" w:color="auto"/>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7 482</w:t>
            </w:r>
          </w:p>
        </w:tc>
      </w:tr>
      <w:tr w:rsidR="006F49E6" w:rsidRPr="00892DE3" w:rsidTr="00CF5A3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12" w:space="0" w:color="auto"/>
            </w:tcBorders>
          </w:tcPr>
          <w:p w:rsidR="006F49E6" w:rsidRPr="00892DE3" w:rsidRDefault="006F49E6" w:rsidP="006F49E6">
            <w:pPr>
              <w:ind w:left="0" w:firstLine="0"/>
              <w:rPr>
                <w:rFonts w:cstheme="majorHAnsi"/>
              </w:rPr>
            </w:pPr>
            <w:r w:rsidRPr="00892DE3">
              <w:rPr>
                <w:rFonts w:cstheme="majorHAnsi"/>
              </w:rPr>
              <w:t>Total administered net assets</w:t>
            </w:r>
          </w:p>
        </w:tc>
        <w:tc>
          <w:tcPr>
            <w:tcW w:w="839" w:type="dxa"/>
            <w:tcBorders>
              <w:top w:val="single" w:sz="6" w:space="0" w:color="auto"/>
              <w:bottom w:val="single" w:sz="12" w:space="0" w:color="auto"/>
            </w:tcBorders>
            <w:noWrap/>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3 539</w:t>
            </w:r>
          </w:p>
        </w:tc>
        <w:tc>
          <w:tcPr>
            <w:tcW w:w="840" w:type="dxa"/>
            <w:tcBorders>
              <w:top w:val="single" w:sz="6" w:space="0" w:color="auto"/>
              <w:bottom w:val="single" w:sz="12" w:space="0" w:color="auto"/>
            </w:tcBorders>
            <w:noWrap/>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2 676</w:t>
            </w:r>
          </w:p>
        </w:tc>
        <w:tc>
          <w:tcPr>
            <w:tcW w:w="700" w:type="dxa"/>
            <w:tcBorders>
              <w:top w:val="single" w:sz="6" w:space="0" w:color="auto"/>
              <w:bottom w:val="single" w:sz="12" w:space="0" w:color="auto"/>
            </w:tcBorders>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6 437</w:t>
            </w:r>
          </w:p>
        </w:tc>
        <w:tc>
          <w:tcPr>
            <w:tcW w:w="699" w:type="dxa"/>
            <w:tcBorders>
              <w:top w:val="single" w:sz="6" w:space="0" w:color="auto"/>
              <w:bottom w:val="single" w:sz="12" w:space="0" w:color="auto"/>
            </w:tcBorders>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3 466</w:t>
            </w:r>
          </w:p>
        </w:tc>
        <w:tc>
          <w:tcPr>
            <w:tcW w:w="840" w:type="dxa"/>
            <w:tcBorders>
              <w:top w:val="single" w:sz="6" w:space="0" w:color="auto"/>
              <w:bottom w:val="single" w:sz="12" w:space="0" w:color="auto"/>
            </w:tcBorders>
          </w:tcPr>
          <w:p w:rsidR="006F49E6" w:rsidRPr="00892DE3" w:rsidRDefault="00CF5A34"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top w:val="single" w:sz="6" w:space="0" w:color="auto"/>
              <w:bottom w:val="single" w:sz="12" w:space="0" w:color="auto"/>
            </w:tcBorders>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8 986</w:t>
            </w:r>
          </w:p>
        </w:tc>
        <w:tc>
          <w:tcPr>
            <w:tcW w:w="819" w:type="dxa"/>
            <w:tcBorders>
              <w:top w:val="single" w:sz="6" w:space="0" w:color="auto"/>
              <w:bottom w:val="single" w:sz="12" w:space="0" w:color="auto"/>
            </w:tcBorders>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7 216</w:t>
            </w:r>
          </w:p>
        </w:tc>
        <w:tc>
          <w:tcPr>
            <w:tcW w:w="703" w:type="dxa"/>
            <w:tcBorders>
              <w:top w:val="single" w:sz="6" w:space="0" w:color="auto"/>
              <w:bottom w:val="single" w:sz="12" w:space="0" w:color="auto"/>
            </w:tcBorders>
          </w:tcPr>
          <w:p w:rsidR="006F49E6" w:rsidRPr="00892DE3" w:rsidRDefault="00CF5A34"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top w:val="single" w:sz="6" w:space="0" w:color="auto"/>
              <w:bottom w:val="single" w:sz="12" w:space="0" w:color="auto"/>
            </w:tcBorders>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17 192</w:t>
            </w:r>
          </w:p>
        </w:tc>
        <w:tc>
          <w:tcPr>
            <w:tcW w:w="841" w:type="dxa"/>
            <w:tcBorders>
              <w:top w:val="single" w:sz="6" w:space="0" w:color="auto"/>
              <w:bottom w:val="single" w:sz="12" w:space="0" w:color="auto"/>
            </w:tcBorders>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15 128</w:t>
            </w:r>
          </w:p>
        </w:tc>
      </w:tr>
    </w:tbl>
    <w:p w:rsidR="006F49E6" w:rsidRPr="00892DE3" w:rsidRDefault="006F49E6" w:rsidP="006F49E6">
      <w:pPr>
        <w:pStyle w:val="Note"/>
      </w:pPr>
      <w:r w:rsidRPr="00892DE3">
        <w:t>Notes:</w:t>
      </w:r>
    </w:p>
    <w:p w:rsidR="006F49E6" w:rsidRPr="00892DE3" w:rsidRDefault="006F49E6" w:rsidP="006F49E6">
      <w:pPr>
        <w:pStyle w:val="Note"/>
      </w:pPr>
      <w:r w:rsidRPr="00892DE3">
        <w:t>(</w:t>
      </w:r>
      <w:r w:rsidR="00CF5A34" w:rsidRPr="00892DE3">
        <w:t>a</w:t>
      </w:r>
      <w:r w:rsidRPr="00892DE3">
        <w:t>)</w:t>
      </w:r>
      <w:r w:rsidRPr="00892DE3">
        <w:tab/>
        <w:t xml:space="preserve">As a result of the administrative restructure, the administered assets and liabilities for the new technology administration output are now reported by the Department of Cabinet Administration. Accordingly, the administered income and expenses for the current financial year only reflect Department’s period of responsibility, which was 1 July 2016 to 31 August 2016. </w:t>
      </w:r>
    </w:p>
    <w:p w:rsidR="006F49E6" w:rsidRPr="00892DE3" w:rsidRDefault="006F49E6" w:rsidP="006F49E6">
      <w:pPr>
        <w:pStyle w:val="Note"/>
      </w:pPr>
      <w:r w:rsidRPr="00892DE3">
        <w:t>(</w:t>
      </w:r>
      <w:r w:rsidR="00CF5A34" w:rsidRPr="00892DE3">
        <w:t>b</w:t>
      </w:r>
      <w:r w:rsidRPr="00892DE3">
        <w:t>)</w:t>
      </w:r>
      <w:r w:rsidRPr="00892DE3">
        <w:tab/>
        <w:t xml:space="preserve">As a result of the administrative restructure, the figures for administered income and expenses for the R&amp;D biological technology only represents activities since 1 September 2016. Administered items for the prior year and the current year to 31 August 2016 are reported by Department of Natural Resources. </w:t>
      </w:r>
    </w:p>
    <w:p w:rsidR="006F49E6" w:rsidRPr="00892DE3" w:rsidRDefault="006F49E6" w:rsidP="006F49E6">
      <w:pPr>
        <w:pStyle w:val="Note"/>
      </w:pPr>
      <w:r w:rsidRPr="00892DE3">
        <w:t>(</w:t>
      </w:r>
      <w:r w:rsidR="00CF5A34" w:rsidRPr="00892DE3">
        <w:t>c</w:t>
      </w:r>
      <w:r w:rsidRPr="00892DE3">
        <w:t xml:space="preserve">) </w:t>
      </w:r>
      <w:r w:rsidRPr="00892DE3">
        <w:tab/>
        <w:t>The state’s investment in all its controlled entities is disclosed in the administered note of the Department of Treasury and Finance’s financial statements. This includes the investment in the Department’s portfolio entities.</w:t>
      </w:r>
    </w:p>
    <w:p w:rsidR="007839E2" w:rsidRPr="00892DE3" w:rsidRDefault="006F49E6" w:rsidP="006F49E6">
      <w:pPr>
        <w:pStyle w:val="Note"/>
      </w:pPr>
      <w:r w:rsidRPr="00892DE3">
        <w:t>(</w:t>
      </w:r>
      <w:r w:rsidR="00CF5A34" w:rsidRPr="00892DE3">
        <w:t>d</w:t>
      </w:r>
      <w:r w:rsidRPr="00892DE3">
        <w:t xml:space="preserve">) </w:t>
      </w:r>
      <w:r w:rsidRPr="00892DE3">
        <w:tab/>
        <w:t>D</w:t>
      </w:r>
      <w:r w:rsidR="00732EFD" w:rsidRPr="00892DE3">
        <w:t>epartment of Treasury and Finance (DTF)</w:t>
      </w:r>
      <w:r w:rsidRPr="00892DE3">
        <w:t xml:space="preserve"> in its Annual Financial Statements, disclose on behalf of the State as the sponsoring employer, the net defined benefit cost related to the members of these plans as an administered liability. Refer to DTF’s Annual Financial Statements for more detailed disclosures in relation to these plans.</w:t>
      </w:r>
    </w:p>
    <w:p w:rsidR="007839E2" w:rsidRPr="00892DE3" w:rsidRDefault="007839E2" w:rsidP="007839E2"/>
    <w:p w:rsidR="007839E2" w:rsidRPr="00892DE3" w:rsidRDefault="007839E2" w:rsidP="007839E2">
      <w:pPr>
        <w:sectPr w:rsidR="007839E2" w:rsidRPr="00892DE3" w:rsidSect="007839E2">
          <w:headerReference w:type="even" r:id="rId121"/>
          <w:headerReference w:type="default" r:id="rId122"/>
          <w:footerReference w:type="even" r:id="rId123"/>
          <w:footerReference w:type="default" r:id="rId124"/>
          <w:pgSz w:w="16838" w:h="11906" w:orient="landscape" w:code="9"/>
          <w:pgMar w:top="1134" w:right="1134" w:bottom="1134" w:left="1134" w:header="624" w:footer="567" w:gutter="0"/>
          <w:cols w:sep="1" w:space="567"/>
          <w:docGrid w:linePitch="360"/>
        </w:sectPr>
      </w:pPr>
    </w:p>
    <w:tbl>
      <w:tblPr>
        <w:tblStyle w:val="ModelReportGuidanceTable"/>
        <w:tblW w:w="0" w:type="auto"/>
        <w:tblLayout w:type="fixed"/>
        <w:tblLook w:val="04A0" w:firstRow="1" w:lastRow="0" w:firstColumn="1" w:lastColumn="0" w:noHBand="0" w:noVBand="1"/>
      </w:tblPr>
      <w:tblGrid>
        <w:gridCol w:w="9854"/>
      </w:tblGrid>
      <w:tr w:rsidR="006F49E6"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6F49E6" w:rsidRPr="00892DE3" w:rsidRDefault="006F49E6" w:rsidP="00177D6E">
            <w:r w:rsidRPr="00892DE3">
              <w:lastRenderedPageBreak/>
              <w:t xml:space="preserve">Guidance – Departmental </w:t>
            </w:r>
            <w:r w:rsidR="00177D6E" w:rsidRPr="00892DE3">
              <w:t>o</w:t>
            </w:r>
            <w:r w:rsidRPr="00892DE3">
              <w:t>utputs</w:t>
            </w:r>
          </w:p>
        </w:tc>
      </w:tr>
      <w:tr w:rsidR="006F49E6" w:rsidRPr="00892DE3" w:rsidTr="0044350A">
        <w:tc>
          <w:tcPr>
            <w:tcW w:w="9854" w:type="dxa"/>
          </w:tcPr>
          <w:p w:rsidR="006F49E6" w:rsidRPr="00892DE3" w:rsidRDefault="006F49E6" w:rsidP="006F49E6">
            <w:r w:rsidRPr="00892DE3">
              <w:t>SB 1052 Disaggregated Disclosures requires:</w:t>
            </w:r>
          </w:p>
          <w:p w:rsidR="006F49E6" w:rsidRPr="00892DE3" w:rsidRDefault="006F49E6" w:rsidP="006F49E6">
            <w:pPr>
              <w:pStyle w:val="List"/>
            </w:pPr>
            <w:r w:rsidRPr="00892DE3">
              <w:t>(a)</w:t>
            </w:r>
            <w:r w:rsidRPr="00892DE3">
              <w:tab/>
              <w:t>a summary of the identity and purpose of each of the department’s major activities (outputs) undertaken during the reporting period;</w:t>
            </w:r>
          </w:p>
          <w:p w:rsidR="006F49E6" w:rsidRPr="00892DE3" w:rsidRDefault="006F49E6" w:rsidP="006F49E6">
            <w:pPr>
              <w:pStyle w:val="List"/>
            </w:pPr>
            <w:r w:rsidRPr="00892DE3">
              <w:t>(b)</w:t>
            </w:r>
            <w:r w:rsidRPr="00892DE3">
              <w:tab/>
              <w:t>the objectives of the department, if not disclosed elsewhere in the annual report; and</w:t>
            </w:r>
          </w:p>
          <w:p w:rsidR="006F49E6" w:rsidRPr="00892DE3" w:rsidRDefault="006F49E6" w:rsidP="006F49E6">
            <w:pPr>
              <w:pStyle w:val="List"/>
            </w:pPr>
            <w:r w:rsidRPr="00892DE3">
              <w:t>(c)</w:t>
            </w:r>
            <w:r w:rsidRPr="00892DE3">
              <w:tab/>
              <w:t>income and expenses attributable to outputs identified in (a) above, showing separately each major class.</w:t>
            </w:r>
          </w:p>
          <w:p w:rsidR="006F49E6" w:rsidRPr="00892DE3" w:rsidRDefault="006F49E6" w:rsidP="006F49E6">
            <w:r w:rsidRPr="00892DE3">
              <w:t xml:space="preserve">To facilitate the assessment of the costs incurred and the cost recoveries generated as a result of the government department’s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 </w:t>
            </w:r>
            <w:r w:rsidRPr="00892DE3">
              <w:rPr>
                <w:rStyle w:val="SourceReference"/>
              </w:rPr>
              <w:t>[AASB 1050.24]</w:t>
            </w:r>
          </w:p>
          <w:p w:rsidR="006F49E6" w:rsidRPr="00892DE3" w:rsidRDefault="006F49E6" w:rsidP="006F49E6">
            <w:r w:rsidRPr="00892DE3">
              <w:t>Allocation of income and expenses to outputs is only required to the extent that such an allocation can be determined reliably. Where amounts cannot be allocated on a reliable basis, they should be disclosed in a separate ‘unallocated’ column.</w:t>
            </w:r>
          </w:p>
          <w:p w:rsidR="006F49E6" w:rsidRPr="00892DE3" w:rsidRDefault="006F49E6" w:rsidP="006F49E6">
            <w:r w:rsidRPr="00892DE3">
              <w:t>In identifying major activities, judgement is required to identify those activities of a government department that warrant separate disclosure in the general purpose financial statements. Exercising this judgement involves a consideration of the following:</w:t>
            </w:r>
          </w:p>
          <w:p w:rsidR="006F49E6" w:rsidRPr="00892DE3" w:rsidRDefault="006F49E6" w:rsidP="006F49E6">
            <w:pPr>
              <w:pStyle w:val="List"/>
            </w:pPr>
            <w:r w:rsidRPr="00892DE3">
              <w:t>(a)</w:t>
            </w:r>
            <w:r w:rsidRPr="00892DE3">
              <w:tab/>
              <w:t>the objectives of the government department;</w:t>
            </w:r>
          </w:p>
          <w:p w:rsidR="006F49E6" w:rsidRPr="00892DE3" w:rsidRDefault="006F49E6" w:rsidP="006F49E6">
            <w:pPr>
              <w:pStyle w:val="List"/>
            </w:pPr>
            <w:r w:rsidRPr="00892DE3">
              <w:t>(b)</w:t>
            </w:r>
            <w:r w:rsidRPr="00892DE3">
              <w:tab/>
              <w:t>the likely users of the general purpose financial statements;</w:t>
            </w:r>
          </w:p>
          <w:p w:rsidR="006F49E6" w:rsidRPr="00892DE3" w:rsidRDefault="006F49E6" w:rsidP="006F49E6">
            <w:pPr>
              <w:pStyle w:val="List"/>
            </w:pPr>
            <w:r w:rsidRPr="00892DE3">
              <w:t>(c)</w:t>
            </w:r>
            <w:r w:rsidRPr="00892DE3">
              <w:tab/>
              <w:t>the activity level that may be relevant to users’ assessments of the performance of the government department; and</w:t>
            </w:r>
          </w:p>
          <w:p w:rsidR="006F49E6" w:rsidRPr="00892DE3" w:rsidRDefault="006F49E6" w:rsidP="006F49E6">
            <w:pPr>
              <w:pStyle w:val="List"/>
            </w:pPr>
            <w:r w:rsidRPr="00892DE3">
              <w:t>(d)</w:t>
            </w:r>
            <w:r w:rsidRPr="00892DE3">
              <w:tab/>
              <w:t>the concept of materiality.</w:t>
            </w:r>
          </w:p>
          <w:p w:rsidR="006F49E6" w:rsidRPr="00892DE3" w:rsidRDefault="006F49E6" w:rsidP="006F49E6">
            <w:r w:rsidRPr="00892DE3">
              <w:t>Descriptions of output activities and key government objectives for the reporting period should be consistent with those reported in the corresponding budget papers.</w:t>
            </w:r>
          </w:p>
          <w:p w:rsidR="006F49E6" w:rsidRPr="00892DE3" w:rsidRDefault="006F49E6" w:rsidP="006F49E6">
            <w:r w:rsidRPr="00892DE3">
              <w:rPr>
                <w:b/>
              </w:rPr>
              <w:t>Guidance on the classification of items as controlled or administered</w:t>
            </w:r>
            <w:r w:rsidRPr="00892DE3">
              <w:t xml:space="preserve">: Government departments are required to classify revenues, expenses, assets and liabilities as either ‘controlled’ or ‘administered’. The way an output is defined can affect the classification of a revenue or expense between the administered or controlled categories. The decision to classify an asset or liability as ‘administered’ rather than ‘controlled’ will impact items such as the capital assets charge on the department’s operations, and the way in which the asset or liability is presented in the </w:t>
            </w:r>
            <w:r w:rsidR="009F00AE" w:rsidRPr="00892DE3">
              <w:t xml:space="preserve">State </w:t>
            </w:r>
            <w:r w:rsidRPr="00892DE3">
              <w:t>Budget.</w:t>
            </w:r>
          </w:p>
          <w:p w:rsidR="006F49E6" w:rsidRPr="00892DE3" w:rsidRDefault="006F49E6" w:rsidP="006F49E6">
            <w:r w:rsidRPr="00892DE3">
              <w:t>Administered items do not form part of a department’s outputs, and in the case of administered expenses, funding is provided under a separate appropriation. For example:</w:t>
            </w:r>
          </w:p>
          <w:p w:rsidR="006F49E6" w:rsidRPr="00892DE3" w:rsidRDefault="006F49E6" w:rsidP="006F49E6">
            <w:pPr>
              <w:pStyle w:val="ListBullet"/>
            </w:pPr>
            <w:r w:rsidRPr="00892DE3">
              <w:t>If the administrative process of making welfare transfer payments is part of an output of the department, it should be classified as a controlled expense. However, the actual funds being paid to the beneficiaries could be classified as an administered item if they meet the criteria for administered items. In respect to an Act or binding agreement, an item may be classified as administered if the department has no influence over eligibility, timing, or the amount, unless contributing to output delivery.</w:t>
            </w:r>
          </w:p>
          <w:p w:rsidR="006F49E6" w:rsidRPr="00892DE3" w:rsidRDefault="006F49E6" w:rsidP="006F49E6">
            <w:pPr>
              <w:pStyle w:val="ListBullet"/>
            </w:pPr>
            <w:r w:rsidRPr="00892DE3">
              <w:t xml:space="preserve">If a department defined an output as ‘the management of grants to [some external body] for [some purpose]’, the actual grants themselves (as opposed to the administrative costs of managing the grants program) could be classified as administered expenditure. However, if the output were defined as ‘delivery of products or services for </w:t>
            </w:r>
            <w:r w:rsidRPr="00892DE3">
              <w:rPr>
                <w:rStyle w:val="SourceReference"/>
              </w:rPr>
              <w:t>[some purpose]</w:t>
            </w:r>
            <w:r w:rsidRPr="00892DE3">
              <w:t>’, with the payment being conditional on the fulfilment of specified conditions, it may be seen to involve an exchange of value and therefore should be treated as controlled.</w:t>
            </w:r>
          </w:p>
          <w:p w:rsidR="006F49E6" w:rsidRPr="00892DE3" w:rsidRDefault="006F49E6" w:rsidP="006F49E6">
            <w:pPr>
              <w:pStyle w:val="ListBullet"/>
            </w:pPr>
            <w:r w:rsidRPr="00892DE3">
              <w:t>If crime compensation payments awarded by a court or tribunal or revenues or taxes collected by a department on behalf of the State would normally be classified as giving rise to administered items. On the other hand, revenues, expenses, assets or liabilities arising in connection with the discharge of the function of making crime compensation payments (as distinct from the payments themselves) or collecting revenues (as distinct from the revenues themselves) on behalf of the State would normally be classified as controlled.</w:t>
            </w:r>
          </w:p>
          <w:p w:rsidR="006F49E6" w:rsidRPr="00892DE3" w:rsidRDefault="006F49E6" w:rsidP="006F49E6">
            <w:r w:rsidRPr="00892DE3">
              <w:rPr>
                <w:b/>
              </w:rPr>
              <w:t>Changes in accounting policies</w:t>
            </w:r>
            <w:r w:rsidRPr="00892DE3">
              <w:t>: Where an item moves from controlled to administered, or vice versa, the reclassification may constitute a change of accounting policy.</w:t>
            </w:r>
          </w:p>
          <w:p w:rsidR="006F49E6" w:rsidRPr="00892DE3" w:rsidRDefault="006F49E6" w:rsidP="006F49E6">
            <w:r w:rsidRPr="00892DE3">
              <w:t>Where principles in respect of classification have been applied consistently and the reclassification arises from a change in circumstances, the change does not constitute a change in accounting policy</w:t>
            </w:r>
            <w:r w:rsidR="00177D6E" w:rsidRPr="00892DE3">
              <w:t>.</w:t>
            </w:r>
          </w:p>
          <w:p w:rsidR="006F49E6" w:rsidRPr="00892DE3" w:rsidRDefault="006F49E6" w:rsidP="006F49E6">
            <w:r w:rsidRPr="00892DE3">
              <w:t>However, where there is no change in circumstances or facts, a reclassification would constitute a change in accounting policy and would have to be disclosed as such in accordance with AASB 108.</w:t>
            </w:r>
          </w:p>
          <w:p w:rsidR="006F49E6" w:rsidRPr="00892DE3" w:rsidRDefault="006F49E6" w:rsidP="00CF5A34">
            <w:r w:rsidRPr="00892DE3">
              <w:rPr>
                <w:b/>
              </w:rPr>
              <w:t>Grants</w:t>
            </w:r>
            <w:r w:rsidRPr="00892DE3">
              <w:t>: Where grants are payable into the consolidated fund, they are reported as administered income</w:t>
            </w:r>
            <w:r w:rsidR="00CF5A34" w:rsidRPr="00892DE3">
              <w:t>.</w:t>
            </w:r>
          </w:p>
        </w:tc>
      </w:tr>
    </w:tbl>
    <w:p w:rsidR="007839E2" w:rsidRPr="00892DE3" w:rsidRDefault="007839E2" w:rsidP="007839E2"/>
    <w:p w:rsidR="006F49E6" w:rsidRPr="00892DE3" w:rsidRDefault="006F49E6">
      <w:r w:rsidRPr="00892DE3">
        <w:rPr>
          <w:b/>
        </w:rPr>
        <w:br w:type="page"/>
      </w:r>
    </w:p>
    <w:tbl>
      <w:tblPr>
        <w:tblStyle w:val="ModelReportGuidanceTable"/>
        <w:tblW w:w="0" w:type="auto"/>
        <w:tblLayout w:type="fixed"/>
        <w:tblLook w:val="04A0" w:firstRow="1" w:lastRow="0" w:firstColumn="1" w:lastColumn="0" w:noHBand="0" w:noVBand="1"/>
      </w:tblPr>
      <w:tblGrid>
        <w:gridCol w:w="9854"/>
      </w:tblGrid>
      <w:tr w:rsidR="006F49E6"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6F49E6" w:rsidRPr="00892DE3" w:rsidRDefault="00177D6E" w:rsidP="0002714F">
            <w:r w:rsidRPr="00892DE3">
              <w:lastRenderedPageBreak/>
              <w:t>Guidance – Departmental o</w:t>
            </w:r>
            <w:r w:rsidR="006F49E6" w:rsidRPr="00892DE3">
              <w:t xml:space="preserve">utputs </w:t>
            </w:r>
            <w:r w:rsidR="006F49E6" w:rsidRPr="00491373">
              <w:rPr>
                <w:i/>
              </w:rPr>
              <w:t>(continued)</w:t>
            </w:r>
          </w:p>
        </w:tc>
      </w:tr>
      <w:tr w:rsidR="006F49E6" w:rsidRPr="00892DE3" w:rsidTr="0044350A">
        <w:tc>
          <w:tcPr>
            <w:tcW w:w="9854" w:type="dxa"/>
          </w:tcPr>
          <w:p w:rsidR="006F49E6" w:rsidRPr="00892DE3" w:rsidRDefault="006F49E6" w:rsidP="006F49E6">
            <w:r w:rsidRPr="00892DE3">
              <w:rPr>
                <w:b/>
              </w:rPr>
              <w:t>Administered income and expense:</w:t>
            </w:r>
            <w:r w:rsidRPr="00892DE3">
              <w:t xml:space="preserve"> A Department may be responsible for levying and collecting taxes, fines and fees, the provision of goods and services and transfer payments. These activities may give rise to income and expenses, which the department does not control. This would occur where, for example, the department is not permitted to utilise the proceeds from user charges without further authorisation. Income and expenses administered by a department are not recognised in its comprehensive operating statement but are disclosed in the notes.</w:t>
            </w:r>
          </w:p>
          <w:p w:rsidR="006F49E6" w:rsidRPr="00892DE3" w:rsidRDefault="006F49E6" w:rsidP="006F49E6">
            <w:r w:rsidRPr="00892DE3">
              <w:t>AASB 1050 Administered Items and FRD 9A Departmental Disclosure of Administered Assets and Liabilities by Activities requires administered income and expenses to be disclosed separately by major class and attributed to outputs where such allocation can be determined reliably.</w:t>
            </w:r>
          </w:p>
          <w:p w:rsidR="006F49E6" w:rsidRPr="00892DE3" w:rsidRDefault="006F49E6" w:rsidP="006F49E6">
            <w:r w:rsidRPr="00892DE3">
              <w:rPr>
                <w:b/>
              </w:rPr>
              <w:t>Administered assets and liabilities</w:t>
            </w:r>
            <w:r w:rsidRPr="00892DE3">
              <w:t xml:space="preserve"> </w:t>
            </w:r>
            <w:r w:rsidRPr="00892DE3">
              <w:rPr>
                <w:rStyle w:val="SourceReference"/>
              </w:rPr>
              <w:t>[AASB 1050.7, FRD 9A]</w:t>
            </w:r>
            <w:r w:rsidRPr="00892DE3">
              <w:t xml:space="preserve">: When undertaking administered activities, a Department may manage and deploy assets in the capacity of an agent and may incur liabilities, which will not involve a sacrifice of assets that are controlled by the department at the end of the reporting period. Assets and liabilities administered by the department are not recognised in its balance sheet but are disclosed in the notes. </w:t>
            </w:r>
          </w:p>
          <w:p w:rsidR="006F49E6" w:rsidRPr="00892DE3" w:rsidRDefault="006F49E6" w:rsidP="006F49E6">
            <w:r w:rsidRPr="00892DE3">
              <w:t xml:space="preserve">On behalf of the State, DTF discloses in its administered note of its annual financial statements the State’s investment in controlled entities and the superannuation liabilities related to departmental employees. While other departments are not required to show these items in their administered notes, they are advised to include footnotes as illustrated stating that this information is available in the DTF’s annual report. </w:t>
            </w:r>
          </w:p>
          <w:p w:rsidR="006F49E6" w:rsidRPr="00892DE3" w:rsidRDefault="006F49E6" w:rsidP="006F49E6">
            <w:r w:rsidRPr="00892DE3">
              <w:t>AASB 1050 encourages, but does not require, the allocation of administered assets and liabilities to outputs. However, FRD 9A extends AASB 1050’s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p>
          <w:p w:rsidR="006F49E6" w:rsidRPr="00892DE3" w:rsidRDefault="006F49E6" w:rsidP="006F49E6">
            <w:r w:rsidRPr="00892DE3">
              <w:rPr>
                <w:b/>
              </w:rPr>
              <w:t>Identifying an allocation basis</w:t>
            </w:r>
            <w:r w:rsidRPr="00892DE3">
              <w:t xml:space="preserve"> </w:t>
            </w:r>
            <w:r w:rsidRPr="00892DE3">
              <w:rPr>
                <w:rStyle w:val="SourceReference"/>
              </w:rPr>
              <w:t>[FRD 9A]</w:t>
            </w:r>
            <w:r w:rsidRPr="00892DE3">
              <w:t xml:space="preserve">: Usually, it is the elements of those administered activities that are undertaken by an autonomous unit of the department, such as a tax collection agency, which are more likely to be separately identifiable. </w:t>
            </w:r>
          </w:p>
          <w:p w:rsidR="006F49E6" w:rsidRPr="00892DE3" w:rsidRDefault="006F49E6" w:rsidP="006F49E6">
            <w:r w:rsidRPr="00892DE3">
              <w:t>Where a department cannot determine an allocation on a reliable basis, it should discuss the matter with its auditor and advise the DTF of the outcome of those discussions before finalisation of the financial statements.</w:t>
            </w:r>
          </w:p>
          <w:p w:rsidR="006F49E6" w:rsidRPr="00892DE3" w:rsidRDefault="006F49E6" w:rsidP="006F49E6">
            <w:r w:rsidRPr="00892DE3">
              <w:rPr>
                <w:b/>
              </w:rPr>
              <w:t>Material administered items</w:t>
            </w:r>
            <w:r w:rsidRPr="00892DE3">
              <w:t>: Where administered items are material, departments are required to provide additional disclosure by way of additional notes, for example, taxes, fees and fines, are to be disaggregated further where these items are material.</w:t>
            </w:r>
          </w:p>
        </w:tc>
      </w:tr>
    </w:tbl>
    <w:p w:rsidR="004E3FF9" w:rsidRPr="00892DE3" w:rsidRDefault="004E3FF9" w:rsidP="004E3FF9"/>
    <w:p w:rsidR="006F49E6" w:rsidRPr="00892DE3" w:rsidRDefault="006F49E6" w:rsidP="0019303F">
      <w:pPr>
        <w:pStyle w:val="Heading2"/>
      </w:pPr>
      <w:bookmarkStart w:id="110" w:name="_Toc477880667"/>
      <w:bookmarkStart w:id="111" w:name="_Toc478055738"/>
      <w:r w:rsidRPr="00892DE3">
        <w:t xml:space="preserve">Restructuring of administrative arrangements </w:t>
      </w:r>
      <w:r w:rsidRPr="00892DE3">
        <w:rPr>
          <w:rStyle w:val="SourceReference"/>
          <w:b w:val="0"/>
        </w:rPr>
        <w:t>[AASB 1052.15(a), AASB 1004.54-58]</w:t>
      </w:r>
      <w:bookmarkEnd w:id="110"/>
      <w:bookmarkEnd w:id="111"/>
    </w:p>
    <w:p w:rsidR="006F49E6" w:rsidRPr="00892DE3" w:rsidRDefault="006F49E6" w:rsidP="006F49E6">
      <w:r w:rsidRPr="00892DE3">
        <w:t>In August 2016, the Government issued an administrative order restructuring some of its activities via machinery of government changes, taking effect from 1 September 2016.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rsidR="006F49E6" w:rsidRPr="00892DE3" w:rsidRDefault="006F49E6" w:rsidP="006F49E6">
      <w:r w:rsidRPr="00892DE3">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rsidR="006F49E6" w:rsidRPr="00892DE3" w:rsidRDefault="006F49E6" w:rsidP="006F49E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656"/>
        <w:gridCol w:w="1865"/>
        <w:gridCol w:w="2126"/>
        <w:gridCol w:w="990"/>
      </w:tblGrid>
      <w:tr w:rsidR="006F49E6" w:rsidRPr="00892DE3" w:rsidTr="00CF5A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56" w:type="dxa"/>
            <w:hideMark/>
          </w:tcPr>
          <w:p w:rsidR="006F49E6" w:rsidRPr="00892DE3" w:rsidRDefault="006F49E6" w:rsidP="006F49E6">
            <w:pPr>
              <w:ind w:left="0" w:firstLine="0"/>
            </w:pPr>
            <w:r w:rsidRPr="00892DE3">
              <w:t>Research and development of biological technology output</w:t>
            </w:r>
          </w:p>
        </w:tc>
        <w:tc>
          <w:tcPr>
            <w:tcW w:w="1865" w:type="dxa"/>
            <w:hideMark/>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pPr>
            <w:r w:rsidRPr="00892DE3">
              <w:t xml:space="preserve">Department of </w:t>
            </w:r>
            <w:r w:rsidRPr="00892DE3">
              <w:br/>
              <w:t xml:space="preserve">Natural Resources </w:t>
            </w:r>
            <w:r w:rsidRPr="00892DE3">
              <w:br/>
              <w:t>(Jul</w:t>
            </w:r>
            <w:r w:rsidRPr="00892DE3">
              <w:noBreakHyphen/>
              <w:t>Aug 2015)</w:t>
            </w:r>
          </w:p>
        </w:tc>
        <w:tc>
          <w:tcPr>
            <w:tcW w:w="2126" w:type="dxa"/>
            <w:hideMark/>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pPr>
            <w:r w:rsidRPr="00892DE3">
              <w:t xml:space="preserve">Department of </w:t>
            </w:r>
            <w:r w:rsidR="00CF5A34" w:rsidRPr="00892DE3">
              <w:br/>
            </w:r>
            <w:r w:rsidRPr="00892DE3">
              <w:t>Technology</w:t>
            </w:r>
            <w:r w:rsidRPr="00892DE3">
              <w:br/>
              <w:t>(Sept 2015</w:t>
            </w:r>
            <w:r w:rsidRPr="00892DE3">
              <w:noBreakHyphen/>
              <w:t>Jun 2016)</w:t>
            </w:r>
          </w:p>
        </w:tc>
        <w:tc>
          <w:tcPr>
            <w:tcW w:w="990" w:type="dxa"/>
            <w:hideMark/>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pPr>
            <w:r w:rsidRPr="00892DE3">
              <w:br/>
            </w:r>
            <w:r w:rsidRPr="00892DE3">
              <w:br/>
              <w:t>Total</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4656" w:type="dxa"/>
            <w:hideMark/>
          </w:tcPr>
          <w:p w:rsidR="006F49E6" w:rsidRPr="00892DE3" w:rsidRDefault="006F49E6" w:rsidP="006F49E6">
            <w:pPr>
              <w:rPr>
                <w:rFonts w:cstheme="majorHAnsi"/>
                <w:b/>
              </w:rPr>
            </w:pPr>
            <w:r w:rsidRPr="00892DE3">
              <w:rPr>
                <w:rFonts w:cstheme="majorHAnsi"/>
                <w:b/>
              </w:rPr>
              <w:t>Controlled income and expenses</w:t>
            </w:r>
          </w:p>
        </w:tc>
        <w:tc>
          <w:tcPr>
            <w:tcW w:w="1865"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2126"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990" w:type="dxa"/>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4656" w:type="dxa"/>
            <w:hideMark/>
          </w:tcPr>
          <w:p w:rsidR="006F49E6" w:rsidRPr="00892DE3" w:rsidRDefault="006F49E6" w:rsidP="006F49E6">
            <w:pPr>
              <w:rPr>
                <w:rFonts w:cstheme="majorHAnsi"/>
              </w:rPr>
            </w:pPr>
            <w:r w:rsidRPr="00892DE3">
              <w:rPr>
                <w:rFonts w:cstheme="majorHAnsi"/>
              </w:rPr>
              <w:t>Income</w:t>
            </w:r>
          </w:p>
        </w:tc>
        <w:tc>
          <w:tcPr>
            <w:tcW w:w="1865" w:type="dxa"/>
            <w:noWrap/>
            <w:hideMark/>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4 556</w:t>
            </w:r>
          </w:p>
        </w:tc>
        <w:tc>
          <w:tcPr>
            <w:tcW w:w="2126" w:type="dxa"/>
            <w:noWrap/>
            <w:hideMark/>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19 494</w:t>
            </w:r>
          </w:p>
        </w:tc>
        <w:tc>
          <w:tcPr>
            <w:tcW w:w="990" w:type="dxa"/>
            <w:noWrap/>
            <w:hideMark/>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24 050</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4656" w:type="dxa"/>
            <w:tcBorders>
              <w:bottom w:val="single" w:sz="6" w:space="0" w:color="auto"/>
            </w:tcBorders>
            <w:hideMark/>
          </w:tcPr>
          <w:p w:rsidR="006F49E6" w:rsidRPr="00892DE3" w:rsidRDefault="006F49E6" w:rsidP="006F49E6">
            <w:pPr>
              <w:rPr>
                <w:rFonts w:cstheme="majorHAnsi"/>
              </w:rPr>
            </w:pPr>
            <w:r w:rsidRPr="00892DE3">
              <w:rPr>
                <w:rFonts w:cstheme="majorHAnsi"/>
              </w:rPr>
              <w:t>Expenses</w:t>
            </w:r>
          </w:p>
        </w:tc>
        <w:tc>
          <w:tcPr>
            <w:tcW w:w="1865" w:type="dxa"/>
            <w:tcBorders>
              <w:bottom w:val="single" w:sz="6" w:space="0" w:color="auto"/>
            </w:tcBorders>
            <w:noWrap/>
            <w:hideMark/>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(4 375)</w:t>
            </w:r>
          </w:p>
        </w:tc>
        <w:tc>
          <w:tcPr>
            <w:tcW w:w="2126" w:type="dxa"/>
            <w:tcBorders>
              <w:bottom w:val="single" w:sz="6" w:space="0" w:color="auto"/>
            </w:tcBorders>
            <w:noWrap/>
            <w:hideMark/>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(18 722)</w:t>
            </w:r>
          </w:p>
        </w:tc>
        <w:tc>
          <w:tcPr>
            <w:tcW w:w="990" w:type="dxa"/>
            <w:tcBorders>
              <w:bottom w:val="single" w:sz="6" w:space="0" w:color="auto"/>
            </w:tcBorders>
            <w:noWrap/>
            <w:hideMark/>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(23 098)</w:t>
            </w: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4656" w:type="dxa"/>
            <w:tcBorders>
              <w:top w:val="single" w:sz="6" w:space="0" w:color="auto"/>
              <w:bottom w:val="nil"/>
            </w:tcBorders>
            <w:hideMark/>
          </w:tcPr>
          <w:p w:rsidR="006F49E6" w:rsidRPr="00892DE3" w:rsidRDefault="006F49E6" w:rsidP="006F49E6">
            <w:pPr>
              <w:rPr>
                <w:rFonts w:cstheme="majorHAnsi"/>
                <w:b/>
              </w:rPr>
            </w:pPr>
            <w:r w:rsidRPr="00892DE3">
              <w:rPr>
                <w:rFonts w:cstheme="majorHAnsi"/>
                <w:b/>
              </w:rPr>
              <w:t>Administered income and expenses</w:t>
            </w:r>
          </w:p>
        </w:tc>
        <w:tc>
          <w:tcPr>
            <w:tcW w:w="1865" w:type="dxa"/>
            <w:tcBorders>
              <w:top w:val="single" w:sz="6" w:space="0" w:color="auto"/>
              <w:bottom w:val="nil"/>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2126" w:type="dxa"/>
            <w:tcBorders>
              <w:top w:val="single" w:sz="6" w:space="0" w:color="auto"/>
              <w:bottom w:val="nil"/>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c>
          <w:tcPr>
            <w:tcW w:w="990" w:type="dxa"/>
            <w:tcBorders>
              <w:top w:val="single" w:sz="6" w:space="0" w:color="auto"/>
              <w:bottom w:val="nil"/>
            </w:tcBorders>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p>
        </w:tc>
      </w:tr>
      <w:tr w:rsidR="006F49E6" w:rsidRPr="00892DE3" w:rsidTr="00CF5A34">
        <w:tc>
          <w:tcPr>
            <w:cnfStyle w:val="001000000000" w:firstRow="0" w:lastRow="0" w:firstColumn="1" w:lastColumn="0" w:oddVBand="0" w:evenVBand="0" w:oddHBand="0" w:evenHBand="0" w:firstRowFirstColumn="0" w:firstRowLastColumn="0" w:lastRowFirstColumn="0" w:lastRowLastColumn="0"/>
            <w:tcW w:w="4656" w:type="dxa"/>
            <w:tcBorders>
              <w:top w:val="nil"/>
            </w:tcBorders>
            <w:hideMark/>
          </w:tcPr>
          <w:p w:rsidR="006F49E6" w:rsidRPr="00892DE3" w:rsidRDefault="006F49E6" w:rsidP="006F49E6">
            <w:pPr>
              <w:rPr>
                <w:rFonts w:cstheme="majorHAnsi"/>
              </w:rPr>
            </w:pPr>
            <w:r w:rsidRPr="00892DE3">
              <w:rPr>
                <w:rFonts w:cstheme="majorHAnsi"/>
              </w:rPr>
              <w:t>Income</w:t>
            </w:r>
          </w:p>
        </w:tc>
        <w:tc>
          <w:tcPr>
            <w:tcW w:w="1865" w:type="dxa"/>
            <w:tcBorders>
              <w:top w:val="nil"/>
            </w:tcBorders>
            <w:noWrap/>
            <w:hideMark/>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541</w:t>
            </w:r>
          </w:p>
        </w:tc>
        <w:tc>
          <w:tcPr>
            <w:tcW w:w="2126" w:type="dxa"/>
            <w:tcBorders>
              <w:top w:val="nil"/>
            </w:tcBorders>
            <w:noWrap/>
            <w:hideMark/>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2 314</w:t>
            </w:r>
          </w:p>
        </w:tc>
        <w:tc>
          <w:tcPr>
            <w:tcW w:w="990" w:type="dxa"/>
            <w:tcBorders>
              <w:top w:val="nil"/>
            </w:tcBorders>
            <w:noWrap/>
            <w:hideMark/>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2 855</w:t>
            </w:r>
          </w:p>
        </w:tc>
      </w:tr>
      <w:tr w:rsidR="006F49E6" w:rsidRPr="00892DE3" w:rsidTr="00CF5A3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hideMark/>
          </w:tcPr>
          <w:p w:rsidR="006F49E6" w:rsidRPr="00892DE3" w:rsidRDefault="006F49E6" w:rsidP="006F49E6">
            <w:pPr>
              <w:rPr>
                <w:rFonts w:cstheme="majorHAnsi"/>
              </w:rPr>
            </w:pPr>
            <w:r w:rsidRPr="00892DE3">
              <w:rPr>
                <w:rFonts w:cstheme="majorHAnsi"/>
              </w:rPr>
              <w:t>Expenses</w:t>
            </w:r>
          </w:p>
        </w:tc>
        <w:tc>
          <w:tcPr>
            <w:tcW w:w="1865" w:type="dxa"/>
            <w:noWrap/>
            <w:hideMark/>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(519)</w:t>
            </w:r>
          </w:p>
        </w:tc>
        <w:tc>
          <w:tcPr>
            <w:tcW w:w="2126" w:type="dxa"/>
            <w:noWrap/>
            <w:hideMark/>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(2 222)</w:t>
            </w:r>
          </w:p>
        </w:tc>
        <w:tc>
          <w:tcPr>
            <w:tcW w:w="990" w:type="dxa"/>
            <w:noWrap/>
            <w:hideMark/>
          </w:tcPr>
          <w:p w:rsidR="006F49E6" w:rsidRPr="00892DE3" w:rsidRDefault="006F49E6" w:rsidP="006F49E6">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(2 742)</w:t>
            </w:r>
          </w:p>
        </w:tc>
      </w:tr>
    </w:tbl>
    <w:p w:rsidR="00F560AE" w:rsidRPr="00892DE3" w:rsidRDefault="00F560AE" w:rsidP="006F49E6">
      <w:r w:rsidRPr="00892DE3">
        <w:t>Comparative amounts for the prior year have not been adjusted.</w:t>
      </w:r>
    </w:p>
    <w:p w:rsidR="006F49E6" w:rsidRPr="00892DE3" w:rsidRDefault="006F49E6" w:rsidP="006F49E6">
      <w:r w:rsidRPr="00892DE3">
        <w:t>The net assets assumed by the Department for the research and development of biological technology output as a result of the administrative restructure is recognised in the balance sheet at the carrying amount of those assets in the transferor’s (Department of Natural Resources) balance sheet immediately before the transfer.</w:t>
      </w:r>
    </w:p>
    <w:p w:rsidR="006F49E6" w:rsidRPr="00892DE3" w:rsidRDefault="006F49E6" w:rsidP="006F49E6">
      <w:r w:rsidRPr="00892DE3">
        <w:t>The net asset transfers were treated as a contribution of capital by the State. No income has been recognised by the Department in respect of the net asset transferred from the Department of Natural Resources.</w:t>
      </w:r>
    </w:p>
    <w:p w:rsidR="006F49E6" w:rsidRPr="00892DE3" w:rsidRDefault="006F49E6" w:rsidP="006F49E6"/>
    <w:p w:rsidR="006F49E6" w:rsidRPr="00892DE3" w:rsidRDefault="006F49E6" w:rsidP="00A21EBF">
      <w:pPr>
        <w:pStyle w:val="TableHeading"/>
      </w:pPr>
      <w:r w:rsidRPr="00892DE3">
        <w:lastRenderedPageBreak/>
        <w:t xml:space="preserve">Restructuring of administrative arrangements </w:t>
      </w:r>
      <w:r w:rsidRPr="00892DE3">
        <w:rPr>
          <w:rStyle w:val="SourceReference"/>
          <w:b w:val="0"/>
        </w:rPr>
        <w:t>[AASB 1052.15(a), AASB 1004.54-58]</w:t>
      </w:r>
      <w:r w:rsidR="00A21EBF" w:rsidRPr="00892DE3">
        <w:rPr>
          <w:rStyle w:val="SourceReference"/>
          <w:b w:val="0"/>
        </w:rPr>
        <w:tab/>
      </w: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245"/>
        <w:gridCol w:w="2126"/>
        <w:gridCol w:w="2266"/>
      </w:tblGrid>
      <w:tr w:rsidR="006F49E6" w:rsidRPr="00892DE3" w:rsidTr="00A21EB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tcPr>
          <w:p w:rsidR="006F49E6" w:rsidRPr="00892DE3" w:rsidRDefault="006F49E6" w:rsidP="006F49E6">
            <w:pPr>
              <w:ind w:left="0" w:firstLine="0"/>
            </w:pPr>
          </w:p>
        </w:tc>
        <w:tc>
          <w:tcPr>
            <w:tcW w:w="2126" w:type="dxa"/>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pPr>
          </w:p>
        </w:tc>
        <w:tc>
          <w:tcPr>
            <w:tcW w:w="2266" w:type="dxa"/>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pPr>
            <w:r w:rsidRPr="00892DE3">
              <w:t>2017</w:t>
            </w:r>
          </w:p>
        </w:tc>
      </w:tr>
      <w:tr w:rsidR="006F49E6" w:rsidRPr="00892DE3" w:rsidTr="00A21EB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hideMark/>
          </w:tcPr>
          <w:p w:rsidR="006F49E6" w:rsidRPr="00892DE3" w:rsidRDefault="006F49E6" w:rsidP="006F49E6">
            <w:pPr>
              <w:ind w:left="0" w:firstLine="0"/>
            </w:pPr>
            <w:r w:rsidRPr="00892DE3">
              <w:t xml:space="preserve"> </w:t>
            </w:r>
          </w:p>
        </w:tc>
        <w:tc>
          <w:tcPr>
            <w:tcW w:w="2126" w:type="dxa"/>
            <w:noWrap/>
            <w:hideMark/>
          </w:tcPr>
          <w:p w:rsidR="006F49E6" w:rsidRPr="00892DE3" w:rsidRDefault="006F49E6" w:rsidP="006F49E6">
            <w:pPr>
              <w:cnfStyle w:val="100000000000" w:firstRow="1" w:lastRow="0" w:firstColumn="0" w:lastColumn="0" w:oddVBand="0" w:evenVBand="0" w:oddHBand="0" w:evenHBand="0" w:firstRowFirstColumn="0" w:firstRowLastColumn="0" w:lastRowFirstColumn="0" w:lastRowLastColumn="0"/>
            </w:pPr>
            <w:r w:rsidRPr="00892DE3">
              <w:t xml:space="preserve">Transfer in: </w:t>
            </w:r>
            <w:r w:rsidR="00A21EBF" w:rsidRPr="00892DE3">
              <w:br/>
            </w:r>
            <w:r w:rsidRPr="00892DE3">
              <w:t>Output – R&amp;D biological technology</w:t>
            </w:r>
          </w:p>
        </w:tc>
        <w:tc>
          <w:tcPr>
            <w:tcW w:w="2266" w:type="dxa"/>
            <w:noWrap/>
          </w:tcPr>
          <w:p w:rsidR="006F49E6" w:rsidRPr="00892DE3" w:rsidRDefault="006F49E6" w:rsidP="00A21EBF">
            <w:pPr>
              <w:cnfStyle w:val="100000000000" w:firstRow="1" w:lastRow="0" w:firstColumn="0" w:lastColumn="0" w:oddVBand="0" w:evenVBand="0" w:oddHBand="0" w:evenHBand="0" w:firstRowFirstColumn="0" w:firstRowLastColumn="0" w:lastRowFirstColumn="0" w:lastRowLastColumn="0"/>
            </w:pPr>
            <w:r w:rsidRPr="00892DE3">
              <w:t xml:space="preserve">Transfer out: </w:t>
            </w:r>
            <w:r w:rsidR="00A21EBF" w:rsidRPr="00892DE3">
              <w:br/>
            </w:r>
            <w:r w:rsidRPr="00892DE3">
              <w:t xml:space="preserve">Output – new </w:t>
            </w:r>
            <w:r w:rsidR="00A21EBF" w:rsidRPr="00892DE3">
              <w:t>t</w:t>
            </w:r>
            <w:r w:rsidRPr="00892DE3">
              <w:t>echnology administration</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6F49E6" w:rsidRPr="00892DE3" w:rsidRDefault="006F49E6" w:rsidP="006F49E6">
            <w:pPr>
              <w:rPr>
                <w:rFonts w:cstheme="majorHAnsi"/>
                <w:b/>
              </w:rPr>
            </w:pPr>
            <w:r w:rsidRPr="00892DE3">
              <w:rPr>
                <w:rFonts w:cstheme="majorHAnsi"/>
                <w:b/>
              </w:rPr>
              <w:t>Assets</w:t>
            </w:r>
          </w:p>
        </w:tc>
        <w:tc>
          <w:tcPr>
            <w:tcW w:w="212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226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6F49E6" w:rsidRPr="00892DE3" w:rsidRDefault="006F49E6" w:rsidP="00A21EBF">
            <w:pPr>
              <w:ind w:left="340"/>
              <w:rPr>
                <w:rFonts w:cstheme="majorHAnsi"/>
              </w:rPr>
            </w:pPr>
            <w:r w:rsidRPr="00892DE3">
              <w:rPr>
                <w:rFonts w:cstheme="majorHAnsi"/>
              </w:rPr>
              <w:t>Cash and deposits</w:t>
            </w:r>
          </w:p>
        </w:tc>
        <w:tc>
          <w:tcPr>
            <w:tcW w:w="212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w:t>
            </w:r>
          </w:p>
        </w:tc>
        <w:tc>
          <w:tcPr>
            <w:tcW w:w="226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(3 072)</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6F49E6" w:rsidRPr="00892DE3" w:rsidRDefault="006F49E6" w:rsidP="00A21EBF">
            <w:pPr>
              <w:ind w:left="340"/>
              <w:rPr>
                <w:rFonts w:cstheme="majorHAnsi"/>
              </w:rPr>
            </w:pPr>
            <w:r w:rsidRPr="00892DE3">
              <w:rPr>
                <w:rFonts w:cstheme="majorHAnsi"/>
              </w:rPr>
              <w:t>Receivables</w:t>
            </w:r>
          </w:p>
        </w:tc>
        <w:tc>
          <w:tcPr>
            <w:tcW w:w="212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2 767</w:t>
            </w:r>
          </w:p>
        </w:tc>
        <w:tc>
          <w:tcPr>
            <w:tcW w:w="226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(11 926)</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6F49E6" w:rsidRPr="00892DE3" w:rsidRDefault="006F49E6" w:rsidP="00A21EBF">
            <w:pPr>
              <w:ind w:left="340"/>
              <w:rPr>
                <w:rFonts w:cstheme="majorHAnsi"/>
              </w:rPr>
            </w:pPr>
            <w:r w:rsidRPr="00892DE3">
              <w:rPr>
                <w:rFonts w:cstheme="majorHAnsi"/>
              </w:rPr>
              <w:t>Investments and other financial assets</w:t>
            </w:r>
          </w:p>
        </w:tc>
        <w:tc>
          <w:tcPr>
            <w:tcW w:w="212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2 401</w:t>
            </w:r>
          </w:p>
        </w:tc>
        <w:tc>
          <w:tcPr>
            <w:tcW w:w="226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(5 266)</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6F49E6" w:rsidRPr="00892DE3" w:rsidRDefault="006F49E6" w:rsidP="00A21EBF">
            <w:pPr>
              <w:ind w:left="340"/>
              <w:rPr>
                <w:rFonts w:cstheme="majorHAnsi"/>
              </w:rPr>
            </w:pPr>
            <w:r w:rsidRPr="00892DE3">
              <w:rPr>
                <w:rFonts w:cstheme="majorHAnsi"/>
              </w:rPr>
              <w:t>Investments accounted for using the equity method</w:t>
            </w:r>
          </w:p>
        </w:tc>
        <w:tc>
          <w:tcPr>
            <w:tcW w:w="212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226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(2 471)</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6F49E6" w:rsidRPr="00892DE3" w:rsidRDefault="006F49E6" w:rsidP="00A21EBF">
            <w:pPr>
              <w:ind w:left="340"/>
              <w:rPr>
                <w:rFonts w:cstheme="majorHAnsi"/>
              </w:rPr>
            </w:pPr>
            <w:r w:rsidRPr="00892DE3">
              <w:rPr>
                <w:rFonts w:cstheme="majorHAnsi"/>
              </w:rPr>
              <w:t>Inventories</w:t>
            </w:r>
          </w:p>
        </w:tc>
        <w:tc>
          <w:tcPr>
            <w:tcW w:w="212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2 972</w:t>
            </w:r>
          </w:p>
        </w:tc>
        <w:tc>
          <w:tcPr>
            <w:tcW w:w="226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(11 317)</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6F49E6" w:rsidRPr="00892DE3" w:rsidRDefault="006F49E6" w:rsidP="00A21EBF">
            <w:pPr>
              <w:ind w:left="340"/>
              <w:rPr>
                <w:rFonts w:cstheme="majorHAnsi"/>
              </w:rPr>
            </w:pPr>
            <w:r w:rsidRPr="00892DE3">
              <w:rPr>
                <w:rFonts w:cstheme="majorHAnsi"/>
              </w:rPr>
              <w:t>Property, plant and equipment</w:t>
            </w:r>
          </w:p>
        </w:tc>
        <w:tc>
          <w:tcPr>
            <w:tcW w:w="212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15 512</w:t>
            </w:r>
          </w:p>
        </w:tc>
        <w:tc>
          <w:tcPr>
            <w:tcW w:w="226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(31 012)</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6F49E6" w:rsidRPr="00892DE3" w:rsidRDefault="006F49E6" w:rsidP="00A21EBF">
            <w:pPr>
              <w:ind w:left="340"/>
              <w:rPr>
                <w:rFonts w:cstheme="majorHAnsi"/>
              </w:rPr>
            </w:pPr>
            <w:r w:rsidRPr="00892DE3">
              <w:rPr>
                <w:rFonts w:cstheme="majorHAnsi"/>
              </w:rPr>
              <w:t>Biological assets</w:t>
            </w:r>
          </w:p>
        </w:tc>
        <w:tc>
          <w:tcPr>
            <w:tcW w:w="212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3 080</w:t>
            </w:r>
          </w:p>
        </w:tc>
        <w:tc>
          <w:tcPr>
            <w:tcW w:w="2266" w:type="dxa"/>
            <w:tcBorders>
              <w:bottom w:val="nil"/>
            </w:tcBorders>
            <w:noWrap/>
          </w:tcPr>
          <w:p w:rsidR="006F49E6" w:rsidRPr="00892DE3" w:rsidRDefault="00B442B0"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6F49E6" w:rsidRPr="00892DE3" w:rsidRDefault="006F49E6" w:rsidP="00A21EBF">
            <w:pPr>
              <w:ind w:left="340"/>
              <w:rPr>
                <w:rFonts w:cstheme="majorHAnsi"/>
              </w:rPr>
            </w:pPr>
            <w:r w:rsidRPr="00892DE3">
              <w:rPr>
                <w:rFonts w:cstheme="majorHAnsi"/>
              </w:rPr>
              <w:t>Investment properties</w:t>
            </w:r>
          </w:p>
        </w:tc>
        <w:tc>
          <w:tcPr>
            <w:tcW w:w="212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1 287</w:t>
            </w:r>
          </w:p>
        </w:tc>
        <w:tc>
          <w:tcPr>
            <w:tcW w:w="2266" w:type="dxa"/>
            <w:tcBorders>
              <w:bottom w:val="nil"/>
            </w:tcBorders>
            <w:noWrap/>
          </w:tcPr>
          <w:p w:rsidR="006F49E6" w:rsidRPr="00892DE3" w:rsidRDefault="00B442B0"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6F49E6" w:rsidRPr="00892DE3" w:rsidRDefault="006F49E6" w:rsidP="00A21EBF">
            <w:pPr>
              <w:ind w:left="340"/>
              <w:rPr>
                <w:rFonts w:cstheme="majorHAnsi"/>
              </w:rPr>
            </w:pPr>
            <w:r w:rsidRPr="00892DE3">
              <w:rPr>
                <w:rFonts w:cstheme="majorHAnsi"/>
              </w:rPr>
              <w:t>Intangible assets</w:t>
            </w:r>
          </w:p>
        </w:tc>
        <w:tc>
          <w:tcPr>
            <w:tcW w:w="212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226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(3 630)</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6F49E6" w:rsidRPr="00892DE3" w:rsidRDefault="006F49E6" w:rsidP="00A21EBF">
            <w:pPr>
              <w:ind w:left="340"/>
              <w:rPr>
                <w:rFonts w:cstheme="majorHAnsi"/>
              </w:rPr>
            </w:pPr>
            <w:r w:rsidRPr="00892DE3">
              <w:rPr>
                <w:rFonts w:cstheme="majorHAnsi"/>
              </w:rPr>
              <w:t>Other non</w:t>
            </w:r>
            <w:r w:rsidRPr="00892DE3">
              <w:rPr>
                <w:rFonts w:cstheme="majorHAnsi"/>
              </w:rPr>
              <w:noBreakHyphen/>
              <w:t>financial assets</w:t>
            </w:r>
          </w:p>
        </w:tc>
        <w:tc>
          <w:tcPr>
            <w:tcW w:w="212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34</w:t>
            </w:r>
          </w:p>
        </w:tc>
        <w:tc>
          <w:tcPr>
            <w:tcW w:w="2266" w:type="dxa"/>
            <w:tcBorders>
              <w:top w:val="nil"/>
              <w:bottom w:val="nil"/>
            </w:tcBorders>
            <w:noWrap/>
          </w:tcPr>
          <w:p w:rsidR="006F49E6" w:rsidRPr="00892DE3" w:rsidRDefault="00B442B0"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6F49E6" w:rsidRPr="00892DE3">
              <w:rPr>
                <w:rFonts w:cstheme="majorHAnsi"/>
              </w:rPr>
              <w:t>.</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6F49E6" w:rsidRPr="00892DE3" w:rsidRDefault="006F49E6" w:rsidP="006F49E6">
            <w:pPr>
              <w:rPr>
                <w:rFonts w:cstheme="majorHAnsi"/>
                <w:b/>
              </w:rPr>
            </w:pPr>
            <w:r w:rsidRPr="00892DE3">
              <w:rPr>
                <w:rFonts w:cstheme="majorHAnsi"/>
                <w:b/>
              </w:rPr>
              <w:t>Liabilities</w:t>
            </w:r>
          </w:p>
        </w:tc>
        <w:tc>
          <w:tcPr>
            <w:tcW w:w="212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226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6F49E6" w:rsidRPr="00892DE3" w:rsidRDefault="006F49E6" w:rsidP="00A21EBF">
            <w:pPr>
              <w:ind w:left="340"/>
              <w:rPr>
                <w:rFonts w:cstheme="majorHAnsi"/>
              </w:rPr>
            </w:pPr>
            <w:r w:rsidRPr="00892DE3">
              <w:rPr>
                <w:rFonts w:cstheme="majorHAnsi"/>
              </w:rPr>
              <w:t>Borrowings</w:t>
            </w:r>
          </w:p>
        </w:tc>
        <w:tc>
          <w:tcPr>
            <w:tcW w:w="212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4 104</w:t>
            </w:r>
          </w:p>
        </w:tc>
        <w:tc>
          <w:tcPr>
            <w:tcW w:w="2266" w:type="dxa"/>
            <w:tcBorders>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(31 374)</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6F49E6" w:rsidRPr="00892DE3" w:rsidRDefault="006F49E6" w:rsidP="00A21EBF">
            <w:pPr>
              <w:ind w:left="340"/>
              <w:rPr>
                <w:rFonts w:cstheme="majorHAnsi"/>
              </w:rPr>
            </w:pPr>
            <w:r w:rsidRPr="00892DE3">
              <w:rPr>
                <w:rFonts w:cstheme="majorHAnsi"/>
              </w:rPr>
              <w:t>Payables</w:t>
            </w:r>
          </w:p>
        </w:tc>
        <w:tc>
          <w:tcPr>
            <w:tcW w:w="212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2 094</w:t>
            </w:r>
          </w:p>
        </w:tc>
        <w:tc>
          <w:tcPr>
            <w:tcW w:w="226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(5 675)</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6F49E6" w:rsidRPr="00892DE3" w:rsidRDefault="006F49E6" w:rsidP="00A21EBF">
            <w:pPr>
              <w:ind w:left="340"/>
              <w:rPr>
                <w:rFonts w:cstheme="majorHAnsi"/>
              </w:rPr>
            </w:pPr>
            <w:r w:rsidRPr="00892DE3">
              <w:rPr>
                <w:rFonts w:cstheme="majorHAnsi"/>
              </w:rPr>
              <w:t>Provisions</w:t>
            </w:r>
          </w:p>
        </w:tc>
        <w:tc>
          <w:tcPr>
            <w:tcW w:w="212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2 075</w:t>
            </w:r>
          </w:p>
        </w:tc>
        <w:tc>
          <w:tcPr>
            <w:tcW w:w="2266" w:type="dxa"/>
            <w:tcBorders>
              <w:top w:val="nil"/>
              <w:bottom w:val="nil"/>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(11 149)</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6" w:space="0" w:color="auto"/>
            </w:tcBorders>
          </w:tcPr>
          <w:p w:rsidR="006F49E6" w:rsidRPr="00892DE3" w:rsidRDefault="006F49E6" w:rsidP="00A21EBF">
            <w:pPr>
              <w:ind w:left="340"/>
              <w:rPr>
                <w:rFonts w:cstheme="majorHAnsi"/>
              </w:rPr>
            </w:pPr>
            <w:r w:rsidRPr="00892DE3">
              <w:rPr>
                <w:rFonts w:cstheme="majorHAnsi"/>
              </w:rPr>
              <w:t>Other liabilities</w:t>
            </w:r>
          </w:p>
        </w:tc>
        <w:tc>
          <w:tcPr>
            <w:tcW w:w="2126" w:type="dxa"/>
            <w:tcBorders>
              <w:top w:val="nil"/>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168</w:t>
            </w:r>
          </w:p>
        </w:tc>
        <w:tc>
          <w:tcPr>
            <w:tcW w:w="2266" w:type="dxa"/>
            <w:tcBorders>
              <w:top w:val="nil"/>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(400)</w:t>
            </w:r>
          </w:p>
        </w:tc>
      </w:tr>
      <w:tr w:rsidR="006F49E6" w:rsidRPr="00892DE3" w:rsidTr="00A21EBF">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6" w:space="0" w:color="auto"/>
            </w:tcBorders>
          </w:tcPr>
          <w:p w:rsidR="006F49E6" w:rsidRPr="00892DE3" w:rsidRDefault="006F49E6" w:rsidP="006F49E6">
            <w:pPr>
              <w:rPr>
                <w:rFonts w:cstheme="majorHAnsi"/>
                <w:b/>
              </w:rPr>
            </w:pPr>
            <w:r w:rsidRPr="00892DE3">
              <w:rPr>
                <w:rFonts w:cstheme="majorHAnsi"/>
                <w:b/>
              </w:rPr>
              <w:t>Net assets recognised/(transferred)</w:t>
            </w:r>
          </w:p>
        </w:tc>
        <w:tc>
          <w:tcPr>
            <w:tcW w:w="2126" w:type="dxa"/>
            <w:tcBorders>
              <w:top w:val="single" w:sz="6" w:space="0" w:color="auto"/>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19 616</w:t>
            </w:r>
          </w:p>
        </w:tc>
        <w:tc>
          <w:tcPr>
            <w:tcW w:w="2266" w:type="dxa"/>
            <w:tcBorders>
              <w:top w:val="single" w:sz="6" w:space="0" w:color="auto"/>
              <w:bottom w:val="single" w:sz="6" w:space="0" w:color="auto"/>
            </w:tcBorders>
            <w:noWrap/>
          </w:tcPr>
          <w:p w:rsidR="006F49E6" w:rsidRPr="00892DE3" w:rsidRDefault="006F49E6" w:rsidP="006F49E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(20 097)</w:t>
            </w:r>
          </w:p>
        </w:tc>
      </w:tr>
      <w:tr w:rsidR="00A21EBF" w:rsidRPr="00892DE3" w:rsidTr="00A21EB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rsidR="00A21EBF" w:rsidRPr="00892DE3" w:rsidRDefault="00A21EBF" w:rsidP="006F49E6">
            <w:pPr>
              <w:ind w:left="0" w:firstLine="0"/>
            </w:pPr>
            <w:r w:rsidRPr="00892DE3">
              <w:t>Net capital contribution from the Crown</w:t>
            </w:r>
          </w:p>
        </w:tc>
        <w:tc>
          <w:tcPr>
            <w:tcW w:w="2126" w:type="dxa"/>
            <w:tcBorders>
              <w:top w:val="single" w:sz="6" w:space="0" w:color="auto"/>
              <w:bottom w:val="single" w:sz="12" w:space="0" w:color="auto"/>
            </w:tcBorders>
            <w:noWrap/>
          </w:tcPr>
          <w:p w:rsidR="00A21EBF" w:rsidRPr="00892DE3" w:rsidRDefault="00A21EBF" w:rsidP="00A21EBF">
            <w:pPr>
              <w:cnfStyle w:val="010000000000" w:firstRow="0" w:lastRow="1" w:firstColumn="0" w:lastColumn="0" w:oddVBand="0" w:evenVBand="0" w:oddHBand="0" w:evenHBand="0" w:firstRowFirstColumn="0" w:firstRowLastColumn="0" w:lastRowFirstColumn="0" w:lastRowLastColumn="0"/>
            </w:pPr>
          </w:p>
        </w:tc>
        <w:tc>
          <w:tcPr>
            <w:tcW w:w="2266" w:type="dxa"/>
            <w:tcBorders>
              <w:top w:val="single" w:sz="6" w:space="0" w:color="auto"/>
              <w:bottom w:val="single" w:sz="12" w:space="0" w:color="auto"/>
            </w:tcBorders>
          </w:tcPr>
          <w:p w:rsidR="00A21EBF" w:rsidRPr="00892DE3" w:rsidRDefault="00A21EBF" w:rsidP="00A21EBF">
            <w:pPr>
              <w:cnfStyle w:val="010000000000" w:firstRow="0" w:lastRow="1" w:firstColumn="0" w:lastColumn="0" w:oddVBand="0" w:evenVBand="0" w:oddHBand="0" w:evenHBand="0" w:firstRowFirstColumn="0" w:firstRowLastColumn="0" w:lastRowFirstColumn="0" w:lastRowLastColumn="0"/>
            </w:pPr>
            <w:r w:rsidRPr="00892DE3">
              <w:t>(4 80)</w:t>
            </w:r>
          </w:p>
        </w:tc>
      </w:tr>
    </w:tbl>
    <w:p w:rsidR="006F49E6" w:rsidRPr="00892DE3" w:rsidRDefault="006F49E6" w:rsidP="006F49E6"/>
    <w:tbl>
      <w:tblPr>
        <w:tblStyle w:val="ModelReportGuidanceTable"/>
        <w:tblW w:w="0" w:type="auto"/>
        <w:tblLayout w:type="fixed"/>
        <w:tblLook w:val="04A0" w:firstRow="1" w:lastRow="0" w:firstColumn="1" w:lastColumn="0" w:noHBand="0" w:noVBand="1"/>
      </w:tblPr>
      <w:tblGrid>
        <w:gridCol w:w="9854"/>
      </w:tblGrid>
      <w:tr w:rsidR="006F49E6"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6F49E6" w:rsidRPr="00892DE3" w:rsidRDefault="006F49E6" w:rsidP="006F49E6">
            <w:r w:rsidRPr="00892DE3">
              <w:t xml:space="preserve">Guidance – Restructuring of </w:t>
            </w:r>
            <w:r w:rsidR="005A0225" w:rsidRPr="00892DE3">
              <w:t>administrative arrangements</w:t>
            </w:r>
          </w:p>
        </w:tc>
      </w:tr>
      <w:tr w:rsidR="006F49E6" w:rsidRPr="00892DE3" w:rsidTr="0044350A">
        <w:tc>
          <w:tcPr>
            <w:tcW w:w="9854" w:type="dxa"/>
          </w:tcPr>
          <w:p w:rsidR="006F49E6" w:rsidRPr="00892DE3" w:rsidRDefault="006F49E6" w:rsidP="006F49E6">
            <w:r w:rsidRPr="00892DE3">
              <w:t xml:space="preserve">Requirements regarding restructures of administrative arrangements can be found by reference to AASB 1004 </w:t>
            </w:r>
            <w:r w:rsidRPr="00892DE3">
              <w:rPr>
                <w:i/>
              </w:rPr>
              <w:t>Contributions</w:t>
            </w:r>
            <w:r w:rsidRPr="00892DE3">
              <w:t xml:space="preserve"> and AASB Interpretation 1038 </w:t>
            </w:r>
            <w:r w:rsidRPr="00892DE3">
              <w:rPr>
                <w:i/>
              </w:rPr>
              <w:t>Contributions by Owners Made to Wholly Owned Public Sector Entities</w:t>
            </w:r>
            <w:r w:rsidRPr="00892DE3">
              <w:t xml:space="preserve">. In relation to the detailed requirements on the evidence and timing when accounting for restructures of administrative arrangements, please refer to FRD 119A </w:t>
            </w:r>
            <w:r w:rsidRPr="00892DE3">
              <w:rPr>
                <w:i/>
              </w:rPr>
              <w:t>Transfers through contributed capital</w:t>
            </w:r>
            <w:r w:rsidRPr="00892DE3">
              <w:t xml:space="preserve"> as outlined below.</w:t>
            </w:r>
          </w:p>
          <w:p w:rsidR="006F49E6" w:rsidRPr="00892DE3" w:rsidRDefault="006F49E6" w:rsidP="008C4951">
            <w:pPr>
              <w:spacing w:before="80"/>
              <w:rPr>
                <w:b/>
              </w:rPr>
            </w:pPr>
            <w:r w:rsidRPr="00892DE3">
              <w:rPr>
                <w:b/>
              </w:rPr>
              <w:t>Evidence and</w:t>
            </w:r>
            <w:r w:rsidR="00B442B0" w:rsidRPr="00892DE3">
              <w:rPr>
                <w:b/>
              </w:rPr>
              <w:t xml:space="preserve"> timing of government decisions</w:t>
            </w:r>
          </w:p>
          <w:p w:rsidR="006F49E6" w:rsidRPr="00892DE3" w:rsidRDefault="006F49E6" w:rsidP="008C4951">
            <w:pPr>
              <w:spacing w:before="60"/>
              <w:rPr>
                <w:i/>
              </w:rPr>
            </w:pPr>
            <w:r w:rsidRPr="00892DE3">
              <w:rPr>
                <w:i/>
              </w:rPr>
              <w:t xml:space="preserve">Parliamentary appropriations </w:t>
            </w:r>
            <w:r w:rsidRPr="00892DE3">
              <w:rPr>
                <w:rStyle w:val="SourceReference"/>
              </w:rPr>
              <w:t>[FRD 119A. App A]</w:t>
            </w:r>
          </w:p>
          <w:p w:rsidR="006F49E6" w:rsidRPr="00892DE3" w:rsidRDefault="006F49E6" w:rsidP="006F49E6">
            <w:r w:rsidRPr="00892DE3">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FRD 119A as contributions by owners. </w:t>
            </w:r>
          </w:p>
          <w:p w:rsidR="006F49E6" w:rsidRPr="00892DE3" w:rsidRDefault="006F49E6" w:rsidP="006F49E6">
            <w:r w:rsidRPr="00892DE3">
              <w:t>In such cases, the evidence of government decision</w:t>
            </w:r>
            <w:r w:rsidR="00061EFF" w:rsidRPr="00892DE3">
              <w:t>s</w:t>
            </w:r>
            <w:r w:rsidRPr="00892DE3">
              <w:t xml:space="preserve"> is in the form of</w:t>
            </w:r>
            <w:r w:rsidR="002D2A64" w:rsidRPr="00892DE3">
              <w:t xml:space="preserve"> an</w:t>
            </w:r>
            <w:r w:rsidRPr="00892DE3">
              <w:t xml:space="preserve"> Appropriation Act, or specific sections in other Acts. The timing of government decision is when the Royal assent or the Warrant is signed.</w:t>
            </w:r>
          </w:p>
          <w:p w:rsidR="008C4951" w:rsidRPr="00892DE3" w:rsidRDefault="008C4951" w:rsidP="008C4951">
            <w:pPr>
              <w:spacing w:before="80"/>
              <w:rPr>
                <w:b/>
              </w:rPr>
            </w:pPr>
            <w:r w:rsidRPr="00892DE3">
              <w:rPr>
                <w:b/>
              </w:rPr>
              <w:t>Restructures of administrative restructures</w:t>
            </w:r>
          </w:p>
          <w:p w:rsidR="008C4951" w:rsidRPr="00892DE3" w:rsidRDefault="008C4951" w:rsidP="008C4951">
            <w:pPr>
              <w:spacing w:before="100"/>
            </w:pPr>
            <w:r w:rsidRPr="00892DE3">
              <w:t xml:space="preserve">In the case of restructures of administrative restructures, evidence of government decisions can include an administrative order, a legislative instrument, or any form of evidence documenting government decision in relation to the activities transferred. The decision is made when the Order/Royal assent/evidence is signed, depending on the form of evidence. </w:t>
            </w:r>
          </w:p>
          <w:p w:rsidR="008C4951" w:rsidRPr="00892DE3" w:rsidRDefault="008C4951" w:rsidP="008C4951">
            <w:pPr>
              <w:spacing w:before="100"/>
            </w:pPr>
            <w:r w:rsidRPr="00892DE3">
              <w:t>Where an administrative order is used to effect the administrative restructure, the transfer is deemed to occur on the date of gazettal or publication unless the order or a subsequent order specifies a separate effective date.</w:t>
            </w:r>
          </w:p>
          <w:p w:rsidR="008C4951" w:rsidRPr="00892DE3" w:rsidRDefault="008C4951" w:rsidP="008C4951">
            <w:pPr>
              <w:spacing w:before="100"/>
            </w:pPr>
            <w:r w:rsidRPr="00892DE3">
              <w:t>Administrative orders may be issued with different dates specified for:</w:t>
            </w:r>
          </w:p>
          <w:p w:rsidR="008C4951" w:rsidRPr="00892DE3" w:rsidRDefault="008C4951" w:rsidP="008C4951">
            <w:pPr>
              <w:pStyle w:val="ListBullet"/>
            </w:pPr>
            <w:r w:rsidRPr="00892DE3">
              <w:t>departmental name changes;</w:t>
            </w:r>
          </w:p>
          <w:p w:rsidR="008C4951" w:rsidRPr="00892DE3" w:rsidRDefault="008C4951" w:rsidP="008C4951">
            <w:pPr>
              <w:pStyle w:val="ListBullet"/>
            </w:pPr>
            <w:r w:rsidRPr="00892DE3">
              <w:t>ministerial appointments; and</w:t>
            </w:r>
          </w:p>
          <w:p w:rsidR="008C4951" w:rsidRPr="00892DE3" w:rsidRDefault="008C4951" w:rsidP="008C4951">
            <w:pPr>
              <w:pStyle w:val="ListBullet"/>
            </w:pPr>
            <w:r w:rsidRPr="00892DE3">
              <w:t>commencement of keeping accounts and provision of reports for output changes.</w:t>
            </w:r>
          </w:p>
          <w:p w:rsidR="008C4951" w:rsidRPr="00892DE3" w:rsidRDefault="008C4951" w:rsidP="008C4951">
            <w:pPr>
              <w:spacing w:before="100"/>
            </w:pPr>
            <w:r w:rsidRPr="00892DE3">
              <w:t xml:space="preserve">For example, in the case of the fictitious Department of Technology (DoT), the transfer was announced and approved on 2 August 2015, however there is a requirement in the Administrative Arrangements Order (No. xxx) 2015 for the Department to keep accounts and to provide reports for the relevant outputs for the purposes of the </w:t>
            </w:r>
            <w:r w:rsidRPr="00892DE3">
              <w:rPr>
                <w:i/>
              </w:rPr>
              <w:t>Financial Management Act 1994</w:t>
            </w:r>
            <w:r w:rsidRPr="00892DE3">
              <w:t xml:space="preserve"> until 31 August 2015 (see Note 2 Departmental (controlled) outputs). Entities should review carefully the relevant designation date, or if different, the effective date of the administrative order from the Special Victorian Government Gazette. This publication can be accessed at: </w:t>
            </w:r>
          </w:p>
          <w:p w:rsidR="008C4951" w:rsidRPr="00892DE3" w:rsidRDefault="008C4951" w:rsidP="008C4951">
            <w:pPr>
              <w:spacing w:before="60"/>
            </w:pPr>
            <w:r w:rsidRPr="00892DE3">
              <w:t>www.gazette.vic.gov.au</w:t>
            </w:r>
          </w:p>
          <w:p w:rsidR="008C4951" w:rsidRPr="00892DE3" w:rsidRDefault="008C4951" w:rsidP="008C4951">
            <w:pPr>
              <w:spacing w:before="60"/>
            </w:pPr>
            <w:r w:rsidRPr="00892DE3">
              <w:t>or can be ordered from:</w:t>
            </w:r>
          </w:p>
          <w:p w:rsidR="008C4951" w:rsidRPr="00892DE3" w:rsidRDefault="008C4951" w:rsidP="008C4951">
            <w:pPr>
              <w:tabs>
                <w:tab w:val="left" w:pos="570"/>
              </w:tabs>
              <w:spacing w:before="60"/>
            </w:pPr>
            <w:r w:rsidRPr="00892DE3">
              <w:tab/>
              <w:t>BlueStar Print</w:t>
            </w:r>
          </w:p>
          <w:p w:rsidR="008C4951" w:rsidRPr="00892DE3" w:rsidRDefault="008C4951" w:rsidP="008C4951">
            <w:pPr>
              <w:pStyle w:val="List"/>
              <w:tabs>
                <w:tab w:val="clear" w:pos="1134"/>
                <w:tab w:val="left" w:pos="1418"/>
              </w:tabs>
              <w:spacing w:before="0"/>
            </w:pPr>
            <w:r w:rsidRPr="00892DE3">
              <w:tab/>
              <w:t>Phone</w:t>
            </w:r>
            <w:r w:rsidRPr="00892DE3">
              <w:tab/>
              <w:t>(03) 8523 4601</w:t>
            </w:r>
          </w:p>
          <w:p w:rsidR="008C4951" w:rsidRPr="00892DE3" w:rsidRDefault="008C4951" w:rsidP="008C4951">
            <w:pPr>
              <w:pStyle w:val="List"/>
              <w:tabs>
                <w:tab w:val="clear" w:pos="1134"/>
                <w:tab w:val="left" w:pos="1418"/>
              </w:tabs>
              <w:spacing w:before="0"/>
            </w:pPr>
            <w:r w:rsidRPr="00892DE3">
              <w:tab/>
              <w:t xml:space="preserve">Fax </w:t>
            </w:r>
            <w:r w:rsidRPr="00892DE3">
              <w:tab/>
              <w:t>(03) 9600 0478</w:t>
            </w:r>
          </w:p>
          <w:p w:rsidR="008C4951" w:rsidRPr="00892DE3" w:rsidRDefault="008C4951" w:rsidP="008C4951">
            <w:pPr>
              <w:pStyle w:val="List"/>
              <w:tabs>
                <w:tab w:val="clear" w:pos="1134"/>
                <w:tab w:val="left" w:pos="1418"/>
              </w:tabs>
              <w:spacing w:before="0"/>
            </w:pPr>
            <w:r w:rsidRPr="00892DE3">
              <w:tab/>
              <w:t>Email</w:t>
            </w:r>
            <w:r w:rsidRPr="00892DE3">
              <w:tab/>
              <w:t>gazette@bluestargroup.com.au</w:t>
            </w:r>
          </w:p>
        </w:tc>
      </w:tr>
    </w:tbl>
    <w:p w:rsidR="006F49E6" w:rsidRPr="00892DE3" w:rsidRDefault="006F49E6"/>
    <w:tbl>
      <w:tblPr>
        <w:tblStyle w:val="ModelReportGuidanceTable"/>
        <w:tblW w:w="0" w:type="auto"/>
        <w:tblLayout w:type="fixed"/>
        <w:tblLook w:val="04A0" w:firstRow="1" w:lastRow="0" w:firstColumn="1" w:lastColumn="0" w:noHBand="0" w:noVBand="1"/>
      </w:tblPr>
      <w:tblGrid>
        <w:gridCol w:w="9854"/>
      </w:tblGrid>
      <w:tr w:rsidR="006F49E6"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6F49E6" w:rsidRPr="00892DE3" w:rsidRDefault="006F49E6" w:rsidP="0002714F">
            <w:r w:rsidRPr="00892DE3">
              <w:t xml:space="preserve">Guidance – Restructuring of </w:t>
            </w:r>
            <w:r w:rsidR="005A0225" w:rsidRPr="00892DE3">
              <w:t xml:space="preserve">administrative arrangements </w:t>
            </w:r>
            <w:r w:rsidRPr="00491373">
              <w:rPr>
                <w:i/>
              </w:rPr>
              <w:t>(continued)</w:t>
            </w:r>
          </w:p>
        </w:tc>
      </w:tr>
      <w:tr w:rsidR="006F49E6" w:rsidRPr="00892DE3" w:rsidTr="0044350A">
        <w:tc>
          <w:tcPr>
            <w:tcW w:w="9854" w:type="dxa"/>
          </w:tcPr>
          <w:p w:rsidR="006F49E6" w:rsidRPr="00892DE3" w:rsidRDefault="006F49E6" w:rsidP="006F49E6">
            <w:pPr>
              <w:rPr>
                <w:b/>
              </w:rPr>
            </w:pPr>
            <w:r w:rsidRPr="00892DE3">
              <w:rPr>
                <w:b/>
              </w:rPr>
              <w:t>Formal designation for ‘other transfers’</w:t>
            </w:r>
          </w:p>
          <w:p w:rsidR="006F49E6" w:rsidRPr="00892DE3" w:rsidRDefault="006F49E6" w:rsidP="00CA4206">
            <w:pPr>
              <w:spacing w:before="100"/>
            </w:pPr>
            <w:r w:rsidRPr="00892DE3">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FRD 119A for the minimum details to be included to meet the designation requirements. </w:t>
            </w:r>
          </w:p>
          <w:p w:rsidR="006F49E6" w:rsidRPr="00892DE3" w:rsidRDefault="006F49E6" w:rsidP="006F49E6">
            <w:pPr>
              <w:rPr>
                <w:b/>
              </w:rPr>
            </w:pPr>
            <w:r w:rsidRPr="00892DE3">
              <w:rPr>
                <w:b/>
              </w:rPr>
              <w:t>Insufficient contributed capital for distributions to owners (reclassification of equity)</w:t>
            </w:r>
          </w:p>
          <w:p w:rsidR="006F49E6" w:rsidRPr="00892DE3" w:rsidRDefault="006F49E6" w:rsidP="00CA4206">
            <w:pPr>
              <w:spacing w:before="100"/>
            </w:pPr>
            <w:r w:rsidRPr="00892DE3">
              <w:t>Under FRD 119A, the Chief Finance and Accountable Officers can reclassify equity without further ministerial approval to the extent required to effect the following distributions to owners:</w:t>
            </w:r>
          </w:p>
          <w:p w:rsidR="006F49E6" w:rsidRPr="00892DE3" w:rsidRDefault="006F49E6" w:rsidP="00CA4206">
            <w:pPr>
              <w:pStyle w:val="List"/>
              <w:spacing w:before="80"/>
            </w:pPr>
            <w:r w:rsidRPr="00892DE3">
              <w:t>(a)</w:t>
            </w:r>
            <w:r w:rsidRPr="00892DE3">
              <w:tab/>
              <w:t xml:space="preserve">where the transferor has insufficient contributed capital to transfer an asset or net assets; or </w:t>
            </w:r>
          </w:p>
          <w:p w:rsidR="006F49E6" w:rsidRPr="00892DE3" w:rsidRDefault="006F49E6" w:rsidP="00CA4206">
            <w:pPr>
              <w:pStyle w:val="List"/>
              <w:spacing w:before="80"/>
            </w:pPr>
            <w:r w:rsidRPr="00892DE3">
              <w:t>(b)</w:t>
            </w:r>
            <w:r w:rsidRPr="00892DE3">
              <w:tab/>
              <w:t>where a transferee has insufficient contributed capital to cover the receipt of a liability or net liabilities.</w:t>
            </w:r>
          </w:p>
          <w:p w:rsidR="006F49E6" w:rsidRPr="00892DE3" w:rsidRDefault="006F49E6" w:rsidP="00CA4206">
            <w:pPr>
              <w:spacing w:before="100"/>
            </w:pPr>
            <w:r w:rsidRPr="00892DE3">
              <w:t>In accordance with the guidance in Appendix C of FRD 103F Non-financial physical assets, for distributions of non</w:t>
            </w:r>
            <w:r w:rsidRPr="00892DE3">
              <w:noBreakHyphen/>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rsidR="006F49E6" w:rsidRPr="00892DE3" w:rsidRDefault="006F49E6" w:rsidP="00CA4206">
            <w:pPr>
              <w:spacing w:before="100"/>
            </w:pPr>
            <w:r w:rsidRPr="00892DE3">
              <w:t>Subsequent to the reclassification above, where there is insufficient contributed capital for distributions to owners, the entity must reclassify its accumulated surplus to contributed capital to the extent required to effect the distribution.</w:t>
            </w:r>
          </w:p>
          <w:p w:rsidR="006F49E6" w:rsidRPr="00892DE3" w:rsidRDefault="006F49E6" w:rsidP="00CA4206">
            <w:pPr>
              <w:spacing w:before="100"/>
            </w:pPr>
            <w:r w:rsidRPr="00892DE3">
              <w:t>If there is still insufficient contributed capital after such reclassifications, the balance must be recognised as an expense.</w:t>
            </w:r>
          </w:p>
          <w:p w:rsidR="006F49E6" w:rsidRPr="00892DE3" w:rsidRDefault="006F49E6" w:rsidP="006F49E6">
            <w:pPr>
              <w:rPr>
                <w:b/>
              </w:rPr>
            </w:pPr>
            <w:r w:rsidRPr="00892DE3">
              <w:rPr>
                <w:b/>
              </w:rPr>
              <w:t>Disclosure requirements in the notes</w:t>
            </w:r>
          </w:p>
          <w:p w:rsidR="006F49E6" w:rsidRPr="00892DE3" w:rsidRDefault="006F49E6" w:rsidP="006F49E6">
            <w:pPr>
              <w:rPr>
                <w:i/>
              </w:rPr>
            </w:pPr>
            <w:r w:rsidRPr="00892DE3">
              <w:rPr>
                <w:i/>
              </w:rPr>
              <w:t xml:space="preserve">Income and expenses </w:t>
            </w:r>
            <w:r w:rsidRPr="00892DE3">
              <w:rPr>
                <w:rStyle w:val="SourceReference"/>
              </w:rPr>
              <w:t>[AASB 1004.57]</w:t>
            </w:r>
          </w:p>
          <w:p w:rsidR="006F49E6" w:rsidRPr="00892DE3" w:rsidRDefault="006F49E6" w:rsidP="00CA4206">
            <w:pPr>
              <w:spacing w:before="100"/>
            </w:pPr>
            <w:r w:rsidRPr="00892DE3">
              <w:t>In relation to a transferred output (activity), income and expenses attributable to that output shall be disclosed by the transferee, including the income and expenses recognised by the transferor.</w:t>
            </w:r>
          </w:p>
          <w:p w:rsidR="006F49E6" w:rsidRPr="00892DE3" w:rsidRDefault="006F49E6" w:rsidP="006F49E6">
            <w:pPr>
              <w:rPr>
                <w:i/>
              </w:rPr>
            </w:pPr>
            <w:r w:rsidRPr="00892DE3">
              <w:rPr>
                <w:i/>
              </w:rPr>
              <w:t xml:space="preserve">Assets and liabilities </w:t>
            </w:r>
            <w:r w:rsidRPr="00892DE3">
              <w:rPr>
                <w:rStyle w:val="SourceReference"/>
              </w:rPr>
              <w:t>[AASB 1004.58]</w:t>
            </w:r>
          </w:p>
          <w:p w:rsidR="006F49E6" w:rsidRPr="00892DE3" w:rsidRDefault="006F49E6" w:rsidP="00CA4206">
            <w:pPr>
              <w:spacing w:before="100"/>
            </w:pPr>
            <w:r w:rsidRPr="00892DE3">
              <w:t>For immaterial transfers, the assets and liabilities transferred shall be disclosed on an aggregate basis.</w:t>
            </w:r>
          </w:p>
          <w:p w:rsidR="006F49E6" w:rsidRPr="00892DE3" w:rsidRDefault="006F49E6" w:rsidP="00CA4206">
            <w:pPr>
              <w:spacing w:before="100"/>
            </w:pPr>
            <w:r w:rsidRPr="00892DE3">
              <w:t>For each material transfer, the assets and liabilities transferred shall be disclosed by class, and the counterparty transferor/transferee shall be identified. In addition, both the transferor and transferee shall disclose the following:</w:t>
            </w:r>
          </w:p>
          <w:p w:rsidR="006F49E6" w:rsidRPr="00892DE3" w:rsidRDefault="006F49E6" w:rsidP="00CA4206">
            <w:pPr>
              <w:pStyle w:val="List"/>
              <w:spacing w:before="80"/>
            </w:pPr>
            <w:r w:rsidRPr="00892DE3">
              <w:t>(a)</w:t>
            </w:r>
            <w:r w:rsidRPr="00892DE3">
              <w:tab/>
              <w:t>a brief description of the nature of the output transferred;</w:t>
            </w:r>
          </w:p>
          <w:p w:rsidR="006F49E6" w:rsidRPr="00892DE3" w:rsidRDefault="006F49E6" w:rsidP="00CA4206">
            <w:pPr>
              <w:pStyle w:val="List"/>
              <w:spacing w:before="80"/>
            </w:pPr>
            <w:r w:rsidRPr="00892DE3">
              <w:t>(b)</w:t>
            </w:r>
            <w:r w:rsidRPr="00892DE3">
              <w:tab/>
              <w:t>the date of transfer of the output;</w:t>
            </w:r>
          </w:p>
          <w:p w:rsidR="006F49E6" w:rsidRPr="00892DE3" w:rsidRDefault="006F49E6" w:rsidP="00CA4206">
            <w:pPr>
              <w:pStyle w:val="List"/>
              <w:spacing w:before="80"/>
            </w:pPr>
            <w:r w:rsidRPr="00892DE3">
              <w:t>(c)</w:t>
            </w:r>
            <w:r w:rsidRPr="00892DE3">
              <w:tab/>
              <w:t xml:space="preserve">the identity of the department(s) to whom the output has been transferred/received; and </w:t>
            </w:r>
          </w:p>
          <w:p w:rsidR="006F49E6" w:rsidRPr="00892DE3" w:rsidRDefault="006F49E6" w:rsidP="00CA4206">
            <w:pPr>
              <w:pStyle w:val="List"/>
              <w:spacing w:before="80"/>
            </w:pPr>
            <w:r w:rsidRPr="00892DE3">
              <w:t>(d)</w:t>
            </w:r>
            <w:r w:rsidRPr="00892DE3">
              <w:tab/>
              <w:t>the details about any related legislation that was enacted to effect the transfer.</w:t>
            </w:r>
          </w:p>
        </w:tc>
      </w:tr>
    </w:tbl>
    <w:p w:rsidR="006F49E6" w:rsidRPr="00892DE3" w:rsidRDefault="006F49E6" w:rsidP="006F49E6"/>
    <w:p w:rsidR="008C4951" w:rsidRPr="00892DE3" w:rsidRDefault="008C4951">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6F49E6" w:rsidRPr="00892DE3" w:rsidTr="00CA4206">
        <w:trPr>
          <w:cnfStyle w:val="100000000000" w:firstRow="1" w:lastRow="0" w:firstColumn="0" w:lastColumn="0" w:oddVBand="0" w:evenVBand="0" w:oddHBand="0" w:evenHBand="0" w:firstRowFirstColumn="0" w:firstRowLastColumn="0" w:lastRowFirstColumn="0" w:lastRowLastColumn="0"/>
        </w:trPr>
        <w:tc>
          <w:tcPr>
            <w:tcW w:w="9854" w:type="dxa"/>
          </w:tcPr>
          <w:p w:rsidR="006F49E6" w:rsidRPr="00892DE3" w:rsidRDefault="006F49E6" w:rsidP="0002714F">
            <w:r w:rsidRPr="00892DE3">
              <w:lastRenderedPageBreak/>
              <w:t xml:space="preserve">Guidance – Restructuring of Administrative Arrangements </w:t>
            </w:r>
            <w:r w:rsidRPr="00491373">
              <w:rPr>
                <w:i/>
              </w:rPr>
              <w:t>(continued)</w:t>
            </w:r>
          </w:p>
        </w:tc>
      </w:tr>
      <w:tr w:rsidR="006F49E6" w:rsidRPr="00892DE3" w:rsidTr="00CA4206">
        <w:tc>
          <w:tcPr>
            <w:tcW w:w="9854" w:type="dxa"/>
          </w:tcPr>
          <w:p w:rsidR="006F49E6" w:rsidRPr="00892DE3" w:rsidRDefault="006F49E6" w:rsidP="00CA4206">
            <w:pPr>
              <w:spacing w:before="100"/>
              <w:rPr>
                <w:b/>
              </w:rPr>
            </w:pPr>
            <w:r w:rsidRPr="00892DE3">
              <w:rPr>
                <w:b/>
              </w:rPr>
              <w:t>Extract of an administrative order</w:t>
            </w:r>
          </w:p>
          <w:p w:rsidR="006F49E6" w:rsidRPr="00892DE3" w:rsidRDefault="006F49E6" w:rsidP="00CA4206">
            <w:pPr>
              <w:spacing w:before="100"/>
            </w:pPr>
            <w:r w:rsidRPr="00892DE3">
              <w:t xml:space="preserve">The following is an administrative order effecting a </w:t>
            </w:r>
            <w:r w:rsidR="00A2344B" w:rsidRPr="00892DE3">
              <w:t xml:space="preserve">MoG </w:t>
            </w:r>
            <w:r w:rsidRPr="00892DE3">
              <w:t xml:space="preserve">change that has resulted in the establishment of a new department through a </w:t>
            </w:r>
            <w:r w:rsidR="00A2344B" w:rsidRPr="00892DE3">
              <w:t xml:space="preserve">MoG </w:t>
            </w:r>
            <w:r w:rsidRPr="00892DE3">
              <w:t>restructure. The administrative order took effect as noted in the Gazette.</w:t>
            </w:r>
          </w:p>
          <w:p w:rsidR="006F49E6" w:rsidRPr="00892DE3" w:rsidRDefault="006F49E6" w:rsidP="00CA4206">
            <w:pPr>
              <w:jc w:val="center"/>
            </w:pPr>
            <w:r w:rsidRPr="00892DE3">
              <w:rPr>
                <w:noProof/>
                <w:lang w:eastAsia="en-AU"/>
              </w:rPr>
              <w:drawing>
                <wp:inline distT="0" distB="0" distL="0" distR="0" wp14:anchorId="13B1A091" wp14:editId="20698610">
                  <wp:extent cx="4896000" cy="6566869"/>
                  <wp:effectExtent l="19050" t="19050" r="1905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t\Desktop\Gazette 460_Page_01.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352" t="2840" r="-441" b="2192"/>
                          <a:stretch/>
                        </pic:blipFill>
                        <pic:spPr bwMode="auto">
                          <a:xfrm>
                            <a:off x="0" y="0"/>
                            <a:ext cx="4896000" cy="656686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A4206" w:rsidRPr="00892DE3" w:rsidRDefault="00CA4206" w:rsidP="00CA4206">
            <w:pPr>
              <w:spacing w:before="0"/>
              <w:jc w:val="center"/>
              <w:rPr>
                <w:sz w:val="14"/>
              </w:rPr>
            </w:pPr>
          </w:p>
        </w:tc>
      </w:tr>
      <w:bookmarkEnd w:id="105"/>
    </w:tbl>
    <w:p w:rsidR="00CA4206" w:rsidRPr="00892DE3" w:rsidRDefault="00CA4206">
      <w:pPr>
        <w:sectPr w:rsidR="00CA4206" w:rsidRPr="00892DE3" w:rsidSect="006F16D1">
          <w:headerReference w:type="even" r:id="rId126"/>
          <w:headerReference w:type="default" r:id="rId127"/>
          <w:footerReference w:type="even" r:id="rId128"/>
          <w:footerReference w:type="default" r:id="rId129"/>
          <w:pgSz w:w="11906" w:h="16838" w:code="9"/>
          <w:pgMar w:top="1134" w:right="1134" w:bottom="1134" w:left="1134" w:header="624" w:footer="567" w:gutter="0"/>
          <w:cols w:sep="1" w:space="567"/>
          <w:docGrid w:linePitch="360"/>
        </w:sectPr>
      </w:pPr>
    </w:p>
    <w:p w:rsidR="006F49E6" w:rsidRPr="00892DE3" w:rsidRDefault="006F49E6" w:rsidP="006F49E6">
      <w:pPr>
        <w:pStyle w:val="Heading1"/>
      </w:pPr>
      <w:bookmarkStart w:id="112" w:name="Section5"/>
      <w:r w:rsidRPr="00892DE3">
        <w:lastRenderedPageBreak/>
        <w:t>KEY ASSETS AVAILABLE TO SUPPORT OUTPUT DELIVERY</w:t>
      </w:r>
    </w:p>
    <w:p w:rsidR="00CA4206" w:rsidRPr="00892DE3" w:rsidRDefault="00CA4206" w:rsidP="00CA4206">
      <w:pPr>
        <w:pStyle w:val="Heading30"/>
        <w:sectPr w:rsidR="00CA4206" w:rsidRPr="00892DE3" w:rsidSect="00CA4206">
          <w:footerReference w:type="first" r:id="rId130"/>
          <w:pgSz w:w="11906" w:h="16838" w:code="9"/>
          <w:pgMar w:top="1134" w:right="1134" w:bottom="1134" w:left="1134" w:header="624" w:footer="567" w:gutter="0"/>
          <w:cols w:sep="1" w:space="567"/>
          <w:titlePg/>
          <w:docGrid w:linePitch="360"/>
        </w:sectPr>
      </w:pPr>
    </w:p>
    <w:p w:rsidR="006F49E6" w:rsidRPr="00892DE3" w:rsidRDefault="006F49E6" w:rsidP="00CA4206">
      <w:pPr>
        <w:pStyle w:val="Heading30"/>
      </w:pPr>
      <w:r w:rsidRPr="00892DE3">
        <w:t>Introduction</w:t>
      </w:r>
    </w:p>
    <w:p w:rsidR="006F49E6" w:rsidRPr="00892DE3" w:rsidRDefault="006F49E6" w:rsidP="006F49E6">
      <w:r w:rsidRPr="00892DE3">
        <w:t xml:space="preserve">The Department </w:t>
      </w:r>
      <w:r w:rsidR="004C3BA6" w:rsidRPr="00892DE3">
        <w:t xml:space="preserve">of Technology (the Department) </w:t>
      </w:r>
      <w:r w:rsidRPr="00892DE3">
        <w:t xml:space="preserve">controls infrastructure and other investments that are utilised in fulfilling its objectives and conducting its activities. They represent the resources that have been entrusted to the Department to be utilised for delivery of those outputs. </w:t>
      </w:r>
    </w:p>
    <w:p w:rsidR="006F49E6" w:rsidRPr="00892DE3" w:rsidRDefault="006F49E6" w:rsidP="006F49E6">
      <w:pPr>
        <w:pStyle w:val="HighlightBoxHeading"/>
      </w:pPr>
      <w:r w:rsidRPr="00892DE3">
        <w:t>Significant judgement: Classification of investments as ‘key assets’</w:t>
      </w:r>
    </w:p>
    <w:p w:rsidR="006F49E6" w:rsidRPr="00892DE3" w:rsidRDefault="006F49E6" w:rsidP="006F49E6">
      <w:pPr>
        <w:pStyle w:val="HighlightBoxText"/>
      </w:pPr>
      <w:r w:rsidRPr="00892DE3">
        <w:t xml:space="preserve">The Department has made the judgement that investments (including investments in associates and joint ventures) are key assets utilised to support the Department’s objectives and outputs. </w:t>
      </w:r>
    </w:p>
    <w:p w:rsidR="000451FC" w:rsidRPr="00892DE3" w:rsidRDefault="000451FC" w:rsidP="006F49E6">
      <w:pPr>
        <w:pStyle w:val="HighlightBoxText"/>
        <w:rPr>
          <w:i/>
        </w:rPr>
      </w:pPr>
      <w:r w:rsidRPr="00892DE3">
        <w:rPr>
          <w:i/>
        </w:rPr>
        <w:t>Fair value measurement</w:t>
      </w:r>
    </w:p>
    <w:p w:rsidR="000451FC" w:rsidRPr="00892DE3" w:rsidRDefault="000451FC" w:rsidP="006F49E6">
      <w:pPr>
        <w:pStyle w:val="HighlightBoxText"/>
      </w:pPr>
      <w:r w:rsidRPr="00892DE3">
        <w:t>Where the assets included in this section are carried at fair value, additional information is disclosed in Note 8.3 in connection with how those fair values were determined.</w:t>
      </w:r>
    </w:p>
    <w:p w:rsidR="006F49E6" w:rsidRPr="00892DE3" w:rsidRDefault="00CA4206" w:rsidP="00CA4206">
      <w:pPr>
        <w:pStyle w:val="Heading30"/>
      </w:pPr>
      <w:r w:rsidRPr="00892DE3">
        <w:br w:type="column"/>
      </w:r>
      <w:r w:rsidR="006F49E6" w:rsidRPr="00892DE3">
        <w:t>Structure</w:t>
      </w:r>
    </w:p>
    <w:p w:rsidR="00364F95" w:rsidRPr="00892DE3" w:rsidRDefault="00CA4206" w:rsidP="00B05757">
      <w:pPr>
        <w:pStyle w:val="TOC9"/>
        <w:rPr>
          <w:rFonts w:eastAsiaTheme="minorEastAsia"/>
          <w:spacing w:val="0"/>
          <w:sz w:val="22"/>
          <w:szCs w:val="22"/>
          <w:lang w:eastAsia="en-AU"/>
        </w:rPr>
      </w:pPr>
      <w:r w:rsidRPr="00892DE3">
        <w:fldChar w:fldCharType="begin"/>
      </w:r>
      <w:r w:rsidRPr="00892DE3">
        <w:instrText xml:space="preserve"> TOC \h \z \t "Heading 2 (#),9" \b </w:instrText>
      </w:r>
      <w:r w:rsidR="00364F95" w:rsidRPr="00892DE3">
        <w:instrText>Section5</w:instrText>
      </w:r>
      <w:r w:rsidRPr="00892DE3">
        <w:instrText xml:space="preserve">\* MERGEFORMAT </w:instrText>
      </w:r>
      <w:r w:rsidRPr="00892DE3">
        <w:fldChar w:fldCharType="separate"/>
      </w:r>
      <w:hyperlink w:anchor="_Toc477257487" w:history="1">
        <w:r w:rsidR="00364F95" w:rsidRPr="00892DE3">
          <w:rPr>
            <w:rStyle w:val="Hyperlink"/>
          </w:rPr>
          <w:t>5.1</w:t>
        </w:r>
        <w:r w:rsidR="00364F95" w:rsidRPr="00892DE3">
          <w:rPr>
            <w:rFonts w:eastAsiaTheme="minorEastAsia"/>
            <w:spacing w:val="0"/>
            <w:sz w:val="22"/>
            <w:szCs w:val="22"/>
            <w:lang w:eastAsia="en-AU"/>
          </w:rPr>
          <w:tab/>
        </w:r>
        <w:r w:rsidR="00364F95" w:rsidRPr="00892DE3">
          <w:rPr>
            <w:rStyle w:val="Hyperlink"/>
          </w:rPr>
          <w:t>Total property, plant and equipment</w:t>
        </w:r>
        <w:r w:rsidR="00364F95" w:rsidRPr="00892DE3">
          <w:rPr>
            <w:webHidden/>
          </w:rPr>
          <w:tab/>
        </w:r>
        <w:r w:rsidR="00364F95" w:rsidRPr="00892DE3">
          <w:rPr>
            <w:webHidden/>
          </w:rPr>
          <w:fldChar w:fldCharType="begin"/>
        </w:r>
        <w:r w:rsidR="00364F95" w:rsidRPr="00892DE3">
          <w:rPr>
            <w:webHidden/>
          </w:rPr>
          <w:instrText xml:space="preserve"> PAGEREF _Toc477257487 \h </w:instrText>
        </w:r>
        <w:r w:rsidR="00364F95" w:rsidRPr="00892DE3">
          <w:rPr>
            <w:webHidden/>
          </w:rPr>
        </w:r>
        <w:r w:rsidR="00364F95" w:rsidRPr="00892DE3">
          <w:rPr>
            <w:webHidden/>
          </w:rPr>
          <w:fldChar w:fldCharType="separate"/>
        </w:r>
        <w:r w:rsidR="00F63B17">
          <w:rPr>
            <w:webHidden/>
          </w:rPr>
          <w:t>113</w:t>
        </w:r>
        <w:r w:rsidR="00364F95" w:rsidRPr="00892DE3">
          <w:rPr>
            <w:webHidden/>
          </w:rPr>
          <w:fldChar w:fldCharType="end"/>
        </w:r>
      </w:hyperlink>
    </w:p>
    <w:p w:rsidR="00364F95" w:rsidRPr="00892DE3" w:rsidRDefault="003C212D" w:rsidP="00B05757">
      <w:pPr>
        <w:pStyle w:val="TOC9"/>
        <w:rPr>
          <w:rFonts w:eastAsiaTheme="minorEastAsia"/>
          <w:spacing w:val="0"/>
          <w:sz w:val="22"/>
          <w:szCs w:val="22"/>
          <w:lang w:eastAsia="en-AU"/>
        </w:rPr>
      </w:pPr>
      <w:hyperlink w:anchor="_Toc477257488" w:history="1">
        <w:r w:rsidR="00364F95" w:rsidRPr="00892DE3">
          <w:rPr>
            <w:rStyle w:val="Hyperlink"/>
          </w:rPr>
          <w:t>5.2</w:t>
        </w:r>
        <w:r w:rsidR="00364F95" w:rsidRPr="00892DE3">
          <w:rPr>
            <w:rFonts w:eastAsiaTheme="minorEastAsia"/>
            <w:spacing w:val="0"/>
            <w:sz w:val="22"/>
            <w:szCs w:val="22"/>
            <w:lang w:eastAsia="en-AU"/>
          </w:rPr>
          <w:tab/>
        </w:r>
        <w:r w:rsidR="00364F95" w:rsidRPr="00892DE3">
          <w:rPr>
            <w:rStyle w:val="Hyperlink"/>
          </w:rPr>
          <w:t>Investment properties</w:t>
        </w:r>
        <w:r w:rsidR="00364F95" w:rsidRPr="00892DE3">
          <w:rPr>
            <w:webHidden/>
          </w:rPr>
          <w:tab/>
        </w:r>
        <w:r w:rsidR="00364F95" w:rsidRPr="00892DE3">
          <w:rPr>
            <w:webHidden/>
          </w:rPr>
          <w:fldChar w:fldCharType="begin"/>
        </w:r>
        <w:r w:rsidR="00364F95" w:rsidRPr="00892DE3">
          <w:rPr>
            <w:webHidden/>
          </w:rPr>
          <w:instrText xml:space="preserve"> PAGEREF _Toc477257488 \h </w:instrText>
        </w:r>
        <w:r w:rsidR="00364F95" w:rsidRPr="00892DE3">
          <w:rPr>
            <w:webHidden/>
          </w:rPr>
        </w:r>
        <w:r w:rsidR="00364F95" w:rsidRPr="00892DE3">
          <w:rPr>
            <w:webHidden/>
          </w:rPr>
          <w:fldChar w:fldCharType="separate"/>
        </w:r>
        <w:r w:rsidR="00F63B17">
          <w:rPr>
            <w:webHidden/>
          </w:rPr>
          <w:t>118</w:t>
        </w:r>
        <w:r w:rsidR="00364F95" w:rsidRPr="00892DE3">
          <w:rPr>
            <w:webHidden/>
          </w:rPr>
          <w:fldChar w:fldCharType="end"/>
        </w:r>
      </w:hyperlink>
    </w:p>
    <w:p w:rsidR="00364F95" w:rsidRPr="00892DE3" w:rsidRDefault="003C212D" w:rsidP="00B05757">
      <w:pPr>
        <w:pStyle w:val="TOC9"/>
        <w:rPr>
          <w:rFonts w:eastAsiaTheme="minorEastAsia"/>
          <w:spacing w:val="0"/>
          <w:sz w:val="22"/>
          <w:szCs w:val="22"/>
          <w:lang w:eastAsia="en-AU"/>
        </w:rPr>
      </w:pPr>
      <w:hyperlink w:anchor="_Toc477257489" w:history="1">
        <w:r w:rsidR="00364F95" w:rsidRPr="00892DE3">
          <w:rPr>
            <w:rStyle w:val="Hyperlink"/>
          </w:rPr>
          <w:t>5.3</w:t>
        </w:r>
        <w:r w:rsidR="00364F95" w:rsidRPr="00892DE3">
          <w:rPr>
            <w:rFonts w:eastAsiaTheme="minorEastAsia"/>
            <w:spacing w:val="0"/>
            <w:sz w:val="22"/>
            <w:szCs w:val="22"/>
            <w:lang w:eastAsia="en-AU"/>
          </w:rPr>
          <w:tab/>
        </w:r>
        <w:r w:rsidR="00364F95" w:rsidRPr="00892DE3">
          <w:rPr>
            <w:rStyle w:val="Hyperlink"/>
          </w:rPr>
          <w:t>Biological assets</w:t>
        </w:r>
        <w:r w:rsidR="00364F95" w:rsidRPr="00892DE3">
          <w:rPr>
            <w:webHidden/>
          </w:rPr>
          <w:tab/>
        </w:r>
        <w:r w:rsidR="00364F95" w:rsidRPr="00892DE3">
          <w:rPr>
            <w:webHidden/>
          </w:rPr>
          <w:fldChar w:fldCharType="begin"/>
        </w:r>
        <w:r w:rsidR="00364F95" w:rsidRPr="00892DE3">
          <w:rPr>
            <w:webHidden/>
          </w:rPr>
          <w:instrText xml:space="preserve"> PAGEREF _Toc477257489 \h </w:instrText>
        </w:r>
        <w:r w:rsidR="00364F95" w:rsidRPr="00892DE3">
          <w:rPr>
            <w:webHidden/>
          </w:rPr>
        </w:r>
        <w:r w:rsidR="00364F95" w:rsidRPr="00892DE3">
          <w:rPr>
            <w:webHidden/>
          </w:rPr>
          <w:fldChar w:fldCharType="separate"/>
        </w:r>
        <w:r w:rsidR="00F63B17">
          <w:rPr>
            <w:webHidden/>
          </w:rPr>
          <w:t>120</w:t>
        </w:r>
        <w:r w:rsidR="00364F95" w:rsidRPr="00892DE3">
          <w:rPr>
            <w:webHidden/>
          </w:rPr>
          <w:fldChar w:fldCharType="end"/>
        </w:r>
      </w:hyperlink>
    </w:p>
    <w:p w:rsidR="00364F95" w:rsidRPr="00892DE3" w:rsidRDefault="003C212D" w:rsidP="00B05757">
      <w:pPr>
        <w:pStyle w:val="TOC9"/>
        <w:rPr>
          <w:rFonts w:eastAsiaTheme="minorEastAsia"/>
          <w:spacing w:val="0"/>
          <w:sz w:val="22"/>
          <w:szCs w:val="22"/>
          <w:lang w:eastAsia="en-AU"/>
        </w:rPr>
      </w:pPr>
      <w:hyperlink w:anchor="_Toc477257490" w:history="1">
        <w:r w:rsidR="00364F95" w:rsidRPr="00892DE3">
          <w:rPr>
            <w:rStyle w:val="Hyperlink"/>
          </w:rPr>
          <w:t>5.4</w:t>
        </w:r>
        <w:r w:rsidR="00364F95" w:rsidRPr="00892DE3">
          <w:rPr>
            <w:rFonts w:eastAsiaTheme="minorEastAsia"/>
            <w:spacing w:val="0"/>
            <w:sz w:val="22"/>
            <w:szCs w:val="22"/>
            <w:lang w:eastAsia="en-AU"/>
          </w:rPr>
          <w:tab/>
        </w:r>
        <w:r w:rsidR="00364F95" w:rsidRPr="00892DE3">
          <w:rPr>
            <w:rStyle w:val="Hyperlink"/>
          </w:rPr>
          <w:t>Intangible assets</w:t>
        </w:r>
        <w:r w:rsidR="00364F95" w:rsidRPr="00892DE3">
          <w:rPr>
            <w:webHidden/>
          </w:rPr>
          <w:tab/>
        </w:r>
        <w:r w:rsidR="00364F95" w:rsidRPr="00892DE3">
          <w:rPr>
            <w:webHidden/>
          </w:rPr>
          <w:fldChar w:fldCharType="begin"/>
        </w:r>
        <w:r w:rsidR="00364F95" w:rsidRPr="00892DE3">
          <w:rPr>
            <w:webHidden/>
          </w:rPr>
          <w:instrText xml:space="preserve"> PAGEREF _Toc477257490 \h </w:instrText>
        </w:r>
        <w:r w:rsidR="00364F95" w:rsidRPr="00892DE3">
          <w:rPr>
            <w:webHidden/>
          </w:rPr>
        </w:r>
        <w:r w:rsidR="00364F95" w:rsidRPr="00892DE3">
          <w:rPr>
            <w:webHidden/>
          </w:rPr>
          <w:fldChar w:fldCharType="separate"/>
        </w:r>
        <w:r w:rsidR="00F63B17">
          <w:rPr>
            <w:webHidden/>
          </w:rPr>
          <w:t>122</w:t>
        </w:r>
        <w:r w:rsidR="00364F95" w:rsidRPr="00892DE3">
          <w:rPr>
            <w:webHidden/>
          </w:rPr>
          <w:fldChar w:fldCharType="end"/>
        </w:r>
      </w:hyperlink>
    </w:p>
    <w:p w:rsidR="00364F95" w:rsidRPr="00892DE3" w:rsidRDefault="003C212D" w:rsidP="00B05757">
      <w:pPr>
        <w:pStyle w:val="TOC9"/>
        <w:rPr>
          <w:rFonts w:eastAsiaTheme="minorEastAsia"/>
          <w:spacing w:val="0"/>
          <w:sz w:val="22"/>
          <w:szCs w:val="22"/>
          <w:lang w:eastAsia="en-AU"/>
        </w:rPr>
      </w:pPr>
      <w:hyperlink w:anchor="_Toc477257491" w:history="1">
        <w:r w:rsidR="00364F95" w:rsidRPr="00892DE3">
          <w:rPr>
            <w:rStyle w:val="Hyperlink"/>
          </w:rPr>
          <w:t>5.5</w:t>
        </w:r>
        <w:r w:rsidR="00364F95" w:rsidRPr="00892DE3">
          <w:rPr>
            <w:rFonts w:eastAsiaTheme="minorEastAsia"/>
            <w:spacing w:val="0"/>
            <w:sz w:val="22"/>
            <w:szCs w:val="22"/>
            <w:lang w:eastAsia="en-AU"/>
          </w:rPr>
          <w:tab/>
        </w:r>
        <w:r w:rsidR="00364F95" w:rsidRPr="00892DE3">
          <w:rPr>
            <w:rStyle w:val="Hyperlink"/>
          </w:rPr>
          <w:t>Investments accounted for using the equity method</w:t>
        </w:r>
        <w:r w:rsidR="00364F95" w:rsidRPr="00892DE3">
          <w:rPr>
            <w:webHidden/>
          </w:rPr>
          <w:tab/>
        </w:r>
        <w:r w:rsidR="00364F95" w:rsidRPr="00892DE3">
          <w:rPr>
            <w:webHidden/>
          </w:rPr>
          <w:fldChar w:fldCharType="begin"/>
        </w:r>
        <w:r w:rsidR="00364F95" w:rsidRPr="00892DE3">
          <w:rPr>
            <w:webHidden/>
          </w:rPr>
          <w:instrText xml:space="preserve"> PAGEREF _Toc477257491 \h </w:instrText>
        </w:r>
        <w:r w:rsidR="00364F95" w:rsidRPr="00892DE3">
          <w:rPr>
            <w:webHidden/>
          </w:rPr>
        </w:r>
        <w:r w:rsidR="00364F95" w:rsidRPr="00892DE3">
          <w:rPr>
            <w:webHidden/>
          </w:rPr>
          <w:fldChar w:fldCharType="separate"/>
        </w:r>
        <w:r w:rsidR="00F63B17">
          <w:rPr>
            <w:webHidden/>
          </w:rPr>
          <w:t>125</w:t>
        </w:r>
        <w:r w:rsidR="00364F95" w:rsidRPr="00892DE3">
          <w:rPr>
            <w:webHidden/>
          </w:rPr>
          <w:fldChar w:fldCharType="end"/>
        </w:r>
      </w:hyperlink>
    </w:p>
    <w:p w:rsidR="00364F95" w:rsidRPr="00892DE3" w:rsidRDefault="003C212D" w:rsidP="00B05757">
      <w:pPr>
        <w:pStyle w:val="TOC9"/>
        <w:rPr>
          <w:rFonts w:eastAsiaTheme="minorEastAsia"/>
          <w:spacing w:val="0"/>
          <w:sz w:val="22"/>
          <w:szCs w:val="22"/>
          <w:lang w:eastAsia="en-AU"/>
        </w:rPr>
      </w:pPr>
      <w:hyperlink w:anchor="_Toc477257492" w:history="1">
        <w:r w:rsidR="00364F95" w:rsidRPr="00892DE3">
          <w:rPr>
            <w:rStyle w:val="Hyperlink"/>
          </w:rPr>
          <w:t>5.6</w:t>
        </w:r>
        <w:r w:rsidR="00364F95" w:rsidRPr="00892DE3">
          <w:rPr>
            <w:rFonts w:eastAsiaTheme="minorEastAsia"/>
            <w:spacing w:val="0"/>
            <w:sz w:val="22"/>
            <w:szCs w:val="22"/>
            <w:lang w:eastAsia="en-AU"/>
          </w:rPr>
          <w:tab/>
        </w:r>
        <w:r w:rsidR="00364F95" w:rsidRPr="00892DE3">
          <w:rPr>
            <w:rStyle w:val="Hyperlink"/>
          </w:rPr>
          <w:t>Investments and other financial assets</w:t>
        </w:r>
        <w:r w:rsidR="00364F95" w:rsidRPr="00892DE3">
          <w:rPr>
            <w:webHidden/>
          </w:rPr>
          <w:tab/>
        </w:r>
        <w:r w:rsidR="00364F95" w:rsidRPr="00892DE3">
          <w:rPr>
            <w:webHidden/>
          </w:rPr>
          <w:fldChar w:fldCharType="begin"/>
        </w:r>
        <w:r w:rsidR="00364F95" w:rsidRPr="00892DE3">
          <w:rPr>
            <w:webHidden/>
          </w:rPr>
          <w:instrText xml:space="preserve"> PAGEREF _Toc477257492 \h </w:instrText>
        </w:r>
        <w:r w:rsidR="00364F95" w:rsidRPr="00892DE3">
          <w:rPr>
            <w:webHidden/>
          </w:rPr>
        </w:r>
        <w:r w:rsidR="00364F95" w:rsidRPr="00892DE3">
          <w:rPr>
            <w:webHidden/>
          </w:rPr>
          <w:fldChar w:fldCharType="separate"/>
        </w:r>
        <w:r w:rsidR="00F63B17">
          <w:rPr>
            <w:webHidden/>
          </w:rPr>
          <w:t>130</w:t>
        </w:r>
        <w:r w:rsidR="00364F95" w:rsidRPr="00892DE3">
          <w:rPr>
            <w:webHidden/>
          </w:rPr>
          <w:fldChar w:fldCharType="end"/>
        </w:r>
      </w:hyperlink>
    </w:p>
    <w:p w:rsidR="00364F95" w:rsidRPr="00892DE3" w:rsidRDefault="003C212D" w:rsidP="00B05757">
      <w:pPr>
        <w:pStyle w:val="TOC9"/>
        <w:rPr>
          <w:rFonts w:eastAsiaTheme="minorEastAsia"/>
          <w:spacing w:val="0"/>
          <w:sz w:val="22"/>
          <w:szCs w:val="22"/>
          <w:lang w:eastAsia="en-AU"/>
        </w:rPr>
      </w:pPr>
      <w:hyperlink w:anchor="_Toc477257493" w:history="1">
        <w:r w:rsidR="00364F95" w:rsidRPr="00892DE3">
          <w:rPr>
            <w:rStyle w:val="Hyperlink"/>
          </w:rPr>
          <w:t>5.7</w:t>
        </w:r>
        <w:r w:rsidR="00364F95" w:rsidRPr="00892DE3">
          <w:rPr>
            <w:rFonts w:eastAsiaTheme="minorEastAsia"/>
            <w:spacing w:val="0"/>
            <w:sz w:val="22"/>
            <w:szCs w:val="22"/>
            <w:lang w:eastAsia="en-AU"/>
          </w:rPr>
          <w:tab/>
        </w:r>
        <w:r w:rsidR="00364F95" w:rsidRPr="00892DE3">
          <w:rPr>
            <w:rStyle w:val="Hyperlink"/>
          </w:rPr>
          <w:t>Acquisition and disposal of entities</w:t>
        </w:r>
        <w:r w:rsidR="00364F95" w:rsidRPr="00892DE3">
          <w:rPr>
            <w:webHidden/>
          </w:rPr>
          <w:tab/>
        </w:r>
        <w:r w:rsidR="00364F95" w:rsidRPr="00892DE3">
          <w:rPr>
            <w:webHidden/>
          </w:rPr>
          <w:fldChar w:fldCharType="begin"/>
        </w:r>
        <w:r w:rsidR="00364F95" w:rsidRPr="00892DE3">
          <w:rPr>
            <w:webHidden/>
          </w:rPr>
          <w:instrText xml:space="preserve"> PAGEREF _Toc477257493 \h </w:instrText>
        </w:r>
        <w:r w:rsidR="00364F95" w:rsidRPr="00892DE3">
          <w:rPr>
            <w:webHidden/>
          </w:rPr>
        </w:r>
        <w:r w:rsidR="00364F95" w:rsidRPr="00892DE3">
          <w:rPr>
            <w:webHidden/>
          </w:rPr>
          <w:fldChar w:fldCharType="separate"/>
        </w:r>
        <w:r w:rsidR="00F63B17">
          <w:rPr>
            <w:webHidden/>
          </w:rPr>
          <w:t>132</w:t>
        </w:r>
        <w:r w:rsidR="00364F95" w:rsidRPr="00892DE3">
          <w:rPr>
            <w:webHidden/>
          </w:rPr>
          <w:fldChar w:fldCharType="end"/>
        </w:r>
      </w:hyperlink>
    </w:p>
    <w:p w:rsidR="00CA4206" w:rsidRPr="00892DE3" w:rsidRDefault="00CA4206" w:rsidP="00B05757">
      <w:pPr>
        <w:pStyle w:val="TOC9"/>
      </w:pPr>
      <w:r w:rsidRPr="00892DE3">
        <w:fldChar w:fldCharType="end"/>
      </w:r>
    </w:p>
    <w:p w:rsidR="00CA4206" w:rsidRPr="00892DE3" w:rsidRDefault="00CA4206" w:rsidP="0019303F">
      <w:pPr>
        <w:pStyle w:val="Heading2"/>
        <w:sectPr w:rsidR="00CA4206" w:rsidRPr="00892DE3" w:rsidSect="00CA4206">
          <w:type w:val="continuous"/>
          <w:pgSz w:w="11906" w:h="16838" w:code="9"/>
          <w:pgMar w:top="1134" w:right="1134" w:bottom="1134" w:left="1134" w:header="624" w:footer="567" w:gutter="0"/>
          <w:cols w:num="2" w:space="567"/>
          <w:titlePg/>
          <w:docGrid w:linePitch="360"/>
        </w:sectPr>
      </w:pPr>
    </w:p>
    <w:p w:rsidR="006F49E6" w:rsidRPr="00892DE3" w:rsidRDefault="006F49E6" w:rsidP="0019303F">
      <w:pPr>
        <w:pStyle w:val="Heading2"/>
      </w:pPr>
      <w:bookmarkStart w:id="113" w:name="_Toc477257487"/>
      <w:bookmarkStart w:id="114" w:name="_Toc478055744"/>
      <w:r w:rsidRPr="00892DE3">
        <w:t>Total property, plant and equipment</w:t>
      </w:r>
      <w:bookmarkEnd w:id="113"/>
      <w:bookmarkEnd w:id="114"/>
    </w:p>
    <w:p w:rsidR="006F49E6" w:rsidRPr="00892DE3" w:rsidRDefault="006F49E6" w:rsidP="00B60291">
      <w:pPr>
        <w:pStyle w:val="TableUnits"/>
      </w:pPr>
      <w:r w:rsidRPr="00892DE3">
        <w:t>($ thousand)</w:t>
      </w:r>
    </w:p>
    <w:tbl>
      <w:tblPr>
        <w:tblStyle w:val="ModelReportFinancialTable"/>
        <w:tblW w:w="9644" w:type="dxa"/>
        <w:tblLayout w:type="fixed"/>
        <w:tblLook w:val="06A0" w:firstRow="1" w:lastRow="0" w:firstColumn="1" w:lastColumn="0" w:noHBand="1" w:noVBand="1"/>
      </w:tblPr>
      <w:tblGrid>
        <w:gridCol w:w="1333"/>
        <w:gridCol w:w="3556"/>
        <w:gridCol w:w="853"/>
        <w:gridCol w:w="775"/>
        <w:gridCol w:w="765"/>
        <w:gridCol w:w="828"/>
        <w:gridCol w:w="810"/>
        <w:gridCol w:w="724"/>
      </w:tblGrid>
      <w:tr w:rsidR="006F49E6" w:rsidRPr="00892DE3" w:rsidTr="004C3BA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333" w:type="dxa"/>
            <w:tcBorders>
              <w:bottom w:val="nil"/>
            </w:tcBorders>
            <w:shd w:val="clear" w:color="auto" w:fill="auto"/>
          </w:tcPr>
          <w:p w:rsidR="006F49E6" w:rsidRPr="00892DE3" w:rsidRDefault="006F49E6" w:rsidP="006F49E6">
            <w:r w:rsidRPr="00892DE3">
              <w:t>Source reference</w:t>
            </w:r>
          </w:p>
        </w:tc>
        <w:tc>
          <w:tcPr>
            <w:tcW w:w="3556" w:type="dxa"/>
          </w:tcPr>
          <w:p w:rsidR="006F49E6" w:rsidRPr="00892DE3" w:rsidRDefault="006F49E6" w:rsidP="006F49E6">
            <w:pPr>
              <w:jc w:val="left"/>
              <w:cnfStyle w:val="100000000000" w:firstRow="1" w:lastRow="0" w:firstColumn="0" w:lastColumn="0" w:oddVBand="0" w:evenVBand="0" w:oddHBand="0" w:evenHBand="0" w:firstRowFirstColumn="0" w:firstRowLastColumn="0" w:lastRowFirstColumn="0" w:lastRowLastColumn="0"/>
            </w:pPr>
          </w:p>
        </w:tc>
        <w:tc>
          <w:tcPr>
            <w:tcW w:w="1628" w:type="dxa"/>
            <w:gridSpan w:val="2"/>
          </w:tcPr>
          <w:p w:rsidR="006F49E6" w:rsidRPr="00892DE3" w:rsidRDefault="006F49E6" w:rsidP="006F49E6">
            <w:pPr>
              <w:jc w:val="center"/>
              <w:cnfStyle w:val="100000000000" w:firstRow="1" w:lastRow="0" w:firstColumn="0" w:lastColumn="0" w:oddVBand="0" w:evenVBand="0" w:oddHBand="0" w:evenHBand="0" w:firstRowFirstColumn="0" w:firstRowLastColumn="0" w:lastRowFirstColumn="0" w:lastRowLastColumn="0"/>
            </w:pPr>
            <w:r w:rsidRPr="00892DE3">
              <w:t>Gross carrying amount</w:t>
            </w:r>
          </w:p>
        </w:tc>
        <w:tc>
          <w:tcPr>
            <w:tcW w:w="1593" w:type="dxa"/>
            <w:gridSpan w:val="2"/>
          </w:tcPr>
          <w:p w:rsidR="006F49E6" w:rsidRPr="00892DE3" w:rsidRDefault="006F49E6" w:rsidP="006F49E6">
            <w:pPr>
              <w:jc w:val="center"/>
              <w:cnfStyle w:val="100000000000" w:firstRow="1" w:lastRow="0" w:firstColumn="0" w:lastColumn="0" w:oddVBand="0" w:evenVBand="0" w:oddHBand="0" w:evenHBand="0" w:firstRowFirstColumn="0" w:firstRowLastColumn="0" w:lastRowFirstColumn="0" w:lastRowLastColumn="0"/>
            </w:pPr>
            <w:r w:rsidRPr="00892DE3">
              <w:t xml:space="preserve">Accumulated </w:t>
            </w:r>
            <w:r w:rsidR="00CA4206" w:rsidRPr="00892DE3">
              <w:t>depreciation</w:t>
            </w:r>
          </w:p>
        </w:tc>
        <w:tc>
          <w:tcPr>
            <w:tcW w:w="1534" w:type="dxa"/>
            <w:gridSpan w:val="2"/>
            <w:noWrap/>
          </w:tcPr>
          <w:p w:rsidR="006F49E6" w:rsidRPr="00892DE3" w:rsidRDefault="006F49E6" w:rsidP="006F49E6">
            <w:pPr>
              <w:jc w:val="center"/>
              <w:cnfStyle w:val="100000000000" w:firstRow="1" w:lastRow="0" w:firstColumn="0" w:lastColumn="0" w:oddVBand="0" w:evenVBand="0" w:oddHBand="0" w:evenHBand="0" w:firstRowFirstColumn="0" w:firstRowLastColumn="0" w:lastRowFirstColumn="0" w:lastRowLastColumn="0"/>
            </w:pPr>
            <w:r w:rsidRPr="00892DE3">
              <w:t>Net carrying amount</w:t>
            </w:r>
          </w:p>
        </w:tc>
      </w:tr>
      <w:tr w:rsidR="006F49E6" w:rsidRPr="00892DE3" w:rsidTr="004C3BA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333" w:type="dxa"/>
            <w:tcBorders>
              <w:bottom w:val="nil"/>
            </w:tcBorders>
            <w:shd w:val="clear" w:color="auto" w:fill="auto"/>
          </w:tcPr>
          <w:p w:rsidR="006F49E6" w:rsidRPr="00892DE3" w:rsidRDefault="006F49E6" w:rsidP="006F49E6"/>
        </w:tc>
        <w:tc>
          <w:tcPr>
            <w:tcW w:w="3556" w:type="dxa"/>
            <w:hideMark/>
          </w:tcPr>
          <w:p w:rsidR="006F49E6" w:rsidRPr="00892DE3" w:rsidRDefault="006F49E6" w:rsidP="006F49E6">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53" w:type="dxa"/>
          </w:tcPr>
          <w:p w:rsidR="006F49E6" w:rsidRPr="00892DE3" w:rsidRDefault="006F49E6" w:rsidP="004C3BA6">
            <w:pPr>
              <w:cnfStyle w:val="100000000000" w:firstRow="1" w:lastRow="0" w:firstColumn="0" w:lastColumn="0" w:oddVBand="0" w:evenVBand="0" w:oddHBand="0" w:evenHBand="0" w:firstRowFirstColumn="0" w:firstRowLastColumn="0" w:lastRowFirstColumn="0" w:lastRowLastColumn="0"/>
            </w:pPr>
            <w:r w:rsidRPr="00892DE3">
              <w:t>2017</w:t>
            </w:r>
          </w:p>
        </w:tc>
        <w:tc>
          <w:tcPr>
            <w:tcW w:w="775" w:type="dxa"/>
          </w:tcPr>
          <w:p w:rsidR="006F49E6" w:rsidRPr="00892DE3" w:rsidRDefault="006F49E6" w:rsidP="004C3BA6">
            <w:pPr>
              <w:cnfStyle w:val="100000000000" w:firstRow="1" w:lastRow="0" w:firstColumn="0" w:lastColumn="0" w:oddVBand="0" w:evenVBand="0" w:oddHBand="0" w:evenHBand="0" w:firstRowFirstColumn="0" w:firstRowLastColumn="0" w:lastRowFirstColumn="0" w:lastRowLastColumn="0"/>
            </w:pPr>
            <w:r w:rsidRPr="00892DE3">
              <w:t>2016</w:t>
            </w:r>
          </w:p>
        </w:tc>
        <w:tc>
          <w:tcPr>
            <w:tcW w:w="765" w:type="dxa"/>
          </w:tcPr>
          <w:p w:rsidR="006F49E6" w:rsidRPr="00892DE3" w:rsidRDefault="006F49E6" w:rsidP="004C3BA6">
            <w:pPr>
              <w:cnfStyle w:val="100000000000" w:firstRow="1" w:lastRow="0" w:firstColumn="0" w:lastColumn="0" w:oddVBand="0" w:evenVBand="0" w:oddHBand="0" w:evenHBand="0" w:firstRowFirstColumn="0" w:firstRowLastColumn="0" w:lastRowFirstColumn="0" w:lastRowLastColumn="0"/>
            </w:pPr>
            <w:r w:rsidRPr="00892DE3">
              <w:t>2017</w:t>
            </w:r>
          </w:p>
        </w:tc>
        <w:tc>
          <w:tcPr>
            <w:tcW w:w="828" w:type="dxa"/>
            <w:noWrap/>
          </w:tcPr>
          <w:p w:rsidR="006F49E6" w:rsidRPr="00892DE3" w:rsidRDefault="006F49E6" w:rsidP="004C3BA6">
            <w:pPr>
              <w:cnfStyle w:val="100000000000" w:firstRow="1" w:lastRow="0" w:firstColumn="0" w:lastColumn="0" w:oddVBand="0" w:evenVBand="0" w:oddHBand="0" w:evenHBand="0" w:firstRowFirstColumn="0" w:firstRowLastColumn="0" w:lastRowFirstColumn="0" w:lastRowLastColumn="0"/>
            </w:pPr>
            <w:r w:rsidRPr="00892DE3">
              <w:t>2016</w:t>
            </w:r>
          </w:p>
        </w:tc>
        <w:tc>
          <w:tcPr>
            <w:tcW w:w="810" w:type="dxa"/>
            <w:noWrap/>
          </w:tcPr>
          <w:p w:rsidR="006F49E6" w:rsidRPr="00892DE3" w:rsidRDefault="006F49E6" w:rsidP="004C3BA6">
            <w:pPr>
              <w:cnfStyle w:val="100000000000" w:firstRow="1" w:lastRow="0" w:firstColumn="0" w:lastColumn="0" w:oddVBand="0" w:evenVBand="0" w:oddHBand="0" w:evenHBand="0" w:firstRowFirstColumn="0" w:firstRowLastColumn="0" w:lastRowFirstColumn="0" w:lastRowLastColumn="0"/>
            </w:pPr>
            <w:r w:rsidRPr="00892DE3">
              <w:t>2017</w:t>
            </w:r>
          </w:p>
        </w:tc>
        <w:tc>
          <w:tcPr>
            <w:tcW w:w="724" w:type="dxa"/>
          </w:tcPr>
          <w:p w:rsidR="006F49E6" w:rsidRPr="00892DE3" w:rsidRDefault="006F49E6" w:rsidP="004C3BA6">
            <w:pPr>
              <w:cnfStyle w:val="100000000000" w:firstRow="1" w:lastRow="0" w:firstColumn="0" w:lastColumn="0" w:oddVBand="0" w:evenVBand="0" w:oddHBand="0" w:evenHBand="0" w:firstRowFirstColumn="0" w:firstRowLastColumn="0" w:lastRowFirstColumn="0" w:lastRowLastColumn="0"/>
            </w:pPr>
            <w:r w:rsidRPr="00892DE3">
              <w:t>2016</w:t>
            </w:r>
          </w:p>
        </w:tc>
      </w:tr>
      <w:tr w:rsidR="006F49E6" w:rsidRPr="00892DE3" w:rsidTr="006A209D">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6F49E6" w:rsidRPr="00892DE3" w:rsidRDefault="006F49E6" w:rsidP="006F49E6">
            <w:r w:rsidRPr="00892DE3">
              <w:t>AASB 116.73(d)</w:t>
            </w:r>
          </w:p>
        </w:tc>
        <w:tc>
          <w:tcPr>
            <w:tcW w:w="3556" w:type="dxa"/>
            <w:hideMark/>
          </w:tcPr>
          <w:p w:rsidR="006F49E6" w:rsidRPr="00892DE3" w:rsidRDefault="006F49E6" w:rsidP="006F49E6">
            <w:pPr>
              <w:jc w:val="left"/>
              <w:cnfStyle w:val="000000000000" w:firstRow="0" w:lastRow="0" w:firstColumn="0" w:lastColumn="0" w:oddVBand="0" w:evenVBand="0" w:oddHBand="0" w:evenHBand="0" w:firstRowFirstColumn="0" w:firstRowLastColumn="0" w:lastRowFirstColumn="0" w:lastRowLastColumn="0"/>
            </w:pPr>
            <w:r w:rsidRPr="00892DE3">
              <w:t xml:space="preserve">Land at fair value </w:t>
            </w:r>
            <w:r w:rsidR="00CA4206" w:rsidRPr="00892DE3">
              <w:rPr>
                <w:vertAlign w:val="superscript"/>
              </w:rPr>
              <w:t>(a</w:t>
            </w:r>
            <w:r w:rsidRPr="00892DE3">
              <w:rPr>
                <w:vertAlign w:val="superscript"/>
              </w:rPr>
              <w:t>)</w:t>
            </w:r>
          </w:p>
        </w:tc>
        <w:tc>
          <w:tcPr>
            <w:tcW w:w="853" w:type="dxa"/>
            <w:shd w:val="clear" w:color="auto" w:fill="EBEBEB" w:themeFill="background2"/>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4 562</w:t>
            </w:r>
          </w:p>
        </w:tc>
        <w:tc>
          <w:tcPr>
            <w:tcW w:w="775"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3 521</w:t>
            </w:r>
          </w:p>
        </w:tc>
        <w:tc>
          <w:tcPr>
            <w:tcW w:w="765" w:type="dxa"/>
            <w:shd w:val="clear" w:color="auto" w:fill="EBEBEB" w:themeFill="background2"/>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p>
        </w:tc>
        <w:tc>
          <w:tcPr>
            <w:tcW w:w="828" w:type="dxa"/>
            <w:noWrap/>
          </w:tcPr>
          <w:p w:rsidR="006F49E6" w:rsidRPr="00892DE3" w:rsidRDefault="00CA4206" w:rsidP="0002714F">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shd w:val="clear" w:color="auto" w:fill="EBEBEB" w:themeFill="background2"/>
            <w:noWrap/>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4 562</w:t>
            </w:r>
          </w:p>
        </w:tc>
        <w:tc>
          <w:tcPr>
            <w:tcW w:w="724"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3 521</w:t>
            </w:r>
          </w:p>
        </w:tc>
      </w:tr>
      <w:tr w:rsidR="006F49E6" w:rsidRPr="00892DE3" w:rsidTr="006A209D">
        <w:trPr>
          <w:trHeight w:val="66"/>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6F49E6" w:rsidRPr="00892DE3" w:rsidRDefault="006F49E6" w:rsidP="006F49E6">
            <w:r w:rsidRPr="00892DE3">
              <w:t>AASSB 116.73(d)</w:t>
            </w:r>
          </w:p>
        </w:tc>
        <w:tc>
          <w:tcPr>
            <w:tcW w:w="3556" w:type="dxa"/>
            <w:hideMark/>
          </w:tcPr>
          <w:p w:rsidR="006F49E6" w:rsidRPr="00892DE3" w:rsidRDefault="006F49E6" w:rsidP="006F49E6">
            <w:pPr>
              <w:jc w:val="left"/>
              <w:cnfStyle w:val="000000000000" w:firstRow="0" w:lastRow="0" w:firstColumn="0" w:lastColumn="0" w:oddVBand="0" w:evenVBand="0" w:oddHBand="0" w:evenHBand="0" w:firstRowFirstColumn="0" w:firstRowLastColumn="0" w:lastRowFirstColumn="0" w:lastRowLastColumn="0"/>
            </w:pPr>
            <w:r w:rsidRPr="00892DE3">
              <w:t>Buildings at fair value</w:t>
            </w:r>
          </w:p>
        </w:tc>
        <w:tc>
          <w:tcPr>
            <w:tcW w:w="853" w:type="dxa"/>
            <w:shd w:val="clear" w:color="auto" w:fill="EBEBEB" w:themeFill="background2"/>
          </w:tcPr>
          <w:p w:rsidR="006F49E6" w:rsidRPr="00892DE3" w:rsidRDefault="004C3BA6" w:rsidP="003D31B3">
            <w:pPr>
              <w:cnfStyle w:val="000000000000" w:firstRow="0" w:lastRow="0" w:firstColumn="0" w:lastColumn="0" w:oddVBand="0" w:evenVBand="0" w:oddHBand="0" w:evenHBand="0" w:firstRowFirstColumn="0" w:firstRowLastColumn="0" w:lastRowFirstColumn="0" w:lastRowLastColumn="0"/>
            </w:pPr>
            <w:r w:rsidRPr="00892DE3">
              <w:t>23 189</w:t>
            </w:r>
          </w:p>
        </w:tc>
        <w:tc>
          <w:tcPr>
            <w:tcW w:w="775" w:type="dxa"/>
          </w:tcPr>
          <w:p w:rsidR="006F49E6" w:rsidRPr="00892DE3" w:rsidRDefault="004C3BA6" w:rsidP="003D31B3">
            <w:pPr>
              <w:cnfStyle w:val="000000000000" w:firstRow="0" w:lastRow="0" w:firstColumn="0" w:lastColumn="0" w:oddVBand="0" w:evenVBand="0" w:oddHBand="0" w:evenHBand="0" w:firstRowFirstColumn="0" w:firstRowLastColumn="0" w:lastRowFirstColumn="0" w:lastRowLastColumn="0"/>
            </w:pPr>
            <w:r w:rsidRPr="00892DE3">
              <w:t>19 44</w:t>
            </w:r>
            <w:r w:rsidR="00DF794D" w:rsidRPr="00892DE3">
              <w:t>7</w:t>
            </w:r>
          </w:p>
        </w:tc>
        <w:tc>
          <w:tcPr>
            <w:tcW w:w="765" w:type="dxa"/>
            <w:shd w:val="clear" w:color="auto" w:fill="EBEBEB" w:themeFill="background2"/>
          </w:tcPr>
          <w:p w:rsidR="006F49E6" w:rsidRPr="00892DE3" w:rsidRDefault="00CA4206" w:rsidP="0002714F">
            <w:pPr>
              <w:cnfStyle w:val="000000000000" w:firstRow="0" w:lastRow="0" w:firstColumn="0" w:lastColumn="0" w:oddVBand="0" w:evenVBand="0" w:oddHBand="0" w:evenHBand="0" w:firstRowFirstColumn="0" w:firstRowLastColumn="0" w:lastRowFirstColumn="0" w:lastRowLastColumn="0"/>
            </w:pPr>
            <w:r w:rsidRPr="00892DE3">
              <w:t>..</w:t>
            </w:r>
          </w:p>
        </w:tc>
        <w:tc>
          <w:tcPr>
            <w:tcW w:w="828" w:type="dxa"/>
            <w:noWrap/>
          </w:tcPr>
          <w:p w:rsidR="006F49E6" w:rsidRPr="00892DE3" w:rsidRDefault="006F49E6" w:rsidP="004C3BA6">
            <w:pPr>
              <w:cnfStyle w:val="000000000000" w:firstRow="0" w:lastRow="0" w:firstColumn="0" w:lastColumn="0" w:oddVBand="0" w:evenVBand="0" w:oddHBand="0" w:evenHBand="0" w:firstRowFirstColumn="0" w:firstRowLastColumn="0" w:lastRowFirstColumn="0" w:lastRowLastColumn="0"/>
            </w:pPr>
            <w:r w:rsidRPr="00892DE3">
              <w:t>(217)</w:t>
            </w:r>
          </w:p>
        </w:tc>
        <w:tc>
          <w:tcPr>
            <w:tcW w:w="810" w:type="dxa"/>
            <w:shd w:val="clear" w:color="auto" w:fill="EBEBEB" w:themeFill="background2"/>
            <w:noWrap/>
          </w:tcPr>
          <w:p w:rsidR="006F49E6" w:rsidRPr="00892DE3" w:rsidRDefault="004C3BA6" w:rsidP="003D31B3">
            <w:pPr>
              <w:cnfStyle w:val="000000000000" w:firstRow="0" w:lastRow="0" w:firstColumn="0" w:lastColumn="0" w:oddVBand="0" w:evenVBand="0" w:oddHBand="0" w:evenHBand="0" w:firstRowFirstColumn="0" w:firstRowLastColumn="0" w:lastRowFirstColumn="0" w:lastRowLastColumn="0"/>
            </w:pPr>
            <w:r w:rsidRPr="00892DE3">
              <w:t>23 189</w:t>
            </w:r>
          </w:p>
        </w:tc>
        <w:tc>
          <w:tcPr>
            <w:tcW w:w="724"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19 230</w:t>
            </w:r>
          </w:p>
        </w:tc>
      </w:tr>
      <w:tr w:rsidR="006F49E6" w:rsidRPr="00892DE3" w:rsidTr="006A209D">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6F49E6" w:rsidRPr="00892DE3" w:rsidRDefault="006F49E6" w:rsidP="006F49E6">
            <w:r w:rsidRPr="00892DE3">
              <w:t>AASB 116.73(d)</w:t>
            </w:r>
          </w:p>
        </w:tc>
        <w:tc>
          <w:tcPr>
            <w:tcW w:w="3556" w:type="dxa"/>
            <w:hideMark/>
          </w:tcPr>
          <w:p w:rsidR="006F49E6" w:rsidRPr="00892DE3" w:rsidRDefault="006F49E6" w:rsidP="006F49E6">
            <w:pPr>
              <w:jc w:val="left"/>
              <w:cnfStyle w:val="000000000000" w:firstRow="0" w:lastRow="0" w:firstColumn="0" w:lastColumn="0" w:oddVBand="0" w:evenVBand="0" w:oddHBand="0" w:evenHBand="0" w:firstRowFirstColumn="0" w:firstRowLastColumn="0" w:lastRowFirstColumn="0" w:lastRowLastColumn="0"/>
            </w:pPr>
            <w:r w:rsidRPr="00892DE3">
              <w:t>Plant, equipment and vehicles at fair value</w:t>
            </w:r>
          </w:p>
        </w:tc>
        <w:tc>
          <w:tcPr>
            <w:tcW w:w="853" w:type="dxa"/>
            <w:shd w:val="clear" w:color="auto" w:fill="EBEBEB" w:themeFill="background2"/>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47 876</w:t>
            </w:r>
          </w:p>
        </w:tc>
        <w:tc>
          <w:tcPr>
            <w:tcW w:w="775"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59 793</w:t>
            </w:r>
          </w:p>
        </w:tc>
        <w:tc>
          <w:tcPr>
            <w:tcW w:w="765" w:type="dxa"/>
            <w:shd w:val="clear" w:color="auto" w:fill="EBEBEB" w:themeFill="background2"/>
          </w:tcPr>
          <w:p w:rsidR="006F49E6" w:rsidRPr="00892DE3" w:rsidRDefault="00CA4206" w:rsidP="0002714F">
            <w:pPr>
              <w:cnfStyle w:val="000000000000" w:firstRow="0" w:lastRow="0" w:firstColumn="0" w:lastColumn="0" w:oddVBand="0" w:evenVBand="0" w:oddHBand="0" w:evenHBand="0" w:firstRowFirstColumn="0" w:firstRowLastColumn="0" w:lastRowFirstColumn="0" w:lastRowLastColumn="0"/>
            </w:pPr>
            <w:r w:rsidRPr="00892DE3">
              <w:t>..</w:t>
            </w:r>
          </w:p>
        </w:tc>
        <w:tc>
          <w:tcPr>
            <w:tcW w:w="828" w:type="dxa"/>
            <w:noWrap/>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(16 684)</w:t>
            </w:r>
          </w:p>
        </w:tc>
        <w:tc>
          <w:tcPr>
            <w:tcW w:w="810" w:type="dxa"/>
            <w:shd w:val="clear" w:color="auto" w:fill="EBEBEB" w:themeFill="background2"/>
            <w:noWrap/>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47 876</w:t>
            </w:r>
          </w:p>
        </w:tc>
        <w:tc>
          <w:tcPr>
            <w:tcW w:w="724"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43 109</w:t>
            </w:r>
          </w:p>
        </w:tc>
      </w:tr>
      <w:tr w:rsidR="006F49E6" w:rsidRPr="00892DE3" w:rsidTr="006A209D">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6F49E6" w:rsidRPr="00892DE3" w:rsidRDefault="006F49E6" w:rsidP="006F49E6">
            <w:r w:rsidRPr="00892DE3">
              <w:t>AASB 116.73(d)</w:t>
            </w:r>
          </w:p>
        </w:tc>
        <w:tc>
          <w:tcPr>
            <w:tcW w:w="3556" w:type="dxa"/>
            <w:hideMark/>
          </w:tcPr>
          <w:p w:rsidR="006F49E6" w:rsidRPr="00892DE3" w:rsidRDefault="006F49E6" w:rsidP="006F49E6">
            <w:pPr>
              <w:jc w:val="left"/>
              <w:cnfStyle w:val="000000000000" w:firstRow="0" w:lastRow="0" w:firstColumn="0" w:lastColumn="0" w:oddVBand="0" w:evenVBand="0" w:oddHBand="0" w:evenHBand="0" w:firstRowFirstColumn="0" w:firstRowLastColumn="0" w:lastRowFirstColumn="0" w:lastRowLastColumn="0"/>
            </w:pPr>
            <w:r w:rsidRPr="00892DE3">
              <w:t>Assets under construction at cost</w:t>
            </w:r>
          </w:p>
        </w:tc>
        <w:tc>
          <w:tcPr>
            <w:tcW w:w="853" w:type="dxa"/>
            <w:shd w:val="clear" w:color="auto" w:fill="EBEBEB" w:themeFill="background2"/>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 xml:space="preserve"> 713</w:t>
            </w:r>
          </w:p>
        </w:tc>
        <w:tc>
          <w:tcPr>
            <w:tcW w:w="775"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1 023</w:t>
            </w:r>
          </w:p>
        </w:tc>
        <w:tc>
          <w:tcPr>
            <w:tcW w:w="765" w:type="dxa"/>
            <w:shd w:val="clear" w:color="auto" w:fill="EBEBEB" w:themeFill="background2"/>
          </w:tcPr>
          <w:p w:rsidR="006F49E6" w:rsidRPr="00892DE3" w:rsidRDefault="00CA4206" w:rsidP="0002714F">
            <w:pPr>
              <w:cnfStyle w:val="000000000000" w:firstRow="0" w:lastRow="0" w:firstColumn="0" w:lastColumn="0" w:oddVBand="0" w:evenVBand="0" w:oddHBand="0" w:evenHBand="0" w:firstRowFirstColumn="0" w:firstRowLastColumn="0" w:lastRowFirstColumn="0" w:lastRowLastColumn="0"/>
            </w:pPr>
            <w:r w:rsidRPr="00892DE3">
              <w:t>..</w:t>
            </w:r>
          </w:p>
        </w:tc>
        <w:tc>
          <w:tcPr>
            <w:tcW w:w="828" w:type="dxa"/>
            <w:noWrap/>
          </w:tcPr>
          <w:p w:rsidR="006F49E6" w:rsidRPr="00892DE3" w:rsidRDefault="00CA4206" w:rsidP="0002714F">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shd w:val="clear" w:color="auto" w:fill="EBEBEB" w:themeFill="background2"/>
            <w:noWrap/>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 xml:space="preserve"> 713</w:t>
            </w:r>
          </w:p>
        </w:tc>
        <w:tc>
          <w:tcPr>
            <w:tcW w:w="724"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1 023</w:t>
            </w:r>
          </w:p>
        </w:tc>
      </w:tr>
      <w:tr w:rsidR="006F49E6" w:rsidRPr="00892DE3" w:rsidTr="006A209D">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6F49E6" w:rsidRPr="00892DE3" w:rsidRDefault="006F49E6" w:rsidP="006F49E6">
            <w:r w:rsidRPr="00892DE3">
              <w:t>AASB 116.73(d)</w:t>
            </w:r>
          </w:p>
        </w:tc>
        <w:tc>
          <w:tcPr>
            <w:tcW w:w="3556" w:type="dxa"/>
          </w:tcPr>
          <w:p w:rsidR="006F49E6" w:rsidRPr="00892DE3" w:rsidRDefault="006F49E6" w:rsidP="006F49E6">
            <w:pPr>
              <w:jc w:val="left"/>
              <w:cnfStyle w:val="000000000000" w:firstRow="0" w:lastRow="0" w:firstColumn="0" w:lastColumn="0" w:oddVBand="0" w:evenVBand="0" w:oddHBand="0" w:evenHBand="0" w:firstRowFirstColumn="0" w:firstRowLastColumn="0" w:lastRowFirstColumn="0" w:lastRowLastColumn="0"/>
            </w:pPr>
            <w:r w:rsidRPr="00892DE3">
              <w:t>Infrastructure at fair value</w:t>
            </w:r>
          </w:p>
        </w:tc>
        <w:tc>
          <w:tcPr>
            <w:tcW w:w="853" w:type="dxa"/>
            <w:shd w:val="clear" w:color="auto" w:fill="EBEBEB" w:themeFill="background2"/>
          </w:tcPr>
          <w:p w:rsidR="006F49E6" w:rsidRPr="00892DE3" w:rsidRDefault="004C3BA6" w:rsidP="003D31B3">
            <w:pPr>
              <w:cnfStyle w:val="000000000000" w:firstRow="0" w:lastRow="0" w:firstColumn="0" w:lastColumn="0" w:oddVBand="0" w:evenVBand="0" w:oddHBand="0" w:evenHBand="0" w:firstRowFirstColumn="0" w:firstRowLastColumn="0" w:lastRowFirstColumn="0" w:lastRowLastColumn="0"/>
            </w:pPr>
            <w:r w:rsidRPr="00892DE3">
              <w:t>6 563</w:t>
            </w:r>
          </w:p>
        </w:tc>
        <w:tc>
          <w:tcPr>
            <w:tcW w:w="775"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5 099</w:t>
            </w:r>
          </w:p>
        </w:tc>
        <w:tc>
          <w:tcPr>
            <w:tcW w:w="765" w:type="dxa"/>
            <w:shd w:val="clear" w:color="auto" w:fill="EBEBEB" w:themeFill="background2"/>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(4 879)</w:t>
            </w:r>
          </w:p>
        </w:tc>
        <w:tc>
          <w:tcPr>
            <w:tcW w:w="828" w:type="dxa"/>
            <w:noWrap/>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(168)</w:t>
            </w:r>
          </w:p>
        </w:tc>
        <w:tc>
          <w:tcPr>
            <w:tcW w:w="810" w:type="dxa"/>
            <w:shd w:val="clear" w:color="auto" w:fill="EBEBEB" w:themeFill="background2"/>
            <w:noWrap/>
          </w:tcPr>
          <w:p w:rsidR="006F49E6" w:rsidRPr="00892DE3" w:rsidRDefault="004C3BA6" w:rsidP="003D31B3">
            <w:pPr>
              <w:cnfStyle w:val="000000000000" w:firstRow="0" w:lastRow="0" w:firstColumn="0" w:lastColumn="0" w:oddVBand="0" w:evenVBand="0" w:oddHBand="0" w:evenHBand="0" w:firstRowFirstColumn="0" w:firstRowLastColumn="0" w:lastRowFirstColumn="0" w:lastRowLastColumn="0"/>
            </w:pPr>
            <w:r w:rsidRPr="00892DE3">
              <w:t>1 684</w:t>
            </w:r>
          </w:p>
        </w:tc>
        <w:tc>
          <w:tcPr>
            <w:tcW w:w="724"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4 931</w:t>
            </w:r>
          </w:p>
        </w:tc>
      </w:tr>
      <w:tr w:rsidR="006F49E6" w:rsidRPr="00892DE3" w:rsidTr="006A209D">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6F49E6" w:rsidRPr="00892DE3" w:rsidRDefault="006F49E6" w:rsidP="006F49E6">
            <w:r w:rsidRPr="00892DE3">
              <w:t>AASB 116.73(d)</w:t>
            </w:r>
          </w:p>
        </w:tc>
        <w:tc>
          <w:tcPr>
            <w:tcW w:w="3556" w:type="dxa"/>
          </w:tcPr>
          <w:p w:rsidR="006F49E6" w:rsidRPr="00892DE3" w:rsidRDefault="006F49E6" w:rsidP="006F49E6">
            <w:pPr>
              <w:jc w:val="left"/>
              <w:cnfStyle w:val="000000000000" w:firstRow="0" w:lastRow="0" w:firstColumn="0" w:lastColumn="0" w:oddVBand="0" w:evenVBand="0" w:oddHBand="0" w:evenHBand="0" w:firstRowFirstColumn="0" w:firstRowLastColumn="0" w:lastRowFirstColumn="0" w:lastRowLastColumn="0"/>
            </w:pPr>
            <w:r w:rsidRPr="00892DE3">
              <w:t>Road, infrastructure and earthworks at fair value</w:t>
            </w:r>
          </w:p>
        </w:tc>
        <w:tc>
          <w:tcPr>
            <w:tcW w:w="853" w:type="dxa"/>
            <w:shd w:val="clear" w:color="auto" w:fill="EBEBEB" w:themeFill="background2"/>
          </w:tcPr>
          <w:p w:rsidR="006F49E6" w:rsidRPr="00892DE3" w:rsidRDefault="004C3BA6" w:rsidP="003D31B3">
            <w:pPr>
              <w:cnfStyle w:val="000000000000" w:firstRow="0" w:lastRow="0" w:firstColumn="0" w:lastColumn="0" w:oddVBand="0" w:evenVBand="0" w:oddHBand="0" w:evenHBand="0" w:firstRowFirstColumn="0" w:firstRowLastColumn="0" w:lastRowFirstColumn="0" w:lastRowLastColumn="0"/>
            </w:pPr>
            <w:r w:rsidRPr="00892DE3">
              <w:t>2 89</w:t>
            </w:r>
            <w:r w:rsidR="00DF794D" w:rsidRPr="00892DE3">
              <w:t>6</w:t>
            </w:r>
          </w:p>
        </w:tc>
        <w:tc>
          <w:tcPr>
            <w:tcW w:w="775"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5 005</w:t>
            </w:r>
          </w:p>
        </w:tc>
        <w:tc>
          <w:tcPr>
            <w:tcW w:w="765" w:type="dxa"/>
            <w:shd w:val="clear" w:color="auto" w:fill="EBEBEB" w:themeFill="background2"/>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(640)</w:t>
            </w:r>
          </w:p>
        </w:tc>
        <w:tc>
          <w:tcPr>
            <w:tcW w:w="828" w:type="dxa"/>
            <w:noWrap/>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(12)</w:t>
            </w:r>
          </w:p>
        </w:tc>
        <w:tc>
          <w:tcPr>
            <w:tcW w:w="810" w:type="dxa"/>
            <w:shd w:val="clear" w:color="auto" w:fill="EBEBEB" w:themeFill="background2"/>
            <w:noWrap/>
          </w:tcPr>
          <w:p w:rsidR="006F49E6" w:rsidRPr="00892DE3" w:rsidRDefault="004C3BA6" w:rsidP="003D31B3">
            <w:pPr>
              <w:cnfStyle w:val="000000000000" w:firstRow="0" w:lastRow="0" w:firstColumn="0" w:lastColumn="0" w:oddVBand="0" w:evenVBand="0" w:oddHBand="0" w:evenHBand="0" w:firstRowFirstColumn="0" w:firstRowLastColumn="0" w:lastRowFirstColumn="0" w:lastRowLastColumn="0"/>
            </w:pPr>
            <w:r w:rsidRPr="00892DE3">
              <w:t>2 256</w:t>
            </w:r>
          </w:p>
        </w:tc>
        <w:tc>
          <w:tcPr>
            <w:tcW w:w="724" w:type="dxa"/>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4 993</w:t>
            </w:r>
          </w:p>
        </w:tc>
      </w:tr>
      <w:tr w:rsidR="006F49E6" w:rsidRPr="00892DE3" w:rsidTr="006A209D">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6F49E6" w:rsidRPr="00892DE3" w:rsidRDefault="006F49E6" w:rsidP="006F49E6">
            <w:r w:rsidRPr="00892DE3">
              <w:t>AASB 116.73(d)</w:t>
            </w:r>
          </w:p>
        </w:tc>
        <w:tc>
          <w:tcPr>
            <w:tcW w:w="3556" w:type="dxa"/>
            <w:tcBorders>
              <w:bottom w:val="single" w:sz="6" w:space="0" w:color="auto"/>
            </w:tcBorders>
          </w:tcPr>
          <w:p w:rsidR="006F49E6" w:rsidRPr="00892DE3" w:rsidRDefault="006F49E6" w:rsidP="006F49E6">
            <w:pPr>
              <w:jc w:val="left"/>
              <w:cnfStyle w:val="000000000000" w:firstRow="0" w:lastRow="0" w:firstColumn="0" w:lastColumn="0" w:oddVBand="0" w:evenVBand="0" w:oddHBand="0" w:evenHBand="0" w:firstRowFirstColumn="0" w:firstRowLastColumn="0" w:lastRowFirstColumn="0" w:lastRowLastColumn="0"/>
            </w:pPr>
            <w:r w:rsidRPr="00892DE3">
              <w:t>Cultural assets at fair value</w:t>
            </w:r>
          </w:p>
        </w:tc>
        <w:tc>
          <w:tcPr>
            <w:tcW w:w="853" w:type="dxa"/>
            <w:tcBorders>
              <w:bottom w:val="single" w:sz="6" w:space="0" w:color="auto"/>
            </w:tcBorders>
            <w:shd w:val="clear" w:color="auto" w:fill="EBEBEB" w:themeFill="background2"/>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2 764</w:t>
            </w:r>
          </w:p>
        </w:tc>
        <w:tc>
          <w:tcPr>
            <w:tcW w:w="775" w:type="dxa"/>
            <w:tcBorders>
              <w:bottom w:val="single" w:sz="6" w:space="0" w:color="auto"/>
            </w:tcBorders>
          </w:tcPr>
          <w:p w:rsidR="006F49E6" w:rsidRPr="00892DE3" w:rsidRDefault="00CA4206" w:rsidP="0002714F">
            <w:pPr>
              <w:cnfStyle w:val="000000000000" w:firstRow="0" w:lastRow="0" w:firstColumn="0" w:lastColumn="0" w:oddVBand="0" w:evenVBand="0" w:oddHBand="0" w:evenHBand="0" w:firstRowFirstColumn="0" w:firstRowLastColumn="0" w:lastRowFirstColumn="0" w:lastRowLastColumn="0"/>
            </w:pPr>
            <w:r w:rsidRPr="00892DE3">
              <w:t>..</w:t>
            </w:r>
          </w:p>
        </w:tc>
        <w:tc>
          <w:tcPr>
            <w:tcW w:w="765" w:type="dxa"/>
            <w:tcBorders>
              <w:bottom w:val="single" w:sz="6" w:space="0" w:color="auto"/>
            </w:tcBorders>
            <w:shd w:val="clear" w:color="auto" w:fill="EBEBEB" w:themeFill="background2"/>
          </w:tcPr>
          <w:p w:rsidR="006F49E6" w:rsidRPr="00892DE3" w:rsidRDefault="00CA4206" w:rsidP="0002714F">
            <w:pPr>
              <w:cnfStyle w:val="000000000000" w:firstRow="0" w:lastRow="0" w:firstColumn="0" w:lastColumn="0" w:oddVBand="0" w:evenVBand="0" w:oddHBand="0" w:evenHBand="0" w:firstRowFirstColumn="0" w:firstRowLastColumn="0" w:lastRowFirstColumn="0" w:lastRowLastColumn="0"/>
            </w:pPr>
            <w:r w:rsidRPr="00892DE3">
              <w:t>..</w:t>
            </w:r>
          </w:p>
        </w:tc>
        <w:tc>
          <w:tcPr>
            <w:tcW w:w="828" w:type="dxa"/>
            <w:tcBorders>
              <w:bottom w:val="single" w:sz="6" w:space="0" w:color="auto"/>
            </w:tcBorders>
            <w:noWrap/>
          </w:tcPr>
          <w:p w:rsidR="006F49E6" w:rsidRPr="00892DE3" w:rsidRDefault="00CA4206" w:rsidP="0002714F">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tcBorders>
              <w:bottom w:val="single" w:sz="6" w:space="0" w:color="auto"/>
            </w:tcBorders>
            <w:shd w:val="clear" w:color="auto" w:fill="EBEBEB" w:themeFill="background2"/>
            <w:noWrap/>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pPr>
            <w:r w:rsidRPr="00892DE3">
              <w:t>2 764</w:t>
            </w:r>
          </w:p>
        </w:tc>
        <w:tc>
          <w:tcPr>
            <w:tcW w:w="724" w:type="dxa"/>
            <w:tcBorders>
              <w:bottom w:val="single" w:sz="6" w:space="0" w:color="auto"/>
            </w:tcBorders>
          </w:tcPr>
          <w:p w:rsidR="006F49E6" w:rsidRPr="00892DE3" w:rsidRDefault="00CA4206" w:rsidP="0002714F">
            <w:pPr>
              <w:cnfStyle w:val="000000000000" w:firstRow="0" w:lastRow="0" w:firstColumn="0" w:lastColumn="0" w:oddVBand="0" w:evenVBand="0" w:oddHBand="0" w:evenHBand="0" w:firstRowFirstColumn="0" w:firstRowLastColumn="0" w:lastRowFirstColumn="0" w:lastRowLastColumn="0"/>
            </w:pPr>
            <w:r w:rsidRPr="00892DE3">
              <w:t>..</w:t>
            </w:r>
          </w:p>
        </w:tc>
      </w:tr>
      <w:tr w:rsidR="006F49E6" w:rsidRPr="00892DE3" w:rsidTr="006A209D">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6F49E6" w:rsidRPr="00892DE3" w:rsidRDefault="006F49E6" w:rsidP="006F49E6"/>
        </w:tc>
        <w:tc>
          <w:tcPr>
            <w:tcW w:w="3556" w:type="dxa"/>
            <w:tcBorders>
              <w:top w:val="single" w:sz="6" w:space="0" w:color="auto"/>
              <w:bottom w:val="single" w:sz="12" w:space="0" w:color="auto"/>
            </w:tcBorders>
          </w:tcPr>
          <w:p w:rsidR="006F49E6" w:rsidRPr="00892DE3" w:rsidRDefault="006F49E6" w:rsidP="006F49E6">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Net carrying amount </w:t>
            </w:r>
          </w:p>
        </w:tc>
        <w:tc>
          <w:tcPr>
            <w:tcW w:w="853" w:type="dxa"/>
            <w:tcBorders>
              <w:top w:val="single" w:sz="6" w:space="0" w:color="auto"/>
              <w:bottom w:val="single" w:sz="12" w:space="0" w:color="auto"/>
            </w:tcBorders>
            <w:shd w:val="clear" w:color="auto" w:fill="EBEBEB" w:themeFill="background2"/>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rPr>
                <w:b/>
              </w:rPr>
            </w:pPr>
            <w:r w:rsidRPr="00892DE3">
              <w:rPr>
                <w:b/>
              </w:rPr>
              <w:t>88 563</w:t>
            </w:r>
          </w:p>
        </w:tc>
        <w:tc>
          <w:tcPr>
            <w:tcW w:w="775" w:type="dxa"/>
            <w:tcBorders>
              <w:top w:val="single" w:sz="6" w:space="0" w:color="auto"/>
              <w:bottom w:val="single" w:sz="12" w:space="0" w:color="auto"/>
            </w:tcBorders>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rPr>
                <w:b/>
              </w:rPr>
            </w:pPr>
            <w:r w:rsidRPr="00892DE3">
              <w:rPr>
                <w:b/>
              </w:rPr>
              <w:t>93 888</w:t>
            </w:r>
          </w:p>
        </w:tc>
        <w:tc>
          <w:tcPr>
            <w:tcW w:w="765" w:type="dxa"/>
            <w:tcBorders>
              <w:top w:val="single" w:sz="6" w:space="0" w:color="auto"/>
              <w:bottom w:val="single" w:sz="12" w:space="0" w:color="auto"/>
            </w:tcBorders>
            <w:shd w:val="clear" w:color="auto" w:fill="EBEBEB" w:themeFill="background2"/>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rPr>
                <w:b/>
              </w:rPr>
            </w:pPr>
            <w:r w:rsidRPr="00892DE3">
              <w:rPr>
                <w:b/>
              </w:rPr>
              <w:t>(5 519)</w:t>
            </w:r>
          </w:p>
        </w:tc>
        <w:tc>
          <w:tcPr>
            <w:tcW w:w="828" w:type="dxa"/>
            <w:tcBorders>
              <w:top w:val="single" w:sz="6" w:space="0" w:color="auto"/>
              <w:bottom w:val="single" w:sz="12" w:space="0" w:color="auto"/>
            </w:tcBorders>
            <w:noWrap/>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rPr>
                <w:b/>
              </w:rPr>
            </w:pPr>
            <w:r w:rsidRPr="00892DE3">
              <w:rPr>
                <w:b/>
              </w:rPr>
              <w:t>(17 081)</w:t>
            </w:r>
          </w:p>
        </w:tc>
        <w:tc>
          <w:tcPr>
            <w:tcW w:w="810" w:type="dxa"/>
            <w:tcBorders>
              <w:top w:val="single" w:sz="6" w:space="0" w:color="auto"/>
              <w:bottom w:val="single" w:sz="12" w:space="0" w:color="auto"/>
            </w:tcBorders>
            <w:shd w:val="clear" w:color="auto" w:fill="EBEBEB" w:themeFill="background2"/>
            <w:noWrap/>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rPr>
                <w:b/>
              </w:rPr>
            </w:pPr>
            <w:r w:rsidRPr="00892DE3">
              <w:rPr>
                <w:b/>
              </w:rPr>
              <w:t>83 044</w:t>
            </w:r>
          </w:p>
        </w:tc>
        <w:tc>
          <w:tcPr>
            <w:tcW w:w="724" w:type="dxa"/>
            <w:tcBorders>
              <w:top w:val="single" w:sz="6" w:space="0" w:color="auto"/>
              <w:bottom w:val="single" w:sz="12" w:space="0" w:color="auto"/>
            </w:tcBorders>
          </w:tcPr>
          <w:p w:rsidR="006F49E6" w:rsidRPr="00892DE3" w:rsidRDefault="006F49E6" w:rsidP="0002714F">
            <w:pPr>
              <w:cnfStyle w:val="000000000000" w:firstRow="0" w:lastRow="0" w:firstColumn="0" w:lastColumn="0" w:oddVBand="0" w:evenVBand="0" w:oddHBand="0" w:evenHBand="0" w:firstRowFirstColumn="0" w:firstRowLastColumn="0" w:lastRowFirstColumn="0" w:lastRowLastColumn="0"/>
              <w:rPr>
                <w:b/>
              </w:rPr>
            </w:pPr>
            <w:r w:rsidRPr="00892DE3">
              <w:rPr>
                <w:b/>
              </w:rPr>
              <w:t>76 807</w:t>
            </w:r>
          </w:p>
        </w:tc>
      </w:tr>
    </w:tbl>
    <w:p w:rsidR="00B60291" w:rsidRPr="00892DE3" w:rsidRDefault="00B60291" w:rsidP="00B60291">
      <w:pPr>
        <w:pStyle w:val="Note"/>
      </w:pPr>
      <w:r w:rsidRPr="00892DE3">
        <w:t>Note:</w:t>
      </w:r>
    </w:p>
    <w:p w:rsidR="00B60291" w:rsidRPr="00892DE3" w:rsidRDefault="00CA4206" w:rsidP="00D411AE">
      <w:pPr>
        <w:pStyle w:val="Note"/>
      </w:pPr>
      <w:r w:rsidRPr="00892DE3">
        <w:t>(a</w:t>
      </w:r>
      <w:r w:rsidR="00B60291" w:rsidRPr="00892DE3">
        <w:t>)</w:t>
      </w:r>
      <w:r w:rsidR="00B60291" w:rsidRPr="00892DE3">
        <w:tab/>
      </w:r>
      <w:r w:rsidR="00B60291" w:rsidRPr="00892DE3">
        <w:rPr>
          <w:rStyle w:val="SourceReference"/>
          <w:noProof w:val="0"/>
          <w:color w:val="auto"/>
        </w:rPr>
        <w:t>[If any entity has significant land under roads, i.e. significant in value and/or difference in methodology, it should be disclosed separately from land].</w:t>
      </w:r>
    </w:p>
    <w:p w:rsidR="006F49E6" w:rsidRPr="00892DE3" w:rsidRDefault="006F49E6" w:rsidP="006F49E6"/>
    <w:p w:rsidR="00B60291" w:rsidRPr="00892DE3" w:rsidRDefault="00B60291" w:rsidP="00B60291">
      <w:r w:rsidRPr="00892DE3">
        <w:rPr>
          <w:b/>
        </w:rPr>
        <w:t>Initial recognition</w:t>
      </w:r>
      <w:r w:rsidRPr="00892DE3">
        <w:t xml:space="preserve">: 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r w:rsidRPr="00892DE3">
        <w:rPr>
          <w:rStyle w:val="SourceReference"/>
        </w:rPr>
        <w:t>[AASB 116.73(a); FRD 103F]</w:t>
      </w:r>
    </w:p>
    <w:p w:rsidR="00B60291" w:rsidRPr="00892DE3" w:rsidRDefault="00B60291" w:rsidP="00B60291">
      <w:r w:rsidRPr="00892DE3">
        <w:t xml:space="preserve">The cost of constructed non-financial physical assets includes the cost of all materials used in construction, direct labour on the project and an appropriate proportion of variable and fixed overheads. </w:t>
      </w:r>
    </w:p>
    <w:p w:rsidR="00B60291" w:rsidRPr="00892DE3" w:rsidRDefault="00B60291" w:rsidP="00B60291">
      <w:r w:rsidRPr="00892DE3">
        <w:t>The cost of a leasehold improvements is capitalised and depreciated over the shorter of the remaining term of the lease or their estimated useful lives.</w:t>
      </w:r>
    </w:p>
    <w:p w:rsidR="00B60291" w:rsidRPr="00892DE3" w:rsidRDefault="00B60291" w:rsidP="00B60291">
      <w:r w:rsidRPr="00892DE3">
        <w:t>The initial cost for non-financial physical assets under a finance lease is measured at amounts equal to the fair value of the leased asset or, if lower, the present value of the minimum lease payments, each determined at the inception of the lease. Also noted that certain assets are acquired under finance leases, which may form part of a service concession arrangements (public private partnership).</w:t>
      </w:r>
    </w:p>
    <w:p w:rsidR="00DF794D" w:rsidRPr="00892DE3" w:rsidRDefault="00B60291" w:rsidP="00B60291">
      <w:r w:rsidRPr="00892DE3">
        <w:rPr>
          <w:b/>
        </w:rPr>
        <w:t>Subsequent measurement</w:t>
      </w:r>
      <w:r w:rsidRPr="00892DE3">
        <w:t xml:space="preserve">: Property, </w:t>
      </w:r>
      <w:r w:rsidR="003432FE" w:rsidRPr="00892DE3">
        <w:t>p</w:t>
      </w:r>
      <w:r w:rsidRPr="00892DE3">
        <w:t xml:space="preserve">lant and equipment </w:t>
      </w:r>
      <w:r w:rsidR="003432FE" w:rsidRPr="00892DE3">
        <w:t xml:space="preserve">(PPE) </w:t>
      </w:r>
      <w:r w:rsidRPr="00892DE3">
        <w:t>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w:t>
      </w:r>
      <w:r w:rsidR="00DF794D" w:rsidRPr="00892DE3">
        <w:t xml:space="preserve"> and is summarised below by asset category.</w:t>
      </w:r>
    </w:p>
    <w:p w:rsidR="00DF794D" w:rsidRPr="00892DE3" w:rsidRDefault="00DF794D" w:rsidP="00DF794D">
      <w:r w:rsidRPr="00892DE3">
        <w:rPr>
          <w:b/>
        </w:rPr>
        <w:t>Non-specialised land, non-specialised buildings and artworks</w:t>
      </w:r>
      <w:r w:rsidRPr="00892DE3">
        <w:t xml:space="preserve"> are valued using the market approach, whereby assets are compared to recent comparable sales or sales of comparable assets that are considered to have nominal value. </w:t>
      </w:r>
      <w:r w:rsidRPr="00892DE3">
        <w:rPr>
          <w:rStyle w:val="SourceReference"/>
        </w:rPr>
        <w:t>[AASB 13.93(d)]</w:t>
      </w:r>
    </w:p>
    <w:p w:rsidR="00DF794D" w:rsidRPr="00892DE3" w:rsidRDefault="00DF794D" w:rsidP="00D411AE">
      <w:pPr>
        <w:keepNext/>
      </w:pPr>
      <w:r w:rsidRPr="00892DE3">
        <w:rPr>
          <w:b/>
        </w:rPr>
        <w:t>Specialised land and specialised buildings</w:t>
      </w:r>
      <w:r w:rsidRPr="00892DE3">
        <w:t xml:space="preserve">: The market approach is also used for specialised land, although is adjusted for the community service obligation (CSO) to reflect the specialised nature of the land being valued. </w:t>
      </w:r>
    </w:p>
    <w:p w:rsidR="00DF794D" w:rsidRPr="00892DE3" w:rsidRDefault="00DF794D" w:rsidP="00DF794D">
      <w:r w:rsidRPr="00892DE3">
        <w:t xml:space="preserve">The CSO adjustment is a reflection of the valuer’s assessment of the impact of restrictions associated with an asset to the extent that is also equally applicable to market participants. </w:t>
      </w:r>
    </w:p>
    <w:p w:rsidR="00DF794D" w:rsidRPr="00892DE3" w:rsidRDefault="00DF794D" w:rsidP="00DF794D">
      <w:r w:rsidRPr="00892DE3">
        <w:t xml:space="preserve">For the majority of the Department’s specialised buildings, the depreciated replacement cost method is used, adjusting for the associated depreciation. </w:t>
      </w:r>
    </w:p>
    <w:p w:rsidR="00DF794D" w:rsidRPr="00892DE3" w:rsidRDefault="00DF794D" w:rsidP="00DF794D">
      <w:r w:rsidRPr="00892DE3">
        <w:rPr>
          <w:b/>
        </w:rPr>
        <w:t>Heritage assets, infrastructure and road infrastructure and earthworks</w:t>
      </w:r>
      <w:r w:rsidRPr="00892DE3">
        <w:t xml:space="preserve"> are valued using the depreciated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rsidR="00DF794D" w:rsidRPr="00892DE3" w:rsidRDefault="00DF794D" w:rsidP="00DF794D">
      <w:r w:rsidRPr="00892DE3">
        <w:rPr>
          <w:b/>
        </w:rPr>
        <w:t>Vehicles</w:t>
      </w:r>
      <w:r w:rsidRPr="00892DE3">
        <w:t xml:space="preserve"> are valued using the depreciated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rsidR="00DF794D" w:rsidRPr="00892DE3" w:rsidRDefault="00DF794D" w:rsidP="00B60291">
      <w:r w:rsidRPr="00892DE3">
        <w:t xml:space="preserve">Fair value for </w:t>
      </w:r>
      <w:r w:rsidRPr="00892DE3">
        <w:rPr>
          <w:b/>
        </w:rPr>
        <w:t>plant and equipment</w:t>
      </w:r>
      <w:r w:rsidRPr="00892DE3">
        <w:t xml:space="preserve"> that are specialised in use (such that it is rarely sold other than as part of a going concern) is determined using the depreciated replacement cost method.</w:t>
      </w:r>
    </w:p>
    <w:p w:rsidR="006F49E6" w:rsidRPr="00892DE3" w:rsidRDefault="00BD16A7" w:rsidP="00B60291">
      <w:r w:rsidRPr="00892DE3">
        <w:t xml:space="preserve">Refer to </w:t>
      </w:r>
      <w:r w:rsidR="00B60291" w:rsidRPr="00892DE3">
        <w:t xml:space="preserve">Note 8.3 </w:t>
      </w:r>
      <w:r w:rsidRPr="00892DE3">
        <w:t>for additional information on fair value determination of property, plant and equipment.</w:t>
      </w:r>
      <w:r w:rsidR="00B60291" w:rsidRPr="00892DE3">
        <w:t xml:space="preserve"> </w:t>
      </w:r>
    </w:p>
    <w:p w:rsidR="00B60291" w:rsidRPr="00892DE3" w:rsidRDefault="00B60291" w:rsidP="00D31BB8">
      <w:pPr>
        <w:pStyle w:val="Heading3"/>
      </w:pPr>
      <w:r w:rsidRPr="00892DE3">
        <w:t>Depreciation and impairment</w:t>
      </w:r>
    </w:p>
    <w:p w:rsidR="004427CB" w:rsidRPr="00892DE3" w:rsidRDefault="004427CB" w:rsidP="004427CB">
      <w:pPr>
        <w:pStyle w:val="TableHeading"/>
      </w:pPr>
      <w:r w:rsidRPr="00892DE3">
        <w:t xml:space="preserve">Charge for the period </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806"/>
        <w:gridCol w:w="895"/>
        <w:gridCol w:w="936"/>
      </w:tblGrid>
      <w:tr w:rsidR="004427CB" w:rsidRPr="00892DE3" w:rsidTr="004427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06" w:type="dxa"/>
            <w:hideMark/>
          </w:tcPr>
          <w:p w:rsidR="004427CB" w:rsidRPr="00892DE3" w:rsidRDefault="004427CB" w:rsidP="00420768">
            <w:pPr>
              <w:ind w:left="0" w:firstLine="0"/>
            </w:pPr>
          </w:p>
        </w:tc>
        <w:tc>
          <w:tcPr>
            <w:tcW w:w="895" w:type="dxa"/>
            <w:tcBorders>
              <w:bottom w:val="nil"/>
            </w:tcBorders>
            <w:noWrap/>
            <w:hideMark/>
          </w:tcPr>
          <w:p w:rsidR="004427CB" w:rsidRPr="00892DE3" w:rsidRDefault="004427CB" w:rsidP="00420768">
            <w:pPr>
              <w:cnfStyle w:val="100000000000" w:firstRow="1" w:lastRow="0" w:firstColumn="0" w:lastColumn="0" w:oddVBand="0" w:evenVBand="0" w:oddHBand="0" w:evenHBand="0" w:firstRowFirstColumn="0" w:firstRowLastColumn="0" w:lastRowFirstColumn="0" w:lastRowLastColumn="0"/>
            </w:pPr>
            <w:r w:rsidRPr="00892DE3">
              <w:t>2017</w:t>
            </w:r>
          </w:p>
        </w:tc>
        <w:tc>
          <w:tcPr>
            <w:tcW w:w="936" w:type="dxa"/>
            <w:noWrap/>
            <w:hideMark/>
          </w:tcPr>
          <w:p w:rsidR="004427CB" w:rsidRPr="00892DE3" w:rsidRDefault="004427CB" w:rsidP="00420768">
            <w:pPr>
              <w:cnfStyle w:val="100000000000" w:firstRow="1" w:lastRow="0" w:firstColumn="0" w:lastColumn="0" w:oddVBand="0" w:evenVBand="0" w:oddHBand="0" w:evenHBand="0" w:firstRowFirstColumn="0" w:firstRowLastColumn="0" w:lastRowFirstColumn="0" w:lastRowLastColumn="0"/>
            </w:pPr>
            <w:r w:rsidRPr="00892DE3">
              <w:t>2016</w:t>
            </w:r>
          </w:p>
        </w:tc>
      </w:tr>
      <w:tr w:rsidR="004427CB" w:rsidRPr="00892DE3" w:rsidTr="004427CB">
        <w:tc>
          <w:tcPr>
            <w:cnfStyle w:val="001000000000" w:firstRow="0" w:lastRow="0" w:firstColumn="1" w:lastColumn="0" w:oddVBand="0" w:evenVBand="0" w:oddHBand="0" w:evenHBand="0" w:firstRowFirstColumn="0" w:firstRowLastColumn="0" w:lastRowFirstColumn="0" w:lastRowLastColumn="0"/>
            <w:tcW w:w="7806" w:type="dxa"/>
            <w:hideMark/>
          </w:tcPr>
          <w:p w:rsidR="004427CB" w:rsidRPr="00892DE3" w:rsidRDefault="004427CB" w:rsidP="00D411AE">
            <w:pPr>
              <w:ind w:left="0" w:firstLine="0"/>
              <w:rPr>
                <w:vertAlign w:val="superscript"/>
              </w:rPr>
            </w:pPr>
            <w:r w:rsidRPr="00892DE3">
              <w:t>Buildings</w:t>
            </w:r>
            <w:r w:rsidRPr="00892DE3">
              <w:rPr>
                <w:vertAlign w:val="superscript"/>
              </w:rPr>
              <w:t xml:space="preserve"> (</w:t>
            </w:r>
            <w:r w:rsidR="00D411AE" w:rsidRPr="00892DE3">
              <w:rPr>
                <w:vertAlign w:val="superscript"/>
              </w:rPr>
              <w:t>a</w:t>
            </w:r>
            <w:r w:rsidRPr="00892DE3">
              <w:rPr>
                <w:vertAlign w:val="superscript"/>
              </w:rPr>
              <w:t>)</w:t>
            </w:r>
          </w:p>
        </w:tc>
        <w:tc>
          <w:tcPr>
            <w:tcW w:w="895" w:type="dxa"/>
            <w:shd w:val="clear" w:color="auto" w:fill="EBEBEB" w:themeFill="background2"/>
            <w:noWrap/>
            <w:hideMark/>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pPr>
            <w:r w:rsidRPr="00892DE3">
              <w:t>578</w:t>
            </w:r>
          </w:p>
        </w:tc>
        <w:tc>
          <w:tcPr>
            <w:tcW w:w="936" w:type="dxa"/>
            <w:noWrap/>
            <w:hideMark/>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pPr>
            <w:r w:rsidRPr="00892DE3">
              <w:t>607</w:t>
            </w:r>
          </w:p>
        </w:tc>
      </w:tr>
      <w:tr w:rsidR="004427CB" w:rsidRPr="00892DE3" w:rsidTr="004427CB">
        <w:tc>
          <w:tcPr>
            <w:cnfStyle w:val="001000000000" w:firstRow="0" w:lastRow="0" w:firstColumn="1" w:lastColumn="0" w:oddVBand="0" w:evenVBand="0" w:oddHBand="0" w:evenHBand="0" w:firstRowFirstColumn="0" w:firstRowLastColumn="0" w:lastRowFirstColumn="0" w:lastRowLastColumn="0"/>
            <w:tcW w:w="7806" w:type="dxa"/>
          </w:tcPr>
          <w:p w:rsidR="004427CB" w:rsidRPr="00892DE3" w:rsidRDefault="004427CB" w:rsidP="00420768">
            <w:pPr>
              <w:ind w:left="0" w:firstLine="0"/>
            </w:pPr>
            <w:r w:rsidRPr="00892DE3">
              <w:t>Plant, equipment and vehicles</w:t>
            </w:r>
          </w:p>
        </w:tc>
        <w:tc>
          <w:tcPr>
            <w:tcW w:w="895" w:type="dxa"/>
            <w:shd w:val="clear" w:color="auto" w:fill="EBEBEB" w:themeFill="background2"/>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pPr>
            <w:r w:rsidRPr="00892DE3">
              <w:t>12 118</w:t>
            </w:r>
          </w:p>
        </w:tc>
        <w:tc>
          <w:tcPr>
            <w:tcW w:w="936" w:type="dxa"/>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pPr>
            <w:r w:rsidRPr="00892DE3">
              <w:t>9 550</w:t>
            </w:r>
          </w:p>
        </w:tc>
      </w:tr>
      <w:tr w:rsidR="004427CB" w:rsidRPr="00892DE3" w:rsidTr="004427CB">
        <w:tc>
          <w:tcPr>
            <w:cnfStyle w:val="001000000000" w:firstRow="0" w:lastRow="0" w:firstColumn="1" w:lastColumn="0" w:oddVBand="0" w:evenVBand="0" w:oddHBand="0" w:evenHBand="0" w:firstRowFirstColumn="0" w:firstRowLastColumn="0" w:lastRowFirstColumn="0" w:lastRowLastColumn="0"/>
            <w:tcW w:w="7806" w:type="dxa"/>
          </w:tcPr>
          <w:p w:rsidR="004427CB" w:rsidRPr="00892DE3" w:rsidRDefault="004427CB" w:rsidP="00D411AE">
            <w:pPr>
              <w:ind w:left="0" w:firstLine="0"/>
              <w:rPr>
                <w:vertAlign w:val="superscript"/>
              </w:rPr>
            </w:pPr>
            <w:r w:rsidRPr="00892DE3">
              <w:t xml:space="preserve">Infrastructure </w:t>
            </w:r>
            <w:r w:rsidRPr="00892DE3">
              <w:rPr>
                <w:vertAlign w:val="superscript"/>
              </w:rPr>
              <w:t>(</w:t>
            </w:r>
            <w:r w:rsidR="00D411AE" w:rsidRPr="00892DE3">
              <w:rPr>
                <w:vertAlign w:val="superscript"/>
              </w:rPr>
              <w:t>a</w:t>
            </w:r>
            <w:r w:rsidRPr="00892DE3">
              <w:rPr>
                <w:vertAlign w:val="superscript"/>
              </w:rPr>
              <w:t>)</w:t>
            </w:r>
          </w:p>
        </w:tc>
        <w:tc>
          <w:tcPr>
            <w:tcW w:w="895" w:type="dxa"/>
            <w:shd w:val="clear" w:color="auto" w:fill="EBEBEB" w:themeFill="background2"/>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pPr>
            <w:r w:rsidRPr="00892DE3">
              <w:t>419</w:t>
            </w:r>
          </w:p>
        </w:tc>
        <w:tc>
          <w:tcPr>
            <w:tcW w:w="936" w:type="dxa"/>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pPr>
            <w:r w:rsidRPr="00892DE3">
              <w:t>240</w:t>
            </w:r>
          </w:p>
        </w:tc>
      </w:tr>
      <w:tr w:rsidR="004427CB" w:rsidRPr="00892DE3" w:rsidTr="004427CB">
        <w:tc>
          <w:tcPr>
            <w:cnfStyle w:val="001000000000" w:firstRow="0" w:lastRow="0" w:firstColumn="1" w:lastColumn="0" w:oddVBand="0" w:evenVBand="0" w:oddHBand="0" w:evenHBand="0" w:firstRowFirstColumn="0" w:firstRowLastColumn="0" w:lastRowFirstColumn="0" w:lastRowLastColumn="0"/>
            <w:tcW w:w="7806" w:type="dxa"/>
            <w:hideMark/>
          </w:tcPr>
          <w:p w:rsidR="004427CB" w:rsidRPr="00892DE3" w:rsidRDefault="004427CB" w:rsidP="00420768">
            <w:pPr>
              <w:ind w:left="0" w:firstLine="0"/>
            </w:pPr>
            <w:r w:rsidRPr="00892DE3">
              <w:t>Road, infrastructure and earthworks</w:t>
            </w:r>
          </w:p>
        </w:tc>
        <w:tc>
          <w:tcPr>
            <w:tcW w:w="895" w:type="dxa"/>
            <w:shd w:val="clear" w:color="auto" w:fill="EBEBEB" w:themeFill="background2"/>
            <w:noWrap/>
            <w:hideMark/>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pPr>
            <w:r w:rsidRPr="00892DE3">
              <w:t>514</w:t>
            </w:r>
          </w:p>
        </w:tc>
        <w:tc>
          <w:tcPr>
            <w:tcW w:w="936" w:type="dxa"/>
            <w:noWrap/>
            <w:hideMark/>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pPr>
            <w:r w:rsidRPr="00892DE3">
              <w:t>207</w:t>
            </w:r>
          </w:p>
        </w:tc>
      </w:tr>
      <w:tr w:rsidR="004427CB" w:rsidRPr="00892DE3" w:rsidTr="004427CB">
        <w:tc>
          <w:tcPr>
            <w:cnfStyle w:val="001000000000" w:firstRow="0" w:lastRow="0" w:firstColumn="1" w:lastColumn="0" w:oddVBand="0" w:evenVBand="0" w:oddHBand="0" w:evenHBand="0" w:firstRowFirstColumn="0" w:firstRowLastColumn="0" w:lastRowFirstColumn="0" w:lastRowLastColumn="0"/>
            <w:tcW w:w="7806" w:type="dxa"/>
            <w:hideMark/>
          </w:tcPr>
          <w:p w:rsidR="004427CB" w:rsidRPr="00892DE3" w:rsidRDefault="004427CB" w:rsidP="00420768">
            <w:pPr>
              <w:ind w:left="0" w:firstLine="0"/>
            </w:pPr>
            <w:r w:rsidRPr="00892DE3">
              <w:t>Intangible produced assets</w:t>
            </w:r>
          </w:p>
        </w:tc>
        <w:tc>
          <w:tcPr>
            <w:tcW w:w="895" w:type="dxa"/>
            <w:shd w:val="clear" w:color="auto" w:fill="EBEBEB" w:themeFill="background2"/>
            <w:noWrap/>
            <w:hideMark/>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pPr>
            <w:r w:rsidRPr="00892DE3">
              <w:t>1 471</w:t>
            </w:r>
          </w:p>
        </w:tc>
        <w:tc>
          <w:tcPr>
            <w:tcW w:w="936" w:type="dxa"/>
            <w:noWrap/>
            <w:hideMark/>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pPr>
            <w:r w:rsidRPr="00892DE3">
              <w:t>1 554</w:t>
            </w:r>
          </w:p>
        </w:tc>
      </w:tr>
      <w:tr w:rsidR="004427CB" w:rsidRPr="00892DE3" w:rsidTr="004427C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6" w:type="dxa"/>
            <w:hideMark/>
          </w:tcPr>
          <w:p w:rsidR="004427CB" w:rsidRPr="00892DE3" w:rsidRDefault="004427CB" w:rsidP="00420768">
            <w:pPr>
              <w:ind w:left="0" w:firstLine="0"/>
            </w:pPr>
            <w:r w:rsidRPr="00892DE3">
              <w:t>Total depreciation</w:t>
            </w:r>
          </w:p>
        </w:tc>
        <w:tc>
          <w:tcPr>
            <w:tcW w:w="895" w:type="dxa"/>
            <w:shd w:val="clear" w:color="auto" w:fill="EBEBEB" w:themeFill="background2"/>
            <w:noWrap/>
            <w:hideMark/>
          </w:tcPr>
          <w:p w:rsidR="004427CB" w:rsidRPr="00892DE3" w:rsidRDefault="004427CB" w:rsidP="00420768">
            <w:pPr>
              <w:cnfStyle w:val="010000000000" w:firstRow="0" w:lastRow="1" w:firstColumn="0" w:lastColumn="0" w:oddVBand="0" w:evenVBand="0" w:oddHBand="0" w:evenHBand="0" w:firstRowFirstColumn="0" w:firstRowLastColumn="0" w:lastRowFirstColumn="0" w:lastRowLastColumn="0"/>
            </w:pPr>
            <w:r w:rsidRPr="00892DE3">
              <w:t>15 099</w:t>
            </w:r>
          </w:p>
        </w:tc>
        <w:tc>
          <w:tcPr>
            <w:tcW w:w="936" w:type="dxa"/>
            <w:noWrap/>
            <w:hideMark/>
          </w:tcPr>
          <w:p w:rsidR="004427CB" w:rsidRPr="00892DE3" w:rsidRDefault="004427CB" w:rsidP="00420768">
            <w:pPr>
              <w:cnfStyle w:val="010000000000" w:firstRow="0" w:lastRow="1" w:firstColumn="0" w:lastColumn="0" w:oddVBand="0" w:evenVBand="0" w:oddHBand="0" w:evenHBand="0" w:firstRowFirstColumn="0" w:firstRowLastColumn="0" w:lastRowFirstColumn="0" w:lastRowLastColumn="0"/>
            </w:pPr>
            <w:r w:rsidRPr="00892DE3">
              <w:t>12 157</w:t>
            </w:r>
          </w:p>
        </w:tc>
      </w:tr>
    </w:tbl>
    <w:p w:rsidR="00364F95" w:rsidRPr="00892DE3" w:rsidRDefault="00364F95" w:rsidP="00364F95">
      <w:pPr>
        <w:pStyle w:val="Note"/>
      </w:pPr>
      <w:r w:rsidRPr="00892DE3">
        <w:t>Note:</w:t>
      </w:r>
    </w:p>
    <w:p w:rsidR="004427CB" w:rsidRPr="00892DE3" w:rsidRDefault="00364F95" w:rsidP="00364F95">
      <w:pPr>
        <w:pStyle w:val="Note"/>
        <w:rPr>
          <w:rStyle w:val="SourceReference"/>
        </w:rPr>
      </w:pPr>
      <w:r w:rsidRPr="00892DE3">
        <w:t>(</w:t>
      </w:r>
      <w:r w:rsidR="00D411AE" w:rsidRPr="00892DE3">
        <w:t>a</w:t>
      </w:r>
      <w:r w:rsidRPr="00892DE3">
        <w:t>)</w:t>
      </w:r>
      <w:r w:rsidRPr="00892DE3">
        <w:tab/>
      </w:r>
      <w:r w:rsidR="004427CB" w:rsidRPr="00892DE3">
        <w:t xml:space="preserve">Of the amounts included in ‘buildings’, and ‘infrastructure’ categories, $XXX [$XXX in 2016] and $XXX [$XXX in 2016] respectively related to assets contracted under the public private partnership (PPP) arrangements. </w:t>
      </w:r>
      <w:r w:rsidR="004427CB" w:rsidRPr="00892DE3">
        <w:rPr>
          <w:rStyle w:val="SourceReference"/>
        </w:rPr>
        <w:t>[Recommendation 13 PAEC Report 115]</w:t>
      </w:r>
    </w:p>
    <w:p w:rsidR="00B60291" w:rsidRPr="00892DE3" w:rsidRDefault="00B60291" w:rsidP="00B60291">
      <w:r w:rsidRPr="00892DE3">
        <w:t>All infrastructure assets, buildings, plant and equipment and other non-financial physical assets that have finite useful lives, are depreciated. The exceptions to this rule include items under operating leases, assets held for sale, land and investment properties.</w:t>
      </w:r>
    </w:p>
    <w:p w:rsidR="00B60291" w:rsidRPr="00892DE3" w:rsidRDefault="00B60291" w:rsidP="00B60291">
      <w:r w:rsidRPr="00892DE3">
        <w:t xml:space="preserve">Depreciation is generally calculated on a straight line basis, at rates that allocate the asset’s value, less any estimated residual value, over its estimated useful life. </w:t>
      </w:r>
      <w:r w:rsidRPr="00892DE3">
        <w:rPr>
          <w:rStyle w:val="SourceReference"/>
        </w:rPr>
        <w:t>[AASB 116.73(b)]</w:t>
      </w:r>
      <w:r w:rsidRPr="00892DE3">
        <w:t xml:space="preserve"> Typical estimated useful lives for the different asset classes for current and prior years are included in the table below:</w:t>
      </w:r>
    </w:p>
    <w:p w:rsidR="00B60291" w:rsidRPr="00892DE3" w:rsidRDefault="00D411AE" w:rsidP="00D411AE">
      <w:pPr>
        <w:pStyle w:val="TableUnits"/>
      </w:pPr>
      <w:r w:rsidRPr="00892DE3">
        <w:t>(years)</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8511"/>
        <w:gridCol w:w="1126"/>
      </w:tblGrid>
      <w:tr w:rsidR="00B60291" w:rsidRPr="00892DE3" w:rsidTr="006A209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79" w:type="dxa"/>
          </w:tcPr>
          <w:p w:rsidR="00B60291" w:rsidRPr="00892DE3" w:rsidRDefault="00B60291" w:rsidP="00B60291">
            <w:pPr>
              <w:ind w:left="0" w:firstLine="0"/>
              <w:rPr>
                <w:rFonts w:cstheme="majorHAnsi"/>
              </w:rPr>
            </w:pPr>
            <w:r w:rsidRPr="00892DE3">
              <w:rPr>
                <w:rFonts w:cstheme="majorHAnsi"/>
              </w:rPr>
              <w:t>Asset</w:t>
            </w:r>
          </w:p>
        </w:tc>
        <w:tc>
          <w:tcPr>
            <w:tcW w:w="1134" w:type="dxa"/>
          </w:tcPr>
          <w:p w:rsidR="00B60291" w:rsidRPr="00892DE3" w:rsidRDefault="00B60291" w:rsidP="00D411AE">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Useful life</w:t>
            </w:r>
          </w:p>
        </w:tc>
      </w:tr>
      <w:tr w:rsidR="00B60291" w:rsidRPr="00892DE3" w:rsidTr="006A209D">
        <w:tc>
          <w:tcPr>
            <w:cnfStyle w:val="001000000000" w:firstRow="0" w:lastRow="0" w:firstColumn="1" w:lastColumn="0" w:oddVBand="0" w:evenVBand="0" w:oddHBand="0" w:evenHBand="0" w:firstRowFirstColumn="0" w:firstRowLastColumn="0" w:lastRowFirstColumn="0" w:lastRowLastColumn="0"/>
            <w:tcW w:w="8579" w:type="dxa"/>
          </w:tcPr>
          <w:p w:rsidR="00B60291" w:rsidRPr="00892DE3" w:rsidRDefault="00B60291" w:rsidP="00B60291">
            <w:pPr>
              <w:ind w:left="0" w:firstLine="0"/>
              <w:rPr>
                <w:rFonts w:cstheme="majorHAnsi"/>
              </w:rPr>
            </w:pPr>
            <w:r w:rsidRPr="00892DE3">
              <w:rPr>
                <w:rFonts w:cstheme="majorHAnsi"/>
              </w:rPr>
              <w:t>Buildings:</w:t>
            </w:r>
          </w:p>
        </w:tc>
        <w:tc>
          <w:tcPr>
            <w:tcW w:w="1134" w:type="dxa"/>
          </w:tcPr>
          <w:p w:rsidR="00B60291" w:rsidRPr="00892DE3" w:rsidRDefault="00B60291" w:rsidP="00D411A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to 100</w:t>
            </w:r>
          </w:p>
        </w:tc>
      </w:tr>
      <w:tr w:rsidR="00B60291" w:rsidRPr="00892DE3" w:rsidTr="00D411AE">
        <w:tc>
          <w:tcPr>
            <w:cnfStyle w:val="001000000000" w:firstRow="0" w:lastRow="0" w:firstColumn="1" w:lastColumn="0" w:oddVBand="0" w:evenVBand="0" w:oddHBand="0" w:evenHBand="0" w:firstRowFirstColumn="0" w:firstRowLastColumn="0" w:lastRowFirstColumn="0" w:lastRowLastColumn="0"/>
            <w:tcW w:w="8579" w:type="dxa"/>
            <w:tcBorders>
              <w:bottom w:val="single" w:sz="6" w:space="0" w:color="auto"/>
            </w:tcBorders>
          </w:tcPr>
          <w:p w:rsidR="00B60291" w:rsidRPr="00892DE3" w:rsidRDefault="003432FE" w:rsidP="006A209D">
            <w:pPr>
              <w:ind w:firstLine="0"/>
              <w:rPr>
                <w:rFonts w:cstheme="majorHAnsi"/>
              </w:rPr>
            </w:pPr>
            <w:r w:rsidRPr="00892DE3">
              <w:rPr>
                <w:rFonts w:cstheme="majorHAnsi"/>
              </w:rPr>
              <w:t>l</w:t>
            </w:r>
            <w:r w:rsidR="00B60291" w:rsidRPr="00892DE3">
              <w:rPr>
                <w:rFonts w:cstheme="majorHAnsi"/>
              </w:rPr>
              <w:t>easehold buildings</w:t>
            </w:r>
          </w:p>
        </w:tc>
        <w:tc>
          <w:tcPr>
            <w:tcW w:w="1134" w:type="dxa"/>
            <w:tcBorders>
              <w:bottom w:val="single" w:sz="6" w:space="0" w:color="auto"/>
            </w:tcBorders>
          </w:tcPr>
          <w:p w:rsidR="00B60291" w:rsidRPr="00892DE3" w:rsidRDefault="00B60291" w:rsidP="00D411A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to 60</w:t>
            </w:r>
          </w:p>
        </w:tc>
      </w:tr>
      <w:tr w:rsidR="00B60291" w:rsidRPr="00892DE3" w:rsidTr="00D411AE">
        <w:tc>
          <w:tcPr>
            <w:cnfStyle w:val="001000000000" w:firstRow="0" w:lastRow="0" w:firstColumn="1" w:lastColumn="0" w:oddVBand="0" w:evenVBand="0" w:oddHBand="0" w:evenHBand="0" w:firstRowFirstColumn="0" w:firstRowLastColumn="0" w:lastRowFirstColumn="0" w:lastRowLastColumn="0"/>
            <w:tcW w:w="8579" w:type="dxa"/>
            <w:tcBorders>
              <w:top w:val="single" w:sz="6" w:space="0" w:color="auto"/>
              <w:bottom w:val="nil"/>
            </w:tcBorders>
          </w:tcPr>
          <w:p w:rsidR="00B60291" w:rsidRPr="00892DE3" w:rsidRDefault="00B60291" w:rsidP="00B60291">
            <w:pPr>
              <w:ind w:left="0" w:firstLine="0"/>
              <w:rPr>
                <w:rFonts w:cstheme="majorHAnsi"/>
              </w:rPr>
            </w:pPr>
            <w:r w:rsidRPr="00892DE3">
              <w:rPr>
                <w:rFonts w:cstheme="majorHAnsi"/>
              </w:rPr>
              <w:t>Infrastructure systems:</w:t>
            </w:r>
          </w:p>
        </w:tc>
        <w:tc>
          <w:tcPr>
            <w:tcW w:w="1134" w:type="dxa"/>
            <w:tcBorders>
              <w:top w:val="single" w:sz="6" w:space="0" w:color="auto"/>
              <w:bottom w:val="nil"/>
            </w:tcBorders>
          </w:tcPr>
          <w:p w:rsidR="00B60291" w:rsidRPr="00892DE3" w:rsidRDefault="00B60291" w:rsidP="00D411AE">
            <w:pPr>
              <w:cnfStyle w:val="000000000000" w:firstRow="0" w:lastRow="0" w:firstColumn="0" w:lastColumn="0" w:oddVBand="0" w:evenVBand="0" w:oddHBand="0" w:evenHBand="0" w:firstRowFirstColumn="0" w:firstRowLastColumn="0" w:lastRowFirstColumn="0" w:lastRowLastColumn="0"/>
              <w:rPr>
                <w:rFonts w:cstheme="majorHAnsi"/>
              </w:rPr>
            </w:pPr>
          </w:p>
        </w:tc>
      </w:tr>
      <w:tr w:rsidR="00B60291" w:rsidRPr="00892DE3" w:rsidTr="00D411AE">
        <w:tc>
          <w:tcPr>
            <w:cnfStyle w:val="001000000000" w:firstRow="0" w:lastRow="0" w:firstColumn="1" w:lastColumn="0" w:oddVBand="0" w:evenVBand="0" w:oddHBand="0" w:evenHBand="0" w:firstRowFirstColumn="0" w:firstRowLastColumn="0" w:lastRowFirstColumn="0" w:lastRowLastColumn="0"/>
            <w:tcW w:w="8579" w:type="dxa"/>
            <w:tcBorders>
              <w:top w:val="nil"/>
            </w:tcBorders>
          </w:tcPr>
          <w:p w:rsidR="00B60291" w:rsidRPr="00892DE3" w:rsidRDefault="00B60291" w:rsidP="006A209D">
            <w:pPr>
              <w:ind w:left="340"/>
            </w:pPr>
            <w:r w:rsidRPr="00892DE3">
              <w:t>water infrastructure – storage facilities</w:t>
            </w:r>
          </w:p>
        </w:tc>
        <w:tc>
          <w:tcPr>
            <w:tcW w:w="1134" w:type="dxa"/>
            <w:tcBorders>
              <w:top w:val="nil"/>
            </w:tcBorders>
          </w:tcPr>
          <w:p w:rsidR="00B60291" w:rsidRPr="00892DE3" w:rsidRDefault="00B60291" w:rsidP="00D411A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 to 300</w:t>
            </w:r>
          </w:p>
        </w:tc>
      </w:tr>
      <w:tr w:rsidR="00B60291" w:rsidRPr="00892DE3" w:rsidTr="006A209D">
        <w:tc>
          <w:tcPr>
            <w:cnfStyle w:val="001000000000" w:firstRow="0" w:lastRow="0" w:firstColumn="1" w:lastColumn="0" w:oddVBand="0" w:evenVBand="0" w:oddHBand="0" w:evenHBand="0" w:firstRowFirstColumn="0" w:firstRowLastColumn="0" w:lastRowFirstColumn="0" w:lastRowLastColumn="0"/>
            <w:tcW w:w="8579" w:type="dxa"/>
          </w:tcPr>
          <w:p w:rsidR="00B60291" w:rsidRPr="00892DE3" w:rsidRDefault="00B60291" w:rsidP="006A209D">
            <w:pPr>
              <w:ind w:left="340"/>
            </w:pPr>
            <w:r w:rsidRPr="00892DE3">
              <w:t xml:space="preserve">water infrastructure – other </w:t>
            </w:r>
          </w:p>
        </w:tc>
        <w:tc>
          <w:tcPr>
            <w:tcW w:w="1134" w:type="dxa"/>
          </w:tcPr>
          <w:p w:rsidR="00B60291" w:rsidRPr="00892DE3" w:rsidRDefault="00B60291" w:rsidP="00D411A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 to 100</w:t>
            </w:r>
          </w:p>
        </w:tc>
      </w:tr>
      <w:tr w:rsidR="00B60291" w:rsidRPr="00892DE3" w:rsidTr="006A209D">
        <w:tc>
          <w:tcPr>
            <w:cnfStyle w:val="001000000000" w:firstRow="0" w:lastRow="0" w:firstColumn="1" w:lastColumn="0" w:oddVBand="0" w:evenVBand="0" w:oddHBand="0" w:evenHBand="0" w:firstRowFirstColumn="0" w:firstRowLastColumn="0" w:lastRowFirstColumn="0" w:lastRowLastColumn="0"/>
            <w:tcW w:w="8579" w:type="dxa"/>
          </w:tcPr>
          <w:p w:rsidR="00B60291" w:rsidRPr="00892DE3" w:rsidRDefault="00B60291" w:rsidP="006A209D">
            <w:pPr>
              <w:ind w:left="340"/>
            </w:pPr>
            <w:r w:rsidRPr="00892DE3">
              <w:t>rail infrastructure</w:t>
            </w:r>
          </w:p>
        </w:tc>
        <w:tc>
          <w:tcPr>
            <w:tcW w:w="1134" w:type="dxa"/>
          </w:tcPr>
          <w:p w:rsidR="00B60291" w:rsidRPr="00892DE3" w:rsidRDefault="00B60291" w:rsidP="00D411A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to 50</w:t>
            </w:r>
          </w:p>
        </w:tc>
      </w:tr>
      <w:tr w:rsidR="00B60291" w:rsidRPr="00892DE3" w:rsidTr="00D411AE">
        <w:tc>
          <w:tcPr>
            <w:cnfStyle w:val="001000000000" w:firstRow="0" w:lastRow="0" w:firstColumn="1" w:lastColumn="0" w:oddVBand="0" w:evenVBand="0" w:oddHBand="0" w:evenHBand="0" w:firstRowFirstColumn="0" w:firstRowLastColumn="0" w:lastRowFirstColumn="0" w:lastRowLastColumn="0"/>
            <w:tcW w:w="8579" w:type="dxa"/>
            <w:tcBorders>
              <w:bottom w:val="single" w:sz="6" w:space="0" w:color="auto"/>
            </w:tcBorders>
          </w:tcPr>
          <w:p w:rsidR="00B60291" w:rsidRPr="00892DE3" w:rsidRDefault="00B60291" w:rsidP="006A209D">
            <w:pPr>
              <w:ind w:left="340"/>
            </w:pPr>
            <w:r w:rsidRPr="00892DE3">
              <w:t>other infrastructure</w:t>
            </w:r>
          </w:p>
        </w:tc>
        <w:tc>
          <w:tcPr>
            <w:tcW w:w="1134" w:type="dxa"/>
            <w:tcBorders>
              <w:bottom w:val="single" w:sz="6" w:space="0" w:color="auto"/>
            </w:tcBorders>
          </w:tcPr>
          <w:p w:rsidR="00B60291" w:rsidRPr="00892DE3" w:rsidRDefault="00B60291" w:rsidP="00D411A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to 32</w:t>
            </w:r>
          </w:p>
        </w:tc>
      </w:tr>
      <w:tr w:rsidR="00B60291" w:rsidRPr="00892DE3" w:rsidTr="00D411AE">
        <w:tc>
          <w:tcPr>
            <w:cnfStyle w:val="001000000000" w:firstRow="0" w:lastRow="0" w:firstColumn="1" w:lastColumn="0" w:oddVBand="0" w:evenVBand="0" w:oddHBand="0" w:evenHBand="0" w:firstRowFirstColumn="0" w:firstRowLastColumn="0" w:lastRowFirstColumn="0" w:lastRowLastColumn="0"/>
            <w:tcW w:w="8579" w:type="dxa"/>
            <w:tcBorders>
              <w:top w:val="single" w:sz="6" w:space="0" w:color="auto"/>
              <w:bottom w:val="single" w:sz="6" w:space="0" w:color="auto"/>
            </w:tcBorders>
          </w:tcPr>
          <w:p w:rsidR="00B60291" w:rsidRPr="00892DE3" w:rsidRDefault="00B60291" w:rsidP="006A209D">
            <w:pPr>
              <w:ind w:left="0" w:firstLine="0"/>
              <w:rPr>
                <w:rFonts w:cstheme="majorHAnsi"/>
              </w:rPr>
            </w:pPr>
            <w:r w:rsidRPr="00892DE3">
              <w:rPr>
                <w:rFonts w:cstheme="majorHAnsi"/>
              </w:rPr>
              <w:t>Plan</w:t>
            </w:r>
            <w:r w:rsidR="006A209D" w:rsidRPr="00892DE3">
              <w:rPr>
                <w:rFonts w:cstheme="majorHAnsi"/>
              </w:rPr>
              <w:t>t, equipment and vehicles (including</w:t>
            </w:r>
            <w:r w:rsidRPr="00892DE3">
              <w:rPr>
                <w:rFonts w:cstheme="majorHAnsi"/>
              </w:rPr>
              <w:t xml:space="preserve"> leased assets)</w:t>
            </w:r>
          </w:p>
        </w:tc>
        <w:tc>
          <w:tcPr>
            <w:tcW w:w="1134" w:type="dxa"/>
            <w:tcBorders>
              <w:top w:val="single" w:sz="6" w:space="0" w:color="auto"/>
              <w:bottom w:val="single" w:sz="6" w:space="0" w:color="auto"/>
            </w:tcBorders>
          </w:tcPr>
          <w:p w:rsidR="00B60291" w:rsidRPr="00892DE3" w:rsidRDefault="00B60291" w:rsidP="00D411A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to 10</w:t>
            </w:r>
          </w:p>
        </w:tc>
      </w:tr>
      <w:tr w:rsidR="00B60291" w:rsidRPr="00892DE3" w:rsidTr="00D411AE">
        <w:tc>
          <w:tcPr>
            <w:cnfStyle w:val="001000000000" w:firstRow="0" w:lastRow="0" w:firstColumn="1" w:lastColumn="0" w:oddVBand="0" w:evenVBand="0" w:oddHBand="0" w:evenHBand="0" w:firstRowFirstColumn="0" w:firstRowLastColumn="0" w:lastRowFirstColumn="0" w:lastRowLastColumn="0"/>
            <w:tcW w:w="8579" w:type="dxa"/>
            <w:tcBorders>
              <w:top w:val="single" w:sz="6" w:space="0" w:color="auto"/>
              <w:bottom w:val="single" w:sz="6" w:space="0" w:color="auto"/>
            </w:tcBorders>
          </w:tcPr>
          <w:p w:rsidR="00B60291" w:rsidRPr="00892DE3" w:rsidRDefault="00B60291" w:rsidP="006A209D">
            <w:pPr>
              <w:ind w:left="0" w:firstLine="0"/>
              <w:rPr>
                <w:rFonts w:cstheme="majorHAnsi"/>
              </w:rPr>
            </w:pPr>
            <w:r w:rsidRPr="00892DE3">
              <w:rPr>
                <w:rFonts w:cstheme="majorHAnsi"/>
              </w:rPr>
              <w:t>Road and road networks (incl</w:t>
            </w:r>
            <w:r w:rsidR="006A209D" w:rsidRPr="00892DE3">
              <w:rPr>
                <w:rFonts w:cstheme="majorHAnsi"/>
              </w:rPr>
              <w:t>uding</w:t>
            </w:r>
            <w:r w:rsidRPr="00892DE3">
              <w:rPr>
                <w:rFonts w:cstheme="majorHAnsi"/>
              </w:rPr>
              <w:t xml:space="preserve"> bridges)</w:t>
            </w:r>
          </w:p>
        </w:tc>
        <w:tc>
          <w:tcPr>
            <w:tcW w:w="1134" w:type="dxa"/>
            <w:tcBorders>
              <w:top w:val="single" w:sz="6" w:space="0" w:color="auto"/>
              <w:bottom w:val="single" w:sz="6" w:space="0" w:color="auto"/>
            </w:tcBorders>
          </w:tcPr>
          <w:p w:rsidR="00B60291" w:rsidRPr="00892DE3" w:rsidRDefault="00B60291" w:rsidP="00D411A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60 to 90</w:t>
            </w:r>
          </w:p>
        </w:tc>
      </w:tr>
      <w:tr w:rsidR="00B60291" w:rsidRPr="00892DE3" w:rsidTr="00D411AE">
        <w:tc>
          <w:tcPr>
            <w:cnfStyle w:val="001000000000" w:firstRow="0" w:lastRow="0" w:firstColumn="1" w:lastColumn="0" w:oddVBand="0" w:evenVBand="0" w:oddHBand="0" w:evenHBand="0" w:firstRowFirstColumn="0" w:firstRowLastColumn="0" w:lastRowFirstColumn="0" w:lastRowLastColumn="0"/>
            <w:tcW w:w="8579" w:type="dxa"/>
            <w:tcBorders>
              <w:top w:val="single" w:sz="6" w:space="0" w:color="auto"/>
            </w:tcBorders>
          </w:tcPr>
          <w:p w:rsidR="00B60291" w:rsidRPr="00892DE3" w:rsidRDefault="00B60291" w:rsidP="00B60291">
            <w:pPr>
              <w:ind w:left="0" w:firstLine="0"/>
              <w:rPr>
                <w:rFonts w:cstheme="majorHAnsi"/>
              </w:rPr>
            </w:pPr>
            <w:r w:rsidRPr="00892DE3">
              <w:rPr>
                <w:rFonts w:cstheme="majorHAnsi"/>
              </w:rPr>
              <w:t>Cultural assets (with finite useful lives)</w:t>
            </w:r>
          </w:p>
        </w:tc>
        <w:tc>
          <w:tcPr>
            <w:tcW w:w="1134" w:type="dxa"/>
            <w:tcBorders>
              <w:top w:val="single" w:sz="6" w:space="0" w:color="auto"/>
            </w:tcBorders>
          </w:tcPr>
          <w:p w:rsidR="00B60291" w:rsidRPr="00892DE3" w:rsidRDefault="00B60291" w:rsidP="00D411A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100</w:t>
            </w:r>
          </w:p>
        </w:tc>
      </w:tr>
    </w:tbl>
    <w:p w:rsidR="00B60291" w:rsidRPr="00892DE3" w:rsidRDefault="00B60291" w:rsidP="00B60291">
      <w:r w:rsidRPr="00892DE3">
        <w:t xml:space="preserve">The estimated useful lives, residual values and depreciation method are reviewed at the end of each annual reporting period, and adjustments made where appropriate. </w:t>
      </w:r>
      <w:r w:rsidRPr="00892DE3">
        <w:rPr>
          <w:rStyle w:val="SourceReference"/>
        </w:rPr>
        <w:t>[The useful lives illustrated in the Model are for illustrative purposes only. Departments should determine the useful lives of assets.]</w:t>
      </w:r>
      <w:r w:rsidRPr="00892DE3">
        <w:t xml:space="preserve"> </w:t>
      </w:r>
    </w:p>
    <w:p w:rsidR="00B60291" w:rsidRPr="00892DE3" w:rsidRDefault="00B60291" w:rsidP="00B60291">
      <w:r w:rsidRPr="00892DE3">
        <w:t>Leasehold improvements are depreciated over the shorter of the lease term and their useful lives.</w:t>
      </w:r>
    </w:p>
    <w:p w:rsidR="00B60291" w:rsidRPr="00892DE3" w:rsidRDefault="00B60291" w:rsidP="00B60291">
      <w:r w:rsidRPr="00892DE3">
        <w:t xml:space="preserve">In the event of the loss or destruction of an asset, the future economic benefits arising from the use of the asset will be replaced (unless a specific decision </w:t>
      </w:r>
      <w:r w:rsidR="004427CB" w:rsidRPr="00892DE3">
        <w:t>to the contrary has been made).</w:t>
      </w:r>
    </w:p>
    <w:p w:rsidR="00B60291" w:rsidRPr="00892DE3" w:rsidRDefault="00B60291" w:rsidP="00B60291">
      <w:r w:rsidRPr="00892DE3">
        <w:rPr>
          <w:b/>
        </w:rPr>
        <w:t>Indefinite life assets</w:t>
      </w:r>
      <w:r w:rsidRPr="00892DE3">
        <w:t xml:space="preserve">: 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 </w:t>
      </w:r>
      <w:r w:rsidRPr="00892DE3">
        <w:rPr>
          <w:rStyle w:val="SourceReference"/>
        </w:rPr>
        <w:t>[AASB 1051.11]</w:t>
      </w:r>
    </w:p>
    <w:p w:rsidR="00B60291" w:rsidRPr="00892DE3" w:rsidRDefault="00B60291" w:rsidP="00B60291">
      <w:r w:rsidRPr="00892DE3">
        <w:rPr>
          <w:b/>
        </w:rPr>
        <w:t>Impairment</w:t>
      </w:r>
      <w:r w:rsidRPr="00892DE3">
        <w:t xml:space="preserve">: Non-financial assets, including items of </w:t>
      </w:r>
      <w:r w:rsidR="003432FE" w:rsidRPr="00892DE3">
        <w:t>property, plant and equipment</w:t>
      </w:r>
      <w:r w:rsidRPr="00892DE3">
        <w:t xml:space="preserve">, are tested for impairment whenever there is an indication that the asset may be impaired. </w:t>
      </w:r>
      <w:r w:rsidRPr="00892DE3">
        <w:rPr>
          <w:rStyle w:val="SourceReference"/>
        </w:rPr>
        <w:t>[AASB 136.9]</w:t>
      </w:r>
    </w:p>
    <w:p w:rsidR="00B60291" w:rsidRPr="00892DE3" w:rsidRDefault="00B60291" w:rsidP="00B60291">
      <w:r w:rsidRPr="00892DE3">
        <w:t xml:space="preserve">The assets concerned are tested as to whether their carrying value exceeds their recoverable amount. Where an asset’s carrying value exceeds its recoverable amount, the difference is written off as an ‘other economic flow’, except to the extent that it can be debited to an asset revaluation surplus amount applicable to that class of asset. </w:t>
      </w:r>
    </w:p>
    <w:p w:rsidR="00B60291" w:rsidRPr="00892DE3" w:rsidRDefault="00B60291" w:rsidP="00B60291">
      <w:r w:rsidRPr="00892DE3">
        <w:t xml:space="preserve">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 </w:t>
      </w:r>
    </w:p>
    <w:p w:rsidR="00B60291" w:rsidRPr="00892DE3" w:rsidRDefault="00B60291" w:rsidP="00B60291">
      <w:r w:rsidRPr="00892DE3">
        <w:t>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rsidR="004427CB" w:rsidRPr="00892DE3" w:rsidRDefault="004427CB" w:rsidP="004427CB">
      <w:pPr>
        <w:pStyle w:val="Heading3"/>
      </w:pPr>
      <w:r w:rsidRPr="00892DE3">
        <w:t xml:space="preserve">Carrying values by ‘purpose’ groups </w:t>
      </w:r>
      <w:r w:rsidRPr="00892DE3">
        <w:rPr>
          <w:vertAlign w:val="superscript"/>
        </w:rPr>
        <w:t xml:space="preserve">(a) </w:t>
      </w:r>
      <w:r w:rsidRPr="00892DE3">
        <w:rPr>
          <w:rStyle w:val="SourceReference"/>
          <w:b w:val="0"/>
        </w:rPr>
        <w:t>[FRD 103F]</w:t>
      </w:r>
    </w:p>
    <w:p w:rsidR="004427CB" w:rsidRPr="00892DE3" w:rsidRDefault="004427CB" w:rsidP="004427CB">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85"/>
        <w:gridCol w:w="928"/>
        <w:gridCol w:w="928"/>
        <w:gridCol w:w="928"/>
        <w:gridCol w:w="928"/>
        <w:gridCol w:w="928"/>
        <w:gridCol w:w="812"/>
      </w:tblGrid>
      <w:tr w:rsidR="004427CB" w:rsidRPr="00892DE3" w:rsidTr="004207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85" w:type="dxa"/>
          </w:tcPr>
          <w:p w:rsidR="004427CB" w:rsidRPr="00892DE3" w:rsidRDefault="004427CB" w:rsidP="00420768">
            <w:pPr>
              <w:ind w:left="0" w:firstLine="0"/>
            </w:pPr>
          </w:p>
        </w:tc>
        <w:tc>
          <w:tcPr>
            <w:tcW w:w="1856" w:type="dxa"/>
            <w:gridSpan w:val="2"/>
          </w:tcPr>
          <w:p w:rsidR="004427CB" w:rsidRPr="00892DE3" w:rsidRDefault="004427CB" w:rsidP="00420768">
            <w:pPr>
              <w:jc w:val="center"/>
              <w:cnfStyle w:val="100000000000" w:firstRow="1" w:lastRow="0" w:firstColumn="0" w:lastColumn="0" w:oddVBand="0" w:evenVBand="0" w:oddHBand="0" w:evenHBand="0" w:firstRowFirstColumn="0" w:firstRowLastColumn="0" w:lastRowFirstColumn="0" w:lastRowLastColumn="0"/>
            </w:pPr>
            <w:r w:rsidRPr="00892DE3">
              <w:t xml:space="preserve">Public </w:t>
            </w:r>
            <w:r w:rsidRPr="00892DE3">
              <w:br/>
              <w:t>administration</w:t>
            </w:r>
          </w:p>
        </w:tc>
        <w:tc>
          <w:tcPr>
            <w:tcW w:w="1856" w:type="dxa"/>
            <w:gridSpan w:val="2"/>
          </w:tcPr>
          <w:p w:rsidR="004427CB" w:rsidRPr="00892DE3" w:rsidRDefault="004427CB" w:rsidP="00420768">
            <w:pPr>
              <w:jc w:val="center"/>
              <w:cnfStyle w:val="100000000000" w:firstRow="1" w:lastRow="0" w:firstColumn="0" w:lastColumn="0" w:oddVBand="0" w:evenVBand="0" w:oddHBand="0" w:evenHBand="0" w:firstRowFirstColumn="0" w:firstRowLastColumn="0" w:lastRowFirstColumn="0" w:lastRowLastColumn="0"/>
            </w:pPr>
            <w:r w:rsidRPr="00892DE3">
              <w:t xml:space="preserve">Public safety </w:t>
            </w:r>
            <w:r w:rsidRPr="00892DE3">
              <w:br/>
              <w:t>and environment</w:t>
            </w:r>
          </w:p>
        </w:tc>
        <w:tc>
          <w:tcPr>
            <w:tcW w:w="1740" w:type="dxa"/>
            <w:gridSpan w:val="2"/>
            <w:noWrap/>
          </w:tcPr>
          <w:p w:rsidR="004427CB" w:rsidRPr="00892DE3" w:rsidRDefault="004427CB" w:rsidP="00420768">
            <w:pPr>
              <w:jc w:val="center"/>
              <w:cnfStyle w:val="100000000000" w:firstRow="1" w:lastRow="0" w:firstColumn="0" w:lastColumn="0" w:oddVBand="0" w:evenVBand="0" w:oddHBand="0" w:evenHBand="0" w:firstRowFirstColumn="0" w:firstRowLastColumn="0" w:lastRowFirstColumn="0" w:lastRowLastColumn="0"/>
            </w:pPr>
            <w:r w:rsidRPr="00892DE3">
              <w:t>Total</w:t>
            </w:r>
          </w:p>
        </w:tc>
      </w:tr>
      <w:tr w:rsidR="004427CB" w:rsidRPr="00892DE3" w:rsidTr="0042076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85" w:type="dxa"/>
            <w:hideMark/>
          </w:tcPr>
          <w:p w:rsidR="004427CB" w:rsidRPr="00892DE3" w:rsidRDefault="004427CB" w:rsidP="00420768">
            <w:pPr>
              <w:ind w:left="0" w:firstLine="0"/>
            </w:pPr>
            <w:r w:rsidRPr="00892DE3">
              <w:t xml:space="preserve"> </w:t>
            </w:r>
          </w:p>
        </w:tc>
        <w:tc>
          <w:tcPr>
            <w:tcW w:w="928" w:type="dxa"/>
            <w:tcBorders>
              <w:bottom w:val="nil"/>
            </w:tcBorders>
          </w:tcPr>
          <w:p w:rsidR="004427CB" w:rsidRPr="00892DE3" w:rsidRDefault="004427CB" w:rsidP="00420768">
            <w:pPr>
              <w:cnfStyle w:val="100000000000" w:firstRow="1" w:lastRow="0" w:firstColumn="0" w:lastColumn="0" w:oddVBand="0" w:evenVBand="0" w:oddHBand="0" w:evenHBand="0" w:firstRowFirstColumn="0" w:firstRowLastColumn="0" w:lastRowFirstColumn="0" w:lastRowLastColumn="0"/>
            </w:pPr>
            <w:r w:rsidRPr="00892DE3">
              <w:t>2017</w:t>
            </w:r>
          </w:p>
        </w:tc>
        <w:tc>
          <w:tcPr>
            <w:tcW w:w="928" w:type="dxa"/>
          </w:tcPr>
          <w:p w:rsidR="004427CB" w:rsidRPr="00892DE3" w:rsidRDefault="004427CB" w:rsidP="00420768">
            <w:pPr>
              <w:cnfStyle w:val="100000000000" w:firstRow="1" w:lastRow="0" w:firstColumn="0" w:lastColumn="0" w:oddVBand="0" w:evenVBand="0" w:oddHBand="0" w:evenHBand="0" w:firstRowFirstColumn="0" w:firstRowLastColumn="0" w:lastRowFirstColumn="0" w:lastRowLastColumn="0"/>
            </w:pPr>
            <w:r w:rsidRPr="00892DE3">
              <w:t>2016</w:t>
            </w:r>
          </w:p>
        </w:tc>
        <w:tc>
          <w:tcPr>
            <w:tcW w:w="928" w:type="dxa"/>
            <w:tcBorders>
              <w:bottom w:val="nil"/>
            </w:tcBorders>
          </w:tcPr>
          <w:p w:rsidR="004427CB" w:rsidRPr="00892DE3" w:rsidRDefault="004427CB" w:rsidP="00420768">
            <w:pPr>
              <w:cnfStyle w:val="100000000000" w:firstRow="1" w:lastRow="0" w:firstColumn="0" w:lastColumn="0" w:oddVBand="0" w:evenVBand="0" w:oddHBand="0" w:evenHBand="0" w:firstRowFirstColumn="0" w:firstRowLastColumn="0" w:lastRowFirstColumn="0" w:lastRowLastColumn="0"/>
            </w:pPr>
            <w:r w:rsidRPr="00892DE3">
              <w:t>2017</w:t>
            </w:r>
          </w:p>
        </w:tc>
        <w:tc>
          <w:tcPr>
            <w:tcW w:w="928" w:type="dxa"/>
          </w:tcPr>
          <w:p w:rsidR="004427CB" w:rsidRPr="00892DE3" w:rsidRDefault="004427CB" w:rsidP="00420768">
            <w:pPr>
              <w:cnfStyle w:val="100000000000" w:firstRow="1" w:lastRow="0" w:firstColumn="0" w:lastColumn="0" w:oddVBand="0" w:evenVBand="0" w:oddHBand="0" w:evenHBand="0" w:firstRowFirstColumn="0" w:firstRowLastColumn="0" w:lastRowFirstColumn="0" w:lastRowLastColumn="0"/>
            </w:pPr>
            <w:r w:rsidRPr="00892DE3">
              <w:t>2016</w:t>
            </w:r>
          </w:p>
        </w:tc>
        <w:tc>
          <w:tcPr>
            <w:tcW w:w="928" w:type="dxa"/>
            <w:tcBorders>
              <w:bottom w:val="nil"/>
            </w:tcBorders>
            <w:noWrap/>
            <w:hideMark/>
          </w:tcPr>
          <w:p w:rsidR="004427CB" w:rsidRPr="00892DE3" w:rsidRDefault="004427CB" w:rsidP="00420768">
            <w:pPr>
              <w:cnfStyle w:val="100000000000" w:firstRow="1" w:lastRow="0" w:firstColumn="0" w:lastColumn="0" w:oddVBand="0" w:evenVBand="0" w:oddHBand="0" w:evenHBand="0" w:firstRowFirstColumn="0" w:firstRowLastColumn="0" w:lastRowFirstColumn="0" w:lastRowLastColumn="0"/>
            </w:pPr>
            <w:r w:rsidRPr="00892DE3">
              <w:t>2017</w:t>
            </w:r>
          </w:p>
        </w:tc>
        <w:tc>
          <w:tcPr>
            <w:tcW w:w="812" w:type="dxa"/>
            <w:noWrap/>
            <w:hideMark/>
          </w:tcPr>
          <w:p w:rsidR="004427CB" w:rsidRPr="00892DE3" w:rsidRDefault="004427CB" w:rsidP="00420768">
            <w:pPr>
              <w:cnfStyle w:val="100000000000" w:firstRow="1" w:lastRow="0" w:firstColumn="0" w:lastColumn="0" w:oddVBand="0" w:evenVBand="0" w:oddHBand="0" w:evenHBand="0" w:firstRowFirstColumn="0" w:firstRowLastColumn="0" w:lastRowFirstColumn="0" w:lastRowLastColumn="0"/>
            </w:pPr>
            <w:r w:rsidRPr="00892DE3">
              <w:t>2016</w:t>
            </w:r>
          </w:p>
        </w:tc>
      </w:tr>
      <w:tr w:rsidR="004427CB" w:rsidRPr="00892DE3" w:rsidTr="00420768">
        <w:tc>
          <w:tcPr>
            <w:cnfStyle w:val="001000000000" w:firstRow="0" w:lastRow="0" w:firstColumn="1" w:lastColumn="0" w:oddVBand="0" w:evenVBand="0" w:oddHBand="0" w:evenHBand="0" w:firstRowFirstColumn="0" w:firstRowLastColumn="0" w:lastRowFirstColumn="0" w:lastRowLastColumn="0"/>
            <w:tcW w:w="4185" w:type="dxa"/>
            <w:hideMark/>
          </w:tcPr>
          <w:p w:rsidR="004427CB" w:rsidRPr="00892DE3" w:rsidRDefault="004427CB" w:rsidP="00420768">
            <w:pPr>
              <w:rPr>
                <w:rFonts w:cstheme="majorHAnsi"/>
                <w:b/>
              </w:rPr>
            </w:pPr>
            <w:r w:rsidRPr="00892DE3">
              <w:rPr>
                <w:rFonts w:cstheme="majorHAnsi"/>
                <w:b/>
              </w:rPr>
              <w:t>Nature based classification</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28" w:type="dxa"/>
            <w:shd w:val="clear" w:color="auto" w:fill="EBEBEB" w:themeFill="background2"/>
            <w:noWrap/>
            <w:hideMark/>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12" w:type="dxa"/>
            <w:noWrap/>
            <w:hideMark/>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4427CB" w:rsidRPr="00892DE3" w:rsidTr="00420768">
        <w:tc>
          <w:tcPr>
            <w:cnfStyle w:val="001000000000" w:firstRow="0" w:lastRow="0" w:firstColumn="1" w:lastColumn="0" w:oddVBand="0" w:evenVBand="0" w:oddHBand="0" w:evenHBand="0" w:firstRowFirstColumn="0" w:firstRowLastColumn="0" w:lastRowFirstColumn="0" w:lastRowLastColumn="0"/>
            <w:tcW w:w="4185" w:type="dxa"/>
          </w:tcPr>
          <w:p w:rsidR="004427CB" w:rsidRPr="00892DE3" w:rsidRDefault="004427CB" w:rsidP="00420768">
            <w:pPr>
              <w:rPr>
                <w:rFonts w:cstheme="majorHAnsi"/>
              </w:rPr>
            </w:pPr>
            <w:r w:rsidRPr="00892DE3">
              <w:rPr>
                <w:rFonts w:cstheme="majorHAnsi"/>
              </w:rPr>
              <w:t>Land at fair value</w:t>
            </w:r>
            <w:r w:rsidRPr="00892DE3">
              <w:rPr>
                <w:rFonts w:cstheme="majorHAnsi"/>
                <w:vertAlign w:val="superscript"/>
              </w:rPr>
              <w:t xml:space="preserve"> (b)</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2 014</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1 830</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2 548</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1 691</w:t>
            </w:r>
          </w:p>
        </w:tc>
        <w:tc>
          <w:tcPr>
            <w:tcW w:w="928" w:type="dxa"/>
            <w:shd w:val="clear" w:color="auto" w:fill="EBEBEB" w:themeFill="background2"/>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4 562</w:t>
            </w:r>
          </w:p>
        </w:tc>
        <w:tc>
          <w:tcPr>
            <w:tcW w:w="812" w:type="dxa"/>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3 521</w:t>
            </w:r>
          </w:p>
        </w:tc>
      </w:tr>
      <w:tr w:rsidR="004427CB" w:rsidRPr="00892DE3" w:rsidTr="00420768">
        <w:tc>
          <w:tcPr>
            <w:cnfStyle w:val="001000000000" w:firstRow="0" w:lastRow="0" w:firstColumn="1" w:lastColumn="0" w:oddVBand="0" w:evenVBand="0" w:oddHBand="0" w:evenHBand="0" w:firstRowFirstColumn="0" w:firstRowLastColumn="0" w:lastRowFirstColumn="0" w:lastRowLastColumn="0"/>
            <w:tcW w:w="4185" w:type="dxa"/>
          </w:tcPr>
          <w:p w:rsidR="004427CB" w:rsidRPr="00892DE3" w:rsidRDefault="004427CB" w:rsidP="00420768">
            <w:pPr>
              <w:rPr>
                <w:rFonts w:cstheme="majorHAnsi"/>
              </w:rPr>
            </w:pPr>
            <w:r w:rsidRPr="00892DE3">
              <w:rPr>
                <w:rFonts w:cstheme="majorHAnsi"/>
              </w:rPr>
              <w:t>Buildings at fair value</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19 124</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14 841</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4 064</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4 389</w:t>
            </w:r>
          </w:p>
        </w:tc>
        <w:tc>
          <w:tcPr>
            <w:tcW w:w="928" w:type="dxa"/>
            <w:shd w:val="clear" w:color="auto" w:fill="EBEBEB" w:themeFill="background2"/>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23 188</w:t>
            </w:r>
          </w:p>
        </w:tc>
        <w:tc>
          <w:tcPr>
            <w:tcW w:w="812" w:type="dxa"/>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19 230</w:t>
            </w:r>
          </w:p>
        </w:tc>
      </w:tr>
      <w:tr w:rsidR="004427CB" w:rsidRPr="00892DE3" w:rsidTr="00420768">
        <w:tc>
          <w:tcPr>
            <w:cnfStyle w:val="001000000000" w:firstRow="0" w:lastRow="0" w:firstColumn="1" w:lastColumn="0" w:oddVBand="0" w:evenVBand="0" w:oddHBand="0" w:evenHBand="0" w:firstRowFirstColumn="0" w:firstRowLastColumn="0" w:lastRowFirstColumn="0" w:lastRowLastColumn="0"/>
            <w:tcW w:w="4185" w:type="dxa"/>
          </w:tcPr>
          <w:p w:rsidR="004427CB" w:rsidRPr="00892DE3" w:rsidRDefault="004427CB" w:rsidP="00420768">
            <w:pPr>
              <w:rPr>
                <w:rFonts w:cstheme="majorHAnsi"/>
              </w:rPr>
            </w:pPr>
            <w:r w:rsidRPr="00892DE3">
              <w:rPr>
                <w:rFonts w:cstheme="majorHAnsi"/>
              </w:rPr>
              <w:t>Plant, equipment and vehicles at fair value</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26 793</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24 678</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21 082</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18 431</w:t>
            </w:r>
          </w:p>
        </w:tc>
        <w:tc>
          <w:tcPr>
            <w:tcW w:w="928" w:type="dxa"/>
            <w:shd w:val="clear" w:color="auto" w:fill="EBEBEB" w:themeFill="background2"/>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47 876</w:t>
            </w:r>
          </w:p>
        </w:tc>
        <w:tc>
          <w:tcPr>
            <w:tcW w:w="812" w:type="dxa"/>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43 109</w:t>
            </w:r>
          </w:p>
        </w:tc>
      </w:tr>
      <w:tr w:rsidR="004427CB" w:rsidRPr="00892DE3" w:rsidTr="00420768">
        <w:tc>
          <w:tcPr>
            <w:cnfStyle w:val="001000000000" w:firstRow="0" w:lastRow="0" w:firstColumn="1" w:lastColumn="0" w:oddVBand="0" w:evenVBand="0" w:oddHBand="0" w:evenHBand="0" w:firstRowFirstColumn="0" w:firstRowLastColumn="0" w:lastRowFirstColumn="0" w:lastRowLastColumn="0"/>
            <w:tcW w:w="4185" w:type="dxa"/>
          </w:tcPr>
          <w:p w:rsidR="004427CB" w:rsidRPr="00892DE3" w:rsidRDefault="004427CB" w:rsidP="00420768">
            <w:pPr>
              <w:rPr>
                <w:rFonts w:cstheme="majorHAnsi"/>
              </w:rPr>
            </w:pPr>
            <w:r w:rsidRPr="00892DE3">
              <w:rPr>
                <w:rFonts w:cstheme="majorHAnsi"/>
              </w:rPr>
              <w:t>Assets under construction at cost</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667</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627</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46</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397</w:t>
            </w:r>
          </w:p>
        </w:tc>
        <w:tc>
          <w:tcPr>
            <w:tcW w:w="928" w:type="dxa"/>
            <w:shd w:val="clear" w:color="auto" w:fill="EBEBEB" w:themeFill="background2"/>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713</w:t>
            </w:r>
          </w:p>
        </w:tc>
        <w:tc>
          <w:tcPr>
            <w:tcW w:w="812" w:type="dxa"/>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1 023</w:t>
            </w:r>
          </w:p>
        </w:tc>
      </w:tr>
      <w:tr w:rsidR="004427CB" w:rsidRPr="00892DE3" w:rsidTr="00420768">
        <w:tc>
          <w:tcPr>
            <w:cnfStyle w:val="001000000000" w:firstRow="0" w:lastRow="0" w:firstColumn="1" w:lastColumn="0" w:oddVBand="0" w:evenVBand="0" w:oddHBand="0" w:evenHBand="0" w:firstRowFirstColumn="0" w:firstRowLastColumn="0" w:lastRowFirstColumn="0" w:lastRowLastColumn="0"/>
            <w:tcW w:w="4185" w:type="dxa"/>
          </w:tcPr>
          <w:p w:rsidR="004427CB" w:rsidRPr="00892DE3" w:rsidRDefault="004427CB" w:rsidP="00420768">
            <w:pPr>
              <w:rPr>
                <w:rFonts w:cstheme="majorHAnsi"/>
              </w:rPr>
            </w:pPr>
            <w:r w:rsidRPr="00892DE3">
              <w:rPr>
                <w:rFonts w:cstheme="majorHAnsi"/>
              </w:rPr>
              <w:t xml:space="preserve">Infrastructure at fair value </w:t>
            </w:r>
            <w:r w:rsidRPr="00892DE3">
              <w:rPr>
                <w:rFonts w:cstheme="majorHAnsi"/>
                <w:vertAlign w:val="superscript"/>
              </w:rPr>
              <w:t>(c)</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170</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2 223</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1 514</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2 708</w:t>
            </w:r>
          </w:p>
        </w:tc>
        <w:tc>
          <w:tcPr>
            <w:tcW w:w="928" w:type="dxa"/>
            <w:shd w:val="clear" w:color="auto" w:fill="EBEBEB" w:themeFill="background2"/>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1 685</w:t>
            </w:r>
          </w:p>
        </w:tc>
        <w:tc>
          <w:tcPr>
            <w:tcW w:w="812" w:type="dxa"/>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4 931</w:t>
            </w:r>
          </w:p>
        </w:tc>
      </w:tr>
      <w:tr w:rsidR="004427CB" w:rsidRPr="00892DE3" w:rsidTr="00420768">
        <w:tc>
          <w:tcPr>
            <w:cnfStyle w:val="001000000000" w:firstRow="0" w:lastRow="0" w:firstColumn="1" w:lastColumn="0" w:oddVBand="0" w:evenVBand="0" w:oddHBand="0" w:evenHBand="0" w:firstRowFirstColumn="0" w:firstRowLastColumn="0" w:lastRowFirstColumn="0" w:lastRowLastColumn="0"/>
            <w:tcW w:w="4185" w:type="dxa"/>
          </w:tcPr>
          <w:p w:rsidR="004427CB" w:rsidRPr="00892DE3" w:rsidRDefault="004427CB" w:rsidP="00420768">
            <w:pPr>
              <w:rPr>
                <w:rFonts w:cstheme="majorHAnsi"/>
              </w:rPr>
            </w:pPr>
            <w:r w:rsidRPr="00892DE3">
              <w:rPr>
                <w:rFonts w:cstheme="majorHAnsi"/>
              </w:rPr>
              <w:t>Road, infrastructure and earthworks at fair value</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608</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2 454</w:t>
            </w:r>
          </w:p>
        </w:tc>
        <w:tc>
          <w:tcPr>
            <w:tcW w:w="928" w:type="dxa"/>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1 649</w:t>
            </w:r>
          </w:p>
        </w:tc>
        <w:tc>
          <w:tcPr>
            <w:tcW w:w="928" w:type="dxa"/>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2 539</w:t>
            </w:r>
          </w:p>
        </w:tc>
        <w:tc>
          <w:tcPr>
            <w:tcW w:w="928" w:type="dxa"/>
            <w:shd w:val="clear" w:color="auto" w:fill="EBEBEB" w:themeFill="background2"/>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2 257</w:t>
            </w:r>
          </w:p>
        </w:tc>
        <w:tc>
          <w:tcPr>
            <w:tcW w:w="812" w:type="dxa"/>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4 993</w:t>
            </w:r>
          </w:p>
        </w:tc>
      </w:tr>
      <w:tr w:rsidR="004427CB" w:rsidRPr="00892DE3" w:rsidTr="00420768">
        <w:tc>
          <w:tcPr>
            <w:cnfStyle w:val="001000000000" w:firstRow="0" w:lastRow="0" w:firstColumn="1" w:lastColumn="0" w:oddVBand="0" w:evenVBand="0" w:oddHBand="0" w:evenHBand="0" w:firstRowFirstColumn="0" w:firstRowLastColumn="0" w:lastRowFirstColumn="0" w:lastRowLastColumn="0"/>
            <w:tcW w:w="4185" w:type="dxa"/>
            <w:tcBorders>
              <w:bottom w:val="single" w:sz="6" w:space="0" w:color="auto"/>
            </w:tcBorders>
          </w:tcPr>
          <w:p w:rsidR="004427CB" w:rsidRPr="00892DE3" w:rsidRDefault="004427CB" w:rsidP="00420768">
            <w:pPr>
              <w:rPr>
                <w:rFonts w:cstheme="majorHAnsi"/>
              </w:rPr>
            </w:pPr>
            <w:r w:rsidRPr="00892DE3">
              <w:rPr>
                <w:rFonts w:cstheme="majorHAnsi"/>
              </w:rPr>
              <w:t>Cultural assets at fair value</w:t>
            </w:r>
          </w:p>
        </w:tc>
        <w:tc>
          <w:tcPr>
            <w:tcW w:w="928" w:type="dxa"/>
            <w:tcBorders>
              <w:bottom w:val="single" w:sz="6" w:space="0" w:color="auto"/>
            </w:tcBorders>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2 764</w:t>
            </w:r>
          </w:p>
        </w:tc>
        <w:tc>
          <w:tcPr>
            <w:tcW w:w="928" w:type="dxa"/>
            <w:tcBorders>
              <w:bottom w:val="single" w:sz="6" w:space="0" w:color="auto"/>
            </w:tcBorders>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28" w:type="dxa"/>
            <w:tcBorders>
              <w:bottom w:val="single" w:sz="6" w:space="0" w:color="auto"/>
            </w:tcBorders>
            <w:shd w:val="clear" w:color="auto" w:fill="EBEBEB" w:themeFill="background2"/>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28" w:type="dxa"/>
            <w:tcBorders>
              <w:bottom w:val="single" w:sz="6" w:space="0" w:color="auto"/>
            </w:tcBorders>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28" w:type="dxa"/>
            <w:tcBorders>
              <w:bottom w:val="single" w:sz="6" w:space="0" w:color="auto"/>
            </w:tcBorders>
            <w:shd w:val="clear" w:color="auto" w:fill="EBEBEB" w:themeFill="background2"/>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2 764</w:t>
            </w:r>
          </w:p>
        </w:tc>
        <w:tc>
          <w:tcPr>
            <w:tcW w:w="812" w:type="dxa"/>
            <w:tcBorders>
              <w:bottom w:val="single" w:sz="6" w:space="0" w:color="auto"/>
            </w:tcBorders>
            <w:noWrap/>
          </w:tcPr>
          <w:p w:rsidR="004427CB" w:rsidRPr="00892DE3" w:rsidRDefault="004427CB" w:rsidP="004207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4427CB" w:rsidRPr="00892DE3" w:rsidTr="0042076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5" w:type="dxa"/>
            <w:tcBorders>
              <w:top w:val="single" w:sz="6" w:space="0" w:color="auto"/>
              <w:bottom w:val="single" w:sz="12" w:space="0" w:color="auto"/>
            </w:tcBorders>
            <w:hideMark/>
          </w:tcPr>
          <w:p w:rsidR="004427CB" w:rsidRPr="00892DE3" w:rsidRDefault="004427CB" w:rsidP="00420768">
            <w:pPr>
              <w:ind w:left="0" w:firstLine="0"/>
            </w:pPr>
            <w:r w:rsidRPr="00892DE3">
              <w:t>Net carrying amount</w:t>
            </w:r>
          </w:p>
        </w:tc>
        <w:tc>
          <w:tcPr>
            <w:tcW w:w="928" w:type="dxa"/>
            <w:tcBorders>
              <w:top w:val="single" w:sz="6" w:space="0" w:color="auto"/>
              <w:bottom w:val="single" w:sz="12" w:space="0" w:color="auto"/>
            </w:tcBorders>
            <w:shd w:val="clear" w:color="auto" w:fill="EBEBEB" w:themeFill="background2"/>
          </w:tcPr>
          <w:p w:rsidR="004427CB" w:rsidRPr="00892DE3" w:rsidRDefault="004427CB" w:rsidP="00420768">
            <w:pPr>
              <w:cnfStyle w:val="010000000000" w:firstRow="0" w:lastRow="1" w:firstColumn="0" w:lastColumn="0" w:oddVBand="0" w:evenVBand="0" w:oddHBand="0" w:evenHBand="0" w:firstRowFirstColumn="0" w:firstRowLastColumn="0" w:lastRowFirstColumn="0" w:lastRowLastColumn="0"/>
            </w:pPr>
            <w:r w:rsidRPr="00892DE3">
              <w:t>52 141</w:t>
            </w:r>
          </w:p>
        </w:tc>
        <w:tc>
          <w:tcPr>
            <w:tcW w:w="928" w:type="dxa"/>
            <w:tcBorders>
              <w:top w:val="single" w:sz="6" w:space="0" w:color="auto"/>
              <w:bottom w:val="single" w:sz="12" w:space="0" w:color="auto"/>
            </w:tcBorders>
          </w:tcPr>
          <w:p w:rsidR="004427CB" w:rsidRPr="00892DE3" w:rsidRDefault="004427CB" w:rsidP="00420768">
            <w:pPr>
              <w:cnfStyle w:val="010000000000" w:firstRow="0" w:lastRow="1" w:firstColumn="0" w:lastColumn="0" w:oddVBand="0" w:evenVBand="0" w:oddHBand="0" w:evenHBand="0" w:firstRowFirstColumn="0" w:firstRowLastColumn="0" w:lastRowFirstColumn="0" w:lastRowLastColumn="0"/>
            </w:pPr>
            <w:r w:rsidRPr="00892DE3">
              <w:t>46 652</w:t>
            </w:r>
          </w:p>
        </w:tc>
        <w:tc>
          <w:tcPr>
            <w:tcW w:w="928" w:type="dxa"/>
            <w:tcBorders>
              <w:top w:val="single" w:sz="6" w:space="0" w:color="auto"/>
              <w:bottom w:val="single" w:sz="12" w:space="0" w:color="auto"/>
            </w:tcBorders>
            <w:shd w:val="clear" w:color="auto" w:fill="EBEBEB" w:themeFill="background2"/>
          </w:tcPr>
          <w:p w:rsidR="004427CB" w:rsidRPr="00892DE3" w:rsidRDefault="004427CB" w:rsidP="00420768">
            <w:pPr>
              <w:cnfStyle w:val="010000000000" w:firstRow="0" w:lastRow="1" w:firstColumn="0" w:lastColumn="0" w:oddVBand="0" w:evenVBand="0" w:oddHBand="0" w:evenHBand="0" w:firstRowFirstColumn="0" w:firstRowLastColumn="0" w:lastRowFirstColumn="0" w:lastRowLastColumn="0"/>
            </w:pPr>
            <w:r w:rsidRPr="00892DE3">
              <w:t>30 903</w:t>
            </w:r>
          </w:p>
        </w:tc>
        <w:tc>
          <w:tcPr>
            <w:tcW w:w="928" w:type="dxa"/>
            <w:tcBorders>
              <w:top w:val="single" w:sz="6" w:space="0" w:color="auto"/>
              <w:bottom w:val="single" w:sz="12" w:space="0" w:color="auto"/>
            </w:tcBorders>
          </w:tcPr>
          <w:p w:rsidR="004427CB" w:rsidRPr="00892DE3" w:rsidRDefault="004427CB" w:rsidP="00420768">
            <w:pPr>
              <w:cnfStyle w:val="010000000000" w:firstRow="0" w:lastRow="1" w:firstColumn="0" w:lastColumn="0" w:oddVBand="0" w:evenVBand="0" w:oddHBand="0" w:evenHBand="0" w:firstRowFirstColumn="0" w:firstRowLastColumn="0" w:lastRowFirstColumn="0" w:lastRowLastColumn="0"/>
            </w:pPr>
            <w:r w:rsidRPr="00892DE3">
              <w:t>30 155</w:t>
            </w:r>
          </w:p>
        </w:tc>
        <w:tc>
          <w:tcPr>
            <w:tcW w:w="928" w:type="dxa"/>
            <w:tcBorders>
              <w:top w:val="single" w:sz="6" w:space="0" w:color="auto"/>
              <w:bottom w:val="single" w:sz="12" w:space="0" w:color="auto"/>
            </w:tcBorders>
            <w:shd w:val="clear" w:color="auto" w:fill="EBEBEB" w:themeFill="background2"/>
            <w:noWrap/>
            <w:hideMark/>
          </w:tcPr>
          <w:p w:rsidR="004427CB" w:rsidRPr="00892DE3" w:rsidRDefault="004427CB" w:rsidP="00420768">
            <w:pPr>
              <w:cnfStyle w:val="010000000000" w:firstRow="0" w:lastRow="1" w:firstColumn="0" w:lastColumn="0" w:oddVBand="0" w:evenVBand="0" w:oddHBand="0" w:evenHBand="0" w:firstRowFirstColumn="0" w:firstRowLastColumn="0" w:lastRowFirstColumn="0" w:lastRowLastColumn="0"/>
            </w:pPr>
            <w:r w:rsidRPr="00892DE3">
              <w:t>83 044</w:t>
            </w:r>
          </w:p>
        </w:tc>
        <w:tc>
          <w:tcPr>
            <w:tcW w:w="812" w:type="dxa"/>
            <w:tcBorders>
              <w:top w:val="single" w:sz="6" w:space="0" w:color="auto"/>
              <w:bottom w:val="single" w:sz="12" w:space="0" w:color="auto"/>
            </w:tcBorders>
            <w:noWrap/>
            <w:hideMark/>
          </w:tcPr>
          <w:p w:rsidR="004427CB" w:rsidRPr="00892DE3" w:rsidRDefault="004427CB" w:rsidP="00420768">
            <w:pPr>
              <w:cnfStyle w:val="010000000000" w:firstRow="0" w:lastRow="1" w:firstColumn="0" w:lastColumn="0" w:oddVBand="0" w:evenVBand="0" w:oddHBand="0" w:evenHBand="0" w:firstRowFirstColumn="0" w:firstRowLastColumn="0" w:lastRowFirstColumn="0" w:lastRowLastColumn="0"/>
            </w:pPr>
            <w:r w:rsidRPr="00892DE3">
              <w:t>76 807</w:t>
            </w:r>
          </w:p>
        </w:tc>
      </w:tr>
    </w:tbl>
    <w:p w:rsidR="004427CB" w:rsidRPr="00892DE3" w:rsidRDefault="004427CB" w:rsidP="004427CB">
      <w:pPr>
        <w:pStyle w:val="Note"/>
      </w:pPr>
      <w:r w:rsidRPr="00892DE3">
        <w:t>Notes:</w:t>
      </w:r>
    </w:p>
    <w:p w:rsidR="004427CB" w:rsidRPr="00892DE3" w:rsidRDefault="004427CB" w:rsidP="004427CB">
      <w:pPr>
        <w:pStyle w:val="Note"/>
      </w:pPr>
      <w:r w:rsidRPr="00892DE3">
        <w:t>(a)</w:t>
      </w:r>
      <w:r w:rsidRPr="00892DE3">
        <w:tab/>
        <w:t>Property, plant and equipment are classified primarily by the ‘purpose’ for which the assets are used, according to one of six purpose groups based upon government purpose classifications. All assets in a purpose group are further sub-categorised according to the asset’s ‘nature’ (i.e. buildings, plant etc.), with each sub-category being classified as a separate class of asset for financial reporting purposes.</w:t>
      </w:r>
    </w:p>
    <w:p w:rsidR="004427CB" w:rsidRPr="00892DE3" w:rsidRDefault="004427CB" w:rsidP="004427CB">
      <w:pPr>
        <w:pStyle w:val="Note"/>
      </w:pPr>
      <w:r w:rsidRPr="00892DE3">
        <w:t>(b)</w:t>
      </w:r>
      <w:r w:rsidRPr="00892DE3">
        <w:tab/>
      </w:r>
      <w:r w:rsidRPr="00892DE3">
        <w:rPr>
          <w:rStyle w:val="SourceReference"/>
        </w:rPr>
        <w:t>[If any entity has significant Crown land holdings, these holdings are to be disclosed separately in the Property, plant and equipment table ‘Land at fair value’ as ‘Crown land – National and State parks at fair value’, ‘Crown land – other at fair value’, and ‘Freehold land at fair value’.]</w:t>
      </w:r>
    </w:p>
    <w:p w:rsidR="004427CB" w:rsidRPr="00892DE3" w:rsidRDefault="004427CB" w:rsidP="004427CB">
      <w:pPr>
        <w:pStyle w:val="Note"/>
      </w:pPr>
      <w:r w:rsidRPr="00892DE3">
        <w:t xml:space="preserve">(c) </w:t>
      </w:r>
      <w:r w:rsidRPr="00892DE3">
        <w:tab/>
        <w:t xml:space="preserve">Of the balance in ‘infrastructure at fair value’, $XXX </w:t>
      </w:r>
      <w:r w:rsidRPr="00892DE3">
        <w:rPr>
          <w:rStyle w:val="SourceReference"/>
        </w:rPr>
        <w:t>[$xxx in 2016]</w:t>
      </w:r>
      <w:r w:rsidRPr="00892DE3">
        <w:t xml:space="preserve"> is attributable to assets contracted under PPP arrangements. </w:t>
      </w:r>
      <w:r w:rsidRPr="00892DE3">
        <w:br/>
      </w:r>
      <w:r w:rsidRPr="00892DE3">
        <w:rPr>
          <w:rStyle w:val="SourceReference"/>
        </w:rPr>
        <w:t>[PAEC Report 115, Recommendation 12]</w:t>
      </w:r>
    </w:p>
    <w:p w:rsidR="004427CB" w:rsidRPr="00892DE3" w:rsidRDefault="004427CB" w:rsidP="00B60291">
      <w:pPr>
        <w:sectPr w:rsidR="004427CB" w:rsidRPr="00892DE3" w:rsidSect="00CA4206">
          <w:type w:val="continuous"/>
          <w:pgSz w:w="11906" w:h="16838" w:code="9"/>
          <w:pgMar w:top="1134" w:right="1134" w:bottom="1134" w:left="1134" w:header="624" w:footer="567" w:gutter="0"/>
          <w:cols w:sep="1" w:space="567"/>
          <w:titlePg/>
          <w:docGrid w:linePitch="360"/>
        </w:sectPr>
      </w:pPr>
    </w:p>
    <w:p w:rsidR="00217A5D" w:rsidRPr="00892DE3" w:rsidRDefault="00B60291" w:rsidP="00D31BB8">
      <w:pPr>
        <w:pStyle w:val="Heading3"/>
      </w:pPr>
      <w:r w:rsidRPr="00892DE3">
        <w:t xml:space="preserve">Reconciliation of movements in carrying </w:t>
      </w:r>
      <w:r w:rsidR="004427CB" w:rsidRPr="00892DE3">
        <w:t>amount</w:t>
      </w:r>
      <w:r w:rsidRPr="00892DE3">
        <w:t xml:space="preserve"> of property, plant and equipment</w:t>
      </w:r>
    </w:p>
    <w:p w:rsidR="00B60291" w:rsidRPr="00892DE3" w:rsidRDefault="00B60291" w:rsidP="00217A5D">
      <w:pPr>
        <w:pStyle w:val="TableUnits"/>
      </w:pPr>
      <w:r w:rsidRPr="00892DE3">
        <w:t>($ thousand)</w:t>
      </w:r>
    </w:p>
    <w:tbl>
      <w:tblPr>
        <w:tblStyle w:val="ModelReportFinancialTable"/>
        <w:tblW w:w="14742" w:type="dxa"/>
        <w:tblLayout w:type="fixed"/>
        <w:tblCellMar>
          <w:left w:w="43" w:type="dxa"/>
          <w:right w:w="43" w:type="dxa"/>
        </w:tblCellMar>
        <w:tblLook w:val="06E0" w:firstRow="1" w:lastRow="1" w:firstColumn="1" w:lastColumn="0" w:noHBand="1" w:noVBand="1"/>
      </w:tblPr>
      <w:tblGrid>
        <w:gridCol w:w="1427"/>
        <w:gridCol w:w="2162"/>
        <w:gridCol w:w="695"/>
        <w:gridCol w:w="721"/>
        <w:gridCol w:w="722"/>
        <w:gridCol w:w="721"/>
        <w:gridCol w:w="721"/>
        <w:gridCol w:w="720"/>
        <w:gridCol w:w="721"/>
        <w:gridCol w:w="647"/>
        <w:gridCol w:w="651"/>
        <w:gridCol w:w="721"/>
        <w:gridCol w:w="720"/>
        <w:gridCol w:w="721"/>
        <w:gridCol w:w="653"/>
        <w:gridCol w:w="577"/>
        <w:gridCol w:w="721"/>
        <w:gridCol w:w="721"/>
      </w:tblGrid>
      <w:tr w:rsidR="00B60291" w:rsidRPr="00892DE3" w:rsidTr="00D677A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27" w:type="dxa"/>
            <w:tcBorders>
              <w:bottom w:val="nil"/>
            </w:tcBorders>
            <w:shd w:val="clear" w:color="auto" w:fill="auto"/>
          </w:tcPr>
          <w:p w:rsidR="00B60291" w:rsidRPr="00892DE3" w:rsidRDefault="00B60291" w:rsidP="00B60291">
            <w:r w:rsidRPr="00892DE3">
              <w:t>Source reference</w:t>
            </w:r>
          </w:p>
        </w:tc>
        <w:tc>
          <w:tcPr>
            <w:tcW w:w="2162" w:type="dxa"/>
          </w:tcPr>
          <w:p w:rsidR="00B60291" w:rsidRPr="00892DE3" w:rsidRDefault="00B60291" w:rsidP="00B60291">
            <w:pPr>
              <w:jc w:val="left"/>
              <w:cnfStyle w:val="100000000000" w:firstRow="1" w:lastRow="0" w:firstColumn="0" w:lastColumn="0" w:oddVBand="0" w:evenVBand="0" w:oddHBand="0" w:evenHBand="0" w:firstRowFirstColumn="0" w:firstRowLastColumn="0" w:lastRowFirstColumn="0" w:lastRowLastColumn="0"/>
            </w:pPr>
          </w:p>
        </w:tc>
        <w:tc>
          <w:tcPr>
            <w:tcW w:w="1416" w:type="dxa"/>
            <w:gridSpan w:val="2"/>
          </w:tcPr>
          <w:p w:rsidR="00B60291" w:rsidRPr="00892DE3" w:rsidRDefault="00B60291" w:rsidP="00B60291">
            <w:pPr>
              <w:jc w:val="center"/>
              <w:cnfStyle w:val="100000000000" w:firstRow="1" w:lastRow="0" w:firstColumn="0" w:lastColumn="0" w:oddVBand="0" w:evenVBand="0" w:oddHBand="0" w:evenHBand="0" w:firstRowFirstColumn="0" w:firstRowLastColumn="0" w:lastRowFirstColumn="0" w:lastRowLastColumn="0"/>
            </w:pPr>
            <w:r w:rsidRPr="00892DE3">
              <w:t xml:space="preserve">Land at </w:t>
            </w:r>
            <w:r w:rsidR="006A209D" w:rsidRPr="00892DE3">
              <w:br/>
            </w:r>
            <w:r w:rsidRPr="00892DE3">
              <w:t>fair value</w:t>
            </w:r>
          </w:p>
        </w:tc>
        <w:tc>
          <w:tcPr>
            <w:tcW w:w="1443" w:type="dxa"/>
            <w:gridSpan w:val="2"/>
          </w:tcPr>
          <w:p w:rsidR="00B60291" w:rsidRPr="00892DE3" w:rsidRDefault="00B60291" w:rsidP="00B60291">
            <w:pPr>
              <w:jc w:val="center"/>
              <w:cnfStyle w:val="100000000000" w:firstRow="1" w:lastRow="0" w:firstColumn="0" w:lastColumn="0" w:oddVBand="0" w:evenVBand="0" w:oddHBand="0" w:evenHBand="0" w:firstRowFirstColumn="0" w:firstRowLastColumn="0" w:lastRowFirstColumn="0" w:lastRowLastColumn="0"/>
            </w:pPr>
            <w:r w:rsidRPr="00892DE3">
              <w:t xml:space="preserve">Buildings at </w:t>
            </w:r>
            <w:r w:rsidR="006A209D" w:rsidRPr="00892DE3">
              <w:br/>
            </w:r>
            <w:r w:rsidRPr="00892DE3">
              <w:t>fair value</w:t>
            </w:r>
          </w:p>
        </w:tc>
        <w:tc>
          <w:tcPr>
            <w:tcW w:w="1441" w:type="dxa"/>
            <w:gridSpan w:val="2"/>
            <w:noWrap/>
          </w:tcPr>
          <w:p w:rsidR="00B60291" w:rsidRPr="00892DE3" w:rsidRDefault="00B60291" w:rsidP="00B60291">
            <w:pPr>
              <w:jc w:val="center"/>
              <w:cnfStyle w:val="100000000000" w:firstRow="1" w:lastRow="0" w:firstColumn="0" w:lastColumn="0" w:oddVBand="0" w:evenVBand="0" w:oddHBand="0" w:evenHBand="0" w:firstRowFirstColumn="0" w:firstRowLastColumn="0" w:lastRowFirstColumn="0" w:lastRowLastColumn="0"/>
            </w:pPr>
            <w:r w:rsidRPr="00892DE3">
              <w:t xml:space="preserve">Plant, equipment and vehicles </w:t>
            </w:r>
            <w:r w:rsidR="006A209D" w:rsidRPr="00892DE3">
              <w:br/>
            </w:r>
            <w:r w:rsidRPr="00892DE3">
              <w:t>at fair value</w:t>
            </w:r>
          </w:p>
        </w:tc>
        <w:tc>
          <w:tcPr>
            <w:tcW w:w="1368" w:type="dxa"/>
            <w:gridSpan w:val="2"/>
          </w:tcPr>
          <w:p w:rsidR="00B60291" w:rsidRPr="00892DE3" w:rsidRDefault="00B60291" w:rsidP="00B60291">
            <w:pPr>
              <w:jc w:val="center"/>
              <w:cnfStyle w:val="100000000000" w:firstRow="1" w:lastRow="0" w:firstColumn="0" w:lastColumn="0" w:oddVBand="0" w:evenVBand="0" w:oddHBand="0" w:evenHBand="0" w:firstRowFirstColumn="0" w:firstRowLastColumn="0" w:lastRowFirstColumn="0" w:lastRowLastColumn="0"/>
            </w:pPr>
            <w:r w:rsidRPr="00892DE3">
              <w:t xml:space="preserve">Assets under construction </w:t>
            </w:r>
            <w:r w:rsidR="006A209D" w:rsidRPr="00892DE3">
              <w:br/>
            </w:r>
            <w:r w:rsidRPr="00892DE3">
              <w:t>at cost</w:t>
            </w:r>
          </w:p>
        </w:tc>
        <w:tc>
          <w:tcPr>
            <w:tcW w:w="1372" w:type="dxa"/>
            <w:gridSpan w:val="2"/>
          </w:tcPr>
          <w:p w:rsidR="00B60291" w:rsidRPr="00892DE3" w:rsidRDefault="00B60291" w:rsidP="006A209D">
            <w:pPr>
              <w:jc w:val="center"/>
              <w:cnfStyle w:val="100000000000" w:firstRow="1" w:lastRow="0" w:firstColumn="0" w:lastColumn="0" w:oddVBand="0" w:evenVBand="0" w:oddHBand="0" w:evenHBand="0" w:firstRowFirstColumn="0" w:firstRowLastColumn="0" w:lastRowFirstColumn="0" w:lastRowLastColumn="0"/>
            </w:pPr>
            <w:r w:rsidRPr="00892DE3">
              <w:t xml:space="preserve">Infrastructure </w:t>
            </w:r>
            <w:r w:rsidR="006A209D" w:rsidRPr="00892DE3">
              <w:br/>
            </w:r>
            <w:r w:rsidRPr="00892DE3">
              <w:t>at fair</w:t>
            </w:r>
            <w:r w:rsidR="006A209D" w:rsidRPr="00892DE3">
              <w:t xml:space="preserve"> </w:t>
            </w:r>
            <w:r w:rsidRPr="00892DE3">
              <w:t>value</w:t>
            </w:r>
          </w:p>
        </w:tc>
        <w:tc>
          <w:tcPr>
            <w:tcW w:w="1441" w:type="dxa"/>
            <w:gridSpan w:val="2"/>
          </w:tcPr>
          <w:p w:rsidR="00B60291" w:rsidRPr="00892DE3" w:rsidRDefault="00B60291" w:rsidP="00B60291">
            <w:pPr>
              <w:jc w:val="center"/>
              <w:cnfStyle w:val="100000000000" w:firstRow="1" w:lastRow="0" w:firstColumn="0" w:lastColumn="0" w:oddVBand="0" w:evenVBand="0" w:oddHBand="0" w:evenHBand="0" w:firstRowFirstColumn="0" w:firstRowLastColumn="0" w:lastRowFirstColumn="0" w:lastRowLastColumn="0"/>
            </w:pPr>
            <w:r w:rsidRPr="00892DE3">
              <w:t xml:space="preserve">Road, infrastructure </w:t>
            </w:r>
            <w:r w:rsidR="006A209D" w:rsidRPr="00892DE3">
              <w:br/>
            </w:r>
            <w:r w:rsidRPr="00892DE3">
              <w:t xml:space="preserve">and earthworks </w:t>
            </w:r>
            <w:r w:rsidR="006A209D" w:rsidRPr="00892DE3">
              <w:br/>
            </w:r>
            <w:r w:rsidRPr="00892DE3">
              <w:t>at fair value</w:t>
            </w:r>
          </w:p>
        </w:tc>
        <w:tc>
          <w:tcPr>
            <w:tcW w:w="1230" w:type="dxa"/>
            <w:gridSpan w:val="2"/>
          </w:tcPr>
          <w:p w:rsidR="00B60291" w:rsidRPr="00892DE3" w:rsidRDefault="006A209D" w:rsidP="00B60291">
            <w:pPr>
              <w:jc w:val="center"/>
              <w:cnfStyle w:val="100000000000" w:firstRow="1" w:lastRow="0" w:firstColumn="0" w:lastColumn="0" w:oddVBand="0" w:evenVBand="0" w:oddHBand="0" w:evenHBand="0" w:firstRowFirstColumn="0" w:firstRowLastColumn="0" w:lastRowFirstColumn="0" w:lastRowLastColumn="0"/>
            </w:pPr>
            <w:r w:rsidRPr="00892DE3">
              <w:t xml:space="preserve">Cultural assets at fair </w:t>
            </w:r>
            <w:r w:rsidR="00B60291" w:rsidRPr="00892DE3">
              <w:t>value</w:t>
            </w:r>
          </w:p>
        </w:tc>
        <w:tc>
          <w:tcPr>
            <w:tcW w:w="1442" w:type="dxa"/>
            <w:gridSpan w:val="2"/>
          </w:tcPr>
          <w:p w:rsidR="00B60291" w:rsidRPr="00892DE3" w:rsidRDefault="00B60291" w:rsidP="00B60291">
            <w:pPr>
              <w:jc w:val="center"/>
              <w:cnfStyle w:val="100000000000" w:firstRow="1" w:lastRow="0" w:firstColumn="0" w:lastColumn="0" w:oddVBand="0" w:evenVBand="0" w:oddHBand="0" w:evenHBand="0" w:firstRowFirstColumn="0" w:firstRowLastColumn="0" w:lastRowFirstColumn="0" w:lastRowLastColumn="0"/>
            </w:pPr>
            <w:r w:rsidRPr="00892DE3">
              <w:t>Total</w:t>
            </w:r>
          </w:p>
        </w:tc>
      </w:tr>
      <w:tr w:rsidR="00D3365F" w:rsidRPr="00892DE3" w:rsidTr="00D677A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27" w:type="dxa"/>
            <w:tcBorders>
              <w:bottom w:val="nil"/>
            </w:tcBorders>
            <w:shd w:val="clear" w:color="auto" w:fill="auto"/>
          </w:tcPr>
          <w:p w:rsidR="00B60291" w:rsidRPr="00892DE3" w:rsidRDefault="00B60291" w:rsidP="00B60291"/>
        </w:tc>
        <w:tc>
          <w:tcPr>
            <w:tcW w:w="2162" w:type="dxa"/>
            <w:hideMark/>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695"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2017</w:t>
            </w:r>
          </w:p>
        </w:tc>
        <w:tc>
          <w:tcPr>
            <w:tcW w:w="721"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2016</w:t>
            </w:r>
          </w:p>
        </w:tc>
        <w:tc>
          <w:tcPr>
            <w:tcW w:w="722"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2017</w:t>
            </w:r>
          </w:p>
        </w:tc>
        <w:tc>
          <w:tcPr>
            <w:tcW w:w="721"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2016</w:t>
            </w:r>
          </w:p>
        </w:tc>
        <w:tc>
          <w:tcPr>
            <w:tcW w:w="721" w:type="dxa"/>
            <w:noWrap/>
            <w:hideMark/>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2017</w:t>
            </w:r>
          </w:p>
        </w:tc>
        <w:tc>
          <w:tcPr>
            <w:tcW w:w="720" w:type="dxa"/>
            <w:noWrap/>
            <w:hideMark/>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2016</w:t>
            </w:r>
          </w:p>
        </w:tc>
        <w:tc>
          <w:tcPr>
            <w:tcW w:w="721"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2017</w:t>
            </w:r>
          </w:p>
        </w:tc>
        <w:tc>
          <w:tcPr>
            <w:tcW w:w="647"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2016</w:t>
            </w:r>
          </w:p>
        </w:tc>
        <w:tc>
          <w:tcPr>
            <w:tcW w:w="651"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2017</w:t>
            </w:r>
          </w:p>
        </w:tc>
        <w:tc>
          <w:tcPr>
            <w:tcW w:w="721"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2016</w:t>
            </w:r>
          </w:p>
        </w:tc>
        <w:tc>
          <w:tcPr>
            <w:tcW w:w="720"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2017</w:t>
            </w:r>
          </w:p>
        </w:tc>
        <w:tc>
          <w:tcPr>
            <w:tcW w:w="721"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2016</w:t>
            </w:r>
          </w:p>
        </w:tc>
        <w:tc>
          <w:tcPr>
            <w:tcW w:w="653"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2017</w:t>
            </w:r>
          </w:p>
        </w:tc>
        <w:tc>
          <w:tcPr>
            <w:tcW w:w="577"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2016</w:t>
            </w:r>
          </w:p>
        </w:tc>
        <w:tc>
          <w:tcPr>
            <w:tcW w:w="721"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2017</w:t>
            </w:r>
          </w:p>
        </w:tc>
        <w:tc>
          <w:tcPr>
            <w:tcW w:w="721" w:type="dxa"/>
          </w:tcPr>
          <w:p w:rsidR="00B60291" w:rsidRPr="00892DE3" w:rsidRDefault="00B60291" w:rsidP="00B60291">
            <w:pPr>
              <w:cnfStyle w:val="100000000000" w:firstRow="1" w:lastRow="0" w:firstColumn="0" w:lastColumn="0" w:oddVBand="0" w:evenVBand="0" w:oddHBand="0" w:evenHBand="0" w:firstRowFirstColumn="0" w:firstRowLastColumn="0" w:lastRowFirstColumn="0" w:lastRowLastColumn="0"/>
            </w:pPr>
            <w:r w:rsidRPr="00892DE3">
              <w:t>2016</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AASB116.73(d)</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Opening balance</w:t>
            </w:r>
          </w:p>
        </w:tc>
        <w:tc>
          <w:tcPr>
            <w:tcW w:w="695"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3 521</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3 120</w:t>
            </w:r>
          </w:p>
        </w:tc>
        <w:tc>
          <w:tcPr>
            <w:tcW w:w="722"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19 230</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17 782</w:t>
            </w:r>
          </w:p>
        </w:tc>
        <w:tc>
          <w:tcPr>
            <w:tcW w:w="721" w:type="dxa"/>
            <w:shd w:val="clear" w:color="auto" w:fill="EBEBEB" w:themeFill="background2"/>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43 109</w:t>
            </w:r>
          </w:p>
        </w:tc>
        <w:tc>
          <w:tcPr>
            <w:tcW w:w="720" w:type="dxa"/>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57 761</w:t>
            </w:r>
          </w:p>
        </w:tc>
        <w:tc>
          <w:tcPr>
            <w:tcW w:w="721" w:type="dxa"/>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1 023</w:t>
            </w:r>
          </w:p>
        </w:tc>
        <w:tc>
          <w:tcPr>
            <w:tcW w:w="647"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489</w:t>
            </w:r>
          </w:p>
        </w:tc>
        <w:tc>
          <w:tcPr>
            <w:tcW w:w="65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4 931</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3 364</w:t>
            </w:r>
          </w:p>
        </w:tc>
        <w:tc>
          <w:tcPr>
            <w:tcW w:w="720"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4 993</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2 499</w:t>
            </w:r>
          </w:p>
        </w:tc>
        <w:tc>
          <w:tcPr>
            <w:tcW w:w="653"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76 807</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85 015</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AASB116.73(e)(ix)</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Fair value of assets received free of charge </w:t>
            </w:r>
            <w:r w:rsidR="006A209D" w:rsidRPr="00892DE3">
              <w:br/>
            </w:r>
            <w:r w:rsidRPr="00892DE3">
              <w:t>or for nominal considerations</w:t>
            </w:r>
          </w:p>
        </w:tc>
        <w:tc>
          <w:tcPr>
            <w:tcW w:w="695"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348</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525</w:t>
            </w:r>
          </w:p>
        </w:tc>
        <w:tc>
          <w:tcPr>
            <w:tcW w:w="722"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325</w:t>
            </w:r>
          </w:p>
        </w:tc>
        <w:tc>
          <w:tcPr>
            <w:tcW w:w="721" w:type="dxa"/>
            <w:shd w:val="clear" w:color="auto" w:fill="EBEBEB" w:themeFill="background2"/>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33</w:t>
            </w:r>
          </w:p>
        </w:tc>
        <w:tc>
          <w:tcPr>
            <w:tcW w:w="720" w:type="dxa"/>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16</w:t>
            </w:r>
          </w:p>
        </w:tc>
        <w:tc>
          <w:tcPr>
            <w:tcW w:w="72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109</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490</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866</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AAASB116.73(e)(ix)</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Fair value of assets provided free of charge </w:t>
            </w:r>
            <w:r w:rsidR="006A209D" w:rsidRPr="00892DE3">
              <w:br/>
            </w:r>
            <w:r w:rsidRPr="00892DE3">
              <w:t>or for nominal considerations</w:t>
            </w:r>
          </w:p>
        </w:tc>
        <w:tc>
          <w:tcPr>
            <w:tcW w:w="695"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(142)</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(123)</w:t>
            </w:r>
          </w:p>
        </w:tc>
        <w:tc>
          <w:tcPr>
            <w:tcW w:w="722"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(110)</w:t>
            </w:r>
          </w:p>
        </w:tc>
        <w:tc>
          <w:tcPr>
            <w:tcW w:w="720" w:type="dxa"/>
            <w:noWrap/>
          </w:tcPr>
          <w:p w:rsidR="00B60291" w:rsidRPr="00892DE3" w:rsidRDefault="003432FE" w:rsidP="00AF7EFD">
            <w:pPr>
              <w:cnfStyle w:val="000000000000" w:firstRow="0" w:lastRow="0" w:firstColumn="0" w:lastColumn="0" w:oddVBand="0" w:evenVBand="0" w:oddHBand="0" w:evenHBand="0" w:firstRowFirstColumn="0" w:firstRowLastColumn="0" w:lastRowFirstColumn="0" w:lastRowLastColumn="0"/>
            </w:pPr>
            <w:r w:rsidRPr="00892DE3" w:rsidDel="003432FE">
              <w:t xml:space="preserve"> </w:t>
            </w:r>
            <w:r w:rsidRPr="00892DE3">
              <w:t>(15)</w:t>
            </w:r>
          </w:p>
        </w:tc>
        <w:tc>
          <w:tcPr>
            <w:tcW w:w="72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(154)</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(406)</w:t>
            </w:r>
          </w:p>
        </w:tc>
        <w:tc>
          <w:tcPr>
            <w:tcW w:w="721" w:type="dxa"/>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(138)</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AASB116.73(e)(i)</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Additions</w:t>
            </w:r>
          </w:p>
        </w:tc>
        <w:tc>
          <w:tcPr>
            <w:tcW w:w="695" w:type="dxa"/>
            <w:shd w:val="clear" w:color="auto" w:fill="EBEBEB" w:themeFill="background2"/>
          </w:tcPr>
          <w:p w:rsidR="00B60291" w:rsidRPr="00892DE3" w:rsidRDefault="003432FE" w:rsidP="003432FE">
            <w:pPr>
              <w:cnfStyle w:val="000000000000" w:firstRow="0" w:lastRow="0" w:firstColumn="0" w:lastColumn="0" w:oddVBand="0" w:evenVBand="0" w:oddHBand="0" w:evenHBand="0" w:firstRowFirstColumn="0" w:firstRowLastColumn="0" w:lastRowFirstColumn="0" w:lastRowLastColumn="0"/>
            </w:pPr>
            <w:r w:rsidRPr="00892DE3">
              <w:t>1 756</w:t>
            </w:r>
          </w:p>
        </w:tc>
        <w:tc>
          <w:tcPr>
            <w:tcW w:w="721" w:type="dxa"/>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76</w:t>
            </w:r>
            <w:r w:rsidR="00AD6FE2" w:rsidRPr="00892DE3">
              <w:t>7</w:t>
            </w:r>
          </w:p>
        </w:tc>
        <w:tc>
          <w:tcPr>
            <w:tcW w:w="722" w:type="dxa"/>
            <w:shd w:val="clear" w:color="auto" w:fill="EBEBEB" w:themeFill="background2"/>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1 292</w:t>
            </w:r>
          </w:p>
        </w:tc>
        <w:tc>
          <w:tcPr>
            <w:tcW w:w="721" w:type="dxa"/>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1 827</w:t>
            </w:r>
          </w:p>
        </w:tc>
        <w:tc>
          <w:tcPr>
            <w:tcW w:w="721" w:type="dxa"/>
            <w:shd w:val="clear" w:color="auto" w:fill="EBEBEB" w:themeFill="background2"/>
            <w:noWrap/>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4 798</w:t>
            </w:r>
          </w:p>
        </w:tc>
        <w:tc>
          <w:tcPr>
            <w:tcW w:w="720" w:type="dxa"/>
            <w:noWrap/>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1 081</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153</w:t>
            </w:r>
          </w:p>
        </w:tc>
        <w:tc>
          <w:tcPr>
            <w:tcW w:w="647" w:type="dxa"/>
          </w:tcPr>
          <w:p w:rsidR="00B60291" w:rsidRPr="00892DE3" w:rsidRDefault="003432FE" w:rsidP="003432FE">
            <w:pPr>
              <w:cnfStyle w:val="000000000000" w:firstRow="0" w:lastRow="0" w:firstColumn="0" w:lastColumn="0" w:oddVBand="0" w:evenVBand="0" w:oddHBand="0" w:evenHBand="0" w:firstRowFirstColumn="0" w:firstRowLastColumn="0" w:lastRowFirstColumn="0" w:lastRowLastColumn="0"/>
            </w:pPr>
            <w:r w:rsidRPr="00892DE3">
              <w:t>1 781</w:t>
            </w:r>
          </w:p>
        </w:tc>
        <w:tc>
          <w:tcPr>
            <w:tcW w:w="651" w:type="dxa"/>
            <w:shd w:val="clear" w:color="auto" w:fill="EBEBEB" w:themeFill="background2"/>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1 898</w:t>
            </w:r>
          </w:p>
        </w:tc>
        <w:tc>
          <w:tcPr>
            <w:tcW w:w="721" w:type="dxa"/>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1 838</w:t>
            </w:r>
          </w:p>
        </w:tc>
        <w:tc>
          <w:tcPr>
            <w:tcW w:w="720" w:type="dxa"/>
            <w:shd w:val="clear" w:color="auto" w:fill="EBEBEB" w:themeFill="background2"/>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1 872</w:t>
            </w:r>
          </w:p>
        </w:tc>
        <w:tc>
          <w:tcPr>
            <w:tcW w:w="721" w:type="dxa"/>
          </w:tcPr>
          <w:p w:rsidR="00B60291" w:rsidRPr="00892DE3" w:rsidRDefault="00AD6FE2" w:rsidP="003432FE">
            <w:pPr>
              <w:cnfStyle w:val="000000000000" w:firstRow="0" w:lastRow="0" w:firstColumn="0" w:lastColumn="0" w:oddVBand="0" w:evenVBand="0" w:oddHBand="0" w:evenHBand="0" w:firstRowFirstColumn="0" w:firstRowLastColumn="0" w:lastRowFirstColumn="0" w:lastRowLastColumn="0"/>
            </w:pPr>
            <w:r w:rsidRPr="00892DE3">
              <w:t>3 164</w:t>
            </w:r>
          </w:p>
        </w:tc>
        <w:tc>
          <w:tcPr>
            <w:tcW w:w="653"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675</w:t>
            </w:r>
          </w:p>
        </w:tc>
        <w:tc>
          <w:tcPr>
            <w:tcW w:w="577"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540</w:t>
            </w:r>
          </w:p>
        </w:tc>
        <w:tc>
          <w:tcPr>
            <w:tcW w:w="721" w:type="dxa"/>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(12 445)</w:t>
            </w:r>
          </w:p>
        </w:tc>
        <w:tc>
          <w:tcPr>
            <w:tcW w:w="721" w:type="dxa"/>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(10 998)</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AASB116.73(e)(ii)</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Disposals</w:t>
            </w:r>
          </w:p>
        </w:tc>
        <w:tc>
          <w:tcPr>
            <w:tcW w:w="695"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(863)</w:t>
            </w:r>
          </w:p>
        </w:tc>
        <w:tc>
          <w:tcPr>
            <w:tcW w:w="722"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(2 866)</w:t>
            </w:r>
          </w:p>
        </w:tc>
        <w:tc>
          <w:tcPr>
            <w:tcW w:w="721" w:type="dxa"/>
            <w:shd w:val="clear" w:color="auto" w:fill="EBEBEB" w:themeFill="background2"/>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(442)</w:t>
            </w:r>
          </w:p>
        </w:tc>
        <w:tc>
          <w:tcPr>
            <w:tcW w:w="720" w:type="dxa"/>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(949)</w:t>
            </w:r>
          </w:p>
        </w:tc>
        <w:tc>
          <w:tcPr>
            <w:tcW w:w="72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(378)</w:t>
            </w:r>
          </w:p>
        </w:tc>
        <w:tc>
          <w:tcPr>
            <w:tcW w:w="720"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(95)</w:t>
            </w:r>
          </w:p>
        </w:tc>
        <w:tc>
          <w:tcPr>
            <w:tcW w:w="653"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(442)</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(5 151)</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AASB116.73(e)(ix)</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Transfer in/out of assets under construction</w:t>
            </w:r>
          </w:p>
        </w:tc>
        <w:tc>
          <w:tcPr>
            <w:tcW w:w="695"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900</w:t>
            </w:r>
          </w:p>
        </w:tc>
        <w:tc>
          <w:tcPr>
            <w:tcW w:w="721" w:type="dxa"/>
            <w:shd w:val="clear" w:color="auto" w:fill="EBEBEB" w:themeFill="background2"/>
            <w:noWrap/>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noWrap/>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(107)</w:t>
            </w:r>
          </w:p>
        </w:tc>
        <w:tc>
          <w:tcPr>
            <w:tcW w:w="647"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(1 247)</w:t>
            </w:r>
          </w:p>
        </w:tc>
        <w:tc>
          <w:tcPr>
            <w:tcW w:w="65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107</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347</w:t>
            </w:r>
          </w:p>
        </w:tc>
        <w:tc>
          <w:tcPr>
            <w:tcW w:w="720"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AASB116.73(e)(iv)</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Revaluation of PPE</w:t>
            </w:r>
          </w:p>
        </w:tc>
        <w:tc>
          <w:tcPr>
            <w:tcW w:w="695" w:type="dxa"/>
            <w:shd w:val="clear" w:color="auto" w:fill="EBEBEB" w:themeFill="background2"/>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942</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1 564</w:t>
            </w:r>
          </w:p>
        </w:tc>
        <w:tc>
          <w:tcPr>
            <w:tcW w:w="722" w:type="dxa"/>
            <w:shd w:val="clear" w:color="auto" w:fill="EBEBEB" w:themeFill="background2"/>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6 125</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1 425</w:t>
            </w:r>
          </w:p>
        </w:tc>
        <w:tc>
          <w:tcPr>
            <w:tcW w:w="721" w:type="dxa"/>
            <w:shd w:val="clear" w:color="auto" w:fill="EBEBEB" w:themeFill="background2"/>
            <w:noWrap/>
          </w:tcPr>
          <w:p w:rsidR="00B60291" w:rsidRPr="00892DE3" w:rsidRDefault="00D677A4" w:rsidP="003432FE">
            <w:pPr>
              <w:cnfStyle w:val="000000000000" w:firstRow="0" w:lastRow="0" w:firstColumn="0" w:lastColumn="0" w:oddVBand="0" w:evenVBand="0" w:oddHBand="0" w:evenHBand="0" w:firstRowFirstColumn="0" w:firstRowLastColumn="0" w:lastRowFirstColumn="0" w:lastRowLastColumn="0"/>
            </w:pPr>
            <w:r w:rsidRPr="00892DE3">
              <w:t>5 231</w:t>
            </w:r>
          </w:p>
        </w:tc>
        <w:tc>
          <w:tcPr>
            <w:tcW w:w="720" w:type="dxa"/>
            <w:noWrap/>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(4 576)</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(112)</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293</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(7 903)</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2 989</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AASB116.73(e)(v)</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Impairment of assets</w:t>
            </w:r>
          </w:p>
        </w:tc>
        <w:tc>
          <w:tcPr>
            <w:tcW w:w="695"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(1 515)</w:t>
            </w:r>
          </w:p>
        </w:tc>
        <w:tc>
          <w:tcPr>
            <w:tcW w:w="720" w:type="dxa"/>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(634)</w:t>
            </w:r>
          </w:p>
        </w:tc>
        <w:tc>
          <w:tcPr>
            <w:tcW w:w="72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(1 515)</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(634)</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AASB116.73(e)(ix)</w:t>
            </w:r>
          </w:p>
        </w:tc>
        <w:tc>
          <w:tcPr>
            <w:tcW w:w="2162" w:type="dxa"/>
          </w:tcPr>
          <w:p w:rsidR="00B60291" w:rsidRPr="00892DE3" w:rsidRDefault="003432FE" w:rsidP="003432FE">
            <w:pPr>
              <w:ind w:left="170" w:hanging="170"/>
              <w:jc w:val="left"/>
              <w:cnfStyle w:val="000000000000" w:firstRow="0" w:lastRow="0" w:firstColumn="0" w:lastColumn="0" w:oddVBand="0" w:evenVBand="0" w:oddHBand="0" w:evenHBand="0" w:firstRowFirstColumn="0" w:firstRowLastColumn="0" w:lastRowFirstColumn="0" w:lastRowLastColumn="0"/>
            </w:pPr>
            <w:r w:rsidRPr="00892DE3">
              <w:t>Transfer (to)</w:t>
            </w:r>
            <w:r w:rsidR="00B60291" w:rsidRPr="00892DE3">
              <w:t>/from investment property</w:t>
            </w:r>
          </w:p>
        </w:tc>
        <w:tc>
          <w:tcPr>
            <w:tcW w:w="695"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(1 063)</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1 494</w:t>
            </w:r>
          </w:p>
        </w:tc>
        <w:tc>
          <w:tcPr>
            <w:tcW w:w="721" w:type="dxa"/>
            <w:shd w:val="clear" w:color="auto" w:fill="EBEBEB" w:themeFill="background2"/>
            <w:noWrap/>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noWrap/>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(1 063)</w:t>
            </w:r>
          </w:p>
        </w:tc>
        <w:tc>
          <w:tcPr>
            <w:tcW w:w="721" w:type="dxa"/>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1 494</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AASB116.73(e)(iii)</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Purchased business combination</w:t>
            </w:r>
          </w:p>
        </w:tc>
        <w:tc>
          <w:tcPr>
            <w:tcW w:w="695"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125</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4 197</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15 946</w:t>
            </w:r>
          </w:p>
        </w:tc>
        <w:tc>
          <w:tcPr>
            <w:tcW w:w="720" w:type="dxa"/>
            <w:noWrap/>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124</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20 392</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AASB116.73(e)(iii)</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Machinery of government transfer in</w:t>
            </w:r>
          </w:p>
        </w:tc>
        <w:tc>
          <w:tcPr>
            <w:tcW w:w="695"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789</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3 857</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7 299</w:t>
            </w:r>
          </w:p>
        </w:tc>
        <w:tc>
          <w:tcPr>
            <w:tcW w:w="720" w:type="dxa"/>
            <w:noWrap/>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10</w:t>
            </w:r>
          </w:p>
        </w:tc>
        <w:tc>
          <w:tcPr>
            <w:tcW w:w="64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1 040</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568</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1 950</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15 513</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AASB116.73(e)(ii)</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Machinery of government transfer out</w:t>
            </w:r>
          </w:p>
        </w:tc>
        <w:tc>
          <w:tcPr>
            <w:tcW w:w="695"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(2 024)</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(9 399)</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noWrap/>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(13 702)</w:t>
            </w:r>
          </w:p>
        </w:tc>
        <w:tc>
          <w:tcPr>
            <w:tcW w:w="720" w:type="dxa"/>
            <w:noWrap/>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(343)</w:t>
            </w:r>
          </w:p>
        </w:tc>
        <w:tc>
          <w:tcPr>
            <w:tcW w:w="64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(1 100)</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(4 445)</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(31 013)</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AASB116.73(e)(vii)</w:t>
            </w:r>
          </w:p>
        </w:tc>
        <w:tc>
          <w:tcPr>
            <w:tcW w:w="2162" w:type="dxa"/>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Depreciation</w:t>
            </w:r>
          </w:p>
        </w:tc>
        <w:tc>
          <w:tcPr>
            <w:tcW w:w="695"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B60291" w:rsidRPr="00892DE3" w:rsidRDefault="003432FE" w:rsidP="003432FE">
            <w:pPr>
              <w:cnfStyle w:val="000000000000" w:firstRow="0" w:lastRow="0" w:firstColumn="0" w:lastColumn="0" w:oddVBand="0" w:evenVBand="0" w:oddHBand="0" w:evenHBand="0" w:firstRowFirstColumn="0" w:firstRowLastColumn="0" w:lastRowFirstColumn="0" w:lastRowLastColumn="0"/>
            </w:pPr>
            <w:r w:rsidRPr="00892DE3">
              <w:t>(577)</w:t>
            </w:r>
          </w:p>
        </w:tc>
        <w:tc>
          <w:tcPr>
            <w:tcW w:w="721" w:type="dxa"/>
          </w:tcPr>
          <w:p w:rsidR="00B60291" w:rsidRPr="00892DE3" w:rsidRDefault="00B60291" w:rsidP="003432FE">
            <w:pPr>
              <w:cnfStyle w:val="000000000000" w:firstRow="0" w:lastRow="0" w:firstColumn="0" w:lastColumn="0" w:oddVBand="0" w:evenVBand="0" w:oddHBand="0" w:evenHBand="0" w:firstRowFirstColumn="0" w:firstRowLastColumn="0" w:lastRowFirstColumn="0" w:lastRowLastColumn="0"/>
            </w:pPr>
            <w:r w:rsidRPr="00892DE3">
              <w:t>(</w:t>
            </w:r>
            <w:r w:rsidR="003432FE" w:rsidRPr="00892DE3">
              <w:t>606)</w:t>
            </w:r>
          </w:p>
        </w:tc>
        <w:tc>
          <w:tcPr>
            <w:tcW w:w="721" w:type="dxa"/>
            <w:shd w:val="clear" w:color="auto" w:fill="EBEBEB" w:themeFill="background2"/>
            <w:noWrap/>
          </w:tcPr>
          <w:p w:rsidR="00B60291" w:rsidRPr="00892DE3" w:rsidRDefault="003432FE" w:rsidP="003432FE">
            <w:pPr>
              <w:cnfStyle w:val="000000000000" w:firstRow="0" w:lastRow="0" w:firstColumn="0" w:lastColumn="0" w:oddVBand="0" w:evenVBand="0" w:oddHBand="0" w:evenHBand="0" w:firstRowFirstColumn="0" w:firstRowLastColumn="0" w:lastRowFirstColumn="0" w:lastRowLastColumn="0"/>
            </w:pPr>
            <w:r w:rsidRPr="00892DE3">
              <w:t>(</w:t>
            </w:r>
            <w:r w:rsidR="00D677A4" w:rsidRPr="00892DE3">
              <w:t>12 118</w:t>
            </w:r>
            <w:r w:rsidR="00B60291" w:rsidRPr="00892DE3">
              <w:t>)</w:t>
            </w:r>
          </w:p>
        </w:tc>
        <w:tc>
          <w:tcPr>
            <w:tcW w:w="720" w:type="dxa"/>
            <w:noWrap/>
          </w:tcPr>
          <w:p w:rsidR="00B60291" w:rsidRPr="00892DE3" w:rsidRDefault="003432FE" w:rsidP="003432FE">
            <w:pPr>
              <w:cnfStyle w:val="000000000000" w:firstRow="0" w:lastRow="0" w:firstColumn="0" w:lastColumn="0" w:oddVBand="0" w:evenVBand="0" w:oddHBand="0" w:evenHBand="0" w:firstRowFirstColumn="0" w:firstRowLastColumn="0" w:lastRowFirstColumn="0" w:lastRowLastColumn="0"/>
            </w:pPr>
            <w:r w:rsidRPr="00892DE3">
              <w:br/>
              <w:t>(</w:t>
            </w:r>
            <w:r w:rsidR="00D677A4" w:rsidRPr="00892DE3">
              <w:t>9 550</w:t>
            </w:r>
            <w:r w:rsidRPr="00892DE3">
              <w:t>)</w:t>
            </w:r>
          </w:p>
        </w:tc>
        <w:tc>
          <w:tcPr>
            <w:tcW w:w="721"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w:t>
            </w:r>
            <w:r w:rsidR="00D677A4" w:rsidRPr="00892DE3">
              <w:t>419</w:t>
            </w:r>
            <w:r w:rsidRPr="00892DE3">
              <w:t>)</w:t>
            </w:r>
          </w:p>
        </w:tc>
        <w:tc>
          <w:tcPr>
            <w:tcW w:w="721" w:type="dxa"/>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w:t>
            </w:r>
            <w:r w:rsidR="00D677A4" w:rsidRPr="00892DE3">
              <w:t>240</w:t>
            </w:r>
            <w:r w:rsidRPr="00892DE3">
              <w:t>)</w:t>
            </w:r>
          </w:p>
        </w:tc>
        <w:tc>
          <w:tcPr>
            <w:tcW w:w="720" w:type="dxa"/>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w:t>
            </w:r>
            <w:r w:rsidR="00AD6FE2" w:rsidRPr="00892DE3">
              <w:t>514</w:t>
            </w:r>
            <w:r w:rsidRPr="00892DE3">
              <w:t>)</w:t>
            </w:r>
          </w:p>
        </w:tc>
        <w:tc>
          <w:tcPr>
            <w:tcW w:w="721" w:type="dxa"/>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w:t>
            </w:r>
            <w:r w:rsidR="00D677A4" w:rsidRPr="00892DE3">
              <w:t>207</w:t>
            </w:r>
            <w:r w:rsidRPr="00892DE3">
              <w:t>)</w:t>
            </w:r>
          </w:p>
        </w:tc>
        <w:tc>
          <w:tcPr>
            <w:tcW w:w="653" w:type="dxa"/>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(13 628)</w:t>
            </w:r>
          </w:p>
        </w:tc>
        <w:tc>
          <w:tcPr>
            <w:tcW w:w="721" w:type="dxa"/>
          </w:tcPr>
          <w:p w:rsidR="00B60291" w:rsidRPr="00892DE3" w:rsidRDefault="00AF7EFD" w:rsidP="00D677A4">
            <w:pPr>
              <w:cnfStyle w:val="000000000000" w:firstRow="0" w:lastRow="0" w:firstColumn="0" w:lastColumn="0" w:oddVBand="0" w:evenVBand="0" w:oddHBand="0" w:evenHBand="0" w:firstRowFirstColumn="0" w:firstRowLastColumn="0" w:lastRowFirstColumn="0" w:lastRowLastColumn="0"/>
            </w:pPr>
            <w:r w:rsidRPr="00892DE3">
              <w:t>(10 603)</w:t>
            </w:r>
          </w:p>
        </w:tc>
      </w:tr>
      <w:tr w:rsidR="00D3365F" w:rsidRPr="00892DE3" w:rsidTr="00D677A4">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B60291" w:rsidRPr="00892DE3" w:rsidRDefault="00B60291" w:rsidP="00B60291">
            <w:r w:rsidRPr="00892DE3">
              <w:t>AASB116.73(e)(ii)</w:t>
            </w:r>
          </w:p>
        </w:tc>
        <w:tc>
          <w:tcPr>
            <w:tcW w:w="2162" w:type="dxa"/>
            <w:tcBorders>
              <w:bottom w:val="single" w:sz="6" w:space="0" w:color="auto"/>
            </w:tcBorders>
          </w:tcPr>
          <w:p w:rsidR="00B60291" w:rsidRPr="00892DE3" w:rsidRDefault="00B60291" w:rsidP="00B60291">
            <w:pPr>
              <w:ind w:left="170" w:hanging="170"/>
              <w:jc w:val="left"/>
              <w:cnfStyle w:val="000000000000" w:firstRow="0" w:lastRow="0" w:firstColumn="0" w:lastColumn="0" w:oddVBand="0" w:evenVBand="0" w:oddHBand="0" w:evenHBand="0" w:firstRowFirstColumn="0" w:firstRowLastColumn="0" w:lastRowFirstColumn="0" w:lastRowLastColumn="0"/>
            </w:pPr>
            <w:r w:rsidRPr="00892DE3">
              <w:t>Transfer to disposal group held for sale</w:t>
            </w:r>
          </w:p>
        </w:tc>
        <w:tc>
          <w:tcPr>
            <w:tcW w:w="695" w:type="dxa"/>
            <w:tcBorders>
              <w:bottom w:val="single" w:sz="6" w:space="0" w:color="auto"/>
            </w:tcBorders>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(753)</w:t>
            </w:r>
          </w:p>
        </w:tc>
        <w:tc>
          <w:tcPr>
            <w:tcW w:w="721" w:type="dxa"/>
            <w:tcBorders>
              <w:bottom w:val="single" w:sz="6" w:space="0" w:color="auto"/>
            </w:tcBorders>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(1 469)</w:t>
            </w:r>
          </w:p>
        </w:tc>
        <w:tc>
          <w:tcPr>
            <w:tcW w:w="722" w:type="dxa"/>
            <w:tcBorders>
              <w:bottom w:val="single" w:sz="6" w:space="0" w:color="auto"/>
            </w:tcBorders>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(473)</w:t>
            </w:r>
          </w:p>
        </w:tc>
        <w:tc>
          <w:tcPr>
            <w:tcW w:w="721" w:type="dxa"/>
            <w:tcBorders>
              <w:bottom w:val="single" w:sz="6" w:space="0" w:color="auto"/>
            </w:tcBorders>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1 051)</w:t>
            </w:r>
          </w:p>
        </w:tc>
        <w:tc>
          <w:tcPr>
            <w:tcW w:w="721" w:type="dxa"/>
            <w:tcBorders>
              <w:bottom w:val="single" w:sz="6" w:space="0" w:color="auto"/>
            </w:tcBorders>
            <w:shd w:val="clear" w:color="auto" w:fill="EBEBEB" w:themeFill="background2"/>
            <w:noWrap/>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(653)</w:t>
            </w:r>
          </w:p>
        </w:tc>
        <w:tc>
          <w:tcPr>
            <w:tcW w:w="720" w:type="dxa"/>
            <w:tcBorders>
              <w:bottom w:val="single" w:sz="6" w:space="0" w:color="auto"/>
            </w:tcBorders>
            <w:noWrap/>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(4 601)</w:t>
            </w:r>
          </w:p>
        </w:tc>
        <w:tc>
          <w:tcPr>
            <w:tcW w:w="721" w:type="dxa"/>
            <w:tcBorders>
              <w:bottom w:val="single" w:sz="6" w:space="0" w:color="auto"/>
            </w:tcBorders>
            <w:shd w:val="clear" w:color="auto" w:fill="EBEBEB" w:themeFill="background2"/>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(24)</w:t>
            </w:r>
          </w:p>
        </w:tc>
        <w:tc>
          <w:tcPr>
            <w:tcW w:w="647" w:type="dxa"/>
            <w:tcBorders>
              <w:bottom w:val="single" w:sz="6" w:space="0" w:color="auto"/>
            </w:tcBorders>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tcBorders>
              <w:bottom w:val="single" w:sz="6" w:space="0" w:color="auto"/>
            </w:tcBorders>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(321)</w:t>
            </w:r>
          </w:p>
        </w:tc>
        <w:tc>
          <w:tcPr>
            <w:tcW w:w="721" w:type="dxa"/>
            <w:tcBorders>
              <w:bottom w:val="single" w:sz="6" w:space="0" w:color="auto"/>
            </w:tcBorders>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tcBorders>
              <w:bottom w:val="single" w:sz="6" w:space="0" w:color="auto"/>
            </w:tcBorders>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(215)</w:t>
            </w:r>
          </w:p>
        </w:tc>
        <w:tc>
          <w:tcPr>
            <w:tcW w:w="721" w:type="dxa"/>
            <w:tcBorders>
              <w:bottom w:val="single" w:sz="6" w:space="0" w:color="auto"/>
            </w:tcBorders>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(368)</w:t>
            </w:r>
          </w:p>
        </w:tc>
        <w:tc>
          <w:tcPr>
            <w:tcW w:w="653" w:type="dxa"/>
            <w:tcBorders>
              <w:bottom w:val="single" w:sz="6" w:space="0" w:color="auto"/>
            </w:tcBorders>
            <w:shd w:val="clear" w:color="auto" w:fill="EBEBEB" w:themeFill="background2"/>
          </w:tcPr>
          <w:p w:rsidR="00B60291" w:rsidRPr="00892DE3" w:rsidRDefault="006A209D" w:rsidP="00B60291">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Borders>
              <w:bottom w:val="single" w:sz="6" w:space="0" w:color="auto"/>
            </w:tcBorders>
          </w:tcPr>
          <w:p w:rsidR="00B60291" w:rsidRPr="00892DE3" w:rsidRDefault="00B60291" w:rsidP="00B60291">
            <w:pPr>
              <w:cnfStyle w:val="000000000000" w:firstRow="0" w:lastRow="0" w:firstColumn="0" w:lastColumn="0" w:oddVBand="0" w:evenVBand="0" w:oddHBand="0" w:evenHBand="0" w:firstRowFirstColumn="0" w:firstRowLastColumn="0" w:lastRowFirstColumn="0" w:lastRowLastColumn="0"/>
            </w:pPr>
            <w:r w:rsidRPr="00892DE3">
              <w:t>(540)</w:t>
            </w:r>
          </w:p>
        </w:tc>
        <w:tc>
          <w:tcPr>
            <w:tcW w:w="721" w:type="dxa"/>
            <w:tcBorders>
              <w:bottom w:val="single" w:sz="6" w:space="0" w:color="auto"/>
            </w:tcBorders>
            <w:shd w:val="clear" w:color="auto" w:fill="EBEBEB" w:themeFill="background2"/>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(2 439)</w:t>
            </w:r>
          </w:p>
        </w:tc>
        <w:tc>
          <w:tcPr>
            <w:tcW w:w="721" w:type="dxa"/>
            <w:tcBorders>
              <w:bottom w:val="single" w:sz="6" w:space="0" w:color="auto"/>
            </w:tcBorders>
          </w:tcPr>
          <w:p w:rsidR="00B60291" w:rsidRPr="00892DE3" w:rsidRDefault="00AF7EFD" w:rsidP="00AF7EFD">
            <w:pPr>
              <w:cnfStyle w:val="000000000000" w:firstRow="0" w:lastRow="0" w:firstColumn="0" w:lastColumn="0" w:oddVBand="0" w:evenVBand="0" w:oddHBand="0" w:evenHBand="0" w:firstRowFirstColumn="0" w:firstRowLastColumn="0" w:lastRowFirstColumn="0" w:lastRowLastColumn="0"/>
            </w:pPr>
            <w:r w:rsidRPr="00892DE3">
              <w:t>(8 029)</w:t>
            </w:r>
          </w:p>
        </w:tc>
      </w:tr>
      <w:tr w:rsidR="00D3365F" w:rsidRPr="00892DE3" w:rsidTr="00D677A4">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1427" w:type="dxa"/>
            <w:shd w:val="clear" w:color="auto" w:fill="auto"/>
          </w:tcPr>
          <w:p w:rsidR="00B60291" w:rsidRPr="00892DE3" w:rsidRDefault="00B60291" w:rsidP="00B60291">
            <w:r w:rsidRPr="00892DE3">
              <w:t>AASB116.73(d)</w:t>
            </w:r>
          </w:p>
        </w:tc>
        <w:tc>
          <w:tcPr>
            <w:tcW w:w="2162" w:type="dxa"/>
            <w:tcBorders>
              <w:bottom w:val="single" w:sz="6" w:space="0" w:color="auto"/>
            </w:tcBorders>
            <w:hideMark/>
          </w:tcPr>
          <w:p w:rsidR="00B60291" w:rsidRPr="00892DE3" w:rsidRDefault="00B60291" w:rsidP="00B60291">
            <w:pPr>
              <w:jc w:val="left"/>
              <w:cnfStyle w:val="010000000000" w:firstRow="0" w:lastRow="1" w:firstColumn="0" w:lastColumn="0" w:oddVBand="0" w:evenVBand="0" w:oddHBand="0" w:evenHBand="0" w:firstRowFirstColumn="0" w:firstRowLastColumn="0" w:lastRowFirstColumn="0" w:lastRowLastColumn="0"/>
            </w:pPr>
            <w:r w:rsidRPr="00892DE3">
              <w:t>Closing balance</w:t>
            </w:r>
          </w:p>
        </w:tc>
        <w:tc>
          <w:tcPr>
            <w:tcW w:w="695" w:type="dxa"/>
            <w:tcBorders>
              <w:bottom w:val="single" w:sz="6" w:space="0" w:color="auto"/>
            </w:tcBorders>
            <w:shd w:val="clear" w:color="auto" w:fill="EBEBEB" w:themeFill="background2"/>
          </w:tcPr>
          <w:p w:rsidR="00B60291" w:rsidRPr="00892DE3" w:rsidRDefault="00AF7EFD" w:rsidP="00AF7EFD">
            <w:pPr>
              <w:cnfStyle w:val="010000000000" w:firstRow="0" w:lastRow="1" w:firstColumn="0" w:lastColumn="0" w:oddVBand="0" w:evenVBand="0" w:oddHBand="0" w:evenHBand="0" w:firstRowFirstColumn="0" w:firstRowLastColumn="0" w:lastRowFirstColumn="0" w:lastRowLastColumn="0"/>
            </w:pPr>
            <w:r w:rsidRPr="00892DE3">
              <w:t>4 562</w:t>
            </w:r>
          </w:p>
        </w:tc>
        <w:tc>
          <w:tcPr>
            <w:tcW w:w="721" w:type="dxa"/>
            <w:tcBorders>
              <w:bottom w:val="single" w:sz="6" w:space="0" w:color="auto"/>
            </w:tcBorders>
          </w:tcPr>
          <w:p w:rsidR="00B60291" w:rsidRPr="00892DE3" w:rsidRDefault="00AF7EFD" w:rsidP="00AF7EFD">
            <w:pPr>
              <w:cnfStyle w:val="010000000000" w:firstRow="0" w:lastRow="1" w:firstColumn="0" w:lastColumn="0" w:oddVBand="0" w:evenVBand="0" w:oddHBand="0" w:evenHBand="0" w:firstRowFirstColumn="0" w:firstRowLastColumn="0" w:lastRowFirstColumn="0" w:lastRowLastColumn="0"/>
            </w:pPr>
            <w:r w:rsidRPr="00892DE3">
              <w:t>3 521</w:t>
            </w:r>
          </w:p>
        </w:tc>
        <w:tc>
          <w:tcPr>
            <w:tcW w:w="722" w:type="dxa"/>
            <w:tcBorders>
              <w:bottom w:val="single" w:sz="6" w:space="0" w:color="auto"/>
            </w:tcBorders>
            <w:shd w:val="clear" w:color="auto" w:fill="EBEBEB" w:themeFill="background2"/>
          </w:tcPr>
          <w:p w:rsidR="00B60291" w:rsidRPr="00892DE3" w:rsidRDefault="00AF7EFD" w:rsidP="00AF7EFD">
            <w:pPr>
              <w:cnfStyle w:val="010000000000" w:firstRow="0" w:lastRow="1" w:firstColumn="0" w:lastColumn="0" w:oddVBand="0" w:evenVBand="0" w:oddHBand="0" w:evenHBand="0" w:firstRowFirstColumn="0" w:firstRowLastColumn="0" w:lastRowFirstColumn="0" w:lastRowLastColumn="0"/>
            </w:pPr>
            <w:r w:rsidRPr="00892DE3">
              <w:t>23 189</w:t>
            </w:r>
          </w:p>
        </w:tc>
        <w:tc>
          <w:tcPr>
            <w:tcW w:w="721" w:type="dxa"/>
            <w:tcBorders>
              <w:bottom w:val="single" w:sz="6" w:space="0" w:color="auto"/>
            </w:tcBorders>
          </w:tcPr>
          <w:p w:rsidR="00B60291" w:rsidRPr="00892DE3" w:rsidRDefault="00B60291" w:rsidP="00B60291">
            <w:pPr>
              <w:cnfStyle w:val="010000000000" w:firstRow="0" w:lastRow="1" w:firstColumn="0" w:lastColumn="0" w:oddVBand="0" w:evenVBand="0" w:oddHBand="0" w:evenHBand="0" w:firstRowFirstColumn="0" w:firstRowLastColumn="0" w:lastRowFirstColumn="0" w:lastRowLastColumn="0"/>
            </w:pPr>
            <w:r w:rsidRPr="00892DE3">
              <w:t>19 230</w:t>
            </w:r>
          </w:p>
        </w:tc>
        <w:tc>
          <w:tcPr>
            <w:tcW w:w="721" w:type="dxa"/>
            <w:tcBorders>
              <w:bottom w:val="single" w:sz="6" w:space="0" w:color="auto"/>
            </w:tcBorders>
            <w:shd w:val="clear" w:color="auto" w:fill="EBEBEB" w:themeFill="background2"/>
            <w:noWrap/>
          </w:tcPr>
          <w:p w:rsidR="00B60291" w:rsidRPr="00892DE3" w:rsidRDefault="00AF7EFD" w:rsidP="00AF7EFD">
            <w:pPr>
              <w:cnfStyle w:val="010000000000" w:firstRow="0" w:lastRow="1" w:firstColumn="0" w:lastColumn="0" w:oddVBand="0" w:evenVBand="0" w:oddHBand="0" w:evenHBand="0" w:firstRowFirstColumn="0" w:firstRowLastColumn="0" w:lastRowFirstColumn="0" w:lastRowLastColumn="0"/>
            </w:pPr>
            <w:r w:rsidRPr="00892DE3">
              <w:t>47 876</w:t>
            </w:r>
          </w:p>
        </w:tc>
        <w:tc>
          <w:tcPr>
            <w:tcW w:w="720" w:type="dxa"/>
            <w:tcBorders>
              <w:bottom w:val="single" w:sz="6" w:space="0" w:color="auto"/>
            </w:tcBorders>
            <w:noWrap/>
          </w:tcPr>
          <w:p w:rsidR="00B60291" w:rsidRPr="00892DE3" w:rsidRDefault="00B60291" w:rsidP="00B60291">
            <w:pPr>
              <w:cnfStyle w:val="010000000000" w:firstRow="0" w:lastRow="1" w:firstColumn="0" w:lastColumn="0" w:oddVBand="0" w:evenVBand="0" w:oddHBand="0" w:evenHBand="0" w:firstRowFirstColumn="0" w:firstRowLastColumn="0" w:lastRowFirstColumn="0" w:lastRowLastColumn="0"/>
            </w:pPr>
            <w:r w:rsidRPr="00892DE3">
              <w:t>43 108</w:t>
            </w:r>
          </w:p>
        </w:tc>
        <w:tc>
          <w:tcPr>
            <w:tcW w:w="721" w:type="dxa"/>
            <w:tcBorders>
              <w:bottom w:val="single" w:sz="6" w:space="0" w:color="auto"/>
            </w:tcBorders>
            <w:shd w:val="clear" w:color="auto" w:fill="EBEBEB" w:themeFill="background2"/>
          </w:tcPr>
          <w:p w:rsidR="00B60291" w:rsidRPr="00892DE3" w:rsidRDefault="00B60291" w:rsidP="00B60291">
            <w:pPr>
              <w:cnfStyle w:val="010000000000" w:firstRow="0" w:lastRow="1" w:firstColumn="0" w:lastColumn="0" w:oddVBand="0" w:evenVBand="0" w:oddHBand="0" w:evenHBand="0" w:firstRowFirstColumn="0" w:firstRowLastColumn="0" w:lastRowFirstColumn="0" w:lastRowLastColumn="0"/>
            </w:pPr>
            <w:r w:rsidRPr="00892DE3">
              <w:t>713</w:t>
            </w:r>
          </w:p>
        </w:tc>
        <w:tc>
          <w:tcPr>
            <w:tcW w:w="647" w:type="dxa"/>
            <w:tcBorders>
              <w:bottom w:val="single" w:sz="6" w:space="0" w:color="auto"/>
            </w:tcBorders>
          </w:tcPr>
          <w:p w:rsidR="00B60291" w:rsidRPr="00892DE3" w:rsidRDefault="00B60291" w:rsidP="00AF7EFD">
            <w:pPr>
              <w:cnfStyle w:val="010000000000" w:firstRow="0" w:lastRow="1" w:firstColumn="0" w:lastColumn="0" w:oddVBand="0" w:evenVBand="0" w:oddHBand="0" w:evenHBand="0" w:firstRowFirstColumn="0" w:firstRowLastColumn="0" w:lastRowFirstColumn="0" w:lastRowLastColumn="0"/>
            </w:pPr>
          </w:p>
        </w:tc>
        <w:tc>
          <w:tcPr>
            <w:tcW w:w="651" w:type="dxa"/>
            <w:tcBorders>
              <w:bottom w:val="single" w:sz="6" w:space="0" w:color="auto"/>
            </w:tcBorders>
            <w:shd w:val="clear" w:color="auto" w:fill="EBEBEB" w:themeFill="background2"/>
          </w:tcPr>
          <w:p w:rsidR="00B60291" w:rsidRPr="00892DE3" w:rsidRDefault="00B60291" w:rsidP="00B60291">
            <w:pPr>
              <w:cnfStyle w:val="010000000000" w:firstRow="0" w:lastRow="1" w:firstColumn="0" w:lastColumn="0" w:oddVBand="0" w:evenVBand="0" w:oddHBand="0" w:evenHBand="0" w:firstRowFirstColumn="0" w:firstRowLastColumn="0" w:lastRowFirstColumn="0" w:lastRowLastColumn="0"/>
            </w:pPr>
            <w:r w:rsidRPr="00892DE3">
              <w:t>1 686</w:t>
            </w:r>
          </w:p>
        </w:tc>
        <w:tc>
          <w:tcPr>
            <w:tcW w:w="721" w:type="dxa"/>
            <w:tcBorders>
              <w:bottom w:val="single" w:sz="6" w:space="0" w:color="auto"/>
            </w:tcBorders>
          </w:tcPr>
          <w:p w:rsidR="00B60291" w:rsidRPr="00892DE3" w:rsidRDefault="00B60291" w:rsidP="00B60291">
            <w:pPr>
              <w:cnfStyle w:val="010000000000" w:firstRow="0" w:lastRow="1" w:firstColumn="0" w:lastColumn="0" w:oddVBand="0" w:evenVBand="0" w:oddHBand="0" w:evenHBand="0" w:firstRowFirstColumn="0" w:firstRowLastColumn="0" w:lastRowFirstColumn="0" w:lastRowLastColumn="0"/>
            </w:pPr>
            <w:r w:rsidRPr="00892DE3">
              <w:t>4 932</w:t>
            </w:r>
          </w:p>
        </w:tc>
        <w:tc>
          <w:tcPr>
            <w:tcW w:w="720" w:type="dxa"/>
            <w:tcBorders>
              <w:bottom w:val="single" w:sz="6" w:space="0" w:color="auto"/>
            </w:tcBorders>
            <w:shd w:val="clear" w:color="auto" w:fill="EBEBEB" w:themeFill="background2"/>
          </w:tcPr>
          <w:p w:rsidR="00B60291" w:rsidRPr="00892DE3" w:rsidRDefault="00B60291" w:rsidP="00B60291">
            <w:pPr>
              <w:cnfStyle w:val="010000000000" w:firstRow="0" w:lastRow="1" w:firstColumn="0" w:lastColumn="0" w:oddVBand="0" w:evenVBand="0" w:oddHBand="0" w:evenHBand="0" w:firstRowFirstColumn="0" w:firstRowLastColumn="0" w:lastRowFirstColumn="0" w:lastRowLastColumn="0"/>
            </w:pPr>
            <w:r w:rsidRPr="00892DE3">
              <w:t>2 257</w:t>
            </w:r>
          </w:p>
        </w:tc>
        <w:tc>
          <w:tcPr>
            <w:tcW w:w="721" w:type="dxa"/>
            <w:tcBorders>
              <w:bottom w:val="single" w:sz="6" w:space="0" w:color="auto"/>
            </w:tcBorders>
          </w:tcPr>
          <w:p w:rsidR="00B60291" w:rsidRPr="00892DE3" w:rsidRDefault="00B60291" w:rsidP="00B60291">
            <w:pPr>
              <w:cnfStyle w:val="010000000000" w:firstRow="0" w:lastRow="1" w:firstColumn="0" w:lastColumn="0" w:oddVBand="0" w:evenVBand="0" w:oddHBand="0" w:evenHBand="0" w:firstRowFirstColumn="0" w:firstRowLastColumn="0" w:lastRowFirstColumn="0" w:lastRowLastColumn="0"/>
            </w:pPr>
            <w:r w:rsidRPr="00892DE3">
              <w:t>4 993</w:t>
            </w:r>
          </w:p>
        </w:tc>
        <w:tc>
          <w:tcPr>
            <w:tcW w:w="653" w:type="dxa"/>
            <w:tcBorders>
              <w:bottom w:val="single" w:sz="6" w:space="0" w:color="auto"/>
            </w:tcBorders>
            <w:shd w:val="clear" w:color="auto" w:fill="EBEBEB" w:themeFill="background2"/>
          </w:tcPr>
          <w:p w:rsidR="00B60291" w:rsidRPr="00892DE3" w:rsidRDefault="00B60291" w:rsidP="00B60291">
            <w:pPr>
              <w:cnfStyle w:val="010000000000" w:firstRow="0" w:lastRow="1" w:firstColumn="0" w:lastColumn="0" w:oddVBand="0" w:evenVBand="0" w:oddHBand="0" w:evenHBand="0" w:firstRowFirstColumn="0" w:firstRowLastColumn="0" w:lastRowFirstColumn="0" w:lastRowLastColumn="0"/>
            </w:pPr>
            <w:r w:rsidRPr="00892DE3">
              <w:t>2 764</w:t>
            </w:r>
          </w:p>
        </w:tc>
        <w:tc>
          <w:tcPr>
            <w:tcW w:w="577" w:type="dxa"/>
            <w:tcBorders>
              <w:bottom w:val="single" w:sz="6" w:space="0" w:color="auto"/>
            </w:tcBorders>
          </w:tcPr>
          <w:p w:rsidR="00B60291" w:rsidRPr="00892DE3" w:rsidRDefault="006A209D" w:rsidP="00B60291">
            <w:pPr>
              <w:cnfStyle w:val="010000000000" w:firstRow="0" w:lastRow="1" w:firstColumn="0" w:lastColumn="0" w:oddVBand="0" w:evenVBand="0" w:oddHBand="0" w:evenHBand="0" w:firstRowFirstColumn="0" w:firstRowLastColumn="0" w:lastRowFirstColumn="0" w:lastRowLastColumn="0"/>
            </w:pPr>
            <w:r w:rsidRPr="00892DE3">
              <w:t>..</w:t>
            </w:r>
          </w:p>
        </w:tc>
        <w:tc>
          <w:tcPr>
            <w:tcW w:w="721" w:type="dxa"/>
            <w:tcBorders>
              <w:bottom w:val="single" w:sz="6" w:space="0" w:color="auto"/>
            </w:tcBorders>
            <w:shd w:val="clear" w:color="auto" w:fill="EBEBEB" w:themeFill="background2"/>
          </w:tcPr>
          <w:p w:rsidR="00B60291" w:rsidRPr="00892DE3" w:rsidRDefault="00AF7EFD" w:rsidP="00AF7EFD">
            <w:pPr>
              <w:cnfStyle w:val="010000000000" w:firstRow="0" w:lastRow="1" w:firstColumn="0" w:lastColumn="0" w:oddVBand="0" w:evenVBand="0" w:oddHBand="0" w:evenHBand="0" w:firstRowFirstColumn="0" w:firstRowLastColumn="0" w:lastRowFirstColumn="0" w:lastRowLastColumn="0"/>
            </w:pPr>
            <w:r w:rsidRPr="00892DE3">
              <w:t>83 044</w:t>
            </w:r>
          </w:p>
        </w:tc>
        <w:tc>
          <w:tcPr>
            <w:tcW w:w="721" w:type="dxa"/>
            <w:tcBorders>
              <w:bottom w:val="single" w:sz="6" w:space="0" w:color="auto"/>
            </w:tcBorders>
          </w:tcPr>
          <w:p w:rsidR="00B60291" w:rsidRPr="00892DE3" w:rsidRDefault="00B60291" w:rsidP="00B60291">
            <w:pPr>
              <w:cnfStyle w:val="010000000000" w:firstRow="0" w:lastRow="1" w:firstColumn="0" w:lastColumn="0" w:oddVBand="0" w:evenVBand="0" w:oddHBand="0" w:evenHBand="0" w:firstRowFirstColumn="0" w:firstRowLastColumn="0" w:lastRowFirstColumn="0" w:lastRowLastColumn="0"/>
            </w:pPr>
            <w:r w:rsidRPr="00892DE3">
              <w:t>76 807</w:t>
            </w:r>
          </w:p>
        </w:tc>
      </w:tr>
    </w:tbl>
    <w:p w:rsidR="00B60291" w:rsidRPr="00892DE3" w:rsidRDefault="00B60291" w:rsidP="00B60291">
      <w:pPr>
        <w:pStyle w:val="Note"/>
      </w:pPr>
      <w:r w:rsidRPr="00892DE3">
        <w:t xml:space="preserve">Note: </w:t>
      </w:r>
    </w:p>
    <w:p w:rsidR="00B60291" w:rsidRPr="00892DE3" w:rsidRDefault="00B60291" w:rsidP="00217A5D">
      <w:pPr>
        <w:pStyle w:val="Source"/>
      </w:pPr>
      <w:r w:rsidRPr="00892DE3">
        <w:t>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2018.</w:t>
      </w:r>
    </w:p>
    <w:p w:rsidR="00B60291" w:rsidRPr="00892DE3" w:rsidRDefault="00B60291" w:rsidP="00B60291"/>
    <w:p w:rsidR="00B60291" w:rsidRPr="00892DE3" w:rsidRDefault="00B60291" w:rsidP="00B60291">
      <w:pPr>
        <w:sectPr w:rsidR="00B60291" w:rsidRPr="00892DE3" w:rsidSect="00B60291">
          <w:headerReference w:type="even" r:id="rId131"/>
          <w:headerReference w:type="default" r:id="rId132"/>
          <w:footerReference w:type="even" r:id="rId133"/>
          <w:footerReference w:type="default" r:id="rId134"/>
          <w:pgSz w:w="16838" w:h="11906" w:orient="landscape" w:code="9"/>
          <w:pgMar w:top="1134" w:right="1134" w:bottom="1134" w:left="1134" w:header="624" w:footer="567" w:gutter="0"/>
          <w:cols w:sep="1" w:space="567"/>
          <w:docGrid w:linePitch="360"/>
        </w:sectPr>
      </w:pPr>
    </w:p>
    <w:tbl>
      <w:tblPr>
        <w:tblStyle w:val="ModelReportGuidanceTable"/>
        <w:tblW w:w="9854" w:type="dxa"/>
        <w:tblLayout w:type="fixed"/>
        <w:tblLook w:val="04A0" w:firstRow="1" w:lastRow="0" w:firstColumn="1" w:lastColumn="0" w:noHBand="0" w:noVBand="1"/>
      </w:tblPr>
      <w:tblGrid>
        <w:gridCol w:w="9854"/>
      </w:tblGrid>
      <w:tr w:rsidR="00B60291" w:rsidRPr="00892DE3" w:rsidTr="00D411AE">
        <w:trPr>
          <w:cnfStyle w:val="100000000000" w:firstRow="1" w:lastRow="0" w:firstColumn="0" w:lastColumn="0" w:oddVBand="0" w:evenVBand="0" w:oddHBand="0" w:evenHBand="0" w:firstRowFirstColumn="0" w:firstRowLastColumn="0" w:lastRowFirstColumn="0" w:lastRowLastColumn="0"/>
        </w:trPr>
        <w:tc>
          <w:tcPr>
            <w:tcW w:w="9854" w:type="dxa"/>
          </w:tcPr>
          <w:p w:rsidR="00B60291" w:rsidRPr="00892DE3" w:rsidRDefault="00B60291" w:rsidP="00B60291">
            <w:r w:rsidRPr="00892DE3">
              <w:t>Guidance – Property, plant and equipment</w:t>
            </w:r>
          </w:p>
        </w:tc>
      </w:tr>
      <w:tr w:rsidR="00B60291" w:rsidRPr="00892DE3" w:rsidTr="00D411AE">
        <w:tc>
          <w:tcPr>
            <w:tcW w:w="9854" w:type="dxa"/>
          </w:tcPr>
          <w:p w:rsidR="00B60291" w:rsidRPr="00892DE3" w:rsidRDefault="00B60291" w:rsidP="00B60291">
            <w:r w:rsidRPr="00892DE3">
              <w:rPr>
                <w:b/>
              </w:rPr>
              <w:t>Classes of assets</w:t>
            </w:r>
            <w:r w:rsidRPr="00892DE3">
              <w:t xml:space="preserve">: FRD 103F requires property, plant and equipment to be classified primarily by the ‘purpose’ for which the assets are used, according to one of six purpose groups based on government purpose classifications. All assets in a purpose group are further </w:t>
            </w:r>
            <w:r w:rsidR="00217A5D" w:rsidRPr="00892DE3">
              <w:t>sub-</w:t>
            </w:r>
            <w:r w:rsidRPr="00892DE3">
              <w:t>categorised according to the asset’s ‘nature’, with each sub</w:t>
            </w:r>
            <w:r w:rsidR="00217A5D" w:rsidRPr="00892DE3">
              <w:t>-</w:t>
            </w:r>
            <w:r w:rsidRPr="00892DE3">
              <w:t>category being classified as a separate class of asset for financial reporting purposes.</w:t>
            </w:r>
          </w:p>
          <w:p w:rsidR="00B60291" w:rsidRPr="00892DE3" w:rsidRDefault="00B60291" w:rsidP="00B60291">
            <w:r w:rsidRPr="00892DE3">
              <w:t xml:space="preserve">The following </w:t>
            </w:r>
            <w:r w:rsidRPr="00892DE3">
              <w:rPr>
                <w:b/>
              </w:rPr>
              <w:t>purpose groups</w:t>
            </w:r>
            <w:r w:rsidRPr="00892DE3">
              <w:t xml:space="preserve"> have been adopted:</w:t>
            </w:r>
          </w:p>
          <w:p w:rsidR="00B60291" w:rsidRPr="00892DE3" w:rsidRDefault="00B60291" w:rsidP="00B60291">
            <w:pPr>
              <w:pStyle w:val="ListBullet"/>
            </w:pPr>
            <w:r w:rsidRPr="00892DE3">
              <w:t>public administration;</w:t>
            </w:r>
          </w:p>
          <w:p w:rsidR="00B60291" w:rsidRPr="00892DE3" w:rsidRDefault="00B60291" w:rsidP="00B60291">
            <w:pPr>
              <w:pStyle w:val="ListBullet"/>
            </w:pPr>
            <w:r w:rsidRPr="00892DE3">
              <w:t>education;</w:t>
            </w:r>
          </w:p>
          <w:p w:rsidR="00B60291" w:rsidRPr="00892DE3" w:rsidRDefault="00B60291" w:rsidP="00B60291">
            <w:pPr>
              <w:pStyle w:val="ListBullet"/>
            </w:pPr>
            <w:r w:rsidRPr="00892DE3">
              <w:t>community housing;</w:t>
            </w:r>
          </w:p>
          <w:p w:rsidR="00B60291" w:rsidRPr="00892DE3" w:rsidRDefault="00B60291" w:rsidP="00B60291">
            <w:pPr>
              <w:pStyle w:val="ListBullet"/>
            </w:pPr>
            <w:r w:rsidRPr="00892DE3">
              <w:t>health, welfare and community;</w:t>
            </w:r>
          </w:p>
          <w:p w:rsidR="00B60291" w:rsidRPr="00892DE3" w:rsidRDefault="00B60291" w:rsidP="00B60291">
            <w:pPr>
              <w:pStyle w:val="ListBullet"/>
            </w:pPr>
            <w:r w:rsidRPr="00892DE3">
              <w:t xml:space="preserve">transportation and communications; and </w:t>
            </w:r>
          </w:p>
          <w:p w:rsidR="00B60291" w:rsidRPr="00892DE3" w:rsidRDefault="00B60291" w:rsidP="00B60291">
            <w:pPr>
              <w:pStyle w:val="ListBullet"/>
            </w:pPr>
            <w:r w:rsidRPr="00892DE3">
              <w:t xml:space="preserve">public safety and environment. </w:t>
            </w:r>
            <w:r w:rsidRPr="00892DE3">
              <w:rPr>
                <w:rStyle w:val="SourceReference"/>
              </w:rPr>
              <w:t>[FRD 103F. App A]</w:t>
            </w:r>
          </w:p>
          <w:p w:rsidR="00B60291" w:rsidRPr="00892DE3" w:rsidRDefault="00B60291" w:rsidP="00B60291">
            <w:r w:rsidRPr="00892DE3">
              <w:t>T</w:t>
            </w:r>
            <w:r w:rsidR="00217A5D" w:rsidRPr="00892DE3">
              <w:t>he following ‘nature’ based sub-</w:t>
            </w:r>
            <w:r w:rsidRPr="00892DE3">
              <w:t>classes fall in each of the above purpose groups:</w:t>
            </w:r>
          </w:p>
          <w:p w:rsidR="00B60291" w:rsidRPr="00892DE3" w:rsidRDefault="00217A5D" w:rsidP="00B60291">
            <w:pPr>
              <w:pStyle w:val="ListBullet"/>
            </w:pPr>
            <w:r w:rsidRPr="00892DE3">
              <w:t xml:space="preserve">land </w:t>
            </w:r>
            <w:r w:rsidR="00B60291" w:rsidRPr="00892DE3">
              <w:t>(freehold land</w:t>
            </w:r>
            <w:r w:rsidRPr="00892DE3">
              <w:t xml:space="preserve"> </w:t>
            </w:r>
            <w:r w:rsidR="00B60291" w:rsidRPr="00892DE3">
              <w:t>/</w:t>
            </w:r>
            <w:r w:rsidRPr="00892DE3">
              <w:t xml:space="preserve"> </w:t>
            </w:r>
            <w:r w:rsidR="00B60291" w:rsidRPr="00892DE3">
              <w:t>Crown land – national and state parks</w:t>
            </w:r>
            <w:r w:rsidRPr="00892DE3">
              <w:t xml:space="preserve"> </w:t>
            </w:r>
            <w:r w:rsidR="00B60291" w:rsidRPr="00892DE3">
              <w:t>/</w:t>
            </w:r>
            <w:r w:rsidRPr="00892DE3">
              <w:t xml:space="preserve"> </w:t>
            </w:r>
            <w:r w:rsidR="00B60291" w:rsidRPr="00892DE3">
              <w:t>Crown land other);</w:t>
            </w:r>
          </w:p>
          <w:p w:rsidR="00B60291" w:rsidRPr="00892DE3" w:rsidRDefault="00B60291" w:rsidP="00B60291">
            <w:pPr>
              <w:pStyle w:val="ListBullet"/>
            </w:pPr>
            <w:r w:rsidRPr="00892DE3">
              <w:t>buildings;</w:t>
            </w:r>
          </w:p>
          <w:p w:rsidR="00B60291" w:rsidRPr="00892DE3" w:rsidRDefault="00B60291" w:rsidP="00B60291">
            <w:pPr>
              <w:pStyle w:val="ListBullet"/>
            </w:pPr>
            <w:r w:rsidRPr="00892DE3">
              <w:t>plant, equipment, vehicles and infrastructure systems;</w:t>
            </w:r>
          </w:p>
          <w:p w:rsidR="00B60291" w:rsidRPr="00892DE3" w:rsidRDefault="00B60291" w:rsidP="00B60291">
            <w:pPr>
              <w:pStyle w:val="ListBullet"/>
            </w:pPr>
            <w:r w:rsidRPr="00892DE3">
              <w:t>road, road infrastructures and earthworks; and</w:t>
            </w:r>
          </w:p>
          <w:p w:rsidR="00B60291" w:rsidRPr="00892DE3" w:rsidRDefault="00B60291" w:rsidP="00B60291">
            <w:pPr>
              <w:pStyle w:val="ListBullet"/>
            </w:pPr>
            <w:r w:rsidRPr="00892DE3">
              <w:t>cultural assets.</w:t>
            </w:r>
          </w:p>
          <w:p w:rsidR="00B60291" w:rsidRPr="00892DE3" w:rsidRDefault="00B60291" w:rsidP="00B60291">
            <w:r w:rsidRPr="00892DE3">
              <w:t>For the purpose of this Model, illustrative disclosure is provided only for ‘public administration’ and ‘public safety and environment’ purpose groups. Departments may refer to FRD 103F for indications on which purpose groups are relevant to them. Other entities are expected to use their own judgement to determine which purpose groups are appropriate for their property, plant and equipment.</w:t>
            </w:r>
          </w:p>
          <w:p w:rsidR="00B60291" w:rsidRPr="00892DE3" w:rsidRDefault="00B60291" w:rsidP="00B60291">
            <w:pPr>
              <w:rPr>
                <w:b/>
              </w:rPr>
            </w:pPr>
            <w:r w:rsidRPr="00892DE3">
              <w:rPr>
                <w:b/>
              </w:rPr>
              <w:t>Measurement of non-financial physical assets</w:t>
            </w:r>
          </w:p>
          <w:p w:rsidR="00B60291" w:rsidRPr="00892DE3" w:rsidRDefault="00B60291" w:rsidP="00B60291">
            <w:r w:rsidRPr="00892DE3">
              <w:t>FRD 103F 4.3 requires all non-financial physical assets to be subsequently measured using the revaluation model, except for certain limited circumstances, where prior written approval for certain assets was given by the Minister for Finance to be measured using historical cost. These assets are phasing out or in transition towards the revaluation model.</w:t>
            </w:r>
          </w:p>
          <w:p w:rsidR="00B60291" w:rsidRPr="00892DE3" w:rsidRDefault="00B60291" w:rsidP="00B60291">
            <w:pPr>
              <w:rPr>
                <w:rStyle w:val="SourceReference"/>
              </w:rPr>
            </w:pPr>
            <w:r w:rsidRPr="00892DE3">
              <w:rPr>
                <w:b/>
              </w:rPr>
              <w:t>Future generation of cash flows</w:t>
            </w:r>
            <w:r w:rsidRPr="00892DE3">
              <w:t xml:space="preserve">: For assets held by </w:t>
            </w:r>
            <w:r w:rsidR="004A3F79" w:rsidRPr="00892DE3">
              <w:t>not-for-profit</w:t>
            </w:r>
            <w:r w:rsidRPr="00892DE3">
              <w:t xml:space="preserve"> entities where the future economic benefits of an asset are not primarily dependent on the asset’s ability to generate net cash inflows and where the entity would, if deprived of the asset, replace its remaining future economic benefits, fair value can be determined using the asset’s depreciated replacement cost. </w:t>
            </w:r>
            <w:r w:rsidRPr="00892DE3">
              <w:rPr>
                <w:rStyle w:val="SourceReference"/>
              </w:rPr>
              <w:t>[AASB 136. Aus32.1]</w:t>
            </w:r>
          </w:p>
          <w:p w:rsidR="00D411AE" w:rsidRPr="00892DE3" w:rsidRDefault="00D411AE" w:rsidP="00D411AE">
            <w:r w:rsidRPr="00892DE3">
              <w:rPr>
                <w:b/>
              </w:rPr>
              <w:t>Revaluations of non-financial physical assets</w:t>
            </w:r>
            <w:r w:rsidRPr="00892DE3">
              <w:t xml:space="preserve">: Full revaluations shall be made with sufficient regularity to ensure the carrying amount does not differ materially from its fair value. FRD 103F determines the revaluation cycle to occur every five years, and the timetable for each department for revaluation of each class of asset is set out in Appendix A of this FRD. For further guidance on fair value using revaluation model, entities can refer to ‘Guidance on fair value of plant, equipment and vehicles under FRD 103F’ available from: </w:t>
            </w:r>
          </w:p>
          <w:p w:rsidR="00D411AE" w:rsidRPr="00892DE3" w:rsidRDefault="00D411AE" w:rsidP="00D411AE">
            <w:r w:rsidRPr="00892DE3">
              <w:t>www.dtf.vic.gov.au/Publications/Government Financial Management publications/Financial reporting policy/</w:t>
            </w:r>
            <w:r w:rsidRPr="00892DE3">
              <w:br/>
              <w:t>Financial reporting directions and guidance</w:t>
            </w:r>
          </w:p>
          <w:p w:rsidR="00D411AE" w:rsidRPr="00892DE3" w:rsidRDefault="00D411AE" w:rsidP="00D411AE">
            <w:r w:rsidRPr="00892DE3">
              <w:t>In a financial year where a full revaluation is not required, entities are still required to conduct fair value assessments to assess whether the asset’s carrying value still materially reflects its fair value. Fair value assessments for land and buildings are determined using separate annual indices for land and buildings supplied by Valuer-General Victoria. Further guidance on this can be found in the guidance note of FRD 103F.</w:t>
            </w:r>
          </w:p>
          <w:p w:rsidR="00D411AE" w:rsidRPr="00892DE3" w:rsidRDefault="00D411AE" w:rsidP="00D411AE">
            <w:r w:rsidRPr="00892DE3">
              <w:t xml:space="preserve">Assets acquired within 12 months of the revaluation date are exempt from revaluation unless evidence exists that the asset’s carrying value does not materially reflect its fair value. </w:t>
            </w:r>
          </w:p>
          <w:p w:rsidR="00D411AE" w:rsidRPr="00892DE3" w:rsidRDefault="00D411AE" w:rsidP="00E62C8C">
            <w:r w:rsidRPr="00892DE3">
              <w:rPr>
                <w:b/>
              </w:rPr>
              <w:t>Treatment of accumulated depreciation on revaluation</w:t>
            </w:r>
            <w:r w:rsidRPr="00892DE3">
              <w:t>: To ensure consistency on a whole of state reportin</w:t>
            </w:r>
            <w:r w:rsidR="00E62C8C">
              <w:t xml:space="preserve">g basis, FRD 103F requires that </w:t>
            </w:r>
            <w:r w:rsidR="000062E4">
              <w:t xml:space="preserve">when non-financial physical assets are revalued, </w:t>
            </w:r>
            <w:r w:rsidRPr="00892DE3">
              <w:t>an entity is to account for the accumulated depreciation at the date of the revaluation by eliminating the accumulated depreciation balance against the gross carrying amount of the asset and increasing the net carrying amount to the revalued amount of the asset (net approach).</w:t>
            </w:r>
          </w:p>
        </w:tc>
      </w:tr>
    </w:tbl>
    <w:p w:rsidR="00B60291" w:rsidRPr="00892DE3" w:rsidRDefault="00B60291">
      <w:r w:rsidRPr="00892DE3">
        <w:rPr>
          <w:b/>
        </w:rPr>
        <w:br w:type="page"/>
      </w:r>
    </w:p>
    <w:tbl>
      <w:tblPr>
        <w:tblStyle w:val="ModelReportGuidanceTable"/>
        <w:tblW w:w="0" w:type="auto"/>
        <w:tblLayout w:type="fixed"/>
        <w:tblLook w:val="04A0" w:firstRow="1" w:lastRow="0" w:firstColumn="1" w:lastColumn="0" w:noHBand="0" w:noVBand="1"/>
      </w:tblPr>
      <w:tblGrid>
        <w:gridCol w:w="9854"/>
      </w:tblGrid>
      <w:tr w:rsidR="00B60291"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B60291" w:rsidRPr="00892DE3" w:rsidRDefault="00B60291" w:rsidP="0002714F">
            <w:r w:rsidRPr="00892DE3">
              <w:t xml:space="preserve">Guidance – Property, plant and equipment </w:t>
            </w:r>
            <w:r w:rsidRPr="00491373">
              <w:rPr>
                <w:i/>
              </w:rPr>
              <w:t>(continued)</w:t>
            </w:r>
          </w:p>
        </w:tc>
      </w:tr>
      <w:tr w:rsidR="00B60291" w:rsidRPr="00892DE3" w:rsidTr="0044350A">
        <w:tc>
          <w:tcPr>
            <w:tcW w:w="9854" w:type="dxa"/>
          </w:tcPr>
          <w:p w:rsidR="00B60291" w:rsidRPr="00892DE3" w:rsidRDefault="00B60291" w:rsidP="00B60291">
            <w:r w:rsidRPr="00892DE3">
              <w:rPr>
                <w:b/>
              </w:rPr>
              <w:t>Depreciation</w:t>
            </w:r>
            <w:r w:rsidRPr="00892DE3">
              <w:t xml:space="preserve">: To align with whole of government reporting under AASB 1049, the consumption of physical or intangible produced assets by wear or overtime is classified as a transaction depreciation expense. The consumption of intangible </w:t>
            </w:r>
            <w:r w:rsidR="00217A5D" w:rsidRPr="00892DE3">
              <w:t>non-</w:t>
            </w:r>
            <w:r w:rsidRPr="00892DE3">
              <w:t xml:space="preserve">produced assets is classified as an amortisation expense in the other economic flows. </w:t>
            </w:r>
          </w:p>
          <w:p w:rsidR="00B60291" w:rsidRPr="00892DE3" w:rsidRDefault="00B60291" w:rsidP="00B60291">
            <w:r w:rsidRPr="00892DE3">
              <w:t xml:space="preserve">The depreciation method used shall reflect the pattern in which the asset’s future economic benefits are expected to be consumed by the entity. </w:t>
            </w:r>
            <w:r w:rsidRPr="00892DE3">
              <w:rPr>
                <w:rStyle w:val="SourceReference"/>
              </w:rPr>
              <w:t>[AASB 116.60]</w:t>
            </w:r>
          </w:p>
          <w:p w:rsidR="00B60291" w:rsidRPr="00892DE3" w:rsidRDefault="00B60291" w:rsidP="00B60291">
            <w:r w:rsidRPr="00892DE3">
              <w:t xml:space="preserve">Depreciation rates and methods shall be reviewed at least annually and, where changed, shall be accounted for as a change in accounting estimate. Where depreciation rates or methods are changed, the net written down value of the asset is depreciated from the date of the change in accordance with the new depreciation rate or method. Depreciation recognised in prior financial years shall not be changed, that is, the change in depreciation rate or method shall be accounted for on a prospective basis. </w:t>
            </w:r>
            <w:r w:rsidRPr="00892DE3">
              <w:rPr>
                <w:rStyle w:val="SourceReference"/>
              </w:rPr>
              <w:t>[AASB 116.51, 61]</w:t>
            </w:r>
          </w:p>
        </w:tc>
      </w:tr>
    </w:tbl>
    <w:p w:rsidR="00B60291" w:rsidRPr="00892DE3" w:rsidRDefault="00B60291" w:rsidP="0019303F">
      <w:pPr>
        <w:pStyle w:val="Heading2"/>
      </w:pPr>
      <w:bookmarkStart w:id="115" w:name="_Toc477257488"/>
      <w:bookmarkStart w:id="116" w:name="_Toc478055745"/>
      <w:r w:rsidRPr="00892DE3">
        <w:t>Investment properties</w:t>
      </w:r>
      <w:bookmarkEnd w:id="115"/>
      <w:bookmarkEnd w:id="116"/>
    </w:p>
    <w:p w:rsidR="00B60291" w:rsidRPr="00892DE3" w:rsidRDefault="00B60291" w:rsidP="00B60291">
      <w:pPr>
        <w:pStyle w:val="TableUnits"/>
      </w:pPr>
      <w:r w:rsidRPr="00892DE3">
        <w:t>($ thousand)</w:t>
      </w:r>
    </w:p>
    <w:tbl>
      <w:tblPr>
        <w:tblStyle w:val="ModelReportFinancialTable"/>
        <w:tblW w:w="9726" w:type="dxa"/>
        <w:tblLayout w:type="fixed"/>
        <w:tblLook w:val="06A0" w:firstRow="1" w:lastRow="0" w:firstColumn="1" w:lastColumn="0" w:noHBand="1" w:noVBand="1"/>
      </w:tblPr>
      <w:tblGrid>
        <w:gridCol w:w="1384"/>
        <w:gridCol w:w="6385"/>
        <w:gridCol w:w="990"/>
        <w:gridCol w:w="967"/>
      </w:tblGrid>
      <w:tr w:rsidR="00B60291" w:rsidRPr="00892DE3" w:rsidTr="0044350A">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384" w:type="dxa"/>
            <w:tcBorders>
              <w:bottom w:val="nil"/>
            </w:tcBorders>
            <w:shd w:val="clear" w:color="auto" w:fill="auto"/>
            <w:hideMark/>
          </w:tcPr>
          <w:p w:rsidR="00B60291" w:rsidRPr="00892DE3" w:rsidRDefault="00B60291" w:rsidP="00B60291">
            <w:r w:rsidRPr="00892DE3">
              <w:t>Source reference</w:t>
            </w:r>
          </w:p>
        </w:tc>
        <w:tc>
          <w:tcPr>
            <w:tcW w:w="6385" w:type="dxa"/>
            <w:hideMark/>
          </w:tcPr>
          <w:p w:rsidR="00B60291" w:rsidRPr="00892DE3" w:rsidRDefault="00B60291" w:rsidP="00B60291">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90" w:type="dxa"/>
            <w:noWrap/>
            <w:hideMark/>
          </w:tcPr>
          <w:p w:rsidR="00B60291" w:rsidRPr="00892DE3" w:rsidRDefault="00B60291" w:rsidP="0002714F">
            <w:pPr>
              <w:cnfStyle w:val="100000000000" w:firstRow="1" w:lastRow="0" w:firstColumn="0" w:lastColumn="0" w:oddVBand="0" w:evenVBand="0" w:oddHBand="0" w:evenHBand="0" w:firstRowFirstColumn="0" w:firstRowLastColumn="0" w:lastRowFirstColumn="0" w:lastRowLastColumn="0"/>
            </w:pPr>
            <w:r w:rsidRPr="00892DE3">
              <w:t>2017</w:t>
            </w:r>
          </w:p>
        </w:tc>
        <w:tc>
          <w:tcPr>
            <w:tcW w:w="967" w:type="dxa"/>
            <w:noWrap/>
            <w:hideMark/>
          </w:tcPr>
          <w:p w:rsidR="00B60291" w:rsidRPr="00892DE3" w:rsidRDefault="00B60291" w:rsidP="0002714F">
            <w:pPr>
              <w:cnfStyle w:val="100000000000" w:firstRow="1" w:lastRow="0" w:firstColumn="0" w:lastColumn="0" w:oddVBand="0" w:evenVBand="0" w:oddHBand="0" w:evenHBand="0" w:firstRowFirstColumn="0" w:firstRowLastColumn="0" w:lastRowFirstColumn="0" w:lastRowLastColumn="0"/>
            </w:pPr>
            <w:r w:rsidRPr="00892DE3">
              <w:t>2016</w:t>
            </w:r>
          </w:p>
        </w:tc>
      </w:tr>
      <w:tr w:rsidR="00B6029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B60291" w:rsidRPr="00892DE3" w:rsidRDefault="00B60291" w:rsidP="00B60291">
            <w:r w:rsidRPr="00892DE3">
              <w:t>AASB 140.76</w:t>
            </w:r>
          </w:p>
        </w:tc>
        <w:tc>
          <w:tcPr>
            <w:tcW w:w="6385" w:type="dxa"/>
            <w:hideMark/>
          </w:tcPr>
          <w:p w:rsidR="00B60291" w:rsidRPr="00892DE3" w:rsidRDefault="00B60291" w:rsidP="00B60291">
            <w:pPr>
              <w:jc w:val="left"/>
              <w:cnfStyle w:val="000000000000" w:firstRow="0" w:lastRow="0" w:firstColumn="0" w:lastColumn="0" w:oddVBand="0" w:evenVBand="0" w:oddHBand="0" w:evenHBand="0" w:firstRowFirstColumn="0" w:firstRowLastColumn="0" w:lastRowFirstColumn="0" w:lastRowLastColumn="0"/>
            </w:pPr>
            <w:r w:rsidRPr="00892DE3">
              <w:t>Balance at beginning of financial year</w:t>
            </w:r>
          </w:p>
        </w:tc>
        <w:tc>
          <w:tcPr>
            <w:tcW w:w="990" w:type="dxa"/>
            <w:noWrap/>
            <w:hideMark/>
          </w:tcPr>
          <w:p w:rsidR="00B60291" w:rsidRPr="00892DE3" w:rsidRDefault="00B60291" w:rsidP="0002714F">
            <w:pPr>
              <w:cnfStyle w:val="000000000000" w:firstRow="0" w:lastRow="0" w:firstColumn="0" w:lastColumn="0" w:oddVBand="0" w:evenVBand="0" w:oddHBand="0" w:evenHBand="0" w:firstRowFirstColumn="0" w:firstRowLastColumn="0" w:lastRowFirstColumn="0" w:lastRowLastColumn="0"/>
            </w:pPr>
            <w:r w:rsidRPr="00892DE3">
              <w:t>5 029</w:t>
            </w:r>
          </w:p>
        </w:tc>
        <w:tc>
          <w:tcPr>
            <w:tcW w:w="967" w:type="dxa"/>
            <w:noWrap/>
            <w:hideMark/>
          </w:tcPr>
          <w:p w:rsidR="00B60291" w:rsidRPr="00892DE3" w:rsidRDefault="00B60291" w:rsidP="0002714F">
            <w:pPr>
              <w:cnfStyle w:val="000000000000" w:firstRow="0" w:lastRow="0" w:firstColumn="0" w:lastColumn="0" w:oddVBand="0" w:evenVBand="0" w:oddHBand="0" w:evenHBand="0" w:firstRowFirstColumn="0" w:firstRowLastColumn="0" w:lastRowFirstColumn="0" w:lastRowLastColumn="0"/>
            </w:pPr>
            <w:r w:rsidRPr="00892DE3">
              <w:t>5 233</w:t>
            </w:r>
          </w:p>
        </w:tc>
      </w:tr>
      <w:tr w:rsidR="00B60291" w:rsidRPr="00892DE3" w:rsidTr="0044350A">
        <w:trPr>
          <w:trHeight w:val="66"/>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B60291" w:rsidRPr="00892DE3" w:rsidRDefault="00B60291" w:rsidP="00B60291">
            <w:r w:rsidRPr="00892DE3">
              <w:t>AAASB 140.76(a)</w:t>
            </w:r>
          </w:p>
        </w:tc>
        <w:tc>
          <w:tcPr>
            <w:tcW w:w="6385" w:type="dxa"/>
            <w:hideMark/>
          </w:tcPr>
          <w:p w:rsidR="00B60291" w:rsidRPr="00892DE3" w:rsidRDefault="00B60291" w:rsidP="00B60291">
            <w:pPr>
              <w:jc w:val="left"/>
              <w:cnfStyle w:val="000000000000" w:firstRow="0" w:lastRow="0" w:firstColumn="0" w:lastColumn="0" w:oddVBand="0" w:evenVBand="0" w:oddHBand="0" w:evenHBand="0" w:firstRowFirstColumn="0" w:firstRowLastColumn="0" w:lastRowFirstColumn="0" w:lastRowLastColumn="0"/>
            </w:pPr>
            <w:r w:rsidRPr="00892DE3">
              <w:t>Additions from subsequent expenditure</w:t>
            </w:r>
          </w:p>
        </w:tc>
        <w:tc>
          <w:tcPr>
            <w:tcW w:w="990" w:type="dxa"/>
            <w:noWrap/>
            <w:hideMark/>
          </w:tcPr>
          <w:p w:rsidR="00B60291" w:rsidRPr="00892DE3" w:rsidRDefault="00B60291" w:rsidP="00AD6FE2">
            <w:pPr>
              <w:cnfStyle w:val="000000000000" w:firstRow="0" w:lastRow="0" w:firstColumn="0" w:lastColumn="0" w:oddVBand="0" w:evenVBand="0" w:oddHBand="0" w:evenHBand="0" w:firstRowFirstColumn="0" w:firstRowLastColumn="0" w:lastRowFirstColumn="0" w:lastRowLastColumn="0"/>
            </w:pPr>
            <w:r w:rsidRPr="00892DE3">
              <w:t xml:space="preserve"> </w:t>
            </w:r>
            <w:r w:rsidR="00AD6FE2" w:rsidRPr="00892DE3">
              <w:t>282</w:t>
            </w:r>
          </w:p>
        </w:tc>
        <w:tc>
          <w:tcPr>
            <w:tcW w:w="967" w:type="dxa"/>
            <w:noWrap/>
            <w:hideMark/>
          </w:tcPr>
          <w:p w:rsidR="00B60291" w:rsidRPr="00892DE3" w:rsidRDefault="00AD6FE2" w:rsidP="0002714F">
            <w:pPr>
              <w:cnfStyle w:val="000000000000" w:firstRow="0" w:lastRow="0" w:firstColumn="0" w:lastColumn="0" w:oddVBand="0" w:evenVBand="0" w:oddHBand="0" w:evenHBand="0" w:firstRowFirstColumn="0" w:firstRowLastColumn="0" w:lastRowFirstColumn="0" w:lastRowLastColumn="0"/>
            </w:pPr>
            <w:r w:rsidRPr="00892DE3">
              <w:t>1 838</w:t>
            </w:r>
          </w:p>
        </w:tc>
      </w:tr>
      <w:tr w:rsidR="00B6029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B60291" w:rsidRPr="00892DE3" w:rsidRDefault="00B60291" w:rsidP="00B60291">
            <w:r w:rsidRPr="00892DE3">
              <w:t>AASB 140.76(b)</w:t>
            </w:r>
          </w:p>
        </w:tc>
        <w:tc>
          <w:tcPr>
            <w:tcW w:w="6385" w:type="dxa"/>
            <w:hideMark/>
          </w:tcPr>
          <w:p w:rsidR="00B60291" w:rsidRPr="00892DE3" w:rsidRDefault="00B60291" w:rsidP="00B60291">
            <w:pPr>
              <w:jc w:val="left"/>
              <w:cnfStyle w:val="000000000000" w:firstRow="0" w:lastRow="0" w:firstColumn="0" w:lastColumn="0" w:oddVBand="0" w:evenVBand="0" w:oddHBand="0" w:evenHBand="0" w:firstRowFirstColumn="0" w:firstRowLastColumn="0" w:lastRowFirstColumn="0" w:lastRowLastColumn="0"/>
            </w:pPr>
            <w:r w:rsidRPr="00892DE3">
              <w:t>Acquisitions/transfers in of businesses</w:t>
            </w:r>
          </w:p>
        </w:tc>
        <w:tc>
          <w:tcPr>
            <w:tcW w:w="990" w:type="dxa"/>
            <w:noWrap/>
            <w:hideMark/>
          </w:tcPr>
          <w:p w:rsidR="00B60291" w:rsidRPr="00892DE3" w:rsidRDefault="00B60291" w:rsidP="0002714F">
            <w:pPr>
              <w:cnfStyle w:val="000000000000" w:firstRow="0" w:lastRow="0" w:firstColumn="0" w:lastColumn="0" w:oddVBand="0" w:evenVBand="0" w:oddHBand="0" w:evenHBand="0" w:firstRowFirstColumn="0" w:firstRowLastColumn="0" w:lastRowFirstColumn="0" w:lastRowLastColumn="0"/>
            </w:pPr>
            <w:r w:rsidRPr="00892DE3">
              <w:t>1 287</w:t>
            </w:r>
          </w:p>
        </w:tc>
        <w:tc>
          <w:tcPr>
            <w:tcW w:w="967" w:type="dxa"/>
            <w:noWrap/>
            <w:hideMark/>
          </w:tcPr>
          <w:p w:rsidR="00B60291" w:rsidRPr="00892DE3" w:rsidRDefault="00217A5D" w:rsidP="0002714F">
            <w:pPr>
              <w:cnfStyle w:val="000000000000" w:firstRow="0" w:lastRow="0" w:firstColumn="0" w:lastColumn="0" w:oddVBand="0" w:evenVBand="0" w:oddHBand="0" w:evenHBand="0" w:firstRowFirstColumn="0" w:firstRowLastColumn="0" w:lastRowFirstColumn="0" w:lastRowLastColumn="0"/>
            </w:pPr>
            <w:r w:rsidRPr="00892DE3">
              <w:t>..</w:t>
            </w:r>
          </w:p>
        </w:tc>
      </w:tr>
      <w:tr w:rsidR="00B6029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B60291" w:rsidRPr="00892DE3" w:rsidRDefault="00B60291" w:rsidP="00B60291">
            <w:r w:rsidRPr="00892DE3">
              <w:t>AASB 140.76(c)</w:t>
            </w:r>
          </w:p>
        </w:tc>
        <w:tc>
          <w:tcPr>
            <w:tcW w:w="6385" w:type="dxa"/>
            <w:hideMark/>
          </w:tcPr>
          <w:p w:rsidR="00B60291" w:rsidRPr="00892DE3" w:rsidRDefault="00B60291" w:rsidP="00B60291">
            <w:pPr>
              <w:jc w:val="left"/>
              <w:cnfStyle w:val="000000000000" w:firstRow="0" w:lastRow="0" w:firstColumn="0" w:lastColumn="0" w:oddVBand="0" w:evenVBand="0" w:oddHBand="0" w:evenHBand="0" w:firstRowFirstColumn="0" w:firstRowLastColumn="0" w:lastRowFirstColumn="0" w:lastRowLastColumn="0"/>
            </w:pPr>
            <w:r w:rsidRPr="00892DE3">
              <w:t>Disposals and property held for sale</w:t>
            </w:r>
          </w:p>
        </w:tc>
        <w:tc>
          <w:tcPr>
            <w:tcW w:w="990" w:type="dxa"/>
            <w:noWrap/>
            <w:hideMark/>
          </w:tcPr>
          <w:p w:rsidR="00B60291" w:rsidRPr="00892DE3" w:rsidRDefault="003F1983" w:rsidP="003F1983">
            <w:pPr>
              <w:cnfStyle w:val="000000000000" w:firstRow="0" w:lastRow="0" w:firstColumn="0" w:lastColumn="0" w:oddVBand="0" w:evenVBand="0" w:oddHBand="0" w:evenHBand="0" w:firstRowFirstColumn="0" w:firstRowLastColumn="0" w:lastRowFirstColumn="0" w:lastRowLastColumn="0"/>
            </w:pPr>
            <w:r w:rsidRPr="00892DE3">
              <w:t>(1 822)</w:t>
            </w:r>
          </w:p>
        </w:tc>
        <w:tc>
          <w:tcPr>
            <w:tcW w:w="967" w:type="dxa"/>
            <w:noWrap/>
            <w:hideMark/>
          </w:tcPr>
          <w:p w:rsidR="00B60291" w:rsidRPr="00892DE3" w:rsidRDefault="003F1983" w:rsidP="003F1983">
            <w:pPr>
              <w:cnfStyle w:val="000000000000" w:firstRow="0" w:lastRow="0" w:firstColumn="0" w:lastColumn="0" w:oddVBand="0" w:evenVBand="0" w:oddHBand="0" w:evenHBand="0" w:firstRowFirstColumn="0" w:firstRowLastColumn="0" w:lastRowFirstColumn="0" w:lastRowLastColumn="0"/>
            </w:pPr>
            <w:r w:rsidRPr="00892DE3">
              <w:t>(998)</w:t>
            </w:r>
          </w:p>
        </w:tc>
      </w:tr>
      <w:tr w:rsidR="00B6029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B60291" w:rsidRPr="00892DE3" w:rsidRDefault="00B60291" w:rsidP="00B60291">
            <w:r w:rsidRPr="00892DE3">
              <w:t>AASB 140.76(d)</w:t>
            </w:r>
          </w:p>
        </w:tc>
        <w:tc>
          <w:tcPr>
            <w:tcW w:w="6385" w:type="dxa"/>
            <w:hideMark/>
          </w:tcPr>
          <w:p w:rsidR="00B60291" w:rsidRPr="00892DE3" w:rsidRDefault="00B60291" w:rsidP="00B60291">
            <w:pPr>
              <w:jc w:val="left"/>
              <w:cnfStyle w:val="000000000000" w:firstRow="0" w:lastRow="0" w:firstColumn="0" w:lastColumn="0" w:oddVBand="0" w:evenVBand="0" w:oddHBand="0" w:evenHBand="0" w:firstRowFirstColumn="0" w:firstRowLastColumn="0" w:lastRowFirstColumn="0" w:lastRowLastColumn="0"/>
            </w:pPr>
            <w:r w:rsidRPr="00892DE3">
              <w:t>Net gain/(loss) from fair value adjustments</w:t>
            </w:r>
          </w:p>
        </w:tc>
        <w:tc>
          <w:tcPr>
            <w:tcW w:w="990" w:type="dxa"/>
            <w:noWrap/>
            <w:hideMark/>
          </w:tcPr>
          <w:p w:rsidR="00B60291" w:rsidRPr="00892DE3" w:rsidRDefault="00B60291" w:rsidP="0002714F">
            <w:pPr>
              <w:cnfStyle w:val="000000000000" w:firstRow="0" w:lastRow="0" w:firstColumn="0" w:lastColumn="0" w:oddVBand="0" w:evenVBand="0" w:oddHBand="0" w:evenHBand="0" w:firstRowFirstColumn="0" w:firstRowLastColumn="0" w:lastRowFirstColumn="0" w:lastRowLastColumn="0"/>
            </w:pPr>
            <w:r w:rsidRPr="00892DE3">
              <w:t>(3 485)</w:t>
            </w:r>
          </w:p>
        </w:tc>
        <w:tc>
          <w:tcPr>
            <w:tcW w:w="967" w:type="dxa"/>
            <w:noWrap/>
            <w:hideMark/>
          </w:tcPr>
          <w:p w:rsidR="00B60291" w:rsidRPr="00892DE3" w:rsidRDefault="00B60291" w:rsidP="0002714F">
            <w:pPr>
              <w:cnfStyle w:val="000000000000" w:firstRow="0" w:lastRow="0" w:firstColumn="0" w:lastColumn="0" w:oddVBand="0" w:evenVBand="0" w:oddHBand="0" w:evenHBand="0" w:firstRowFirstColumn="0" w:firstRowLastColumn="0" w:lastRowFirstColumn="0" w:lastRowLastColumn="0"/>
            </w:pPr>
            <w:r w:rsidRPr="00892DE3">
              <w:t xml:space="preserve"> 450</w:t>
            </w:r>
          </w:p>
        </w:tc>
      </w:tr>
      <w:tr w:rsidR="00B6029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B60291" w:rsidRPr="00892DE3" w:rsidRDefault="00B60291" w:rsidP="00B60291">
            <w:r w:rsidRPr="00892DE3">
              <w:t>AASB 140.76(f)</w:t>
            </w:r>
          </w:p>
        </w:tc>
        <w:tc>
          <w:tcPr>
            <w:tcW w:w="6385" w:type="dxa"/>
            <w:hideMark/>
          </w:tcPr>
          <w:p w:rsidR="00B60291" w:rsidRPr="00892DE3" w:rsidRDefault="00B60291" w:rsidP="00B60291">
            <w:pPr>
              <w:jc w:val="left"/>
              <w:cnfStyle w:val="000000000000" w:firstRow="0" w:lastRow="0" w:firstColumn="0" w:lastColumn="0" w:oddVBand="0" w:evenVBand="0" w:oddHBand="0" w:evenHBand="0" w:firstRowFirstColumn="0" w:firstRowLastColumn="0" w:lastRowFirstColumn="0" w:lastRowLastColumn="0"/>
            </w:pPr>
            <w:r w:rsidRPr="00892DE3">
              <w:t>Transfers to owner occupied</w:t>
            </w:r>
          </w:p>
        </w:tc>
        <w:tc>
          <w:tcPr>
            <w:tcW w:w="990" w:type="dxa"/>
            <w:noWrap/>
            <w:hideMark/>
          </w:tcPr>
          <w:p w:rsidR="00B60291" w:rsidRPr="00892DE3" w:rsidRDefault="00217A5D" w:rsidP="0002714F">
            <w:pPr>
              <w:cnfStyle w:val="000000000000" w:firstRow="0" w:lastRow="0" w:firstColumn="0" w:lastColumn="0" w:oddVBand="0" w:evenVBand="0" w:oddHBand="0" w:evenHBand="0" w:firstRowFirstColumn="0" w:firstRowLastColumn="0" w:lastRowFirstColumn="0" w:lastRowLastColumn="0"/>
            </w:pPr>
            <w:r w:rsidRPr="00892DE3">
              <w:t>..</w:t>
            </w:r>
          </w:p>
        </w:tc>
        <w:tc>
          <w:tcPr>
            <w:tcW w:w="967" w:type="dxa"/>
            <w:noWrap/>
            <w:hideMark/>
          </w:tcPr>
          <w:p w:rsidR="00B60291" w:rsidRPr="00892DE3" w:rsidRDefault="00B60291" w:rsidP="0002714F">
            <w:pPr>
              <w:cnfStyle w:val="000000000000" w:firstRow="0" w:lastRow="0" w:firstColumn="0" w:lastColumn="0" w:oddVBand="0" w:evenVBand="0" w:oddHBand="0" w:evenHBand="0" w:firstRowFirstColumn="0" w:firstRowLastColumn="0" w:lastRowFirstColumn="0" w:lastRowLastColumn="0"/>
            </w:pPr>
            <w:r w:rsidRPr="00892DE3">
              <w:t>(1 494)</w:t>
            </w:r>
          </w:p>
        </w:tc>
      </w:tr>
      <w:tr w:rsidR="00B6029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B60291" w:rsidRPr="00892DE3" w:rsidRDefault="00B60291" w:rsidP="00B60291">
            <w:r w:rsidRPr="00892DE3">
              <w:t>AASB 140.76(f)</w:t>
            </w:r>
          </w:p>
        </w:tc>
        <w:tc>
          <w:tcPr>
            <w:tcW w:w="6385" w:type="dxa"/>
            <w:tcBorders>
              <w:bottom w:val="single" w:sz="4" w:space="0" w:color="auto"/>
            </w:tcBorders>
            <w:hideMark/>
          </w:tcPr>
          <w:p w:rsidR="00B60291" w:rsidRPr="00892DE3" w:rsidRDefault="00B60291" w:rsidP="00B60291">
            <w:pPr>
              <w:jc w:val="left"/>
              <w:cnfStyle w:val="000000000000" w:firstRow="0" w:lastRow="0" w:firstColumn="0" w:lastColumn="0" w:oddVBand="0" w:evenVBand="0" w:oddHBand="0" w:evenHBand="0" w:firstRowFirstColumn="0" w:firstRowLastColumn="0" w:lastRowFirstColumn="0" w:lastRowLastColumn="0"/>
            </w:pPr>
            <w:r w:rsidRPr="00892DE3">
              <w:t>Transfers to investment property</w:t>
            </w:r>
          </w:p>
        </w:tc>
        <w:tc>
          <w:tcPr>
            <w:tcW w:w="990" w:type="dxa"/>
            <w:tcBorders>
              <w:bottom w:val="single" w:sz="4" w:space="0" w:color="auto"/>
            </w:tcBorders>
            <w:noWrap/>
            <w:hideMark/>
          </w:tcPr>
          <w:p w:rsidR="00B60291" w:rsidRPr="00892DE3" w:rsidRDefault="00B60291" w:rsidP="0002714F">
            <w:pPr>
              <w:cnfStyle w:val="000000000000" w:firstRow="0" w:lastRow="0" w:firstColumn="0" w:lastColumn="0" w:oddVBand="0" w:evenVBand="0" w:oddHBand="0" w:evenHBand="0" w:firstRowFirstColumn="0" w:firstRowLastColumn="0" w:lastRowFirstColumn="0" w:lastRowLastColumn="0"/>
            </w:pPr>
            <w:r w:rsidRPr="00892DE3">
              <w:t>1 063</w:t>
            </w:r>
          </w:p>
        </w:tc>
        <w:tc>
          <w:tcPr>
            <w:tcW w:w="967" w:type="dxa"/>
            <w:tcBorders>
              <w:bottom w:val="single" w:sz="4" w:space="0" w:color="auto"/>
            </w:tcBorders>
            <w:noWrap/>
            <w:hideMark/>
          </w:tcPr>
          <w:p w:rsidR="00B60291" w:rsidRPr="00892DE3" w:rsidRDefault="00217A5D" w:rsidP="0002714F">
            <w:pPr>
              <w:cnfStyle w:val="000000000000" w:firstRow="0" w:lastRow="0" w:firstColumn="0" w:lastColumn="0" w:oddVBand="0" w:evenVBand="0" w:oddHBand="0" w:evenHBand="0" w:firstRowFirstColumn="0" w:firstRowLastColumn="0" w:lastRowFirstColumn="0" w:lastRowLastColumn="0"/>
            </w:pPr>
            <w:r w:rsidRPr="00892DE3">
              <w:t>..</w:t>
            </w:r>
          </w:p>
        </w:tc>
      </w:tr>
      <w:tr w:rsidR="00B60291"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B60291" w:rsidRPr="00892DE3" w:rsidRDefault="00B60291" w:rsidP="00B60291"/>
        </w:tc>
        <w:tc>
          <w:tcPr>
            <w:tcW w:w="6385" w:type="dxa"/>
            <w:tcBorders>
              <w:top w:val="single" w:sz="4" w:space="0" w:color="auto"/>
              <w:bottom w:val="single" w:sz="12" w:space="0" w:color="auto"/>
            </w:tcBorders>
            <w:hideMark/>
          </w:tcPr>
          <w:p w:rsidR="00B60291" w:rsidRPr="00892DE3" w:rsidRDefault="00B60291" w:rsidP="00B60291">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end of financial year</w:t>
            </w:r>
          </w:p>
        </w:tc>
        <w:tc>
          <w:tcPr>
            <w:tcW w:w="990" w:type="dxa"/>
            <w:tcBorders>
              <w:top w:val="single" w:sz="4" w:space="0" w:color="auto"/>
              <w:bottom w:val="single" w:sz="12" w:space="0" w:color="auto"/>
            </w:tcBorders>
            <w:noWrap/>
            <w:hideMark/>
          </w:tcPr>
          <w:p w:rsidR="00B60291" w:rsidRPr="00892DE3" w:rsidRDefault="00B60291" w:rsidP="0002714F">
            <w:pPr>
              <w:cnfStyle w:val="000000000000" w:firstRow="0" w:lastRow="0" w:firstColumn="0" w:lastColumn="0" w:oddVBand="0" w:evenVBand="0" w:oddHBand="0" w:evenHBand="0" w:firstRowFirstColumn="0" w:firstRowLastColumn="0" w:lastRowFirstColumn="0" w:lastRowLastColumn="0"/>
              <w:rPr>
                <w:b/>
              </w:rPr>
            </w:pPr>
            <w:r w:rsidRPr="00892DE3">
              <w:rPr>
                <w:b/>
              </w:rPr>
              <w:t>2 354</w:t>
            </w:r>
          </w:p>
        </w:tc>
        <w:tc>
          <w:tcPr>
            <w:tcW w:w="967" w:type="dxa"/>
            <w:tcBorders>
              <w:top w:val="single" w:sz="4" w:space="0" w:color="auto"/>
              <w:bottom w:val="single" w:sz="12" w:space="0" w:color="auto"/>
            </w:tcBorders>
            <w:noWrap/>
            <w:hideMark/>
          </w:tcPr>
          <w:p w:rsidR="00B60291" w:rsidRPr="00892DE3" w:rsidRDefault="00B60291" w:rsidP="0002714F">
            <w:pPr>
              <w:cnfStyle w:val="000000000000" w:firstRow="0" w:lastRow="0" w:firstColumn="0" w:lastColumn="0" w:oddVBand="0" w:evenVBand="0" w:oddHBand="0" w:evenHBand="0" w:firstRowFirstColumn="0" w:firstRowLastColumn="0" w:lastRowFirstColumn="0" w:lastRowLastColumn="0"/>
              <w:rPr>
                <w:b/>
              </w:rPr>
            </w:pPr>
            <w:r w:rsidRPr="00892DE3">
              <w:rPr>
                <w:b/>
              </w:rPr>
              <w:t>5 029</w:t>
            </w:r>
          </w:p>
        </w:tc>
      </w:tr>
    </w:tbl>
    <w:p w:rsidR="00B60291" w:rsidRPr="00892DE3" w:rsidRDefault="00B60291" w:rsidP="00B60291">
      <w:r w:rsidRPr="00892DE3">
        <w:rPr>
          <w:b/>
        </w:rPr>
        <w:t>Investment properties</w:t>
      </w:r>
      <w:r w:rsidRPr="00892DE3">
        <w:t xml:space="preserve"> represent properties held to earn rentals or for capital appreciation, or both. Investment properties exclude properties held to meet service delivery objectives of the Department. Investment properties are initially recognised at cost. Costs incurred subsequent to initial acquisition are capitalised when it is probable that future economic benefits in excess of the originally assessed performance of the asset will flow to the Department. </w:t>
      </w:r>
    </w:p>
    <w:p w:rsidR="00B60291" w:rsidRPr="00892DE3" w:rsidRDefault="00B60291" w:rsidP="00B60291">
      <w:r w:rsidRPr="00892DE3">
        <w:t xml:space="preserve">Subsequent to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 These properties are neither depreciated nor tested for impairment. </w:t>
      </w:r>
      <w:r w:rsidR="00217A5D" w:rsidRPr="00892DE3">
        <w:br/>
      </w:r>
      <w:r w:rsidRPr="00892DE3">
        <w:rPr>
          <w:rStyle w:val="SourceReference"/>
        </w:rPr>
        <w:t>[AASB 140.20, 140.30, 140.32A, 140.33, 140.75; FRD 107A]</w:t>
      </w:r>
    </w:p>
    <w:p w:rsidR="00217A5D" w:rsidRPr="00892DE3" w:rsidRDefault="00217A5D" w:rsidP="00B60291"/>
    <w:tbl>
      <w:tblPr>
        <w:tblStyle w:val="ModelReportGuidanceTable"/>
        <w:tblW w:w="0" w:type="auto"/>
        <w:tblLayout w:type="fixed"/>
        <w:tblLook w:val="04A0" w:firstRow="1" w:lastRow="0" w:firstColumn="1" w:lastColumn="0" w:noHBand="0" w:noVBand="1"/>
      </w:tblPr>
      <w:tblGrid>
        <w:gridCol w:w="9854"/>
      </w:tblGrid>
      <w:tr w:rsidR="0002714F" w:rsidRPr="00892DE3" w:rsidTr="0044350A">
        <w:trPr>
          <w:cnfStyle w:val="100000000000" w:firstRow="1" w:lastRow="0" w:firstColumn="0" w:lastColumn="0" w:oddVBand="0" w:evenVBand="0" w:oddHBand="0" w:evenHBand="0" w:firstRowFirstColumn="0" w:firstRowLastColumn="0" w:lastRowFirstColumn="0" w:lastRowLastColumn="0"/>
          <w:tblHeader/>
        </w:trPr>
        <w:tc>
          <w:tcPr>
            <w:tcW w:w="9854" w:type="dxa"/>
          </w:tcPr>
          <w:p w:rsidR="0002714F" w:rsidRPr="00892DE3" w:rsidRDefault="0002714F" w:rsidP="00B60291">
            <w:r w:rsidRPr="00892DE3">
              <w:t>Guidance – Investment properties</w:t>
            </w:r>
          </w:p>
        </w:tc>
      </w:tr>
      <w:tr w:rsidR="0002714F" w:rsidRPr="00892DE3" w:rsidTr="0044350A">
        <w:tc>
          <w:tcPr>
            <w:tcW w:w="9854" w:type="dxa"/>
          </w:tcPr>
          <w:p w:rsidR="0002714F" w:rsidRPr="00892DE3" w:rsidRDefault="0002714F" w:rsidP="0002714F">
            <w:r w:rsidRPr="00892DE3">
              <w:rPr>
                <w:b/>
              </w:rPr>
              <w:t>Property held to meet service delivery objectives</w:t>
            </w:r>
            <w:r w:rsidRPr="00892DE3">
              <w:t xml:space="preserve">: In respect of </w:t>
            </w:r>
            <w:r w:rsidR="004A3F79" w:rsidRPr="00892DE3">
              <w:t>not-for-profit</w:t>
            </w:r>
            <w:r w:rsidRPr="00892DE3">
              <w:t xml:space="preserve"> entities, property may be held to meet service delivery objectives rather than to earn rent or for capital appreciation. In such situations the property will not meet the definition of investment property and will be accounted for under AASB 116. For example:</w:t>
            </w:r>
          </w:p>
          <w:p w:rsidR="0002714F" w:rsidRPr="00892DE3" w:rsidRDefault="0002714F" w:rsidP="0002714F">
            <w:pPr>
              <w:pStyle w:val="List"/>
            </w:pPr>
            <w:r w:rsidRPr="00892DE3">
              <w:t>(a)</w:t>
            </w:r>
            <w:r w:rsidRPr="00892DE3">
              <w:tab/>
              <w:t>property held for strategic purposes; and</w:t>
            </w:r>
          </w:p>
          <w:p w:rsidR="0002714F" w:rsidRPr="00892DE3" w:rsidRDefault="0002714F" w:rsidP="0002714F">
            <w:pPr>
              <w:pStyle w:val="List"/>
            </w:pPr>
            <w:r w:rsidRPr="00892DE3">
              <w:t>(b)</w:t>
            </w:r>
            <w:r w:rsidRPr="00892DE3">
              <w:tab/>
              <w:t xml:space="preserve">property held to provide a social service, including those which generate cash inflows where the rental income is incidental to the purpose for holding the property. </w:t>
            </w:r>
            <w:r w:rsidRPr="00892DE3">
              <w:rPr>
                <w:rStyle w:val="SourceReference"/>
              </w:rPr>
              <w:t>[AASB 140.Aus9.1]</w:t>
            </w:r>
          </w:p>
          <w:p w:rsidR="0002714F" w:rsidRPr="00892DE3" w:rsidRDefault="0002714F" w:rsidP="0002714F">
            <w:r w:rsidRPr="00892DE3">
              <w:t xml:space="preserve">The reason for classifying a property that would otherwise satisfy the definition of investment property as property, plant and equipment must be documented and approved by the entity’s responsible body. </w:t>
            </w:r>
            <w:r w:rsidRPr="00892DE3">
              <w:rPr>
                <w:rStyle w:val="SourceReference"/>
              </w:rPr>
              <w:t>[FRD 107A]</w:t>
            </w:r>
          </w:p>
          <w:p w:rsidR="0002714F" w:rsidRPr="00892DE3" w:rsidRDefault="0002714F" w:rsidP="0002714F">
            <w:r w:rsidRPr="00892DE3">
              <w:rPr>
                <w:b/>
              </w:rPr>
              <w:t>Responsible body</w:t>
            </w:r>
            <w:r w:rsidRPr="00892DE3">
              <w:t xml:space="preserve"> means:</w:t>
            </w:r>
          </w:p>
          <w:p w:rsidR="0002714F" w:rsidRPr="00892DE3" w:rsidRDefault="0002714F" w:rsidP="0002714F">
            <w:pPr>
              <w:pStyle w:val="List"/>
            </w:pPr>
            <w:r w:rsidRPr="00892DE3">
              <w:t>(a)</w:t>
            </w:r>
            <w:r w:rsidRPr="00892DE3">
              <w:tab/>
              <w:t>in relation to an agency with a statutory board or equivalent governing body, that board or governing body; and</w:t>
            </w:r>
          </w:p>
          <w:p w:rsidR="0002714F" w:rsidRPr="00892DE3" w:rsidRDefault="0002714F" w:rsidP="0002714F">
            <w:pPr>
              <w:pStyle w:val="List"/>
            </w:pPr>
            <w:r w:rsidRPr="00892DE3">
              <w:t>(b)</w:t>
            </w:r>
            <w:r w:rsidRPr="00892DE3">
              <w:tab/>
              <w:t xml:space="preserve">in relation to an agency without a statutory board or governing body, that agency’s Accountable Officer. </w:t>
            </w:r>
            <w:r w:rsidRPr="00892DE3">
              <w:rPr>
                <w:rStyle w:val="SourceReference"/>
              </w:rPr>
              <w:t>[SD1.6]</w:t>
            </w:r>
          </w:p>
          <w:p w:rsidR="0002714F" w:rsidRPr="00892DE3" w:rsidRDefault="0002714F" w:rsidP="00D411AE">
            <w:r w:rsidRPr="00892DE3">
              <w:rPr>
                <w:b/>
              </w:rPr>
              <w:t>Classification</w:t>
            </w:r>
            <w:r w:rsidRPr="00892DE3">
              <w:t xml:space="preserve">: When classification of investment property is difficult, an entity shall disclose the criteria it uses to distinguish investment property from owner occupied property and from property held for sale in the ordinary course of business. </w:t>
            </w:r>
            <w:r w:rsidRPr="00892DE3">
              <w:rPr>
                <w:rStyle w:val="SourceReference"/>
              </w:rPr>
              <w:t>[AASB 140.75(c)]</w:t>
            </w:r>
          </w:p>
        </w:tc>
      </w:tr>
    </w:tbl>
    <w:p w:rsidR="0002714F" w:rsidRPr="00892DE3" w:rsidRDefault="0002714F"/>
    <w:p w:rsidR="0002714F" w:rsidRPr="00892DE3" w:rsidRDefault="0002714F">
      <w:r w:rsidRPr="00892DE3">
        <w:rPr>
          <w:b/>
        </w:rPr>
        <w:br w:type="page"/>
      </w:r>
    </w:p>
    <w:tbl>
      <w:tblPr>
        <w:tblStyle w:val="ModelReportGuidanceTable"/>
        <w:tblW w:w="0" w:type="auto"/>
        <w:tblLayout w:type="fixed"/>
        <w:tblLook w:val="04A0" w:firstRow="1" w:lastRow="0" w:firstColumn="1" w:lastColumn="0" w:noHBand="0" w:noVBand="1"/>
      </w:tblPr>
      <w:tblGrid>
        <w:gridCol w:w="9854"/>
      </w:tblGrid>
      <w:tr w:rsidR="0002714F" w:rsidRPr="00892DE3" w:rsidTr="0044350A">
        <w:trPr>
          <w:cnfStyle w:val="100000000000" w:firstRow="1" w:lastRow="0" w:firstColumn="0" w:lastColumn="0" w:oddVBand="0" w:evenVBand="0" w:oddHBand="0" w:evenHBand="0" w:firstRowFirstColumn="0" w:firstRowLastColumn="0" w:lastRowFirstColumn="0" w:lastRowLastColumn="0"/>
          <w:tblHeader/>
        </w:trPr>
        <w:tc>
          <w:tcPr>
            <w:tcW w:w="9854" w:type="dxa"/>
          </w:tcPr>
          <w:p w:rsidR="0002714F" w:rsidRPr="00892DE3" w:rsidRDefault="0002714F" w:rsidP="0002714F">
            <w:r w:rsidRPr="00892DE3">
              <w:t>Guidance – Investment properties</w:t>
            </w:r>
            <w:r w:rsidR="00B55A30" w:rsidRPr="00892DE3">
              <w:t xml:space="preserve"> </w:t>
            </w:r>
            <w:r w:rsidR="00B55A30" w:rsidRPr="00491373">
              <w:rPr>
                <w:i/>
              </w:rPr>
              <w:t>(continued)</w:t>
            </w:r>
          </w:p>
        </w:tc>
      </w:tr>
      <w:tr w:rsidR="0002714F" w:rsidRPr="00892DE3" w:rsidTr="00FD5546">
        <w:trPr>
          <w:trHeight w:val="4644"/>
        </w:trPr>
        <w:tc>
          <w:tcPr>
            <w:tcW w:w="9854" w:type="dxa"/>
          </w:tcPr>
          <w:p w:rsidR="00D411AE" w:rsidRPr="00892DE3" w:rsidRDefault="00D411AE" w:rsidP="00D411AE">
            <w:r w:rsidRPr="00892DE3">
              <w:rPr>
                <w:b/>
              </w:rPr>
              <w:t>Inability to determine fair value reliably</w:t>
            </w:r>
            <w:r w:rsidRPr="00892DE3">
              <w:t xml:space="preserve">: An entity must measure its investment property (after recognition) using the fair value model unless the entity has received prior written approval from the Minister for Finance to use the cost model. </w:t>
            </w:r>
            <w:r w:rsidRPr="00892DE3">
              <w:rPr>
                <w:rStyle w:val="SourceReference"/>
              </w:rPr>
              <w:t>[FRD 107A]</w:t>
            </w:r>
          </w:p>
          <w:p w:rsidR="00D411AE" w:rsidRPr="00892DE3" w:rsidRDefault="00D411AE" w:rsidP="00D411AE">
            <w:r w:rsidRPr="00892DE3">
              <w:t xml:space="preserve">In the exceptional cases where an entity is unable to reliably determine the fair value of an investment property, and accordingly measures that investment property using the cost model, the reconciliation illustrated in this note shall disclose amounts relating to that investment property separately from amounts relating to other investment property. </w:t>
            </w:r>
            <w:r w:rsidRPr="00892DE3">
              <w:br/>
              <w:t>In addition, an entity shall disclose:</w:t>
            </w:r>
          </w:p>
          <w:p w:rsidR="00D411AE" w:rsidRPr="00892DE3" w:rsidRDefault="00D411AE" w:rsidP="00D411AE">
            <w:pPr>
              <w:pStyle w:val="List"/>
            </w:pPr>
            <w:r w:rsidRPr="00892DE3">
              <w:t>(a)</w:t>
            </w:r>
            <w:r w:rsidRPr="00892DE3">
              <w:tab/>
              <w:t>a description of the investment property;</w:t>
            </w:r>
          </w:p>
          <w:p w:rsidR="00D411AE" w:rsidRPr="00892DE3" w:rsidRDefault="00D411AE" w:rsidP="00D411AE">
            <w:pPr>
              <w:pStyle w:val="List"/>
            </w:pPr>
            <w:r w:rsidRPr="00892DE3">
              <w:t>(b)</w:t>
            </w:r>
            <w:r w:rsidRPr="00892DE3">
              <w:tab/>
              <w:t>an explanation of why fair value cannot be determined reliably;</w:t>
            </w:r>
          </w:p>
          <w:p w:rsidR="00D411AE" w:rsidRPr="00892DE3" w:rsidRDefault="00D411AE" w:rsidP="00D411AE">
            <w:pPr>
              <w:pStyle w:val="List"/>
            </w:pPr>
            <w:r w:rsidRPr="00892DE3">
              <w:t>(c)</w:t>
            </w:r>
            <w:r w:rsidRPr="00892DE3">
              <w:tab/>
              <w:t>if possible, the range of estimates in which fair value is highly likely to lie; and</w:t>
            </w:r>
          </w:p>
          <w:p w:rsidR="00D411AE" w:rsidRPr="00892DE3" w:rsidRDefault="00D411AE" w:rsidP="00D411AE">
            <w:pPr>
              <w:pStyle w:val="List"/>
            </w:pPr>
            <w:r w:rsidRPr="00892DE3">
              <w:t>(d)</w:t>
            </w:r>
            <w:r w:rsidRPr="00892DE3">
              <w:tab/>
              <w:t>on disposal of investment property not carried at fair value:</w:t>
            </w:r>
          </w:p>
          <w:p w:rsidR="00D411AE" w:rsidRPr="00892DE3" w:rsidRDefault="00D411AE" w:rsidP="00D411AE">
            <w:pPr>
              <w:pStyle w:val="List2"/>
            </w:pPr>
            <w:r w:rsidRPr="00892DE3">
              <w:t>(i)</w:t>
            </w:r>
            <w:r w:rsidRPr="00892DE3">
              <w:tab/>
              <w:t>the fact that the entity has disposed of investment property not carried at fair value;</w:t>
            </w:r>
          </w:p>
          <w:p w:rsidR="00D411AE" w:rsidRPr="00892DE3" w:rsidRDefault="00D411AE" w:rsidP="00D411AE">
            <w:pPr>
              <w:pStyle w:val="List2"/>
            </w:pPr>
            <w:r w:rsidRPr="00892DE3">
              <w:t>(ii)</w:t>
            </w:r>
            <w:r w:rsidRPr="00892DE3">
              <w:tab/>
              <w:t>the carrying amount of that investment property at the time of sale; and</w:t>
            </w:r>
          </w:p>
          <w:p w:rsidR="00D411AE" w:rsidRPr="00892DE3" w:rsidRDefault="00D411AE" w:rsidP="00D411AE">
            <w:pPr>
              <w:pStyle w:val="List2"/>
            </w:pPr>
            <w:r w:rsidRPr="00892DE3">
              <w:t>(iii)</w:t>
            </w:r>
            <w:r w:rsidRPr="00892DE3">
              <w:tab/>
              <w:t xml:space="preserve">the amount of gain or loss recognised. </w:t>
            </w:r>
            <w:r w:rsidRPr="00892DE3">
              <w:rPr>
                <w:rStyle w:val="SourceReference"/>
              </w:rPr>
              <w:t>[AASB 140.78]</w:t>
            </w:r>
          </w:p>
          <w:p w:rsidR="00D411AE" w:rsidRPr="00892DE3" w:rsidRDefault="00D411AE" w:rsidP="00D411AE">
            <w:r w:rsidRPr="00892DE3">
              <w:rPr>
                <w:b/>
              </w:rPr>
              <w:t>Adjustment for recognised assets and liabilities</w:t>
            </w:r>
            <w:r w:rsidRPr="00892DE3">
              <w:t xml:space="preserve">: When a valuation obtained for investment property is adjusted significantly for the purpose of the financial statements, for example, to avoid double counting of assets or liabilities that are recognised as separate assets and liabilities as described in paragraph 50 of AASB 140, the entity shall disclose a reconciliation between the valuation obtained and the adjusted valuation included in the financial statements, showing separately the aggregate amount of any recognised lease obligations that have been added back, and any other significant adjustments. </w:t>
            </w:r>
            <w:r w:rsidRPr="00892DE3">
              <w:rPr>
                <w:rStyle w:val="SourceReference"/>
              </w:rPr>
              <w:t>[AASB 140.77]</w:t>
            </w:r>
          </w:p>
          <w:p w:rsidR="00D411AE" w:rsidRPr="00892DE3" w:rsidRDefault="00D411AE" w:rsidP="00D411AE">
            <w:r w:rsidRPr="00892DE3">
              <w:rPr>
                <w:b/>
              </w:rPr>
              <w:t>Disclosure requirements</w:t>
            </w:r>
            <w:r w:rsidRPr="00892DE3">
              <w:t>: Entities are required to disclose:</w:t>
            </w:r>
          </w:p>
          <w:p w:rsidR="00D411AE" w:rsidRPr="00892DE3" w:rsidRDefault="00D411AE" w:rsidP="00D411AE">
            <w:pPr>
              <w:pStyle w:val="List"/>
            </w:pPr>
            <w:r w:rsidRPr="00892DE3">
              <w:t>(a)</w:t>
            </w:r>
            <w:r w:rsidRPr="00892DE3">
              <w:tab/>
              <w:t xml:space="preserve">whether, and in what circumstances, property interests held under operating leases are classified and accounted for as investment property; </w:t>
            </w:r>
            <w:r w:rsidRPr="00892DE3">
              <w:rPr>
                <w:rStyle w:val="SourceReference"/>
              </w:rPr>
              <w:t>[AASB 140.75(b)]</w:t>
            </w:r>
          </w:p>
          <w:p w:rsidR="00D411AE" w:rsidRPr="00892DE3" w:rsidRDefault="00D411AE" w:rsidP="00D411AE">
            <w:pPr>
              <w:pStyle w:val="List"/>
            </w:pPr>
            <w:r w:rsidRPr="00892DE3">
              <w:t>(b)</w:t>
            </w:r>
            <w:r w:rsidRPr="00892DE3">
              <w:tab/>
              <w:t>the amounts recognised in the net result for:</w:t>
            </w:r>
          </w:p>
          <w:p w:rsidR="00D411AE" w:rsidRPr="00892DE3" w:rsidRDefault="00D411AE" w:rsidP="00D411AE">
            <w:pPr>
              <w:pStyle w:val="List2"/>
            </w:pPr>
            <w:r w:rsidRPr="00892DE3">
              <w:t>(i)</w:t>
            </w:r>
            <w:r w:rsidRPr="00892DE3">
              <w:tab/>
              <w:t>rental income from investment property;</w:t>
            </w:r>
          </w:p>
          <w:p w:rsidR="00D411AE" w:rsidRPr="00892DE3" w:rsidRDefault="00D411AE" w:rsidP="00D411AE">
            <w:pPr>
              <w:pStyle w:val="List2"/>
            </w:pPr>
            <w:r w:rsidRPr="00892DE3">
              <w:t>(ii)</w:t>
            </w:r>
            <w:r w:rsidRPr="00892DE3">
              <w:tab/>
              <w:t>direct operating expenses (including repairs and maintenance) arising from investment property that generated rental income during the period; and</w:t>
            </w:r>
          </w:p>
          <w:p w:rsidR="00D411AE" w:rsidRPr="00892DE3" w:rsidRDefault="00D411AE" w:rsidP="00D411AE">
            <w:pPr>
              <w:pStyle w:val="List2"/>
            </w:pPr>
            <w:r w:rsidRPr="00892DE3">
              <w:t>(iii)</w:t>
            </w:r>
            <w:r w:rsidRPr="00892DE3">
              <w:tab/>
              <w:t xml:space="preserve">direct operating expenses (including repairs and maintenance) arising from investment property that did not generate rental income during the period; </w:t>
            </w:r>
            <w:r w:rsidRPr="00892DE3">
              <w:rPr>
                <w:rStyle w:val="SourceReference"/>
              </w:rPr>
              <w:t>[AASB 140.75(f)]</w:t>
            </w:r>
          </w:p>
          <w:p w:rsidR="00D411AE" w:rsidRPr="00892DE3" w:rsidRDefault="00D411AE" w:rsidP="00D411AE">
            <w:pPr>
              <w:pStyle w:val="List"/>
            </w:pPr>
            <w:r w:rsidRPr="00892DE3">
              <w:t>(c)</w:t>
            </w:r>
            <w:r w:rsidRPr="00892DE3">
              <w:tab/>
              <w:t xml:space="preserve">the existence and amounts of restrictions on the realisability of investment property or the remittance of income and proceeds of disposal; and </w:t>
            </w:r>
            <w:r w:rsidRPr="00892DE3">
              <w:rPr>
                <w:rStyle w:val="SourceReference"/>
              </w:rPr>
              <w:t>[AASB 140.75(g)]</w:t>
            </w:r>
          </w:p>
          <w:p w:rsidR="00D411AE" w:rsidRPr="00892DE3" w:rsidRDefault="00D411AE" w:rsidP="00D411AE">
            <w:pPr>
              <w:pStyle w:val="List"/>
            </w:pPr>
            <w:r w:rsidRPr="00892DE3">
              <w:t>(d)</w:t>
            </w:r>
            <w:r w:rsidRPr="00892DE3">
              <w:tab/>
              <w:t xml:space="preserve">contractual obligations to purchase, construct or develop investment property or for repairs, maintenance or enhancements. </w:t>
            </w:r>
            <w:r w:rsidRPr="00892DE3">
              <w:rPr>
                <w:rStyle w:val="SourceReference"/>
              </w:rPr>
              <w:t>[AASB 140.75(h)]</w:t>
            </w:r>
          </w:p>
          <w:p w:rsidR="0002714F" w:rsidRPr="00892DE3" w:rsidRDefault="0002714F" w:rsidP="0002714F">
            <w:r w:rsidRPr="00892DE3">
              <w:t>Entities shall disclose reconciliation between the carrying amounts of investment property at the beginning and end of the period, showing the following:</w:t>
            </w:r>
          </w:p>
          <w:p w:rsidR="0002714F" w:rsidRPr="00892DE3" w:rsidRDefault="0002714F" w:rsidP="00621F2E">
            <w:pPr>
              <w:pStyle w:val="List"/>
            </w:pPr>
            <w:r w:rsidRPr="00892DE3">
              <w:t>(a)</w:t>
            </w:r>
            <w:r w:rsidRPr="00892DE3">
              <w:tab/>
              <w:t>additions, disclosing separately those additions resulting from acquisitions and those resulting from subsequent expenditure recognised in the carrying amount of an asset;</w:t>
            </w:r>
          </w:p>
          <w:p w:rsidR="0002714F" w:rsidRPr="00892DE3" w:rsidRDefault="0002714F" w:rsidP="00621F2E">
            <w:pPr>
              <w:pStyle w:val="List"/>
            </w:pPr>
            <w:r w:rsidRPr="00892DE3">
              <w:t>(b)</w:t>
            </w:r>
            <w:r w:rsidRPr="00892DE3">
              <w:tab/>
              <w:t>additions resulting from acquisitions through business combinations;</w:t>
            </w:r>
          </w:p>
          <w:p w:rsidR="0002714F" w:rsidRPr="00892DE3" w:rsidRDefault="0002714F" w:rsidP="00621F2E">
            <w:pPr>
              <w:pStyle w:val="List"/>
            </w:pPr>
            <w:r w:rsidRPr="00892DE3">
              <w:t>(c)</w:t>
            </w:r>
            <w:r w:rsidRPr="00892DE3">
              <w:tab/>
              <w:t>assets classified as held for sale or included in a disposal group in accordance with AASB 5 and other disposals;</w:t>
            </w:r>
          </w:p>
          <w:p w:rsidR="0002714F" w:rsidRPr="00892DE3" w:rsidRDefault="0002714F" w:rsidP="00621F2E">
            <w:pPr>
              <w:pStyle w:val="List"/>
            </w:pPr>
            <w:r w:rsidRPr="00892DE3">
              <w:t>(d)</w:t>
            </w:r>
            <w:r w:rsidRPr="00892DE3">
              <w:tab/>
              <w:t>net gains or losses from fair value adjustments;</w:t>
            </w:r>
          </w:p>
          <w:p w:rsidR="0002714F" w:rsidRPr="00892DE3" w:rsidRDefault="0002714F" w:rsidP="00621F2E">
            <w:pPr>
              <w:pStyle w:val="List"/>
            </w:pPr>
            <w:r w:rsidRPr="00892DE3">
              <w:t>(e)</w:t>
            </w:r>
            <w:r w:rsidRPr="00892DE3">
              <w:tab/>
              <w:t>the net exchange differences arising on the translation of the financial statements into a different presentation currency, and on translation of a foreign operation into the presentation currency of the reporting entity;</w:t>
            </w:r>
          </w:p>
          <w:p w:rsidR="0002714F" w:rsidRPr="00892DE3" w:rsidRDefault="0002714F" w:rsidP="00621F2E">
            <w:pPr>
              <w:pStyle w:val="List"/>
            </w:pPr>
            <w:r w:rsidRPr="00892DE3">
              <w:t>(f)</w:t>
            </w:r>
            <w:r w:rsidRPr="00892DE3">
              <w:tab/>
              <w:t>transfers to and from inventories and owner occupied property; and</w:t>
            </w:r>
          </w:p>
          <w:p w:rsidR="0002714F" w:rsidRPr="00892DE3" w:rsidRDefault="0002714F" w:rsidP="00621F2E">
            <w:pPr>
              <w:pStyle w:val="List"/>
            </w:pPr>
            <w:r w:rsidRPr="00892DE3">
              <w:t>(g)</w:t>
            </w:r>
            <w:r w:rsidRPr="00892DE3">
              <w:tab/>
              <w:t>other changes.</w:t>
            </w:r>
          </w:p>
          <w:p w:rsidR="00621F2E" w:rsidRPr="00892DE3" w:rsidRDefault="00621F2E" w:rsidP="00621F2E">
            <w:r w:rsidRPr="00892DE3">
              <w:rPr>
                <w:rStyle w:val="SourceReference"/>
              </w:rPr>
              <w:t>[AASB 140.76]</w:t>
            </w:r>
          </w:p>
          <w:p w:rsidR="002637E2" w:rsidRPr="00892DE3" w:rsidRDefault="00621F2E" w:rsidP="00E22BEA">
            <w:r w:rsidRPr="00892DE3">
              <w:rPr>
                <w:b/>
                <w:i/>
              </w:rPr>
              <w:t>Illustrative disclosure</w:t>
            </w:r>
            <w:r w:rsidRPr="00892DE3">
              <w:t xml:space="preserve">: </w:t>
            </w:r>
          </w:p>
          <w:p w:rsidR="00621F2E" w:rsidRPr="00892DE3" w:rsidRDefault="00621F2E" w:rsidP="0081558E">
            <w:r w:rsidRPr="00892DE3">
              <w:rPr>
                <w:b/>
              </w:rPr>
              <w:t>Correction of an error:</w:t>
            </w:r>
            <w:r w:rsidRPr="00892DE3">
              <w:t xml:space="preserve"> The investment properties note has been used in the Model to illustrate a third balance sheet required to correct an error from a previous year. The error occurred because the Department of Technology did not recognise an investme</w:t>
            </w:r>
            <w:r w:rsidR="00FD5546" w:rsidRPr="00892DE3">
              <w:t>nt property. Also refer to Note </w:t>
            </w:r>
            <w:r w:rsidRPr="00892DE3">
              <w:t>9.</w:t>
            </w:r>
            <w:r w:rsidR="0081558E" w:rsidRPr="00892DE3">
              <w:t xml:space="preserve">6 </w:t>
            </w:r>
            <w:r w:rsidRPr="00892DE3">
              <w:t xml:space="preserve">for sample disclosure. </w:t>
            </w:r>
            <w:r w:rsidRPr="00892DE3">
              <w:rPr>
                <w:rStyle w:val="SourceReference"/>
              </w:rPr>
              <w:t>[AASB 101.39]</w:t>
            </w:r>
          </w:p>
        </w:tc>
      </w:tr>
    </w:tbl>
    <w:p w:rsidR="00E22BEA" w:rsidRPr="00892DE3" w:rsidRDefault="00E22BEA" w:rsidP="00B60291"/>
    <w:p w:rsidR="00E22BEA" w:rsidRPr="00892DE3" w:rsidRDefault="00E22BEA" w:rsidP="0019303F">
      <w:pPr>
        <w:pStyle w:val="Heading2"/>
      </w:pPr>
      <w:bookmarkStart w:id="117" w:name="_Toc477257489"/>
      <w:bookmarkStart w:id="118" w:name="_Toc478055746"/>
      <w:r w:rsidRPr="00892DE3">
        <w:t>Biological assets</w:t>
      </w:r>
      <w:bookmarkEnd w:id="117"/>
      <w:bookmarkEnd w:id="118"/>
    </w:p>
    <w:p w:rsidR="00E22BEA" w:rsidRPr="00892DE3" w:rsidRDefault="00E22BEA" w:rsidP="00E22BEA">
      <w:r w:rsidRPr="00892DE3">
        <w:t>Biological assets comprise nature forests and livestock and their quantities and measurement bases are disclosed below.</w:t>
      </w:r>
    </w:p>
    <w:tbl>
      <w:tblPr>
        <w:tblStyle w:val="ModelReportFinancialTable"/>
        <w:tblW w:w="0" w:type="auto"/>
        <w:tblLayout w:type="fixed"/>
        <w:tblLook w:val="06E0" w:firstRow="1" w:lastRow="1" w:firstColumn="1" w:lastColumn="0" w:noHBand="1" w:noVBand="1"/>
      </w:tblPr>
      <w:tblGrid>
        <w:gridCol w:w="1475"/>
        <w:gridCol w:w="2154"/>
        <w:gridCol w:w="2340"/>
        <w:gridCol w:w="1080"/>
        <w:gridCol w:w="900"/>
        <w:gridCol w:w="900"/>
        <w:gridCol w:w="875"/>
      </w:tblGrid>
      <w:tr w:rsidR="00E22BEA" w:rsidRPr="00892DE3" w:rsidTr="00645C4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75" w:type="dxa"/>
            <w:tcBorders>
              <w:bottom w:val="nil"/>
            </w:tcBorders>
            <w:shd w:val="clear" w:color="auto" w:fill="auto"/>
          </w:tcPr>
          <w:p w:rsidR="00E22BEA" w:rsidRPr="00892DE3" w:rsidRDefault="00E22BEA" w:rsidP="00E22BEA">
            <w:r w:rsidRPr="00892DE3">
              <w:t>Source reference</w:t>
            </w:r>
          </w:p>
        </w:tc>
        <w:tc>
          <w:tcPr>
            <w:tcW w:w="2154" w:type="dxa"/>
          </w:tcPr>
          <w:p w:rsidR="00E22BEA" w:rsidRPr="00892DE3" w:rsidRDefault="00E22BEA" w:rsidP="00E22BEA">
            <w:pPr>
              <w:jc w:val="left"/>
              <w:cnfStyle w:val="100000000000" w:firstRow="1" w:lastRow="0" w:firstColumn="0" w:lastColumn="0" w:oddVBand="0" w:evenVBand="0" w:oddHBand="0" w:evenHBand="0" w:firstRowFirstColumn="0" w:firstRowLastColumn="0" w:lastRowFirstColumn="0" w:lastRowLastColumn="0"/>
              <w:rPr>
                <w:b/>
              </w:rPr>
            </w:pPr>
          </w:p>
        </w:tc>
        <w:tc>
          <w:tcPr>
            <w:tcW w:w="2340" w:type="dxa"/>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rPr>
                <w:b/>
              </w:rPr>
            </w:pPr>
          </w:p>
        </w:tc>
        <w:tc>
          <w:tcPr>
            <w:tcW w:w="1980" w:type="dxa"/>
            <w:gridSpan w:val="2"/>
            <w:noWrap/>
            <w:hideMark/>
          </w:tcPr>
          <w:p w:rsidR="00E22BEA" w:rsidRPr="00892DE3" w:rsidRDefault="00E22BEA" w:rsidP="00E22BEA">
            <w:pPr>
              <w:jc w:val="center"/>
              <w:cnfStyle w:val="100000000000" w:firstRow="1" w:lastRow="0" w:firstColumn="0" w:lastColumn="0" w:oddVBand="0" w:evenVBand="0" w:oddHBand="0" w:evenHBand="0" w:firstRowFirstColumn="0" w:firstRowLastColumn="0" w:lastRowFirstColumn="0" w:lastRowLastColumn="0"/>
            </w:pPr>
            <w:r w:rsidRPr="00892DE3">
              <w:t>Quantities</w:t>
            </w:r>
          </w:p>
        </w:tc>
        <w:tc>
          <w:tcPr>
            <w:tcW w:w="1775" w:type="dxa"/>
            <w:gridSpan w:val="2"/>
            <w:hideMark/>
          </w:tcPr>
          <w:p w:rsidR="00E22BEA" w:rsidRPr="00892DE3" w:rsidRDefault="00E22BEA" w:rsidP="00E22BEA">
            <w:pPr>
              <w:jc w:val="center"/>
              <w:cnfStyle w:val="100000000000" w:firstRow="1" w:lastRow="0" w:firstColumn="0" w:lastColumn="0" w:oddVBand="0" w:evenVBand="0" w:oddHBand="0" w:evenHBand="0" w:firstRowFirstColumn="0" w:firstRowLastColumn="0" w:lastRowFirstColumn="0" w:lastRowLastColumn="0"/>
            </w:pPr>
            <w:r w:rsidRPr="00892DE3">
              <w:t>Carrying amount</w:t>
            </w:r>
            <w:r w:rsidRPr="00892DE3">
              <w:br/>
              <w:t>($ thousand)</w:t>
            </w:r>
          </w:p>
        </w:tc>
      </w:tr>
      <w:tr w:rsidR="00E22BEA" w:rsidRPr="00892DE3" w:rsidTr="00645C4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75" w:type="dxa"/>
            <w:tcBorders>
              <w:bottom w:val="nil"/>
            </w:tcBorders>
            <w:shd w:val="clear" w:color="auto" w:fill="auto"/>
            <w:hideMark/>
          </w:tcPr>
          <w:p w:rsidR="00E22BEA" w:rsidRPr="00892DE3" w:rsidRDefault="00E22BEA" w:rsidP="00E22BEA"/>
        </w:tc>
        <w:tc>
          <w:tcPr>
            <w:tcW w:w="2154" w:type="dxa"/>
            <w:hideMark/>
          </w:tcPr>
          <w:p w:rsidR="00E22BEA" w:rsidRPr="00892DE3" w:rsidRDefault="00E22BEA" w:rsidP="00E22BEA">
            <w:pPr>
              <w:jc w:val="left"/>
              <w:cnfStyle w:val="100000000000" w:firstRow="1" w:lastRow="0" w:firstColumn="0" w:lastColumn="0" w:oddVBand="0" w:evenVBand="0" w:oddHBand="0" w:evenHBand="0" w:firstRowFirstColumn="0" w:firstRowLastColumn="0" w:lastRowFirstColumn="0" w:lastRowLastColumn="0"/>
            </w:pPr>
            <w:r w:rsidRPr="00892DE3">
              <w:t xml:space="preserve"> Biological asset</w:t>
            </w:r>
          </w:p>
        </w:tc>
        <w:tc>
          <w:tcPr>
            <w:tcW w:w="2340" w:type="dxa"/>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Measurement basis</w:t>
            </w:r>
          </w:p>
        </w:tc>
        <w:tc>
          <w:tcPr>
            <w:tcW w:w="1080" w:type="dxa"/>
            <w:noWrap/>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2017</w:t>
            </w:r>
          </w:p>
        </w:tc>
        <w:tc>
          <w:tcPr>
            <w:tcW w:w="900" w:type="dxa"/>
            <w:noWrap/>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2016</w:t>
            </w:r>
          </w:p>
        </w:tc>
        <w:tc>
          <w:tcPr>
            <w:tcW w:w="900" w:type="dxa"/>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2017</w:t>
            </w:r>
          </w:p>
        </w:tc>
        <w:tc>
          <w:tcPr>
            <w:tcW w:w="875" w:type="dxa"/>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2016</w:t>
            </w:r>
          </w:p>
        </w:tc>
      </w:tr>
      <w:tr w:rsidR="00E22BEA" w:rsidRPr="00892DE3" w:rsidTr="00645C42">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hideMark/>
          </w:tcPr>
          <w:p w:rsidR="00E22BEA" w:rsidRPr="00892DE3" w:rsidRDefault="00E22BEA" w:rsidP="00645C42">
            <w:r w:rsidRPr="00892DE3">
              <w:t>AASB 141.41 and 42</w:t>
            </w:r>
          </w:p>
        </w:tc>
        <w:tc>
          <w:tcPr>
            <w:tcW w:w="2154" w:type="dxa"/>
            <w:hideMark/>
          </w:tcPr>
          <w:p w:rsidR="00E22BEA" w:rsidRPr="00892DE3" w:rsidRDefault="00E22BEA" w:rsidP="00E22BEA">
            <w:pPr>
              <w:jc w:val="left"/>
              <w:cnfStyle w:val="000000000000" w:firstRow="0" w:lastRow="0" w:firstColumn="0" w:lastColumn="0" w:oddVBand="0" w:evenVBand="0" w:oddHBand="0" w:evenHBand="0" w:firstRowFirstColumn="0" w:firstRowLastColumn="0" w:lastRowFirstColumn="0" w:lastRowLastColumn="0"/>
            </w:pPr>
            <w:r w:rsidRPr="00892DE3">
              <w:t>Timber volume</w:t>
            </w:r>
          </w:p>
        </w:tc>
        <w:tc>
          <w:tcPr>
            <w:tcW w:w="2340" w:type="dxa"/>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Cubic metres</w:t>
            </w:r>
          </w:p>
        </w:tc>
        <w:tc>
          <w:tcPr>
            <w:tcW w:w="1080" w:type="dxa"/>
            <w:shd w:val="clear" w:color="auto" w:fill="EBEBEB" w:themeFill="background2"/>
            <w:noWrap/>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5 000</w:t>
            </w:r>
          </w:p>
        </w:tc>
        <w:tc>
          <w:tcPr>
            <w:tcW w:w="900" w:type="dxa"/>
            <w:noWrap/>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00"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2 749</w:t>
            </w:r>
          </w:p>
        </w:tc>
        <w:tc>
          <w:tcPr>
            <w:tcW w:w="875"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E22BEA" w:rsidRPr="00892DE3" w:rsidTr="00645C42">
        <w:trPr>
          <w:trHeight w:val="66"/>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E22BEA" w:rsidRPr="00892DE3" w:rsidRDefault="00E22BEA" w:rsidP="00E22BEA"/>
        </w:tc>
        <w:tc>
          <w:tcPr>
            <w:tcW w:w="2154" w:type="dxa"/>
            <w:tcBorders>
              <w:bottom w:val="single" w:sz="4" w:space="0" w:color="auto"/>
            </w:tcBorders>
            <w:hideMark/>
          </w:tcPr>
          <w:p w:rsidR="00E22BEA" w:rsidRPr="00892DE3" w:rsidRDefault="00E22BEA" w:rsidP="00E22BEA">
            <w:pPr>
              <w:jc w:val="left"/>
              <w:cnfStyle w:val="000000000000" w:firstRow="0" w:lastRow="0" w:firstColumn="0" w:lastColumn="0" w:oddVBand="0" w:evenVBand="0" w:oddHBand="0" w:evenHBand="0" w:firstRowFirstColumn="0" w:firstRowLastColumn="0" w:lastRowFirstColumn="0" w:lastRowLastColumn="0"/>
            </w:pPr>
            <w:r w:rsidRPr="00892DE3">
              <w:t>Breeding livestock</w:t>
            </w:r>
          </w:p>
        </w:tc>
        <w:tc>
          <w:tcPr>
            <w:tcW w:w="2340" w:type="dxa"/>
            <w:tcBorders>
              <w:bottom w:val="single" w:sz="4" w:space="0" w:color="auto"/>
            </w:tcBorders>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Headcount</w:t>
            </w:r>
          </w:p>
        </w:tc>
        <w:tc>
          <w:tcPr>
            <w:tcW w:w="1080" w:type="dxa"/>
            <w:tcBorders>
              <w:bottom w:val="single" w:sz="4" w:space="0" w:color="auto"/>
            </w:tcBorders>
            <w:shd w:val="clear" w:color="auto" w:fill="EBEBEB" w:themeFill="background2"/>
            <w:noWrap/>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 xml:space="preserve"> 236</w:t>
            </w:r>
          </w:p>
        </w:tc>
        <w:tc>
          <w:tcPr>
            <w:tcW w:w="900" w:type="dxa"/>
            <w:tcBorders>
              <w:bottom w:val="single" w:sz="4" w:space="0" w:color="auto"/>
            </w:tcBorders>
            <w:noWrap/>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00" w:type="dxa"/>
            <w:tcBorders>
              <w:bottom w:val="single" w:sz="4" w:space="0" w:color="auto"/>
            </w:tcBorders>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1 285</w:t>
            </w:r>
          </w:p>
        </w:tc>
        <w:tc>
          <w:tcPr>
            <w:tcW w:w="875" w:type="dxa"/>
            <w:tcBorders>
              <w:bottom w:val="single" w:sz="4" w:space="0" w:color="auto"/>
            </w:tcBorders>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E22BEA" w:rsidRPr="00892DE3" w:rsidTr="00645C42">
        <w:trPr>
          <w:cnfStyle w:val="010000000000" w:firstRow="0" w:lastRow="1" w:firstColumn="0" w:lastColumn="0" w:oddVBand="0" w:evenVBand="0" w:oddHBand="0" w:evenHBand="0" w:firstRowFirstColumn="0" w:firstRowLastColumn="0" w:lastRowFirstColumn="0" w:lastRowLastColumn="0"/>
          <w:trHeight w:val="66"/>
        </w:trPr>
        <w:tc>
          <w:tcPr>
            <w:cnfStyle w:val="001000000001" w:firstRow="0" w:lastRow="0" w:firstColumn="1" w:lastColumn="0" w:oddVBand="0" w:evenVBand="0" w:oddHBand="0" w:evenHBand="0" w:firstRowFirstColumn="0" w:firstRowLastColumn="0" w:lastRowFirstColumn="1" w:lastRowLastColumn="0"/>
            <w:tcW w:w="1475" w:type="dxa"/>
            <w:shd w:val="clear" w:color="auto" w:fill="auto"/>
            <w:hideMark/>
          </w:tcPr>
          <w:p w:rsidR="00E22BEA" w:rsidRPr="00892DE3" w:rsidRDefault="00E22BEA" w:rsidP="00E22BEA"/>
        </w:tc>
        <w:tc>
          <w:tcPr>
            <w:tcW w:w="2154" w:type="dxa"/>
            <w:tcBorders>
              <w:top w:val="single" w:sz="4" w:space="0" w:color="auto"/>
            </w:tcBorders>
            <w:hideMark/>
          </w:tcPr>
          <w:p w:rsidR="00E22BEA" w:rsidRPr="00892DE3" w:rsidRDefault="00E22BEA" w:rsidP="00645C42">
            <w:pPr>
              <w:jc w:val="left"/>
              <w:cnfStyle w:val="010000000000" w:firstRow="0" w:lastRow="1" w:firstColumn="0" w:lastColumn="0" w:oddVBand="0" w:evenVBand="0" w:oddHBand="0" w:evenHBand="0" w:firstRowFirstColumn="0" w:firstRowLastColumn="0" w:lastRowFirstColumn="0" w:lastRowLastColumn="0"/>
            </w:pPr>
            <w:r w:rsidRPr="00892DE3">
              <w:t>Total carrying amount</w:t>
            </w:r>
          </w:p>
        </w:tc>
        <w:tc>
          <w:tcPr>
            <w:tcW w:w="2340" w:type="dxa"/>
            <w:tcBorders>
              <w:top w:val="single" w:sz="4" w:space="0" w:color="auto"/>
            </w:tcBorders>
          </w:tcPr>
          <w:p w:rsidR="00E22BEA" w:rsidRPr="00892DE3" w:rsidRDefault="00E22BEA" w:rsidP="00645C42">
            <w:pPr>
              <w:cnfStyle w:val="010000000000" w:firstRow="0" w:lastRow="1" w:firstColumn="0" w:lastColumn="0" w:oddVBand="0" w:evenVBand="0" w:oddHBand="0" w:evenHBand="0" w:firstRowFirstColumn="0" w:firstRowLastColumn="0" w:lastRowFirstColumn="0" w:lastRowLastColumn="0"/>
            </w:pPr>
          </w:p>
        </w:tc>
        <w:tc>
          <w:tcPr>
            <w:tcW w:w="1080" w:type="dxa"/>
            <w:tcBorders>
              <w:top w:val="single" w:sz="4" w:space="0" w:color="auto"/>
            </w:tcBorders>
            <w:shd w:val="clear" w:color="auto" w:fill="EBEBEB" w:themeFill="background2"/>
            <w:noWrap/>
          </w:tcPr>
          <w:p w:rsidR="00E22BEA" w:rsidRPr="00892DE3" w:rsidRDefault="00E22BEA" w:rsidP="00645C42">
            <w:pPr>
              <w:cnfStyle w:val="010000000000" w:firstRow="0" w:lastRow="1" w:firstColumn="0" w:lastColumn="0" w:oddVBand="0" w:evenVBand="0" w:oddHBand="0" w:evenHBand="0" w:firstRowFirstColumn="0" w:firstRowLastColumn="0" w:lastRowFirstColumn="0" w:lastRowLastColumn="0"/>
            </w:pPr>
            <w:r w:rsidRPr="00892DE3">
              <w:t>n.a.</w:t>
            </w:r>
          </w:p>
        </w:tc>
        <w:tc>
          <w:tcPr>
            <w:tcW w:w="900" w:type="dxa"/>
            <w:tcBorders>
              <w:top w:val="single" w:sz="4" w:space="0" w:color="auto"/>
            </w:tcBorders>
            <w:noWrap/>
          </w:tcPr>
          <w:p w:rsidR="00E22BEA" w:rsidRPr="00892DE3" w:rsidRDefault="00E22BEA" w:rsidP="00645C42">
            <w:pPr>
              <w:cnfStyle w:val="010000000000" w:firstRow="0" w:lastRow="1" w:firstColumn="0" w:lastColumn="0" w:oddVBand="0" w:evenVBand="0" w:oddHBand="0" w:evenHBand="0" w:firstRowFirstColumn="0" w:firstRowLastColumn="0" w:lastRowFirstColumn="0" w:lastRowLastColumn="0"/>
            </w:pPr>
          </w:p>
        </w:tc>
        <w:tc>
          <w:tcPr>
            <w:tcW w:w="900" w:type="dxa"/>
            <w:tcBorders>
              <w:top w:val="single" w:sz="4" w:space="0" w:color="auto"/>
            </w:tcBorders>
            <w:shd w:val="clear" w:color="auto" w:fill="EBEBEB" w:themeFill="background2"/>
            <w:hideMark/>
          </w:tcPr>
          <w:p w:rsidR="00E22BEA" w:rsidRPr="00892DE3" w:rsidRDefault="00E22BEA" w:rsidP="00645C42">
            <w:pPr>
              <w:cnfStyle w:val="010000000000" w:firstRow="0" w:lastRow="1" w:firstColumn="0" w:lastColumn="0" w:oddVBand="0" w:evenVBand="0" w:oddHBand="0" w:evenHBand="0" w:firstRowFirstColumn="0" w:firstRowLastColumn="0" w:lastRowFirstColumn="0" w:lastRowLastColumn="0"/>
            </w:pPr>
            <w:r w:rsidRPr="00892DE3">
              <w:t>4 034</w:t>
            </w:r>
          </w:p>
        </w:tc>
        <w:tc>
          <w:tcPr>
            <w:tcW w:w="875" w:type="dxa"/>
            <w:tcBorders>
              <w:top w:val="single" w:sz="4" w:space="0" w:color="auto"/>
            </w:tcBorders>
            <w:hideMark/>
          </w:tcPr>
          <w:p w:rsidR="00E22BEA" w:rsidRPr="00892DE3" w:rsidRDefault="00645C42" w:rsidP="00645C42">
            <w:pPr>
              <w:cnfStyle w:val="010000000000" w:firstRow="0" w:lastRow="1" w:firstColumn="0" w:lastColumn="0" w:oddVBand="0" w:evenVBand="0" w:oddHBand="0" w:evenHBand="0" w:firstRowFirstColumn="0" w:firstRowLastColumn="0" w:lastRowFirstColumn="0" w:lastRowLastColumn="0"/>
            </w:pPr>
            <w:r w:rsidRPr="00892DE3">
              <w:t>..</w:t>
            </w:r>
          </w:p>
        </w:tc>
      </w:tr>
    </w:tbl>
    <w:p w:rsidR="00E22BEA" w:rsidRPr="00892DE3" w:rsidRDefault="00E22BEA" w:rsidP="00E22BEA">
      <w:r w:rsidRPr="00892DE3">
        <w:t>Biological assets are measured at fair value less costs to sell, with any changes recognised in the comprehensive operating statement –‘other economic flows’. Costs to sell include all costs that would be necessary to sell the assets, including freight and direct selling costs.</w:t>
      </w:r>
    </w:p>
    <w:p w:rsidR="00E22BEA" w:rsidRPr="00892DE3" w:rsidRDefault="00E22BEA" w:rsidP="00E22BEA">
      <w:r w:rsidRPr="00892DE3">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rsidR="00E22BEA" w:rsidRPr="00892DE3" w:rsidRDefault="00E22BEA" w:rsidP="00E22BEA">
      <w:r w:rsidRPr="00892DE3">
        <w:t>In the event market determined prices or values are not available for a biological asset in its present condition, the present value of the expected net cash flows from the asset, discounted at a current market determined rate is utilised to determine fair value.</w:t>
      </w:r>
    </w:p>
    <w:p w:rsidR="005B5223" w:rsidRPr="00892DE3" w:rsidRDefault="005B5223" w:rsidP="005B5223">
      <w:r w:rsidRPr="00892DE3">
        <w:t>The fair value less costs to sell of timber harvested during the period was</w:t>
      </w:r>
      <w:r w:rsidRPr="00892DE3">
        <w:rPr>
          <w:iCs/>
        </w:rPr>
        <w:t xml:space="preserve"> </w:t>
      </w:r>
      <w:r w:rsidRPr="00892DE3">
        <w:t>$1.56 million.</w:t>
      </w:r>
    </w:p>
    <w:p w:rsidR="005B5223" w:rsidRPr="00892DE3" w:rsidRDefault="005B5223" w:rsidP="005B5223">
      <w:r w:rsidRPr="00892DE3">
        <w:t>As at 30 June 2017, the Department had commitments for the acquisition of breeding livestock amounting to $150 000 (2014: $nil).</w:t>
      </w:r>
    </w:p>
    <w:p w:rsidR="005B5223" w:rsidRPr="00892DE3" w:rsidRDefault="005B5223" w:rsidP="00E22BEA">
      <w:r w:rsidRPr="00892DE3">
        <w:t>The Department is exposed to financial risks in respect of its biological activities, in particular, the commercial native forests. The primary financial risk occurs due to the length of time between expending cash on the purchase, planting and maintenance of trees and on felling the adult trees and ultimately receiving the cash from the eventual sale to third parties. The Department manages these risks by actively reviewing and managing the working capital requirements of these activities.</w:t>
      </w:r>
    </w:p>
    <w:p w:rsidR="00E22BEA" w:rsidRPr="00892DE3" w:rsidRDefault="00E22BEA" w:rsidP="00E22BEA">
      <w:pPr>
        <w:pStyle w:val="TableHeading"/>
      </w:pPr>
      <w:r w:rsidRPr="00892DE3">
        <w:t xml:space="preserve">Reconciliation of movement in carrying amounts </w:t>
      </w:r>
      <w:r w:rsidRPr="00892DE3">
        <w:rPr>
          <w:rStyle w:val="SourceReference"/>
          <w:b w:val="0"/>
        </w:rPr>
        <w:t>[AASB 141.50]</w:t>
      </w:r>
      <w:r w:rsidRPr="00892DE3">
        <w:t xml:space="preserve"> </w:t>
      </w:r>
      <w:r w:rsidRPr="00892DE3">
        <w:tab/>
        <w:t>($ thousand)</w:t>
      </w:r>
    </w:p>
    <w:tbl>
      <w:tblPr>
        <w:tblStyle w:val="ModelReportFinancialTable"/>
        <w:tblW w:w="0" w:type="auto"/>
        <w:tblLayout w:type="fixed"/>
        <w:tblLook w:val="06A0" w:firstRow="1" w:lastRow="0" w:firstColumn="1" w:lastColumn="0" w:noHBand="1" w:noVBand="1"/>
      </w:tblPr>
      <w:tblGrid>
        <w:gridCol w:w="1475"/>
        <w:gridCol w:w="3685"/>
        <w:gridCol w:w="760"/>
        <w:gridCol w:w="761"/>
        <w:gridCol w:w="761"/>
        <w:gridCol w:w="760"/>
        <w:gridCol w:w="761"/>
        <w:gridCol w:w="761"/>
      </w:tblGrid>
      <w:tr w:rsidR="00E22BEA" w:rsidRPr="00892DE3" w:rsidTr="00645C4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75" w:type="dxa"/>
            <w:tcBorders>
              <w:bottom w:val="nil"/>
            </w:tcBorders>
            <w:shd w:val="clear" w:color="auto" w:fill="auto"/>
          </w:tcPr>
          <w:p w:rsidR="00E22BEA" w:rsidRPr="00892DE3" w:rsidRDefault="00E22BEA" w:rsidP="00E22BEA">
            <w:r w:rsidRPr="00892DE3">
              <w:t>Source reference</w:t>
            </w:r>
          </w:p>
        </w:tc>
        <w:tc>
          <w:tcPr>
            <w:tcW w:w="3685" w:type="dxa"/>
          </w:tcPr>
          <w:p w:rsidR="00E22BEA" w:rsidRPr="00892DE3" w:rsidRDefault="00E22BEA" w:rsidP="00E22BEA">
            <w:pPr>
              <w:spacing w:before="0" w:after="0" w:line="240" w:lineRule="atLeast"/>
              <w:jc w:val="left"/>
              <w:cnfStyle w:val="100000000000" w:firstRow="1" w:lastRow="0" w:firstColumn="0" w:lastColumn="0" w:oddVBand="0" w:evenVBand="0" w:oddHBand="0" w:evenHBand="0" w:firstRowFirstColumn="0" w:firstRowLastColumn="0" w:lastRowFirstColumn="0" w:lastRowLastColumn="0"/>
              <w:rPr>
                <w:sz w:val="20"/>
                <w:szCs w:val="20"/>
              </w:rPr>
            </w:pPr>
          </w:p>
        </w:tc>
        <w:tc>
          <w:tcPr>
            <w:tcW w:w="1521" w:type="dxa"/>
            <w:gridSpan w:val="2"/>
            <w:hideMark/>
          </w:tcPr>
          <w:p w:rsidR="00E22BEA" w:rsidRPr="00892DE3" w:rsidRDefault="00E22BEA" w:rsidP="00E22BEA">
            <w:pPr>
              <w:jc w:val="center"/>
              <w:cnfStyle w:val="100000000000" w:firstRow="1" w:lastRow="0" w:firstColumn="0" w:lastColumn="0" w:oddVBand="0" w:evenVBand="0" w:oddHBand="0" w:evenHBand="0" w:firstRowFirstColumn="0" w:firstRowLastColumn="0" w:lastRowFirstColumn="0" w:lastRowLastColumn="0"/>
            </w:pPr>
            <w:r w:rsidRPr="00892DE3">
              <w:t>Livestock</w:t>
            </w:r>
          </w:p>
        </w:tc>
        <w:tc>
          <w:tcPr>
            <w:tcW w:w="1521" w:type="dxa"/>
            <w:gridSpan w:val="2"/>
            <w:hideMark/>
          </w:tcPr>
          <w:p w:rsidR="00E22BEA" w:rsidRPr="00892DE3" w:rsidRDefault="00E22BEA" w:rsidP="00E22BEA">
            <w:pPr>
              <w:jc w:val="center"/>
              <w:cnfStyle w:val="100000000000" w:firstRow="1" w:lastRow="0" w:firstColumn="0" w:lastColumn="0" w:oddVBand="0" w:evenVBand="0" w:oddHBand="0" w:evenHBand="0" w:firstRowFirstColumn="0" w:firstRowLastColumn="0" w:lastRowFirstColumn="0" w:lastRowLastColumn="0"/>
            </w:pPr>
            <w:r w:rsidRPr="00892DE3">
              <w:t>Nature forests</w:t>
            </w:r>
          </w:p>
        </w:tc>
        <w:tc>
          <w:tcPr>
            <w:tcW w:w="1522" w:type="dxa"/>
            <w:gridSpan w:val="2"/>
            <w:hideMark/>
          </w:tcPr>
          <w:p w:rsidR="00E22BEA" w:rsidRPr="00892DE3" w:rsidRDefault="00E22BEA" w:rsidP="00E22BEA">
            <w:pPr>
              <w:jc w:val="center"/>
              <w:cnfStyle w:val="100000000000" w:firstRow="1" w:lastRow="0" w:firstColumn="0" w:lastColumn="0" w:oddVBand="0" w:evenVBand="0" w:oddHBand="0" w:evenHBand="0" w:firstRowFirstColumn="0" w:firstRowLastColumn="0" w:lastRowFirstColumn="0" w:lastRowLastColumn="0"/>
            </w:pPr>
            <w:r w:rsidRPr="00892DE3">
              <w:t>Total</w:t>
            </w:r>
          </w:p>
        </w:tc>
      </w:tr>
      <w:tr w:rsidR="00E22BEA" w:rsidRPr="00892DE3" w:rsidTr="00645C4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75" w:type="dxa"/>
            <w:tcBorders>
              <w:bottom w:val="nil"/>
            </w:tcBorders>
            <w:shd w:val="clear" w:color="auto" w:fill="auto"/>
            <w:hideMark/>
          </w:tcPr>
          <w:p w:rsidR="00E22BEA" w:rsidRPr="00892DE3" w:rsidRDefault="00E22BEA" w:rsidP="00E22BEA"/>
        </w:tc>
        <w:tc>
          <w:tcPr>
            <w:tcW w:w="3685" w:type="dxa"/>
            <w:hideMark/>
          </w:tcPr>
          <w:p w:rsidR="00E22BEA" w:rsidRPr="00892DE3" w:rsidRDefault="00E22BEA" w:rsidP="00E22BEA">
            <w:pPr>
              <w:spacing w:before="0" w:after="0" w:line="240" w:lineRule="atLeast"/>
              <w:jc w:val="left"/>
              <w:cnfStyle w:val="100000000000" w:firstRow="1" w:lastRow="0" w:firstColumn="0" w:lastColumn="0" w:oddVBand="0" w:evenVBand="0" w:oddHBand="0" w:evenHBand="0" w:firstRowFirstColumn="0" w:firstRowLastColumn="0" w:lastRowFirstColumn="0" w:lastRowLastColumn="0"/>
              <w:rPr>
                <w:sz w:val="20"/>
                <w:szCs w:val="20"/>
              </w:rPr>
            </w:pPr>
            <w:r w:rsidRPr="00892DE3">
              <w:rPr>
                <w:sz w:val="20"/>
                <w:szCs w:val="20"/>
              </w:rPr>
              <w:t xml:space="preserve"> </w:t>
            </w:r>
          </w:p>
        </w:tc>
        <w:tc>
          <w:tcPr>
            <w:tcW w:w="760" w:type="dxa"/>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2017</w:t>
            </w:r>
          </w:p>
        </w:tc>
        <w:tc>
          <w:tcPr>
            <w:tcW w:w="761" w:type="dxa"/>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2016</w:t>
            </w:r>
          </w:p>
        </w:tc>
        <w:tc>
          <w:tcPr>
            <w:tcW w:w="761" w:type="dxa"/>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2017</w:t>
            </w:r>
          </w:p>
        </w:tc>
        <w:tc>
          <w:tcPr>
            <w:tcW w:w="760" w:type="dxa"/>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2016</w:t>
            </w:r>
          </w:p>
        </w:tc>
        <w:tc>
          <w:tcPr>
            <w:tcW w:w="761" w:type="dxa"/>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2017</w:t>
            </w:r>
          </w:p>
        </w:tc>
        <w:tc>
          <w:tcPr>
            <w:tcW w:w="761" w:type="dxa"/>
            <w:hideMark/>
          </w:tcPr>
          <w:p w:rsidR="00E22BEA" w:rsidRPr="00892DE3" w:rsidRDefault="00E22BEA" w:rsidP="00F73105">
            <w:pPr>
              <w:cnfStyle w:val="100000000000" w:firstRow="1" w:lastRow="0" w:firstColumn="0" w:lastColumn="0" w:oddVBand="0" w:evenVBand="0" w:oddHBand="0" w:evenHBand="0" w:firstRowFirstColumn="0" w:firstRowLastColumn="0" w:lastRowFirstColumn="0" w:lastRowLastColumn="0"/>
            </w:pPr>
            <w:r w:rsidRPr="00892DE3">
              <w:t>2016</w:t>
            </w:r>
          </w:p>
        </w:tc>
      </w:tr>
      <w:tr w:rsidR="00E22BEA" w:rsidRPr="00892DE3" w:rsidTr="00645C42">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hideMark/>
          </w:tcPr>
          <w:p w:rsidR="00E22BEA" w:rsidRPr="00892DE3" w:rsidRDefault="00E22BEA" w:rsidP="00E22BEA"/>
        </w:tc>
        <w:tc>
          <w:tcPr>
            <w:tcW w:w="3685" w:type="dxa"/>
            <w:hideMark/>
          </w:tcPr>
          <w:p w:rsidR="00E22BEA" w:rsidRPr="00892DE3" w:rsidRDefault="00E22BEA" w:rsidP="00E22BEA">
            <w:pPr>
              <w:jc w:val="left"/>
              <w:cnfStyle w:val="000000000000" w:firstRow="0" w:lastRow="0" w:firstColumn="0" w:lastColumn="0" w:oddVBand="0" w:evenVBand="0" w:oddHBand="0" w:evenHBand="0" w:firstRowFirstColumn="0" w:firstRowLastColumn="0" w:lastRowFirstColumn="0" w:lastRowLastColumn="0"/>
            </w:pPr>
            <w:r w:rsidRPr="00892DE3">
              <w:t>Carrying amount at beginning of period</w:t>
            </w:r>
          </w:p>
        </w:tc>
        <w:tc>
          <w:tcPr>
            <w:tcW w:w="760" w:type="dxa"/>
            <w:shd w:val="clear" w:color="auto" w:fill="EBEBEB" w:themeFill="background2"/>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r w:rsidR="00E22BEA" w:rsidRPr="00892DE3">
              <w:t xml:space="preserve"> </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r w:rsidR="00E22BEA" w:rsidRPr="00892DE3">
              <w:t xml:space="preserve"> </w:t>
            </w:r>
          </w:p>
        </w:tc>
        <w:tc>
          <w:tcPr>
            <w:tcW w:w="761" w:type="dxa"/>
            <w:shd w:val="clear" w:color="auto" w:fill="EBEBEB" w:themeFill="background2"/>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0"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rPr>
                <w:b/>
              </w:rPr>
            </w:pPr>
            <w:r w:rsidRPr="00892DE3">
              <w:t>..</w:t>
            </w:r>
          </w:p>
        </w:tc>
        <w:tc>
          <w:tcPr>
            <w:tcW w:w="761" w:type="dxa"/>
            <w:shd w:val="clear" w:color="auto" w:fill="EBEBEB" w:themeFill="background2"/>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E22BEA" w:rsidRPr="00892DE3" w:rsidTr="00645C42">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E22BEA" w:rsidRPr="00892DE3" w:rsidRDefault="00E22BEA" w:rsidP="00E22BEA"/>
        </w:tc>
        <w:tc>
          <w:tcPr>
            <w:tcW w:w="3685" w:type="dxa"/>
            <w:hideMark/>
          </w:tcPr>
          <w:p w:rsidR="00E22BEA" w:rsidRPr="00892DE3" w:rsidRDefault="00E22BEA" w:rsidP="00E22BEA">
            <w:pPr>
              <w:jc w:val="left"/>
              <w:cnfStyle w:val="000000000000" w:firstRow="0" w:lastRow="0" w:firstColumn="0" w:lastColumn="0" w:oddVBand="0" w:evenVBand="0" w:oddHBand="0" w:evenHBand="0" w:firstRowFirstColumn="0" w:firstRowLastColumn="0" w:lastRowFirstColumn="0" w:lastRowLastColumn="0"/>
            </w:pPr>
            <w:r w:rsidRPr="00892DE3">
              <w:t>Increases due to acquisition/transfers in</w:t>
            </w:r>
          </w:p>
        </w:tc>
        <w:tc>
          <w:tcPr>
            <w:tcW w:w="760"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2 545</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 xml:space="preserve"> 657</w:t>
            </w:r>
          </w:p>
        </w:tc>
        <w:tc>
          <w:tcPr>
            <w:tcW w:w="760"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 xml:space="preserve"> 3 202</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E22BEA" w:rsidRPr="00892DE3" w:rsidTr="00645C42">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E22BEA" w:rsidRPr="00892DE3" w:rsidRDefault="00E22BEA" w:rsidP="00E22BEA">
            <w:r w:rsidRPr="00892DE3">
              <w:t>AASB 141.50(b)</w:t>
            </w:r>
          </w:p>
        </w:tc>
        <w:tc>
          <w:tcPr>
            <w:tcW w:w="3685" w:type="dxa"/>
            <w:hideMark/>
          </w:tcPr>
          <w:p w:rsidR="00E22BEA" w:rsidRPr="00892DE3" w:rsidRDefault="00E22BEA" w:rsidP="00E22BEA">
            <w:pPr>
              <w:jc w:val="left"/>
              <w:cnfStyle w:val="000000000000" w:firstRow="0" w:lastRow="0" w:firstColumn="0" w:lastColumn="0" w:oddVBand="0" w:evenVBand="0" w:oddHBand="0" w:evenHBand="0" w:firstRowFirstColumn="0" w:firstRowLastColumn="0" w:lastRowFirstColumn="0" w:lastRowLastColumn="0"/>
            </w:pPr>
            <w:r w:rsidRPr="00892DE3">
              <w:t>Increases due to purchases</w:t>
            </w:r>
          </w:p>
        </w:tc>
        <w:tc>
          <w:tcPr>
            <w:tcW w:w="760" w:type="dxa"/>
            <w:shd w:val="clear" w:color="auto" w:fill="EBEBEB" w:themeFill="background2"/>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 xml:space="preserve"> 856</w:t>
            </w:r>
          </w:p>
        </w:tc>
        <w:tc>
          <w:tcPr>
            <w:tcW w:w="760"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 xml:space="preserve"> 856</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E22BEA" w:rsidRPr="00892DE3" w:rsidTr="00645C42">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E22BEA" w:rsidRPr="00892DE3" w:rsidRDefault="00E22BEA" w:rsidP="00E22BEA">
            <w:r w:rsidRPr="00892DE3">
              <w:t>AASB 141.50(a)</w:t>
            </w:r>
          </w:p>
        </w:tc>
        <w:tc>
          <w:tcPr>
            <w:tcW w:w="3685" w:type="dxa"/>
            <w:hideMark/>
          </w:tcPr>
          <w:p w:rsidR="00E22BEA" w:rsidRPr="00892DE3" w:rsidRDefault="00E22BEA" w:rsidP="00E22BEA">
            <w:pPr>
              <w:jc w:val="left"/>
              <w:cnfStyle w:val="000000000000" w:firstRow="0" w:lastRow="0" w:firstColumn="0" w:lastColumn="0" w:oddVBand="0" w:evenVBand="0" w:oddHBand="0" w:evenHBand="0" w:firstRowFirstColumn="0" w:firstRowLastColumn="0" w:lastRowFirstColumn="0" w:lastRowLastColumn="0"/>
            </w:pPr>
            <w:r w:rsidRPr="00892DE3">
              <w:t>Increase/decrease due to fair value adjustment</w:t>
            </w:r>
          </w:p>
        </w:tc>
        <w:tc>
          <w:tcPr>
            <w:tcW w:w="760"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1 454</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 xml:space="preserve"> 22</w:t>
            </w:r>
          </w:p>
        </w:tc>
        <w:tc>
          <w:tcPr>
            <w:tcW w:w="760"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 xml:space="preserve"> 1 476</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E22BEA" w:rsidRPr="00892DE3" w:rsidTr="00645C42">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E22BEA" w:rsidRPr="00892DE3" w:rsidRDefault="00E22BEA" w:rsidP="00E22BEA">
            <w:r w:rsidRPr="00892DE3">
              <w:t>AASB 141.50(c)</w:t>
            </w:r>
          </w:p>
        </w:tc>
        <w:tc>
          <w:tcPr>
            <w:tcW w:w="3685" w:type="dxa"/>
            <w:hideMark/>
          </w:tcPr>
          <w:p w:rsidR="00E22BEA" w:rsidRPr="00892DE3" w:rsidRDefault="00E22BEA" w:rsidP="00E22BEA">
            <w:pPr>
              <w:jc w:val="left"/>
              <w:cnfStyle w:val="000000000000" w:firstRow="0" w:lastRow="0" w:firstColumn="0" w:lastColumn="0" w:oddVBand="0" w:evenVBand="0" w:oddHBand="0" w:evenHBand="0" w:firstRowFirstColumn="0" w:firstRowLastColumn="0" w:lastRowFirstColumn="0" w:lastRowLastColumn="0"/>
            </w:pPr>
            <w:r w:rsidRPr="00892DE3">
              <w:t>Decreases attributable to disposal/transfers out</w:t>
            </w:r>
          </w:p>
        </w:tc>
        <w:tc>
          <w:tcPr>
            <w:tcW w:w="760" w:type="dxa"/>
            <w:shd w:val="clear" w:color="auto" w:fill="EBEBEB" w:themeFill="background2"/>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(250)</w:t>
            </w:r>
          </w:p>
        </w:tc>
        <w:tc>
          <w:tcPr>
            <w:tcW w:w="760"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(250)</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E22BEA" w:rsidRPr="00892DE3" w:rsidTr="00645C42">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E22BEA" w:rsidRPr="00892DE3" w:rsidRDefault="00E22BEA" w:rsidP="00E22BEA">
            <w:r w:rsidRPr="00892DE3">
              <w:t>AASB 141.50(d)</w:t>
            </w:r>
          </w:p>
        </w:tc>
        <w:tc>
          <w:tcPr>
            <w:tcW w:w="3685" w:type="dxa"/>
            <w:hideMark/>
          </w:tcPr>
          <w:p w:rsidR="00E22BEA" w:rsidRPr="00892DE3" w:rsidRDefault="00E22BEA" w:rsidP="00E22BEA">
            <w:pPr>
              <w:jc w:val="left"/>
              <w:cnfStyle w:val="000000000000" w:firstRow="0" w:lastRow="0" w:firstColumn="0" w:lastColumn="0" w:oddVBand="0" w:evenVBand="0" w:oddHBand="0" w:evenHBand="0" w:firstRowFirstColumn="0" w:firstRowLastColumn="0" w:lastRowFirstColumn="0" w:lastRowLastColumn="0"/>
            </w:pPr>
            <w:r w:rsidRPr="00892DE3">
              <w:t>Decreases due to harvest</w:t>
            </w:r>
          </w:p>
        </w:tc>
        <w:tc>
          <w:tcPr>
            <w:tcW w:w="760"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(1 250)</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0"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pPr>
            <w:r w:rsidRPr="00892DE3">
              <w:t>(1 250)</w:t>
            </w:r>
          </w:p>
        </w:tc>
        <w:tc>
          <w:tcPr>
            <w:tcW w:w="761" w:type="dxa"/>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E22BEA" w:rsidRPr="00892DE3" w:rsidTr="00645C42">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E22BEA" w:rsidRPr="00892DE3" w:rsidRDefault="00E22BEA" w:rsidP="00E22BEA">
            <w:r w:rsidRPr="00892DE3">
              <w:t>AASB 141.50(g)</w:t>
            </w:r>
          </w:p>
        </w:tc>
        <w:tc>
          <w:tcPr>
            <w:tcW w:w="3685" w:type="dxa"/>
            <w:tcBorders>
              <w:bottom w:val="single" w:sz="4" w:space="0" w:color="auto"/>
            </w:tcBorders>
            <w:hideMark/>
          </w:tcPr>
          <w:p w:rsidR="00E22BEA" w:rsidRPr="00892DE3" w:rsidRDefault="00E22BEA" w:rsidP="00E22BEA">
            <w:pPr>
              <w:jc w:val="left"/>
              <w:cnfStyle w:val="000000000000" w:firstRow="0" w:lastRow="0" w:firstColumn="0" w:lastColumn="0" w:oddVBand="0" w:evenVBand="0" w:oddHBand="0" w:evenHBand="0" w:firstRowFirstColumn="0" w:firstRowLastColumn="0" w:lastRowFirstColumn="0" w:lastRowLastColumn="0"/>
            </w:pPr>
            <w:r w:rsidRPr="00892DE3">
              <w:t>Other changes</w:t>
            </w:r>
          </w:p>
        </w:tc>
        <w:tc>
          <w:tcPr>
            <w:tcW w:w="760" w:type="dxa"/>
            <w:tcBorders>
              <w:bottom w:val="single" w:sz="4" w:space="0" w:color="auto"/>
            </w:tcBorders>
            <w:shd w:val="clear" w:color="auto" w:fill="EBEBEB" w:themeFill="background2"/>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tcBorders>
              <w:bottom w:val="single" w:sz="4" w:space="0" w:color="auto"/>
            </w:tcBorders>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tcBorders>
              <w:bottom w:val="single" w:sz="4" w:space="0" w:color="auto"/>
            </w:tcBorders>
            <w:shd w:val="clear" w:color="auto" w:fill="EBEBEB" w:themeFill="background2"/>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0" w:type="dxa"/>
            <w:tcBorders>
              <w:bottom w:val="single" w:sz="4" w:space="0" w:color="auto"/>
            </w:tcBorders>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tcBorders>
              <w:bottom w:val="single" w:sz="4" w:space="0" w:color="auto"/>
            </w:tcBorders>
            <w:shd w:val="clear" w:color="auto" w:fill="EBEBEB" w:themeFill="background2"/>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tcBorders>
              <w:bottom w:val="single" w:sz="4" w:space="0" w:color="auto"/>
            </w:tcBorders>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E22BEA" w:rsidRPr="00892DE3" w:rsidTr="00645C42">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E22BEA" w:rsidRPr="00892DE3" w:rsidRDefault="00E22BEA" w:rsidP="00E22BEA"/>
        </w:tc>
        <w:tc>
          <w:tcPr>
            <w:tcW w:w="3685" w:type="dxa"/>
            <w:tcBorders>
              <w:top w:val="single" w:sz="4" w:space="0" w:color="auto"/>
              <w:bottom w:val="single" w:sz="12" w:space="0" w:color="auto"/>
            </w:tcBorders>
            <w:hideMark/>
          </w:tcPr>
          <w:p w:rsidR="00E22BEA" w:rsidRPr="00892DE3" w:rsidRDefault="00E22BEA" w:rsidP="00E22BEA">
            <w:pPr>
              <w:jc w:val="left"/>
              <w:cnfStyle w:val="000000000000" w:firstRow="0" w:lastRow="0" w:firstColumn="0" w:lastColumn="0" w:oddVBand="0" w:evenVBand="0" w:oddHBand="0" w:evenHBand="0" w:firstRowFirstColumn="0" w:firstRowLastColumn="0" w:lastRowFirstColumn="0" w:lastRowLastColumn="0"/>
              <w:rPr>
                <w:b/>
              </w:rPr>
            </w:pPr>
            <w:r w:rsidRPr="00892DE3">
              <w:rPr>
                <w:b/>
              </w:rPr>
              <w:t>Carrying amount at end of period</w:t>
            </w:r>
          </w:p>
        </w:tc>
        <w:tc>
          <w:tcPr>
            <w:tcW w:w="760" w:type="dxa"/>
            <w:tcBorders>
              <w:top w:val="single" w:sz="4" w:space="0" w:color="auto"/>
              <w:bottom w:val="single" w:sz="12" w:space="0" w:color="auto"/>
            </w:tcBorders>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rPr>
                <w:b/>
              </w:rPr>
            </w:pPr>
            <w:r w:rsidRPr="00892DE3">
              <w:rPr>
                <w:b/>
              </w:rPr>
              <w:t>2 749</w:t>
            </w:r>
          </w:p>
        </w:tc>
        <w:tc>
          <w:tcPr>
            <w:tcW w:w="761" w:type="dxa"/>
            <w:tcBorders>
              <w:top w:val="single" w:sz="4" w:space="0" w:color="auto"/>
              <w:bottom w:val="single" w:sz="12" w:space="0" w:color="auto"/>
            </w:tcBorders>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761" w:type="dxa"/>
            <w:tcBorders>
              <w:top w:val="single" w:sz="4" w:space="0" w:color="auto"/>
              <w:bottom w:val="single" w:sz="12" w:space="0" w:color="auto"/>
            </w:tcBorders>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rPr>
                <w:b/>
              </w:rPr>
            </w:pPr>
            <w:r w:rsidRPr="00892DE3">
              <w:rPr>
                <w:b/>
              </w:rPr>
              <w:t>1 285</w:t>
            </w:r>
          </w:p>
        </w:tc>
        <w:tc>
          <w:tcPr>
            <w:tcW w:w="760" w:type="dxa"/>
            <w:tcBorders>
              <w:top w:val="single" w:sz="4" w:space="0" w:color="auto"/>
              <w:bottom w:val="single" w:sz="12" w:space="0" w:color="auto"/>
            </w:tcBorders>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761" w:type="dxa"/>
            <w:tcBorders>
              <w:top w:val="single" w:sz="4" w:space="0" w:color="auto"/>
              <w:bottom w:val="single" w:sz="12" w:space="0" w:color="auto"/>
            </w:tcBorders>
            <w:shd w:val="clear" w:color="auto" w:fill="EBEBEB" w:themeFill="background2"/>
            <w:hideMark/>
          </w:tcPr>
          <w:p w:rsidR="00E22BEA" w:rsidRPr="00892DE3" w:rsidRDefault="00E22BEA" w:rsidP="00F73105">
            <w:pPr>
              <w:cnfStyle w:val="000000000000" w:firstRow="0" w:lastRow="0" w:firstColumn="0" w:lastColumn="0" w:oddVBand="0" w:evenVBand="0" w:oddHBand="0" w:evenHBand="0" w:firstRowFirstColumn="0" w:firstRowLastColumn="0" w:lastRowFirstColumn="0" w:lastRowLastColumn="0"/>
              <w:rPr>
                <w:b/>
              </w:rPr>
            </w:pPr>
            <w:r w:rsidRPr="00892DE3">
              <w:rPr>
                <w:b/>
              </w:rPr>
              <w:t>4 034</w:t>
            </w:r>
          </w:p>
        </w:tc>
        <w:tc>
          <w:tcPr>
            <w:tcW w:w="761" w:type="dxa"/>
            <w:tcBorders>
              <w:top w:val="single" w:sz="4" w:space="0" w:color="auto"/>
              <w:bottom w:val="single" w:sz="12" w:space="0" w:color="auto"/>
            </w:tcBorders>
            <w:hideMark/>
          </w:tcPr>
          <w:p w:rsidR="00E22BEA" w:rsidRPr="00892DE3" w:rsidRDefault="00645C42" w:rsidP="00F7310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r>
    </w:tbl>
    <w:p w:rsidR="00E22BEA" w:rsidRPr="00892DE3" w:rsidRDefault="00E22BEA" w:rsidP="00E22BEA"/>
    <w:p w:rsidR="00645C42" w:rsidRPr="00892DE3" w:rsidRDefault="00645C42">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E22BEA" w:rsidRPr="00892DE3" w:rsidTr="00645C42">
        <w:trPr>
          <w:cnfStyle w:val="100000000000" w:firstRow="1" w:lastRow="0" w:firstColumn="0" w:lastColumn="0" w:oddVBand="0" w:evenVBand="0" w:oddHBand="0" w:evenHBand="0" w:firstRowFirstColumn="0" w:firstRowLastColumn="0" w:lastRowFirstColumn="0" w:lastRowLastColumn="0"/>
        </w:trPr>
        <w:tc>
          <w:tcPr>
            <w:tcW w:w="9854" w:type="dxa"/>
          </w:tcPr>
          <w:p w:rsidR="00E22BEA" w:rsidRPr="00892DE3" w:rsidRDefault="00E22BEA" w:rsidP="00E22BEA">
            <w:r w:rsidRPr="00892DE3">
              <w:t>Guidance – Biological assets</w:t>
            </w:r>
          </w:p>
        </w:tc>
      </w:tr>
      <w:tr w:rsidR="00E22BEA" w:rsidRPr="00892DE3" w:rsidTr="00645C42">
        <w:tc>
          <w:tcPr>
            <w:tcW w:w="9854" w:type="dxa"/>
          </w:tcPr>
          <w:p w:rsidR="00E22BEA" w:rsidRPr="00892DE3" w:rsidRDefault="00E22BEA" w:rsidP="00E22BEA">
            <w:r w:rsidRPr="00892DE3">
              <w:t>An entity shall disclose:</w:t>
            </w:r>
          </w:p>
          <w:p w:rsidR="00E22BEA" w:rsidRPr="00892DE3" w:rsidRDefault="00E22BEA" w:rsidP="00E22BEA">
            <w:pPr>
              <w:pStyle w:val="List"/>
            </w:pPr>
            <w:r w:rsidRPr="00892DE3">
              <w:t>(a)</w:t>
            </w:r>
            <w:r w:rsidRPr="00892DE3">
              <w:tab/>
              <w:t xml:space="preserve">a description of each group of biological assets; </w:t>
            </w:r>
            <w:r w:rsidRPr="00892DE3">
              <w:rPr>
                <w:rStyle w:val="SourceReference"/>
              </w:rPr>
              <w:t>[AASB 141.41]</w:t>
            </w:r>
          </w:p>
          <w:p w:rsidR="00E22BEA" w:rsidRPr="00892DE3" w:rsidRDefault="00E22BEA" w:rsidP="00E22BEA">
            <w:pPr>
              <w:pStyle w:val="List"/>
            </w:pPr>
            <w:r w:rsidRPr="00892DE3">
              <w:t>(b)</w:t>
            </w:r>
            <w:r w:rsidRPr="00892DE3">
              <w:tab/>
              <w:t>the methods and significant assumptions applied in determining the fair value of each group of agricultural produce at the point of harvest and each group of biological assets;</w:t>
            </w:r>
            <w:r w:rsidR="00645C42" w:rsidRPr="00892DE3">
              <w:t xml:space="preserve"> </w:t>
            </w:r>
            <w:r w:rsidR="00645C42" w:rsidRPr="00892DE3">
              <w:rPr>
                <w:rStyle w:val="SourceReference"/>
              </w:rPr>
              <w:t>[</w:t>
            </w:r>
            <w:r w:rsidRPr="00892DE3">
              <w:rPr>
                <w:rStyle w:val="SourceReference"/>
              </w:rPr>
              <w:t>AASB 141.47]</w:t>
            </w:r>
          </w:p>
          <w:p w:rsidR="00E22BEA" w:rsidRPr="00892DE3" w:rsidRDefault="00E22BEA" w:rsidP="00E22BEA">
            <w:pPr>
              <w:pStyle w:val="List"/>
            </w:pPr>
            <w:r w:rsidRPr="00892DE3">
              <w:t>(c)</w:t>
            </w:r>
            <w:r w:rsidRPr="00892DE3">
              <w:tab/>
              <w:t xml:space="preserve">the fair value less costs to sell of agricultural produce harvested during the period, determined at the point of harvest; </w:t>
            </w:r>
            <w:r w:rsidRPr="00892DE3">
              <w:rPr>
                <w:rStyle w:val="SourceReference"/>
              </w:rPr>
              <w:t>[AASB 141.48]</w:t>
            </w:r>
          </w:p>
          <w:p w:rsidR="00E22BEA" w:rsidRPr="00892DE3" w:rsidRDefault="00E22BEA" w:rsidP="00E22BEA">
            <w:pPr>
              <w:pStyle w:val="List"/>
            </w:pPr>
            <w:r w:rsidRPr="00892DE3">
              <w:t>(d)</w:t>
            </w:r>
            <w:r w:rsidRPr="00892DE3">
              <w:tab/>
              <w:t xml:space="preserve">the existence and carrying amounts of biological assets whose title is restricted, and the carrying amounts of biological assets pledged as security for liabilities; </w:t>
            </w:r>
            <w:r w:rsidR="00645C42" w:rsidRPr="00892DE3">
              <w:rPr>
                <w:rStyle w:val="SourceReference"/>
              </w:rPr>
              <w:t>[</w:t>
            </w:r>
            <w:r w:rsidRPr="00892DE3">
              <w:rPr>
                <w:rStyle w:val="SourceReference"/>
              </w:rPr>
              <w:t>AASB 141.49(a)</w:t>
            </w:r>
            <w:r w:rsidR="00645C42" w:rsidRPr="00892DE3">
              <w:rPr>
                <w:rStyle w:val="SourceReference"/>
              </w:rPr>
              <w:t>]</w:t>
            </w:r>
          </w:p>
          <w:p w:rsidR="00E22BEA" w:rsidRPr="00892DE3" w:rsidRDefault="00E22BEA" w:rsidP="00E22BEA">
            <w:pPr>
              <w:pStyle w:val="List"/>
            </w:pPr>
            <w:r w:rsidRPr="00892DE3">
              <w:t>(e)</w:t>
            </w:r>
            <w:r w:rsidRPr="00892DE3">
              <w:tab/>
              <w:t xml:space="preserve">the amount of commitments for the development or acquisition of biological assets; </w:t>
            </w:r>
            <w:r w:rsidRPr="00892DE3">
              <w:rPr>
                <w:rStyle w:val="SourceReference"/>
              </w:rPr>
              <w:t>[AASB 141.49(b)]</w:t>
            </w:r>
          </w:p>
          <w:p w:rsidR="00E22BEA" w:rsidRPr="00892DE3" w:rsidRDefault="00E22BEA" w:rsidP="00E22BEA">
            <w:pPr>
              <w:pStyle w:val="List"/>
            </w:pPr>
            <w:r w:rsidRPr="00892DE3">
              <w:t>(f)</w:t>
            </w:r>
            <w:r w:rsidRPr="00892DE3">
              <w:tab/>
              <w:t>financial risk management strategies related to agricultural activity</w:t>
            </w:r>
            <w:r w:rsidR="006568E5" w:rsidRPr="00892DE3">
              <w:t xml:space="preserve"> </w:t>
            </w:r>
            <w:r w:rsidRPr="00892DE3">
              <w:rPr>
                <w:rStyle w:val="SourceReference"/>
              </w:rPr>
              <w:t>[AASB 141.49(c)]</w:t>
            </w:r>
            <w:r w:rsidRPr="00892DE3">
              <w:t>; and</w:t>
            </w:r>
          </w:p>
          <w:p w:rsidR="00E22BEA" w:rsidRPr="00892DE3" w:rsidRDefault="00E22BEA" w:rsidP="00E22BEA">
            <w:pPr>
              <w:pStyle w:val="List"/>
            </w:pPr>
            <w:r w:rsidRPr="00892DE3">
              <w:t>(g)</w:t>
            </w:r>
            <w:r w:rsidRPr="00892DE3">
              <w:tab/>
              <w:t>if not disclosed elsewhere in the financial statements, an entity shall provide a description of:</w:t>
            </w:r>
          </w:p>
          <w:p w:rsidR="00E22BEA" w:rsidRPr="00892DE3" w:rsidRDefault="00E22BEA" w:rsidP="00645C42">
            <w:pPr>
              <w:pStyle w:val="List2"/>
            </w:pPr>
            <w:r w:rsidRPr="00892DE3">
              <w:t>(i)</w:t>
            </w:r>
            <w:r w:rsidRPr="00892DE3">
              <w:tab/>
              <w:t>the nature of its activities involving each group of biological assets; and</w:t>
            </w:r>
          </w:p>
          <w:p w:rsidR="00E22BEA" w:rsidRPr="00892DE3" w:rsidRDefault="00E22BEA" w:rsidP="00645C42">
            <w:pPr>
              <w:pStyle w:val="List2"/>
            </w:pPr>
            <w:r w:rsidRPr="00892DE3">
              <w:t>(ii)</w:t>
            </w:r>
            <w:r w:rsidRPr="00892DE3">
              <w:tab/>
              <w:t>non-financial measures or estimates of the physical quantities of each group of the entity’s biological assets at the end of the period and output of agricultural produce during the period.</w:t>
            </w:r>
            <w:r w:rsidR="00FD5546" w:rsidRPr="00892DE3">
              <w:t xml:space="preserve"> </w:t>
            </w:r>
            <w:r w:rsidR="00FD5546" w:rsidRPr="00892DE3">
              <w:rPr>
                <w:rStyle w:val="SourceReference"/>
              </w:rPr>
              <w:t>[</w:t>
            </w:r>
            <w:r w:rsidRPr="00892DE3">
              <w:rPr>
                <w:rStyle w:val="SourceReference"/>
              </w:rPr>
              <w:t>AASB 141.46]</w:t>
            </w:r>
          </w:p>
          <w:p w:rsidR="00E22BEA" w:rsidRPr="00892DE3" w:rsidRDefault="00E22BEA" w:rsidP="00E22BEA">
            <w:pPr>
              <w:rPr>
                <w:b/>
              </w:rPr>
            </w:pPr>
            <w:r w:rsidRPr="00892DE3">
              <w:rPr>
                <w:b/>
              </w:rPr>
              <w:t>Disclosure for gain arising from changes in fair value</w:t>
            </w:r>
          </w:p>
          <w:p w:rsidR="00E22BEA" w:rsidRPr="00892DE3" w:rsidRDefault="00E22BEA" w:rsidP="00E22BEA">
            <w:r w:rsidRPr="00892DE3">
              <w:t xml:space="preserve">Gain arising from changes in fair value less costs to sell attributable to physical and price changes may relate to changes in the market. Separate disclosure of physical and price changes is useful in appraising current period performance and future prospects, particularly when there is a production cycle of more than one year. In such cases, an entity is encouraged to disclose, by group or otherwise, the amount of change in fair value less costs to sell recognised in the net result as an ‘other economic flow’ due to physical changes and due to price changes. This information is generally less useful when the production cycle is less than one year (for example, when raising chickens or growing cereal crops). </w:t>
            </w:r>
            <w:r w:rsidR="00645C42" w:rsidRPr="00892DE3">
              <w:rPr>
                <w:rStyle w:val="SourceReference"/>
              </w:rPr>
              <w:t>[</w:t>
            </w:r>
            <w:r w:rsidRPr="00892DE3">
              <w:rPr>
                <w:rStyle w:val="SourceReference"/>
              </w:rPr>
              <w:t>AASB 141.51</w:t>
            </w:r>
            <w:r w:rsidR="00645C42" w:rsidRPr="00892DE3">
              <w:rPr>
                <w:rStyle w:val="SourceReference"/>
              </w:rPr>
              <w:t>]</w:t>
            </w:r>
          </w:p>
          <w:p w:rsidR="00E22BEA" w:rsidRPr="00892DE3" w:rsidRDefault="00E22BEA" w:rsidP="00E22BEA">
            <w:pPr>
              <w:rPr>
                <w:b/>
              </w:rPr>
            </w:pPr>
            <w:r w:rsidRPr="00892DE3">
              <w:rPr>
                <w:b/>
              </w:rPr>
              <w:t>Additional disclosures for biological assets where fair value cannot be measured reliably</w:t>
            </w:r>
          </w:p>
          <w:p w:rsidR="00E22BEA" w:rsidRPr="00892DE3" w:rsidRDefault="00E22BEA" w:rsidP="00E22BEA">
            <w:r w:rsidRPr="00892DE3">
              <w:t>If an entity measures biological assets at their cost less any accumulated depreciation and any accumulated impairment losses at the end of the period, the entity shall disclose for such biological assets:</w:t>
            </w:r>
          </w:p>
          <w:p w:rsidR="00E22BEA" w:rsidRPr="00892DE3" w:rsidRDefault="00E22BEA" w:rsidP="00E22BEA">
            <w:pPr>
              <w:pStyle w:val="List"/>
            </w:pPr>
            <w:r w:rsidRPr="00892DE3">
              <w:t>(a)</w:t>
            </w:r>
            <w:r w:rsidRPr="00892DE3">
              <w:tab/>
              <w:t xml:space="preserve">a description of the biological assets; </w:t>
            </w:r>
          </w:p>
          <w:p w:rsidR="00E22BEA" w:rsidRPr="00892DE3" w:rsidRDefault="00E22BEA" w:rsidP="00E22BEA">
            <w:pPr>
              <w:pStyle w:val="List"/>
            </w:pPr>
            <w:r w:rsidRPr="00892DE3">
              <w:t>(b)</w:t>
            </w:r>
            <w:r w:rsidRPr="00892DE3">
              <w:tab/>
              <w:t>an explanation of why fair value cannot be measured reliably;</w:t>
            </w:r>
          </w:p>
          <w:p w:rsidR="00E22BEA" w:rsidRPr="00892DE3" w:rsidRDefault="00E22BEA" w:rsidP="00E22BEA">
            <w:pPr>
              <w:pStyle w:val="List"/>
            </w:pPr>
            <w:r w:rsidRPr="00892DE3">
              <w:t>(c)</w:t>
            </w:r>
            <w:r w:rsidRPr="00892DE3">
              <w:tab/>
              <w:t>if possible, the range of estimates in which fair value is highly likely to lie;</w:t>
            </w:r>
          </w:p>
          <w:p w:rsidR="00E22BEA" w:rsidRPr="00892DE3" w:rsidRDefault="00E22BEA" w:rsidP="00E22BEA">
            <w:pPr>
              <w:pStyle w:val="List"/>
            </w:pPr>
            <w:r w:rsidRPr="00892DE3">
              <w:t>(d)</w:t>
            </w:r>
            <w:r w:rsidRPr="00892DE3">
              <w:tab/>
              <w:t xml:space="preserve">the depreciation method used; </w:t>
            </w:r>
          </w:p>
          <w:p w:rsidR="00E22BEA" w:rsidRPr="00892DE3" w:rsidRDefault="00E22BEA" w:rsidP="00E22BEA">
            <w:pPr>
              <w:pStyle w:val="List"/>
            </w:pPr>
            <w:r w:rsidRPr="00892DE3">
              <w:t>(e)</w:t>
            </w:r>
            <w:r w:rsidRPr="00892DE3">
              <w:tab/>
              <w:t>the useful lives or the depreciation rates used; and</w:t>
            </w:r>
          </w:p>
          <w:p w:rsidR="00E22BEA" w:rsidRPr="00892DE3" w:rsidRDefault="00E22BEA" w:rsidP="00E22BEA">
            <w:pPr>
              <w:pStyle w:val="List"/>
            </w:pPr>
            <w:r w:rsidRPr="00892DE3">
              <w:t>(f)</w:t>
            </w:r>
            <w:r w:rsidRPr="00892DE3">
              <w:tab/>
              <w:t xml:space="preserve">the gross carrying amount and the accumulated depreciation (aggregated with accumulated impairment losses) at the beginning and end of the period. </w:t>
            </w:r>
          </w:p>
          <w:p w:rsidR="00E22BEA" w:rsidRPr="00892DE3" w:rsidRDefault="00E22BEA" w:rsidP="00E22BEA">
            <w:r w:rsidRPr="00892DE3">
              <w:rPr>
                <w:rStyle w:val="SourceReference"/>
              </w:rPr>
              <w:t>[AASB 141.54]</w:t>
            </w:r>
          </w:p>
          <w:p w:rsidR="00E22BEA" w:rsidRPr="00892DE3" w:rsidRDefault="00E22BEA" w:rsidP="00E22BEA">
            <w:r w:rsidRPr="00892DE3">
              <w:t xml:space="preserve">If, during the current period, an entity measures biological assets at their cost less any accumulated depreciation and any accumulated impairment losses, an entity shall disclose: </w:t>
            </w:r>
          </w:p>
          <w:p w:rsidR="00E22BEA" w:rsidRPr="00892DE3" w:rsidRDefault="00E22BEA" w:rsidP="00E22BEA">
            <w:pPr>
              <w:pStyle w:val="ListBullet"/>
            </w:pPr>
            <w:r w:rsidRPr="00892DE3">
              <w:t>any gain or loss recognised on disposal of such biological assets; and</w:t>
            </w:r>
          </w:p>
          <w:p w:rsidR="00E22BEA" w:rsidRPr="00892DE3" w:rsidRDefault="00E22BEA" w:rsidP="00E22BEA">
            <w:pPr>
              <w:pStyle w:val="ListBullet"/>
            </w:pPr>
            <w:r w:rsidRPr="00892DE3">
              <w:t xml:space="preserve">the related reconciliation (paragraph 50 of AASB 141 Agriculture). </w:t>
            </w:r>
          </w:p>
          <w:p w:rsidR="00E22BEA" w:rsidRPr="00892DE3" w:rsidRDefault="00E22BEA" w:rsidP="00E22BEA">
            <w:r w:rsidRPr="00892DE3">
              <w:t>In addition, the reconciliation shall include the following amounts recognised in the net result related to those biological assets:</w:t>
            </w:r>
          </w:p>
          <w:p w:rsidR="00E22BEA" w:rsidRPr="00892DE3" w:rsidRDefault="00E22BEA" w:rsidP="00E22BEA">
            <w:pPr>
              <w:pStyle w:val="List"/>
            </w:pPr>
            <w:r w:rsidRPr="00892DE3">
              <w:t>(a)</w:t>
            </w:r>
            <w:r w:rsidRPr="00892DE3">
              <w:tab/>
              <w:t>impairment losses;</w:t>
            </w:r>
          </w:p>
          <w:p w:rsidR="00E22BEA" w:rsidRPr="00892DE3" w:rsidRDefault="00E22BEA" w:rsidP="00E22BEA">
            <w:pPr>
              <w:pStyle w:val="List"/>
            </w:pPr>
            <w:r w:rsidRPr="00892DE3">
              <w:t>(b)</w:t>
            </w:r>
            <w:r w:rsidRPr="00892DE3">
              <w:tab/>
              <w:t>reversals of impairment losses; and</w:t>
            </w:r>
          </w:p>
          <w:p w:rsidR="00E22BEA" w:rsidRPr="00892DE3" w:rsidRDefault="00E22BEA" w:rsidP="00E22BEA">
            <w:pPr>
              <w:pStyle w:val="List"/>
            </w:pPr>
            <w:r w:rsidRPr="00892DE3">
              <w:t>(c)</w:t>
            </w:r>
            <w:r w:rsidRPr="00892DE3">
              <w:tab/>
              <w:t>depreciation.</w:t>
            </w:r>
          </w:p>
          <w:p w:rsidR="00D411AE" w:rsidRPr="00892DE3" w:rsidRDefault="00E22BEA" w:rsidP="006568E5">
            <w:r w:rsidRPr="00892DE3">
              <w:rPr>
                <w:rStyle w:val="SourceReference"/>
              </w:rPr>
              <w:t>[AASB 141.55]</w:t>
            </w:r>
          </w:p>
        </w:tc>
      </w:tr>
    </w:tbl>
    <w:p w:rsidR="004E6831" w:rsidRPr="00892DE3" w:rsidRDefault="004E6831"/>
    <w:p w:rsidR="004E6831" w:rsidRPr="00892DE3" w:rsidRDefault="004E6831">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4E6831" w:rsidRPr="00892DE3" w:rsidTr="005412E1">
        <w:trPr>
          <w:cnfStyle w:val="100000000000" w:firstRow="1" w:lastRow="0" w:firstColumn="0" w:lastColumn="0" w:oddVBand="0" w:evenVBand="0" w:oddHBand="0" w:evenHBand="0" w:firstRowFirstColumn="0" w:firstRowLastColumn="0" w:lastRowFirstColumn="0" w:lastRowLastColumn="0"/>
        </w:trPr>
        <w:tc>
          <w:tcPr>
            <w:tcW w:w="9854" w:type="dxa"/>
          </w:tcPr>
          <w:p w:rsidR="004E6831" w:rsidRPr="00892DE3" w:rsidRDefault="004E6831" w:rsidP="005412E1">
            <w:r w:rsidRPr="00892DE3">
              <w:t>Guidance – Biological assets</w:t>
            </w:r>
            <w:r w:rsidR="00491373">
              <w:t xml:space="preserve"> </w:t>
            </w:r>
            <w:r w:rsidR="00491373" w:rsidRPr="00491373">
              <w:rPr>
                <w:i/>
              </w:rPr>
              <w:t>(continued)</w:t>
            </w:r>
          </w:p>
        </w:tc>
      </w:tr>
      <w:tr w:rsidR="004E6831" w:rsidRPr="00892DE3" w:rsidTr="00645C42">
        <w:tc>
          <w:tcPr>
            <w:tcW w:w="9854" w:type="dxa"/>
          </w:tcPr>
          <w:p w:rsidR="004E6831" w:rsidRPr="00892DE3" w:rsidRDefault="004E6831" w:rsidP="004E6831">
            <w:r w:rsidRPr="00892DE3">
              <w:t>If the fair value of biological assets previously measured at their cost less any accumulated depreciation and any accumulated impairment losses becomes reliably measurable during the current period, an entity shall disclose for those biological assets:</w:t>
            </w:r>
          </w:p>
          <w:p w:rsidR="004E6831" w:rsidRPr="00892DE3" w:rsidRDefault="004E6831" w:rsidP="004E6831">
            <w:pPr>
              <w:pStyle w:val="List"/>
            </w:pPr>
            <w:r w:rsidRPr="00892DE3">
              <w:t>(a)</w:t>
            </w:r>
            <w:r w:rsidRPr="00892DE3">
              <w:tab/>
            </w:r>
            <w:r w:rsidR="006568E5" w:rsidRPr="00892DE3">
              <w:t xml:space="preserve">a </w:t>
            </w:r>
            <w:r w:rsidRPr="00892DE3">
              <w:t>description of the biological assets;</w:t>
            </w:r>
          </w:p>
          <w:p w:rsidR="004E6831" w:rsidRPr="00892DE3" w:rsidRDefault="004E6831" w:rsidP="004E6831">
            <w:pPr>
              <w:pStyle w:val="List"/>
            </w:pPr>
            <w:r w:rsidRPr="00892DE3">
              <w:t>(b)</w:t>
            </w:r>
            <w:r w:rsidRPr="00892DE3">
              <w:tab/>
              <w:t>an explanation of why fair value has become reliably measurable; and</w:t>
            </w:r>
          </w:p>
          <w:p w:rsidR="004E6831" w:rsidRPr="00892DE3" w:rsidRDefault="004E6831" w:rsidP="004E6831">
            <w:pPr>
              <w:pStyle w:val="List"/>
            </w:pPr>
            <w:r w:rsidRPr="00892DE3">
              <w:t>(c)</w:t>
            </w:r>
            <w:r w:rsidRPr="00892DE3">
              <w:tab/>
              <w:t>the effect of the change.</w:t>
            </w:r>
          </w:p>
          <w:p w:rsidR="004E6831" w:rsidRPr="00892DE3" w:rsidRDefault="004E6831" w:rsidP="004E6831">
            <w:pPr>
              <w:rPr>
                <w:rStyle w:val="SourceReference"/>
              </w:rPr>
            </w:pPr>
            <w:r w:rsidRPr="00892DE3">
              <w:rPr>
                <w:rStyle w:val="SourceReference"/>
              </w:rPr>
              <w:t>[AASB 141.56]</w:t>
            </w:r>
          </w:p>
          <w:p w:rsidR="004E6831" w:rsidRPr="00892DE3" w:rsidRDefault="004E6831" w:rsidP="004E6831">
            <w:pPr>
              <w:rPr>
                <w:b/>
              </w:rPr>
            </w:pPr>
            <w:r w:rsidRPr="00892DE3">
              <w:rPr>
                <w:b/>
              </w:rPr>
              <w:t>Government grants</w:t>
            </w:r>
          </w:p>
          <w:p w:rsidR="004E6831" w:rsidRPr="00892DE3" w:rsidRDefault="004E6831" w:rsidP="004E6831">
            <w:r w:rsidRPr="00892DE3">
              <w:t>An entity shall disclose the following related to agricultural activity covered by this standard:</w:t>
            </w:r>
          </w:p>
          <w:p w:rsidR="004E6831" w:rsidRPr="00892DE3" w:rsidRDefault="004E6831" w:rsidP="004E6831">
            <w:pPr>
              <w:pStyle w:val="List"/>
            </w:pPr>
            <w:r w:rsidRPr="00892DE3">
              <w:t>(a)</w:t>
            </w:r>
            <w:r w:rsidRPr="00892DE3">
              <w:tab/>
              <w:t xml:space="preserve">the nature and extent of government grants recognised in the financial statements; </w:t>
            </w:r>
          </w:p>
          <w:p w:rsidR="004E6831" w:rsidRPr="00892DE3" w:rsidRDefault="004E6831" w:rsidP="004E6831">
            <w:pPr>
              <w:pStyle w:val="List"/>
            </w:pPr>
            <w:r w:rsidRPr="00892DE3">
              <w:t>(b)</w:t>
            </w:r>
            <w:r w:rsidRPr="00892DE3">
              <w:tab/>
              <w:t>unfulfilled conditions and other contingencies attaching to government grants; and</w:t>
            </w:r>
          </w:p>
          <w:p w:rsidR="004E6831" w:rsidRPr="00892DE3" w:rsidRDefault="004E6831" w:rsidP="004E6831">
            <w:pPr>
              <w:pStyle w:val="List"/>
            </w:pPr>
            <w:r w:rsidRPr="00892DE3">
              <w:t>(c)</w:t>
            </w:r>
            <w:r w:rsidRPr="00892DE3">
              <w:tab/>
              <w:t>significant decreases expected in the level of government grants.</w:t>
            </w:r>
          </w:p>
          <w:p w:rsidR="004E6831" w:rsidRPr="00892DE3" w:rsidRDefault="004E6831" w:rsidP="004E6831">
            <w:r w:rsidRPr="00892DE3">
              <w:rPr>
                <w:rStyle w:val="SourceReference"/>
              </w:rPr>
              <w:t>[AASB 141.57]</w:t>
            </w:r>
          </w:p>
        </w:tc>
      </w:tr>
    </w:tbl>
    <w:p w:rsidR="00E22BEA" w:rsidRPr="00892DE3" w:rsidRDefault="00E22BEA" w:rsidP="00E22BEA"/>
    <w:p w:rsidR="007015D0" w:rsidRPr="00892DE3" w:rsidRDefault="007015D0" w:rsidP="0019303F">
      <w:pPr>
        <w:pStyle w:val="Heading2"/>
      </w:pPr>
      <w:bookmarkStart w:id="119" w:name="_Toc477257490"/>
      <w:bookmarkStart w:id="120" w:name="_Toc478055747"/>
      <w:r w:rsidRPr="00892DE3">
        <w:t>Intangible assets</w:t>
      </w:r>
      <w:bookmarkEnd w:id="119"/>
      <w:bookmarkEnd w:id="120"/>
    </w:p>
    <w:p w:rsidR="007015D0" w:rsidRPr="00892DE3" w:rsidRDefault="007015D0" w:rsidP="007015D0">
      <w:pPr>
        <w:pStyle w:val="TableUnits"/>
      </w:pPr>
      <w:r w:rsidRPr="00892DE3">
        <w:t>($ thousand)</w:t>
      </w:r>
    </w:p>
    <w:tbl>
      <w:tblPr>
        <w:tblStyle w:val="ModelReportFinancialTable"/>
        <w:tblW w:w="9639" w:type="dxa"/>
        <w:tblLayout w:type="fixed"/>
        <w:tblLook w:val="06E0" w:firstRow="1" w:lastRow="1" w:firstColumn="1" w:lastColumn="0" w:noHBand="1" w:noVBand="1"/>
      </w:tblPr>
      <w:tblGrid>
        <w:gridCol w:w="1564"/>
        <w:gridCol w:w="3444"/>
        <w:gridCol w:w="203"/>
        <w:gridCol w:w="738"/>
        <w:gridCol w:w="738"/>
        <w:gridCol w:w="70"/>
        <w:gridCol w:w="668"/>
        <w:gridCol w:w="662"/>
        <w:gridCol w:w="76"/>
        <w:gridCol w:w="738"/>
        <w:gridCol w:w="738"/>
      </w:tblGrid>
      <w:tr w:rsidR="007015D0" w:rsidRPr="00892DE3" w:rsidTr="0044350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564" w:type="dxa"/>
            <w:tcBorders>
              <w:bottom w:val="nil"/>
            </w:tcBorders>
            <w:shd w:val="clear" w:color="auto" w:fill="auto"/>
          </w:tcPr>
          <w:p w:rsidR="007015D0" w:rsidRPr="00892DE3" w:rsidRDefault="007015D0" w:rsidP="007015D0">
            <w:pPr>
              <w:ind w:left="170" w:hanging="170"/>
            </w:pPr>
            <w:r w:rsidRPr="00892DE3">
              <w:t>Source reference</w:t>
            </w:r>
          </w:p>
        </w:tc>
        <w:tc>
          <w:tcPr>
            <w:tcW w:w="3444" w:type="dxa"/>
          </w:tcPr>
          <w:p w:rsidR="007015D0" w:rsidRPr="00892DE3" w:rsidRDefault="007015D0" w:rsidP="007015D0">
            <w:pPr>
              <w:spacing w:before="100" w:beforeAutospacing="1" w:after="100" w:afterAutospacing="1" w:line="240" w:lineRule="atLeast"/>
              <w:ind w:left="170" w:hanging="170"/>
              <w:jc w:val="left"/>
              <w:cnfStyle w:val="100000000000" w:firstRow="1" w:lastRow="0" w:firstColumn="0" w:lastColumn="0" w:oddVBand="0" w:evenVBand="0" w:oddHBand="0" w:evenHBand="0" w:firstRowFirstColumn="0" w:firstRowLastColumn="0" w:lastRowFirstColumn="0" w:lastRowLastColumn="0"/>
              <w:rPr>
                <w:sz w:val="20"/>
                <w:szCs w:val="20"/>
              </w:rPr>
            </w:pPr>
          </w:p>
        </w:tc>
        <w:tc>
          <w:tcPr>
            <w:tcW w:w="1749" w:type="dxa"/>
            <w:gridSpan w:val="4"/>
            <w:hideMark/>
          </w:tcPr>
          <w:p w:rsidR="007015D0" w:rsidRPr="00892DE3" w:rsidRDefault="007015D0" w:rsidP="007015D0">
            <w:pPr>
              <w:ind w:left="170" w:hanging="170"/>
              <w:jc w:val="center"/>
              <w:cnfStyle w:val="100000000000" w:firstRow="1" w:lastRow="0" w:firstColumn="0" w:lastColumn="0" w:oddVBand="0" w:evenVBand="0" w:oddHBand="0" w:evenHBand="0" w:firstRowFirstColumn="0" w:firstRowLastColumn="0" w:lastRowFirstColumn="0" w:lastRowLastColumn="0"/>
            </w:pPr>
            <w:r w:rsidRPr="00892DE3">
              <w:t>Computer software</w:t>
            </w:r>
          </w:p>
        </w:tc>
        <w:tc>
          <w:tcPr>
            <w:tcW w:w="1330" w:type="dxa"/>
            <w:gridSpan w:val="2"/>
            <w:hideMark/>
          </w:tcPr>
          <w:p w:rsidR="007015D0" w:rsidRPr="00892DE3" w:rsidRDefault="007015D0" w:rsidP="007015D0">
            <w:pPr>
              <w:ind w:left="170" w:hanging="170"/>
              <w:jc w:val="center"/>
              <w:cnfStyle w:val="100000000000" w:firstRow="1" w:lastRow="0" w:firstColumn="0" w:lastColumn="0" w:oddVBand="0" w:evenVBand="0" w:oddHBand="0" w:evenHBand="0" w:firstRowFirstColumn="0" w:firstRowLastColumn="0" w:lastRowFirstColumn="0" w:lastRowLastColumn="0"/>
            </w:pPr>
            <w:r w:rsidRPr="00892DE3">
              <w:t>Other</w:t>
            </w:r>
          </w:p>
        </w:tc>
        <w:tc>
          <w:tcPr>
            <w:tcW w:w="1552" w:type="dxa"/>
            <w:gridSpan w:val="3"/>
            <w:noWrap/>
            <w:hideMark/>
          </w:tcPr>
          <w:p w:rsidR="007015D0" w:rsidRPr="00892DE3" w:rsidRDefault="007015D0" w:rsidP="007015D0">
            <w:pPr>
              <w:ind w:left="170" w:hanging="170"/>
              <w:jc w:val="center"/>
              <w:cnfStyle w:val="100000000000" w:firstRow="1" w:lastRow="0" w:firstColumn="0" w:lastColumn="0" w:oddVBand="0" w:evenVBand="0" w:oddHBand="0" w:evenHBand="0" w:firstRowFirstColumn="0" w:firstRowLastColumn="0" w:lastRowFirstColumn="0" w:lastRowLastColumn="0"/>
            </w:pPr>
            <w:r w:rsidRPr="00892DE3">
              <w:t>Total</w:t>
            </w:r>
          </w:p>
        </w:tc>
      </w:tr>
      <w:tr w:rsidR="007015D0" w:rsidRPr="00892DE3" w:rsidTr="0044350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p>
        </w:tc>
        <w:tc>
          <w:tcPr>
            <w:tcW w:w="3647" w:type="dxa"/>
            <w:gridSpan w:val="2"/>
            <w:hideMark/>
          </w:tcPr>
          <w:p w:rsidR="007015D0" w:rsidRPr="00892DE3" w:rsidRDefault="007015D0" w:rsidP="007015D0">
            <w:pPr>
              <w:ind w:left="170" w:hanging="170"/>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738" w:type="dxa"/>
            <w:hideMark/>
          </w:tcPr>
          <w:p w:rsidR="007015D0" w:rsidRPr="00892DE3" w:rsidRDefault="007015D0" w:rsidP="007015D0">
            <w:pPr>
              <w:ind w:left="170" w:hanging="170"/>
              <w:cnfStyle w:val="100000000000" w:firstRow="1" w:lastRow="0" w:firstColumn="0" w:lastColumn="0" w:oddVBand="0" w:evenVBand="0" w:oddHBand="0" w:evenHBand="0" w:firstRowFirstColumn="0" w:firstRowLastColumn="0" w:lastRowFirstColumn="0" w:lastRowLastColumn="0"/>
            </w:pPr>
            <w:r w:rsidRPr="00892DE3">
              <w:t>2017</w:t>
            </w:r>
          </w:p>
        </w:tc>
        <w:tc>
          <w:tcPr>
            <w:tcW w:w="738" w:type="dxa"/>
            <w:hideMark/>
          </w:tcPr>
          <w:p w:rsidR="007015D0" w:rsidRPr="00892DE3" w:rsidRDefault="007015D0" w:rsidP="007015D0">
            <w:pPr>
              <w:ind w:left="170" w:hanging="170"/>
              <w:cnfStyle w:val="100000000000" w:firstRow="1" w:lastRow="0" w:firstColumn="0" w:lastColumn="0" w:oddVBand="0" w:evenVBand="0" w:oddHBand="0" w:evenHBand="0" w:firstRowFirstColumn="0" w:firstRowLastColumn="0" w:lastRowFirstColumn="0" w:lastRowLastColumn="0"/>
            </w:pPr>
            <w:r w:rsidRPr="00892DE3">
              <w:t>2016</w:t>
            </w:r>
          </w:p>
        </w:tc>
        <w:tc>
          <w:tcPr>
            <w:tcW w:w="738" w:type="dxa"/>
            <w:gridSpan w:val="2"/>
            <w:hideMark/>
          </w:tcPr>
          <w:p w:rsidR="007015D0" w:rsidRPr="00892DE3" w:rsidRDefault="007015D0" w:rsidP="007015D0">
            <w:pPr>
              <w:ind w:left="170" w:hanging="170"/>
              <w:cnfStyle w:val="100000000000" w:firstRow="1" w:lastRow="0" w:firstColumn="0" w:lastColumn="0" w:oddVBand="0" w:evenVBand="0" w:oddHBand="0" w:evenHBand="0" w:firstRowFirstColumn="0" w:firstRowLastColumn="0" w:lastRowFirstColumn="0" w:lastRowLastColumn="0"/>
            </w:pPr>
            <w:r w:rsidRPr="00892DE3">
              <w:t>2017</w:t>
            </w:r>
          </w:p>
        </w:tc>
        <w:tc>
          <w:tcPr>
            <w:tcW w:w="738" w:type="dxa"/>
            <w:gridSpan w:val="2"/>
            <w:hideMark/>
          </w:tcPr>
          <w:p w:rsidR="007015D0" w:rsidRPr="00892DE3" w:rsidRDefault="007015D0" w:rsidP="007015D0">
            <w:pPr>
              <w:ind w:left="170" w:hanging="170"/>
              <w:cnfStyle w:val="100000000000" w:firstRow="1" w:lastRow="0" w:firstColumn="0" w:lastColumn="0" w:oddVBand="0" w:evenVBand="0" w:oddHBand="0" w:evenHBand="0" w:firstRowFirstColumn="0" w:firstRowLastColumn="0" w:lastRowFirstColumn="0" w:lastRowLastColumn="0"/>
            </w:pPr>
            <w:r w:rsidRPr="00892DE3">
              <w:t>2016</w:t>
            </w:r>
          </w:p>
        </w:tc>
        <w:tc>
          <w:tcPr>
            <w:tcW w:w="738" w:type="dxa"/>
            <w:noWrap/>
            <w:hideMark/>
          </w:tcPr>
          <w:p w:rsidR="007015D0" w:rsidRPr="00892DE3" w:rsidRDefault="007015D0" w:rsidP="007015D0">
            <w:pPr>
              <w:ind w:left="170" w:hanging="170"/>
              <w:cnfStyle w:val="100000000000" w:firstRow="1" w:lastRow="0" w:firstColumn="0" w:lastColumn="0" w:oddVBand="0" w:evenVBand="0" w:oddHBand="0" w:evenHBand="0" w:firstRowFirstColumn="0" w:firstRowLastColumn="0" w:lastRowFirstColumn="0" w:lastRowLastColumn="0"/>
            </w:pPr>
            <w:r w:rsidRPr="00892DE3">
              <w:t>2017</w:t>
            </w:r>
          </w:p>
        </w:tc>
        <w:tc>
          <w:tcPr>
            <w:tcW w:w="738" w:type="dxa"/>
            <w:noWrap/>
            <w:hideMark/>
          </w:tcPr>
          <w:p w:rsidR="007015D0" w:rsidRPr="00892DE3" w:rsidRDefault="007015D0" w:rsidP="007015D0">
            <w:pPr>
              <w:ind w:left="170" w:hanging="170"/>
              <w:cnfStyle w:val="100000000000" w:firstRow="1" w:lastRow="0" w:firstColumn="0" w:lastColumn="0" w:oddVBand="0" w:evenVBand="0" w:oddHBand="0" w:evenHBand="0" w:firstRowFirstColumn="0" w:firstRowLastColumn="0" w:lastRowFirstColumn="0" w:lastRowLastColumn="0"/>
            </w:pPr>
            <w:r w:rsidRPr="00892DE3">
              <w:t>2016</w:t>
            </w:r>
          </w:p>
        </w:tc>
      </w:tr>
      <w:tr w:rsidR="007015D0" w:rsidRPr="00892DE3" w:rsidTr="0044350A">
        <w:trPr>
          <w:trHeight w:val="80"/>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tcPr>
          <w:p w:rsidR="007015D0" w:rsidRPr="00892DE3" w:rsidRDefault="007015D0" w:rsidP="007015D0">
            <w:pPr>
              <w:ind w:left="170" w:hanging="170"/>
            </w:pP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Gross carrying amount</w:t>
            </w:r>
          </w:p>
        </w:tc>
        <w:tc>
          <w:tcPr>
            <w:tcW w:w="738" w:type="dxa"/>
            <w:shd w:val="clear" w:color="auto" w:fill="EBEBEB" w:themeFill="background2"/>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p>
        </w:tc>
        <w:tc>
          <w:tcPr>
            <w:tcW w:w="738" w:type="dxa"/>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p>
        </w:tc>
        <w:tc>
          <w:tcPr>
            <w:tcW w:w="738" w:type="dxa"/>
            <w:gridSpan w:val="2"/>
            <w:shd w:val="clear" w:color="auto" w:fill="EBEBEB" w:themeFill="background2"/>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p>
        </w:tc>
        <w:tc>
          <w:tcPr>
            <w:tcW w:w="738" w:type="dxa"/>
            <w:gridSpan w:val="2"/>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p>
        </w:tc>
        <w:tc>
          <w:tcPr>
            <w:tcW w:w="738" w:type="dxa"/>
            <w:shd w:val="clear" w:color="auto" w:fill="EBEBEB" w:themeFill="background2"/>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138.118(c)</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Opening balance</w:t>
            </w:r>
          </w:p>
        </w:tc>
        <w:tc>
          <w:tcPr>
            <w:tcW w:w="738" w:type="dxa"/>
            <w:shd w:val="clear" w:color="auto" w:fill="EBEBEB" w:themeFill="background2"/>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10 295</w:t>
            </w:r>
          </w:p>
        </w:tc>
        <w:tc>
          <w:tcPr>
            <w:tcW w:w="738" w:type="dxa"/>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10 875</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10 295</w:t>
            </w: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10 875</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138.118(c)</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Additions</w:t>
            </w:r>
          </w:p>
        </w:tc>
        <w:tc>
          <w:tcPr>
            <w:tcW w:w="738" w:type="dxa"/>
            <w:shd w:val="clear" w:color="auto" w:fill="EBEBEB" w:themeFill="background2"/>
            <w:hideMark/>
          </w:tcPr>
          <w:p w:rsidR="007015D0" w:rsidRPr="00892DE3" w:rsidRDefault="00595FEE" w:rsidP="006568E5">
            <w:pPr>
              <w:ind w:left="170" w:hanging="170"/>
              <w:cnfStyle w:val="000000000000" w:firstRow="0" w:lastRow="0" w:firstColumn="0" w:lastColumn="0" w:oddVBand="0" w:evenVBand="0" w:oddHBand="0" w:evenHBand="0" w:firstRowFirstColumn="0" w:firstRowLastColumn="0" w:lastRowFirstColumn="0" w:lastRowLastColumn="0"/>
            </w:pPr>
            <w:r w:rsidRPr="00892DE3">
              <w:t>150</w:t>
            </w:r>
          </w:p>
        </w:tc>
        <w:tc>
          <w:tcPr>
            <w:tcW w:w="738" w:type="dxa"/>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540</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595FEE" w:rsidP="006568E5">
            <w:pPr>
              <w:ind w:left="170" w:hanging="170"/>
              <w:cnfStyle w:val="000000000000" w:firstRow="0" w:lastRow="0" w:firstColumn="0" w:lastColumn="0" w:oddVBand="0" w:evenVBand="0" w:oddHBand="0" w:evenHBand="0" w:firstRowFirstColumn="0" w:firstRowLastColumn="0" w:lastRowFirstColumn="0" w:lastRowLastColumn="0"/>
            </w:pPr>
            <w:r w:rsidRPr="00892DE3">
              <w:t>150</w:t>
            </w: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540</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138.118(e)(i)</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Additions from internal development</w:t>
            </w:r>
          </w:p>
        </w:tc>
        <w:tc>
          <w:tcPr>
            <w:tcW w:w="738" w:type="dxa"/>
            <w:shd w:val="clear" w:color="auto" w:fill="EBEBEB" w:themeFill="background2"/>
            <w:hideMark/>
          </w:tcPr>
          <w:p w:rsidR="007015D0" w:rsidRPr="00892DE3" w:rsidRDefault="00595FEE" w:rsidP="006568E5">
            <w:pPr>
              <w:ind w:left="170" w:hanging="170"/>
              <w:cnfStyle w:val="000000000000" w:firstRow="0" w:lastRow="0" w:firstColumn="0" w:lastColumn="0" w:oddVBand="0" w:evenVBand="0" w:oddHBand="0" w:evenHBand="0" w:firstRowFirstColumn="0" w:firstRowLastColumn="0" w:lastRowFirstColumn="0" w:lastRowLastColumn="0"/>
            </w:pPr>
            <w:r w:rsidRPr="00892DE3">
              <w:t>36</w:t>
            </w:r>
          </w:p>
        </w:tc>
        <w:tc>
          <w:tcPr>
            <w:tcW w:w="738" w:type="dxa"/>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150</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595FEE" w:rsidP="006568E5">
            <w:pPr>
              <w:ind w:left="170" w:hanging="170"/>
              <w:cnfStyle w:val="000000000000" w:firstRow="0" w:lastRow="0" w:firstColumn="0" w:lastColumn="0" w:oddVBand="0" w:evenVBand="0" w:oddHBand="0" w:evenHBand="0" w:firstRowFirstColumn="0" w:firstRowLastColumn="0" w:lastRowFirstColumn="0" w:lastRowLastColumn="0"/>
            </w:pPr>
            <w:r w:rsidRPr="00892DE3">
              <w:t>36</w:t>
            </w: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150</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138.118(e)(i)</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Acquisitions from business combinations</w:t>
            </w:r>
          </w:p>
        </w:tc>
        <w:tc>
          <w:tcPr>
            <w:tcW w:w="738" w:type="dxa"/>
            <w:shd w:val="clear" w:color="auto" w:fill="EBEBEB" w:themeFill="background2"/>
            <w:hideMark/>
          </w:tcPr>
          <w:p w:rsidR="007015D0" w:rsidRPr="00892DE3" w:rsidRDefault="00595FEE" w:rsidP="006568E5">
            <w:pPr>
              <w:ind w:left="170" w:hanging="170"/>
              <w:cnfStyle w:val="000000000000" w:firstRow="0" w:lastRow="0" w:firstColumn="0" w:lastColumn="0" w:oddVBand="0" w:evenVBand="0" w:oddHBand="0" w:evenHBand="0" w:firstRowFirstColumn="0" w:firstRowLastColumn="0" w:lastRowFirstColumn="0" w:lastRowLastColumn="0"/>
            </w:pPr>
            <w:r w:rsidRPr="00892DE3">
              <w:t>3 915</w:t>
            </w:r>
          </w:p>
        </w:tc>
        <w:tc>
          <w:tcPr>
            <w:tcW w:w="738" w:type="dxa"/>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595FEE" w:rsidP="006568E5">
            <w:pPr>
              <w:ind w:left="170" w:hanging="170"/>
              <w:cnfStyle w:val="000000000000" w:firstRow="0" w:lastRow="0" w:firstColumn="0" w:lastColumn="0" w:oddVBand="0" w:evenVBand="0" w:oddHBand="0" w:evenHBand="0" w:firstRowFirstColumn="0" w:firstRowLastColumn="0" w:lastRowFirstColumn="0" w:lastRowLastColumn="0"/>
            </w:pPr>
            <w:r w:rsidRPr="00892DE3">
              <w:t>3 915</w:t>
            </w:r>
          </w:p>
        </w:tc>
        <w:tc>
          <w:tcPr>
            <w:tcW w:w="738" w:type="dxa"/>
            <w:noWrap/>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138.118(e)(ii)</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Disposals or classified as held for sale</w:t>
            </w:r>
          </w:p>
        </w:tc>
        <w:tc>
          <w:tcPr>
            <w:tcW w:w="738" w:type="dxa"/>
            <w:shd w:val="clear" w:color="auto" w:fill="EBEBEB" w:themeFill="background2"/>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(7 015)</w:t>
            </w:r>
          </w:p>
        </w:tc>
        <w:tc>
          <w:tcPr>
            <w:tcW w:w="738" w:type="dxa"/>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(1 270)</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(7 015)</w:t>
            </w: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(1 270)</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138.118(c)</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Closing balance</w:t>
            </w:r>
          </w:p>
        </w:tc>
        <w:tc>
          <w:tcPr>
            <w:tcW w:w="738" w:type="dxa"/>
            <w:shd w:val="clear" w:color="auto" w:fill="EBEBEB" w:themeFill="background2"/>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10 216</w:t>
            </w:r>
          </w:p>
        </w:tc>
        <w:tc>
          <w:tcPr>
            <w:tcW w:w="738" w:type="dxa"/>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10 295</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738" w:type="dxa"/>
            <w:shd w:val="clear" w:color="auto" w:fill="EBEBEB" w:themeFill="background2"/>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10 216</w:t>
            </w: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10 295</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FRD 109</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Accumulated depreciation, amortisation and impairment</w:t>
            </w:r>
          </w:p>
        </w:tc>
        <w:tc>
          <w:tcPr>
            <w:tcW w:w="738" w:type="dxa"/>
            <w:shd w:val="clear" w:color="auto" w:fill="EBEBEB" w:themeFill="background2"/>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p>
        </w:tc>
        <w:tc>
          <w:tcPr>
            <w:tcW w:w="738" w:type="dxa"/>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p>
        </w:tc>
        <w:tc>
          <w:tcPr>
            <w:tcW w:w="738" w:type="dxa"/>
            <w:gridSpan w:val="2"/>
            <w:shd w:val="clear" w:color="auto" w:fill="EBEBEB" w:themeFill="background2"/>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p>
        </w:tc>
        <w:tc>
          <w:tcPr>
            <w:tcW w:w="738" w:type="dxa"/>
            <w:gridSpan w:val="2"/>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p>
        </w:tc>
        <w:tc>
          <w:tcPr>
            <w:tcW w:w="738" w:type="dxa"/>
            <w:shd w:val="clear" w:color="auto" w:fill="EBEBEB" w:themeFill="background2"/>
            <w:noWrap/>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p>
        </w:tc>
        <w:tc>
          <w:tcPr>
            <w:tcW w:w="738" w:type="dxa"/>
            <w:noWrap/>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tcPr>
          <w:p w:rsidR="007015D0" w:rsidRPr="00892DE3" w:rsidRDefault="007015D0" w:rsidP="007015D0">
            <w:pPr>
              <w:ind w:left="170" w:hanging="170"/>
            </w:pP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Opening balance</w:t>
            </w:r>
          </w:p>
        </w:tc>
        <w:tc>
          <w:tcPr>
            <w:tcW w:w="738" w:type="dxa"/>
            <w:shd w:val="clear" w:color="auto" w:fill="EBEBEB" w:themeFill="background2"/>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(2 848)</w:t>
            </w:r>
          </w:p>
        </w:tc>
        <w:tc>
          <w:tcPr>
            <w:tcW w:w="738" w:type="dxa"/>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(3 129)</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738" w:type="dxa"/>
            <w:shd w:val="clear" w:color="auto" w:fill="EBEBEB" w:themeFill="background2"/>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(2 848)</w:t>
            </w: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(3 129)</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138.118(c)</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Depreciation of intangible produced assets </w:t>
            </w:r>
            <w:r w:rsidR="000E5375" w:rsidRPr="00892DE3">
              <w:rPr>
                <w:vertAlign w:val="superscript"/>
              </w:rPr>
              <w:t>(a</w:t>
            </w:r>
            <w:r w:rsidRPr="00892DE3">
              <w:rPr>
                <w:vertAlign w:val="superscript"/>
              </w:rPr>
              <w:t>)</w:t>
            </w:r>
          </w:p>
        </w:tc>
        <w:tc>
          <w:tcPr>
            <w:tcW w:w="738" w:type="dxa"/>
            <w:shd w:val="clear" w:color="auto" w:fill="EBEBEB" w:themeFill="background2"/>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(1 471)</w:t>
            </w:r>
          </w:p>
        </w:tc>
        <w:tc>
          <w:tcPr>
            <w:tcW w:w="738" w:type="dxa"/>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(1 554)</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(1 471)</w:t>
            </w: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(1 554)</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138.118(e)(vi)</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Amortisation of intangible non</w:t>
            </w:r>
            <w:r w:rsidRPr="00892DE3">
              <w:noBreakHyphen/>
              <w:t xml:space="preserve">produced </w:t>
            </w:r>
            <w:r w:rsidRPr="00892DE3">
              <w:br/>
              <w:t xml:space="preserve">assets </w:t>
            </w:r>
            <w:r w:rsidR="000E5375" w:rsidRPr="00892DE3">
              <w:rPr>
                <w:vertAlign w:val="superscript"/>
              </w:rPr>
              <w:t>(a</w:t>
            </w:r>
            <w:r w:rsidRPr="00892DE3">
              <w:rPr>
                <w:vertAlign w:val="superscript"/>
              </w:rPr>
              <w:t>)</w:t>
            </w:r>
          </w:p>
        </w:tc>
        <w:tc>
          <w:tcPr>
            <w:tcW w:w="738" w:type="dxa"/>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noWrap/>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138.118(e)(i)</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Acquisitions from business combinations</w:t>
            </w:r>
          </w:p>
        </w:tc>
        <w:tc>
          <w:tcPr>
            <w:tcW w:w="738" w:type="dxa"/>
            <w:shd w:val="clear" w:color="auto" w:fill="EBEBEB" w:themeFill="background2"/>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(1 288)</w:t>
            </w:r>
          </w:p>
        </w:tc>
        <w:tc>
          <w:tcPr>
            <w:tcW w:w="738" w:type="dxa"/>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(1 288)</w:t>
            </w:r>
          </w:p>
        </w:tc>
        <w:tc>
          <w:tcPr>
            <w:tcW w:w="738" w:type="dxa"/>
            <w:noWrap/>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138.118(e)(ii)</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Disposals or classified as held for sale</w:t>
            </w:r>
          </w:p>
        </w:tc>
        <w:tc>
          <w:tcPr>
            <w:tcW w:w="738" w:type="dxa"/>
            <w:shd w:val="clear" w:color="auto" w:fill="EBEBEB" w:themeFill="background2"/>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3 375</w:t>
            </w:r>
          </w:p>
        </w:tc>
        <w:tc>
          <w:tcPr>
            <w:tcW w:w="738" w:type="dxa"/>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1 250</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3 375</w:t>
            </w: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1 250</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138.118(e)(iv)</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Impairment losses charged to net result </w:t>
            </w:r>
            <w:r w:rsidR="000E5375" w:rsidRPr="00892DE3">
              <w:rPr>
                <w:vertAlign w:val="superscript"/>
              </w:rPr>
              <w:t>(b</w:t>
            </w:r>
            <w:r w:rsidRPr="00892DE3">
              <w:rPr>
                <w:vertAlign w:val="superscript"/>
              </w:rPr>
              <w:t>)</w:t>
            </w:r>
          </w:p>
        </w:tc>
        <w:tc>
          <w:tcPr>
            <w:tcW w:w="738" w:type="dxa"/>
            <w:shd w:val="clear" w:color="auto" w:fill="EBEBEB" w:themeFill="background2"/>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(2 010)</w:t>
            </w:r>
          </w:p>
        </w:tc>
        <w:tc>
          <w:tcPr>
            <w:tcW w:w="738" w:type="dxa"/>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(2 010)</w:t>
            </w:r>
          </w:p>
        </w:tc>
        <w:tc>
          <w:tcPr>
            <w:tcW w:w="738" w:type="dxa"/>
            <w:noWrap/>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138.118(e)(v)</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pPr>
            <w:r w:rsidRPr="00892DE3">
              <w:t>Reversals of impairment losses charged to net result</w:t>
            </w:r>
          </w:p>
        </w:tc>
        <w:tc>
          <w:tcPr>
            <w:tcW w:w="738" w:type="dxa"/>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585</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pPr>
            <w:r w:rsidRPr="00892DE3">
              <w:t>585</w:t>
            </w:r>
          </w:p>
        </w:tc>
      </w:tr>
      <w:tr w:rsidR="007015D0"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7015D0" w:rsidRPr="00892DE3" w:rsidRDefault="007015D0" w:rsidP="007015D0">
            <w:pPr>
              <w:ind w:left="170" w:hanging="170"/>
            </w:pPr>
            <w:r w:rsidRPr="00892DE3">
              <w:t>AASB 138.118(c)</w:t>
            </w:r>
          </w:p>
        </w:tc>
        <w:tc>
          <w:tcPr>
            <w:tcW w:w="3647" w:type="dxa"/>
            <w:gridSpan w:val="2"/>
            <w:hideMark/>
          </w:tcPr>
          <w:p w:rsidR="007015D0" w:rsidRPr="00892DE3" w:rsidRDefault="007015D0" w:rsidP="007015D0">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Closing balance</w:t>
            </w:r>
          </w:p>
        </w:tc>
        <w:tc>
          <w:tcPr>
            <w:tcW w:w="738" w:type="dxa"/>
            <w:shd w:val="clear" w:color="auto" w:fill="EBEBEB" w:themeFill="background2"/>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(4 242)</w:t>
            </w:r>
          </w:p>
        </w:tc>
        <w:tc>
          <w:tcPr>
            <w:tcW w:w="738" w:type="dxa"/>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(2 848)</w:t>
            </w:r>
          </w:p>
        </w:tc>
        <w:tc>
          <w:tcPr>
            <w:tcW w:w="738" w:type="dxa"/>
            <w:gridSpan w:val="2"/>
            <w:shd w:val="clear" w:color="auto" w:fill="EBEBEB" w:themeFill="background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738" w:type="dxa"/>
            <w:gridSpan w:val="2"/>
            <w:hideMark/>
          </w:tcPr>
          <w:p w:rsidR="007015D0" w:rsidRPr="00892DE3" w:rsidRDefault="00546387"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738" w:type="dxa"/>
            <w:shd w:val="clear" w:color="auto" w:fill="EBEBEB" w:themeFill="background2"/>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(4 242)</w:t>
            </w:r>
          </w:p>
        </w:tc>
        <w:tc>
          <w:tcPr>
            <w:tcW w:w="738" w:type="dxa"/>
            <w:noWrap/>
            <w:hideMark/>
          </w:tcPr>
          <w:p w:rsidR="007015D0" w:rsidRPr="00892DE3" w:rsidRDefault="007015D0" w:rsidP="007015D0">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(2 848)</w:t>
            </w:r>
          </w:p>
        </w:tc>
      </w:tr>
      <w:tr w:rsidR="007015D0" w:rsidRPr="00892DE3" w:rsidTr="0044350A">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1564" w:type="dxa"/>
            <w:shd w:val="clear" w:color="auto" w:fill="auto"/>
          </w:tcPr>
          <w:p w:rsidR="007015D0" w:rsidRPr="00892DE3" w:rsidRDefault="007015D0" w:rsidP="007015D0"/>
        </w:tc>
        <w:tc>
          <w:tcPr>
            <w:tcW w:w="3647" w:type="dxa"/>
            <w:gridSpan w:val="2"/>
            <w:hideMark/>
          </w:tcPr>
          <w:p w:rsidR="007015D0" w:rsidRPr="00892DE3" w:rsidRDefault="007015D0" w:rsidP="007015D0">
            <w:pPr>
              <w:jc w:val="left"/>
              <w:cnfStyle w:val="010000000000" w:firstRow="0" w:lastRow="1" w:firstColumn="0" w:lastColumn="0" w:oddVBand="0" w:evenVBand="0" w:oddHBand="0" w:evenHBand="0" w:firstRowFirstColumn="0" w:firstRowLastColumn="0" w:lastRowFirstColumn="0" w:lastRowLastColumn="0"/>
            </w:pPr>
            <w:r w:rsidRPr="00892DE3">
              <w:t>Net book value at end of financial year</w:t>
            </w:r>
          </w:p>
        </w:tc>
        <w:tc>
          <w:tcPr>
            <w:tcW w:w="738" w:type="dxa"/>
            <w:shd w:val="clear" w:color="auto" w:fill="EBEBEB" w:themeFill="background2"/>
            <w:hideMark/>
          </w:tcPr>
          <w:p w:rsidR="007015D0" w:rsidRPr="00892DE3" w:rsidRDefault="007015D0" w:rsidP="007015D0">
            <w:pPr>
              <w:cnfStyle w:val="010000000000" w:firstRow="0" w:lastRow="1" w:firstColumn="0" w:lastColumn="0" w:oddVBand="0" w:evenVBand="0" w:oddHBand="0" w:evenHBand="0" w:firstRowFirstColumn="0" w:firstRowLastColumn="0" w:lastRowFirstColumn="0" w:lastRowLastColumn="0"/>
            </w:pPr>
            <w:r w:rsidRPr="00892DE3">
              <w:t>5 974</w:t>
            </w:r>
          </w:p>
        </w:tc>
        <w:tc>
          <w:tcPr>
            <w:tcW w:w="738" w:type="dxa"/>
            <w:hideMark/>
          </w:tcPr>
          <w:p w:rsidR="007015D0" w:rsidRPr="00892DE3" w:rsidRDefault="007015D0" w:rsidP="007015D0">
            <w:pPr>
              <w:cnfStyle w:val="010000000000" w:firstRow="0" w:lastRow="1" w:firstColumn="0" w:lastColumn="0" w:oddVBand="0" w:evenVBand="0" w:oddHBand="0" w:evenHBand="0" w:firstRowFirstColumn="0" w:firstRowLastColumn="0" w:lastRowFirstColumn="0" w:lastRowLastColumn="0"/>
            </w:pPr>
            <w:r w:rsidRPr="00892DE3">
              <w:t>7 447</w:t>
            </w:r>
          </w:p>
        </w:tc>
        <w:tc>
          <w:tcPr>
            <w:tcW w:w="738" w:type="dxa"/>
            <w:gridSpan w:val="2"/>
            <w:shd w:val="clear" w:color="auto" w:fill="EBEBEB" w:themeFill="background2"/>
            <w:hideMark/>
          </w:tcPr>
          <w:p w:rsidR="007015D0" w:rsidRPr="00892DE3" w:rsidRDefault="00546387" w:rsidP="007015D0">
            <w:pPr>
              <w:cnfStyle w:val="010000000000" w:firstRow="0" w:lastRow="1" w:firstColumn="0" w:lastColumn="0" w:oddVBand="0" w:evenVBand="0" w:oddHBand="0" w:evenHBand="0" w:firstRowFirstColumn="0" w:firstRowLastColumn="0" w:lastRowFirstColumn="0" w:lastRowLastColumn="0"/>
            </w:pPr>
            <w:r w:rsidRPr="00892DE3">
              <w:t>..</w:t>
            </w:r>
          </w:p>
        </w:tc>
        <w:tc>
          <w:tcPr>
            <w:tcW w:w="738" w:type="dxa"/>
            <w:gridSpan w:val="2"/>
            <w:hideMark/>
          </w:tcPr>
          <w:p w:rsidR="007015D0" w:rsidRPr="00892DE3" w:rsidRDefault="00546387" w:rsidP="007015D0">
            <w:pPr>
              <w:cnfStyle w:val="010000000000" w:firstRow="0" w:lastRow="1" w:firstColumn="0" w:lastColumn="0" w:oddVBand="0" w:evenVBand="0" w:oddHBand="0" w:evenHBand="0" w:firstRowFirstColumn="0" w:firstRowLastColumn="0" w:lastRowFirstColumn="0" w:lastRowLastColumn="0"/>
            </w:pPr>
            <w:r w:rsidRPr="00892DE3">
              <w:t>..</w:t>
            </w:r>
          </w:p>
        </w:tc>
        <w:tc>
          <w:tcPr>
            <w:tcW w:w="738" w:type="dxa"/>
            <w:shd w:val="clear" w:color="auto" w:fill="EBEBEB" w:themeFill="background2"/>
            <w:noWrap/>
            <w:hideMark/>
          </w:tcPr>
          <w:p w:rsidR="007015D0" w:rsidRPr="00892DE3" w:rsidRDefault="007015D0" w:rsidP="007015D0">
            <w:pPr>
              <w:cnfStyle w:val="010000000000" w:firstRow="0" w:lastRow="1" w:firstColumn="0" w:lastColumn="0" w:oddVBand="0" w:evenVBand="0" w:oddHBand="0" w:evenHBand="0" w:firstRowFirstColumn="0" w:firstRowLastColumn="0" w:lastRowFirstColumn="0" w:lastRowLastColumn="0"/>
            </w:pPr>
            <w:r w:rsidRPr="00892DE3">
              <w:t>5 974</w:t>
            </w:r>
          </w:p>
        </w:tc>
        <w:tc>
          <w:tcPr>
            <w:tcW w:w="738" w:type="dxa"/>
            <w:noWrap/>
            <w:hideMark/>
          </w:tcPr>
          <w:p w:rsidR="007015D0" w:rsidRPr="00892DE3" w:rsidRDefault="007015D0" w:rsidP="007015D0">
            <w:pPr>
              <w:cnfStyle w:val="010000000000" w:firstRow="0" w:lastRow="1" w:firstColumn="0" w:lastColumn="0" w:oddVBand="0" w:evenVBand="0" w:oddHBand="0" w:evenHBand="0" w:firstRowFirstColumn="0" w:firstRowLastColumn="0" w:lastRowFirstColumn="0" w:lastRowLastColumn="0"/>
            </w:pPr>
            <w:r w:rsidRPr="00892DE3">
              <w:t>7 447</w:t>
            </w:r>
          </w:p>
        </w:tc>
      </w:tr>
    </w:tbl>
    <w:p w:rsidR="007015D0" w:rsidRPr="00892DE3" w:rsidRDefault="007015D0" w:rsidP="007015D0">
      <w:pPr>
        <w:pStyle w:val="Note"/>
      </w:pPr>
      <w:r w:rsidRPr="00892DE3">
        <w:t xml:space="preserve">Notes: </w:t>
      </w:r>
    </w:p>
    <w:p w:rsidR="007015D0" w:rsidRPr="00892DE3" w:rsidRDefault="007015D0" w:rsidP="007015D0">
      <w:pPr>
        <w:pStyle w:val="Note"/>
      </w:pPr>
      <w:r w:rsidRPr="00892DE3">
        <w:t>(</w:t>
      </w:r>
      <w:r w:rsidR="000E5375" w:rsidRPr="00892DE3">
        <w:t>a</w:t>
      </w:r>
      <w:r w:rsidRPr="00892DE3">
        <w:t>)</w:t>
      </w:r>
      <w:r w:rsidRPr="00892DE3">
        <w:tab/>
        <w:t xml:space="preserve">The consumption of intangible produced assets is included in ‘depreciation’ line item, where the consumption of the intangible </w:t>
      </w:r>
      <w:r w:rsidR="00217A5D" w:rsidRPr="00892DE3">
        <w:t>non-</w:t>
      </w:r>
      <w:r w:rsidRPr="00892DE3">
        <w:t>produced assets is included in ‘net gain/(loss) on non-financial assets’ line item on the comprehensive operating statement.</w:t>
      </w:r>
    </w:p>
    <w:p w:rsidR="007015D0" w:rsidRPr="00892DE3" w:rsidRDefault="000E5375" w:rsidP="007015D0">
      <w:pPr>
        <w:pStyle w:val="Note"/>
      </w:pPr>
      <w:r w:rsidRPr="00892DE3">
        <w:t>(b</w:t>
      </w:r>
      <w:r w:rsidR="007015D0" w:rsidRPr="00892DE3">
        <w:t>)</w:t>
      </w:r>
      <w:r w:rsidR="007015D0" w:rsidRPr="00892DE3">
        <w:tab/>
        <w:t>Impairment losses are included in the line item ‘net gain/(loss) on non-financial assets’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rsidR="000E5375" w:rsidRPr="00892DE3" w:rsidRDefault="000E5375">
      <w:pPr>
        <w:keepLines w:val="0"/>
        <w:rPr>
          <w:rFonts w:asciiTheme="majorHAnsi" w:eastAsiaTheme="majorEastAsia" w:hAnsiTheme="majorHAnsi" w:cstheme="majorBidi"/>
          <w:b/>
          <w:bCs/>
          <w:spacing w:val="-2"/>
          <w:sz w:val="20"/>
          <w:szCs w:val="26"/>
        </w:rPr>
      </w:pPr>
      <w:r w:rsidRPr="00892DE3">
        <w:br w:type="page"/>
      </w:r>
    </w:p>
    <w:p w:rsidR="007015D0" w:rsidRPr="00892DE3" w:rsidRDefault="007015D0" w:rsidP="007015D0">
      <w:pPr>
        <w:pStyle w:val="Heading30"/>
      </w:pPr>
      <w:r w:rsidRPr="00892DE3">
        <w:t>Initial recognition</w:t>
      </w:r>
    </w:p>
    <w:p w:rsidR="007015D0" w:rsidRPr="00892DE3" w:rsidRDefault="007015D0" w:rsidP="007015D0">
      <w:r w:rsidRPr="00892DE3">
        <w:rPr>
          <w:b/>
        </w:rPr>
        <w:t>Purchased intangible assets</w:t>
      </w:r>
      <w:r w:rsidRPr="00892DE3">
        <w:t xml:space="preserve"> are initially recognised at cost. When the recognition criteria in AASB 138 Intangible Assets is met, internally generated intangible assets are recognised at cost. Subsequently, intangible assets with finite useful lives are carried at cost less accumulated amortisation and accumulated impairment losses. Depreciation and amortisation begins when the asset is available for use, that is, when it is in the location and condition necessary for it to be capable of operating in the manner intended by management. </w:t>
      </w:r>
      <w:r w:rsidRPr="00892DE3">
        <w:rPr>
          <w:rStyle w:val="SourceReference"/>
        </w:rPr>
        <w:t>[AASB 138.74-75; FRD 109]</w:t>
      </w:r>
    </w:p>
    <w:p w:rsidR="007015D0" w:rsidRPr="00892DE3" w:rsidRDefault="007015D0" w:rsidP="007015D0">
      <w:r w:rsidRPr="00892DE3">
        <w:t xml:space="preserve">An </w:t>
      </w:r>
      <w:r w:rsidRPr="00892DE3">
        <w:rPr>
          <w:b/>
        </w:rPr>
        <w:t>internally generated intangible asset</w:t>
      </w:r>
      <w:r w:rsidRPr="00892DE3">
        <w:t xml:space="preserve"> arising from development (or from the development phase of an internal project) is recognised if, and only if, all of the following are demonstrated:</w:t>
      </w:r>
    </w:p>
    <w:p w:rsidR="007015D0" w:rsidRPr="00892DE3" w:rsidRDefault="007015D0" w:rsidP="007015D0">
      <w:pPr>
        <w:pStyle w:val="List"/>
      </w:pPr>
      <w:r w:rsidRPr="00892DE3">
        <w:t>(a)</w:t>
      </w:r>
      <w:r w:rsidRPr="00892DE3">
        <w:tab/>
        <w:t>the technical feasibility of completing the intangible asset so that it will be available for use or sale;</w:t>
      </w:r>
    </w:p>
    <w:p w:rsidR="007015D0" w:rsidRPr="00892DE3" w:rsidRDefault="007015D0" w:rsidP="007015D0">
      <w:pPr>
        <w:pStyle w:val="List"/>
      </w:pPr>
      <w:r w:rsidRPr="00892DE3">
        <w:t>(b)</w:t>
      </w:r>
      <w:r w:rsidRPr="00892DE3">
        <w:tab/>
        <w:t>an intention to complete the intangible asset and use or sell it;</w:t>
      </w:r>
    </w:p>
    <w:p w:rsidR="007015D0" w:rsidRPr="00892DE3" w:rsidRDefault="007015D0" w:rsidP="007015D0">
      <w:pPr>
        <w:pStyle w:val="List"/>
      </w:pPr>
      <w:r w:rsidRPr="00892DE3">
        <w:t>(c)</w:t>
      </w:r>
      <w:r w:rsidRPr="00892DE3">
        <w:tab/>
        <w:t xml:space="preserve">the ability to use or sell the intangible asset; </w:t>
      </w:r>
    </w:p>
    <w:p w:rsidR="007015D0" w:rsidRPr="00892DE3" w:rsidRDefault="007015D0" w:rsidP="007015D0">
      <w:pPr>
        <w:pStyle w:val="List"/>
      </w:pPr>
      <w:r w:rsidRPr="00892DE3">
        <w:t>(d)</w:t>
      </w:r>
      <w:r w:rsidRPr="00892DE3">
        <w:tab/>
        <w:t>the intangible asset will generate probable future economic benefits;</w:t>
      </w:r>
    </w:p>
    <w:p w:rsidR="007015D0" w:rsidRPr="00892DE3" w:rsidRDefault="007015D0" w:rsidP="007015D0">
      <w:pPr>
        <w:pStyle w:val="List"/>
      </w:pPr>
      <w:r w:rsidRPr="00892DE3">
        <w:t>(e)</w:t>
      </w:r>
      <w:r w:rsidRPr="00892DE3">
        <w:tab/>
        <w:t>the availability of adequate technical, financial and other resources to complete the development and to use or sell the intangible asset; and</w:t>
      </w:r>
    </w:p>
    <w:p w:rsidR="007015D0" w:rsidRPr="00892DE3" w:rsidRDefault="007015D0" w:rsidP="007015D0">
      <w:pPr>
        <w:pStyle w:val="List"/>
      </w:pPr>
      <w:r w:rsidRPr="00892DE3">
        <w:t>(f)</w:t>
      </w:r>
      <w:r w:rsidRPr="00892DE3">
        <w:tab/>
        <w:t xml:space="preserve">the ability to measure reliably the expenditure attributable to the intangible asset during its development. </w:t>
      </w:r>
      <w:r w:rsidR="00A04B55" w:rsidRPr="00892DE3">
        <w:rPr>
          <w:rStyle w:val="SourceReference"/>
        </w:rPr>
        <w:t>[AASB </w:t>
      </w:r>
      <w:r w:rsidRPr="00892DE3">
        <w:rPr>
          <w:rStyle w:val="SourceReference"/>
        </w:rPr>
        <w:t>138.57]</w:t>
      </w:r>
    </w:p>
    <w:p w:rsidR="007015D0" w:rsidRPr="00892DE3" w:rsidRDefault="007015D0" w:rsidP="007015D0">
      <w:pPr>
        <w:pStyle w:val="Heading30"/>
      </w:pPr>
      <w:r w:rsidRPr="00892DE3">
        <w:t>Subsequent measurement</w:t>
      </w:r>
    </w:p>
    <w:p w:rsidR="007015D0" w:rsidRPr="00892DE3" w:rsidRDefault="007015D0" w:rsidP="007015D0">
      <w:r w:rsidRPr="00892DE3">
        <w:t>Intangible produced assets with finite useful lives, are depreciated as an ‘expense from transactions’ on a straight line basis over their useful lives. Produced intangible assets have useful lives of between 3 and 5 years.</w:t>
      </w:r>
    </w:p>
    <w:p w:rsidR="007015D0" w:rsidRPr="00892DE3" w:rsidRDefault="007015D0" w:rsidP="007015D0">
      <w:r w:rsidRPr="00892DE3">
        <w:t xml:space="preserve">Intangible </w:t>
      </w:r>
      <w:r w:rsidR="00217A5D" w:rsidRPr="00892DE3">
        <w:t>non-</w:t>
      </w:r>
      <w:r w:rsidRPr="00892DE3">
        <w:t>produced assets with finite lives are amortised as an ‘other economic flow’ on a straight line basis over their useful live</w:t>
      </w:r>
      <w:r w:rsidR="000E5375" w:rsidRPr="00892DE3">
        <w:t xml:space="preserve">s. The amortisation period is 3 to </w:t>
      </w:r>
      <w:r w:rsidRPr="00892DE3">
        <w:t xml:space="preserve">5 years. </w:t>
      </w:r>
      <w:r w:rsidRPr="00892DE3">
        <w:rPr>
          <w:rStyle w:val="SourceReference"/>
        </w:rPr>
        <w:t>[AASB 138.97, 138.104, 138.108-109 and 138.118(b)]</w:t>
      </w:r>
    </w:p>
    <w:p w:rsidR="007015D0" w:rsidRPr="00892DE3" w:rsidRDefault="007015D0" w:rsidP="007015D0">
      <w:pPr>
        <w:pStyle w:val="Heading30"/>
      </w:pPr>
      <w:r w:rsidRPr="00892DE3">
        <w:t>Impairment of intangible assets</w:t>
      </w:r>
    </w:p>
    <w:p w:rsidR="007015D0" w:rsidRPr="00892DE3" w:rsidRDefault="007015D0" w:rsidP="007015D0">
      <w:r w:rsidRPr="00892DE3">
        <w:t>Goodwill and 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rsidR="007015D0" w:rsidRPr="00892DE3" w:rsidRDefault="007015D0" w:rsidP="007015D0">
      <w:r w:rsidRPr="00892DE3">
        <w:t xml:space="preserve">The policy in connection with testing for impairment is outlined in section 5.1.1. </w:t>
      </w:r>
      <w:r w:rsidRPr="00892DE3">
        <w:rPr>
          <w:rStyle w:val="SourceReference"/>
        </w:rPr>
        <w:t>[AASB 136.10(a)]</w:t>
      </w:r>
    </w:p>
    <w:p w:rsidR="007015D0" w:rsidRPr="00892DE3" w:rsidRDefault="007015D0" w:rsidP="007015D0">
      <w:pPr>
        <w:pStyle w:val="Heading30"/>
      </w:pPr>
      <w:r w:rsidRPr="00892DE3">
        <w:t xml:space="preserve">Significant intangible assets </w:t>
      </w:r>
    </w:p>
    <w:p w:rsidR="007015D0" w:rsidRPr="00892DE3" w:rsidRDefault="007015D0" w:rsidP="007015D0">
      <w:r w:rsidRPr="00892DE3">
        <w:t xml:space="preserve">The Department has capitalised software development expenditure for the development of its Series Z </w:t>
      </w:r>
      <w:r w:rsidR="000E5375" w:rsidRPr="00892DE3">
        <w:br/>
      </w:r>
      <w:r w:rsidRPr="00892DE3">
        <w:t xml:space="preserve">technology software. The carrying amount of the capitalised software development expenditure is $5.97 million </w:t>
      </w:r>
      <w:r w:rsidR="000E5375" w:rsidRPr="00892DE3">
        <w:br/>
      </w:r>
      <w:r w:rsidRPr="00892DE3">
        <w:t xml:space="preserve">(2016: $7.45 million). Its useful life is five years and will be fully amortised in 2016. </w:t>
      </w:r>
      <w:r w:rsidRPr="00892DE3">
        <w:rPr>
          <w:rStyle w:val="SourceReference"/>
        </w:rPr>
        <w:t>[AASB 138.118(a), 138.122(b)]</w:t>
      </w:r>
    </w:p>
    <w:p w:rsidR="007015D0" w:rsidRPr="00892DE3" w:rsidRDefault="007015D0" w:rsidP="007015D0"/>
    <w:tbl>
      <w:tblPr>
        <w:tblStyle w:val="ModelReportGuidanceTable"/>
        <w:tblW w:w="9854" w:type="dxa"/>
        <w:tblLayout w:type="fixed"/>
        <w:tblLook w:val="04A0" w:firstRow="1" w:lastRow="0" w:firstColumn="1" w:lastColumn="0" w:noHBand="0" w:noVBand="1"/>
      </w:tblPr>
      <w:tblGrid>
        <w:gridCol w:w="9854"/>
      </w:tblGrid>
      <w:tr w:rsidR="007015D0" w:rsidRPr="00892DE3" w:rsidTr="00546387">
        <w:trPr>
          <w:cnfStyle w:val="100000000000" w:firstRow="1" w:lastRow="0" w:firstColumn="0" w:lastColumn="0" w:oddVBand="0" w:evenVBand="0" w:oddHBand="0" w:evenHBand="0" w:firstRowFirstColumn="0" w:firstRowLastColumn="0" w:lastRowFirstColumn="0" w:lastRowLastColumn="0"/>
          <w:tblHeader/>
        </w:trPr>
        <w:tc>
          <w:tcPr>
            <w:tcW w:w="9854" w:type="dxa"/>
          </w:tcPr>
          <w:p w:rsidR="007015D0" w:rsidRPr="00892DE3" w:rsidRDefault="007015D0" w:rsidP="007015D0">
            <w:r w:rsidRPr="00892DE3">
              <w:t>Guidance – Intangible assets</w:t>
            </w:r>
          </w:p>
        </w:tc>
      </w:tr>
      <w:tr w:rsidR="007015D0" w:rsidRPr="00892DE3" w:rsidTr="00546387">
        <w:tc>
          <w:tcPr>
            <w:tcW w:w="9854" w:type="dxa"/>
          </w:tcPr>
          <w:p w:rsidR="007015D0" w:rsidRPr="00892DE3" w:rsidRDefault="007015D0" w:rsidP="007015D0">
            <w:pPr>
              <w:rPr>
                <w:b/>
              </w:rPr>
            </w:pPr>
            <w:r w:rsidRPr="00892DE3">
              <w:rPr>
                <w:b/>
              </w:rPr>
              <w:t>Disclosure of amortisation</w:t>
            </w:r>
          </w:p>
          <w:p w:rsidR="007015D0" w:rsidRPr="00892DE3" w:rsidRDefault="007015D0" w:rsidP="007015D0">
            <w:r w:rsidRPr="00892DE3">
              <w:t xml:space="preserve">An entity shall disclose the line item(s) of the comprehensive operating statement in which any amortisation of intangible assets is included. </w:t>
            </w:r>
            <w:r w:rsidRPr="00892DE3">
              <w:rPr>
                <w:rStyle w:val="SourceReference"/>
              </w:rPr>
              <w:t>[AASB 138.118(d)]</w:t>
            </w:r>
            <w:r w:rsidRPr="00892DE3">
              <w:t xml:space="preserve"> </w:t>
            </w:r>
          </w:p>
          <w:p w:rsidR="007015D0" w:rsidRPr="00892DE3" w:rsidRDefault="007015D0" w:rsidP="007015D0">
            <w:r w:rsidRPr="00892DE3">
              <w:t xml:space="preserve">An entity shall also disclose a description, the carrying amount and remaining amortisation period of any individual intangible asset that is material to the financial statements. </w:t>
            </w:r>
            <w:r w:rsidRPr="00892DE3">
              <w:rPr>
                <w:rStyle w:val="SourceReference"/>
              </w:rPr>
              <w:t>[AASB 138.122(b)]</w:t>
            </w:r>
          </w:p>
          <w:p w:rsidR="007015D0" w:rsidRPr="00892DE3" w:rsidRDefault="007015D0" w:rsidP="007015D0">
            <w:pPr>
              <w:rPr>
                <w:b/>
              </w:rPr>
            </w:pPr>
            <w:r w:rsidRPr="00892DE3">
              <w:rPr>
                <w:b/>
              </w:rPr>
              <w:t>Additional disclosures for indefinite life intangible assets</w:t>
            </w:r>
          </w:p>
          <w:p w:rsidR="007015D0" w:rsidRPr="00892DE3" w:rsidRDefault="007015D0" w:rsidP="007015D0">
            <w:r w:rsidRPr="00892DE3">
              <w:t xml:space="preserve">An entity shall disclose, for an intangible asset assessed as having an indefinite useful life, the carrying amount of that asset and the reasons supporting the assessment of an indefinite useful life. In giving these reasons, the entity shall describe the factor(s) that played a significant role in determining that the asset has an indefinite useful life. </w:t>
            </w:r>
            <w:r w:rsidRPr="00892DE3">
              <w:rPr>
                <w:rStyle w:val="SourceReference"/>
              </w:rPr>
              <w:t>[AASB 138.122(a)]</w:t>
            </w:r>
          </w:p>
          <w:p w:rsidR="007015D0" w:rsidRPr="00892DE3" w:rsidRDefault="007015D0" w:rsidP="007015D0">
            <w:r w:rsidRPr="00892DE3">
              <w:rPr>
                <w:b/>
              </w:rPr>
              <w:t>Additional disclosures for intangible assets acquired by way of a government grant and initially recognised at fair value</w:t>
            </w:r>
            <w:r w:rsidRPr="00892DE3">
              <w:t xml:space="preserve"> </w:t>
            </w:r>
            <w:r w:rsidRPr="00892DE3">
              <w:rPr>
                <w:rStyle w:val="SourceReference"/>
              </w:rPr>
              <w:t>[AASB 138.120]</w:t>
            </w:r>
          </w:p>
          <w:p w:rsidR="007015D0" w:rsidRPr="00892DE3" w:rsidRDefault="007015D0" w:rsidP="007015D0">
            <w:r w:rsidRPr="00892DE3">
              <w:t xml:space="preserve">For intangible assets acquired by way of a government grant and initially recognised at fair value, an entity shall disclose: </w:t>
            </w:r>
          </w:p>
          <w:p w:rsidR="007015D0" w:rsidRPr="00892DE3" w:rsidRDefault="007015D0" w:rsidP="007015D0">
            <w:pPr>
              <w:pStyle w:val="List"/>
            </w:pPr>
            <w:r w:rsidRPr="00892DE3">
              <w:t>(a)</w:t>
            </w:r>
            <w:r w:rsidRPr="00892DE3">
              <w:tab/>
              <w:t>the fair value initially recognised for these assets;</w:t>
            </w:r>
          </w:p>
          <w:p w:rsidR="007015D0" w:rsidRPr="00892DE3" w:rsidRDefault="007015D0" w:rsidP="007015D0">
            <w:pPr>
              <w:pStyle w:val="List"/>
            </w:pPr>
            <w:r w:rsidRPr="00892DE3">
              <w:t>(b)</w:t>
            </w:r>
            <w:r w:rsidRPr="00892DE3">
              <w:tab/>
              <w:t>their carrying amount; and</w:t>
            </w:r>
          </w:p>
          <w:p w:rsidR="007015D0" w:rsidRPr="00892DE3" w:rsidRDefault="007015D0" w:rsidP="00546387">
            <w:pPr>
              <w:pStyle w:val="List"/>
            </w:pPr>
            <w:r w:rsidRPr="00892DE3">
              <w:t>(c)</w:t>
            </w:r>
            <w:r w:rsidRPr="00892DE3">
              <w:tab/>
              <w:t xml:space="preserve">whether they are measured after recognition under the cost model or the revaluation model. </w:t>
            </w:r>
            <w:r w:rsidRPr="00892DE3">
              <w:rPr>
                <w:rStyle w:val="SourceReference"/>
              </w:rPr>
              <w:t>[AASB 138.122(c)]</w:t>
            </w:r>
          </w:p>
        </w:tc>
      </w:tr>
    </w:tbl>
    <w:p w:rsidR="00546387" w:rsidRPr="00892DE3" w:rsidRDefault="00546387"/>
    <w:p w:rsidR="00546387" w:rsidRPr="00892DE3" w:rsidRDefault="00546387">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546387" w:rsidRPr="00892DE3" w:rsidTr="00546387">
        <w:trPr>
          <w:cnfStyle w:val="100000000000" w:firstRow="1" w:lastRow="0" w:firstColumn="0" w:lastColumn="0" w:oddVBand="0" w:evenVBand="0" w:oddHBand="0" w:evenHBand="0" w:firstRowFirstColumn="0" w:firstRowLastColumn="0" w:lastRowFirstColumn="0" w:lastRowLastColumn="0"/>
        </w:trPr>
        <w:tc>
          <w:tcPr>
            <w:tcW w:w="9854" w:type="dxa"/>
          </w:tcPr>
          <w:p w:rsidR="00546387" w:rsidRPr="00892DE3" w:rsidRDefault="00546387" w:rsidP="007015D0">
            <w:r w:rsidRPr="00892DE3">
              <w:t xml:space="preserve">Guidance – Intangible assets </w:t>
            </w:r>
            <w:r w:rsidRPr="00491373">
              <w:rPr>
                <w:i/>
              </w:rPr>
              <w:t>(continued)</w:t>
            </w:r>
          </w:p>
        </w:tc>
      </w:tr>
      <w:tr w:rsidR="00546387" w:rsidRPr="00892DE3" w:rsidTr="00546387">
        <w:tc>
          <w:tcPr>
            <w:tcW w:w="9854" w:type="dxa"/>
          </w:tcPr>
          <w:p w:rsidR="00546387" w:rsidRPr="00892DE3" w:rsidRDefault="00546387" w:rsidP="00546387">
            <w:r w:rsidRPr="00892DE3">
              <w:rPr>
                <w:b/>
              </w:rPr>
              <w:t>Additional disclosures for intangible assets whose title is restricted</w:t>
            </w:r>
            <w:r w:rsidRPr="00892DE3">
              <w:t xml:space="preserve"> </w:t>
            </w:r>
            <w:r w:rsidRPr="00892DE3">
              <w:rPr>
                <w:rStyle w:val="SourceReference"/>
              </w:rPr>
              <w:t>[AASB 138.122(d)]</w:t>
            </w:r>
          </w:p>
          <w:p w:rsidR="00546387" w:rsidRPr="00892DE3" w:rsidRDefault="00546387" w:rsidP="00546387">
            <w:r w:rsidRPr="00892DE3">
              <w:t>The entity is required to disclose the existence and carrying amounts of intangible assets whose title is restricted.</w:t>
            </w:r>
          </w:p>
          <w:p w:rsidR="00546387" w:rsidRPr="00892DE3" w:rsidRDefault="00546387" w:rsidP="00546387">
            <w:r w:rsidRPr="00892DE3">
              <w:rPr>
                <w:b/>
              </w:rPr>
              <w:t>Additional disclosures for intangible assets pledged as security for liabilities</w:t>
            </w:r>
            <w:r w:rsidRPr="00892DE3">
              <w:t xml:space="preserve"> </w:t>
            </w:r>
            <w:r w:rsidRPr="00892DE3">
              <w:rPr>
                <w:rStyle w:val="SourceReference"/>
              </w:rPr>
              <w:t>[AASB 138.122(d)]</w:t>
            </w:r>
          </w:p>
          <w:p w:rsidR="00546387" w:rsidRPr="00892DE3" w:rsidRDefault="00546387" w:rsidP="00546387">
            <w:r w:rsidRPr="00892DE3">
              <w:t>The entity is required to disclose the carrying amounts of intangible assets pledged as security for liabilities.</w:t>
            </w:r>
          </w:p>
          <w:p w:rsidR="00546387" w:rsidRPr="00892DE3" w:rsidRDefault="00546387" w:rsidP="00546387">
            <w:pPr>
              <w:rPr>
                <w:b/>
              </w:rPr>
            </w:pPr>
            <w:r w:rsidRPr="00892DE3">
              <w:rPr>
                <w:b/>
              </w:rPr>
              <w:t>Additional disclosures for commitments to acquire intangibles</w:t>
            </w:r>
          </w:p>
          <w:p w:rsidR="00546387" w:rsidRPr="00892DE3" w:rsidRDefault="00546387" w:rsidP="00546387">
            <w:r w:rsidRPr="00892DE3">
              <w:t xml:space="preserve">The entity shall disclose the amount of contractual commitments for the acquisition of intangible assets. </w:t>
            </w:r>
            <w:r w:rsidRPr="00892DE3">
              <w:rPr>
                <w:rStyle w:val="SourceReference"/>
              </w:rPr>
              <w:t>[AASB 138.122(e)]</w:t>
            </w:r>
          </w:p>
          <w:p w:rsidR="00546387" w:rsidRPr="00892DE3" w:rsidRDefault="00546387" w:rsidP="00546387">
            <w:pPr>
              <w:rPr>
                <w:b/>
              </w:rPr>
            </w:pPr>
            <w:r w:rsidRPr="00892DE3">
              <w:rPr>
                <w:b/>
              </w:rPr>
              <w:t>Other information</w:t>
            </w:r>
          </w:p>
          <w:p w:rsidR="00546387" w:rsidRPr="00892DE3" w:rsidRDefault="00546387" w:rsidP="00546387">
            <w:r w:rsidRPr="00892DE3">
              <w:t>An entity is encouraged, but not required, to disclose the following information:</w:t>
            </w:r>
          </w:p>
          <w:p w:rsidR="00546387" w:rsidRPr="00892DE3" w:rsidRDefault="00546387" w:rsidP="00546387">
            <w:pPr>
              <w:pStyle w:val="List"/>
            </w:pPr>
            <w:r w:rsidRPr="00892DE3">
              <w:t>(a)</w:t>
            </w:r>
            <w:r w:rsidRPr="00892DE3">
              <w:tab/>
              <w:t>a description of any fully amortised intangible asset that is still in use; and</w:t>
            </w:r>
          </w:p>
          <w:p w:rsidR="00546387" w:rsidRPr="00892DE3" w:rsidRDefault="00546387" w:rsidP="00546387">
            <w:pPr>
              <w:pStyle w:val="List"/>
              <w:rPr>
                <w:rStyle w:val="SourceReference"/>
              </w:rPr>
            </w:pPr>
            <w:r w:rsidRPr="00892DE3">
              <w:t>(b)</w:t>
            </w:r>
            <w:r w:rsidRPr="00892DE3">
              <w:tab/>
              <w:t xml:space="preserve">a brief description of significant intangible assets controlled by the entity but not recognised as assets because they did not meet the recognition criteria in AASB 138. </w:t>
            </w:r>
            <w:r w:rsidRPr="00892DE3">
              <w:rPr>
                <w:rStyle w:val="SourceReference"/>
              </w:rPr>
              <w:t>[AASB 138.128]</w:t>
            </w:r>
          </w:p>
          <w:p w:rsidR="00546387" w:rsidRPr="00892DE3" w:rsidRDefault="00546387" w:rsidP="00546387">
            <w:pPr>
              <w:rPr>
                <w:b/>
              </w:rPr>
            </w:pPr>
            <w:r w:rsidRPr="00892DE3">
              <w:rPr>
                <w:b/>
              </w:rPr>
              <w:t>Intangible assets revalued using the revaluation model</w:t>
            </w:r>
          </w:p>
          <w:p w:rsidR="00546387" w:rsidRPr="00892DE3" w:rsidRDefault="00546387" w:rsidP="00546387">
            <w:r w:rsidRPr="00892DE3">
              <w:t>If intangible assets are accounted for at revalued amounts, an entity shall disclose the following:</w:t>
            </w:r>
          </w:p>
          <w:p w:rsidR="00546387" w:rsidRPr="00892DE3" w:rsidRDefault="00546387" w:rsidP="00546387">
            <w:pPr>
              <w:pStyle w:val="List"/>
            </w:pPr>
            <w:r w:rsidRPr="00892DE3">
              <w:t>(a)</w:t>
            </w:r>
            <w:r w:rsidRPr="00892DE3">
              <w:tab/>
              <w:t xml:space="preserve">by class of intangible assets: </w:t>
            </w:r>
          </w:p>
          <w:p w:rsidR="00546387" w:rsidRPr="00892DE3" w:rsidRDefault="00546387" w:rsidP="00546387">
            <w:pPr>
              <w:pStyle w:val="List2"/>
            </w:pPr>
            <w:r w:rsidRPr="00892DE3">
              <w:t>(i)</w:t>
            </w:r>
            <w:r w:rsidRPr="00892DE3">
              <w:tab/>
              <w:t>the effective date of the revaluation;</w:t>
            </w:r>
          </w:p>
          <w:p w:rsidR="00546387" w:rsidRPr="00892DE3" w:rsidRDefault="00546387" w:rsidP="00546387">
            <w:pPr>
              <w:pStyle w:val="List2"/>
            </w:pPr>
            <w:r w:rsidRPr="00892DE3">
              <w:t>(ii)</w:t>
            </w:r>
            <w:r w:rsidRPr="00892DE3">
              <w:tab/>
              <w:t>the carrying amount of revalued intangible assets; and</w:t>
            </w:r>
          </w:p>
          <w:p w:rsidR="00546387" w:rsidRPr="00892DE3" w:rsidRDefault="00546387" w:rsidP="00546387">
            <w:pPr>
              <w:pStyle w:val="List2"/>
            </w:pPr>
            <w:r w:rsidRPr="00892DE3">
              <w:t>(iii)</w:t>
            </w:r>
            <w:r w:rsidRPr="00892DE3">
              <w:tab/>
              <w:t xml:space="preserve">the carrying amount that would have been recognised had the revalued class of intangible assets been measured after recognition using the cost model; </w:t>
            </w:r>
          </w:p>
          <w:p w:rsidR="00546387" w:rsidRPr="00892DE3" w:rsidRDefault="00546387" w:rsidP="00546387">
            <w:pPr>
              <w:pStyle w:val="List"/>
            </w:pPr>
            <w:r w:rsidRPr="00892DE3">
              <w:t>(b)</w:t>
            </w:r>
            <w:r w:rsidRPr="00892DE3">
              <w:tab/>
              <w:t>the amount of the revaluation surplus that relates to intangible assets at the beginning and end of the period, indicating the changes during the period and any restrictions on the distribution of the balance to shareholders; and</w:t>
            </w:r>
          </w:p>
          <w:p w:rsidR="00546387" w:rsidRPr="00892DE3" w:rsidRDefault="00546387" w:rsidP="00546387">
            <w:pPr>
              <w:pStyle w:val="List"/>
            </w:pPr>
            <w:r w:rsidRPr="00892DE3">
              <w:t>(c)</w:t>
            </w:r>
            <w:r w:rsidRPr="00892DE3">
              <w:tab/>
              <w:t xml:space="preserve">the methods and significant assumptions applied in estimating the assets’ fair values. </w:t>
            </w:r>
            <w:r w:rsidRPr="00892DE3">
              <w:rPr>
                <w:rStyle w:val="SourceReference"/>
              </w:rPr>
              <w:t>[AASB 138.124]</w:t>
            </w:r>
          </w:p>
          <w:p w:rsidR="00546387" w:rsidRPr="00892DE3" w:rsidRDefault="00546387" w:rsidP="00546387">
            <w:r w:rsidRPr="00892DE3">
              <w:t xml:space="preserve">Notwithstanding (a)(iii) above, in respect of </w:t>
            </w:r>
            <w:r w:rsidR="004A3F79" w:rsidRPr="00892DE3">
              <w:t>not-for-profit</w:t>
            </w:r>
            <w:r w:rsidRPr="00892DE3">
              <w:t xml:space="preserve"> entities, for each revalued class of intangible assets, the requirement to disclose the carrying amount that would have been recognised had the assets been carried under the cost model does not apply. </w:t>
            </w:r>
            <w:r w:rsidRPr="00892DE3">
              <w:rPr>
                <w:rStyle w:val="SourceReference"/>
              </w:rPr>
              <w:t>[AASB 138.Aus124.1]</w:t>
            </w:r>
          </w:p>
          <w:p w:rsidR="00546387" w:rsidRPr="00892DE3" w:rsidRDefault="00546387" w:rsidP="00546387">
            <w:pPr>
              <w:rPr>
                <w:b/>
              </w:rPr>
            </w:pPr>
            <w:r w:rsidRPr="00892DE3">
              <w:rPr>
                <w:b/>
              </w:rPr>
              <w:t>Impairment of intangible assets</w:t>
            </w:r>
          </w:p>
          <w:p w:rsidR="00546387" w:rsidRPr="00892DE3" w:rsidRDefault="00546387" w:rsidP="00546387">
            <w:r w:rsidRPr="00892DE3">
              <w:t xml:space="preserve">An entity discloses information on impaired intangible assets in accordance with Accounting Standard AASB 136 Impairment of Assets in addition to the information required by Accounting Standard AASB 138 Intangible Assets. </w:t>
            </w:r>
            <w:r w:rsidRPr="00892DE3">
              <w:br/>
            </w:r>
            <w:r w:rsidRPr="00892DE3">
              <w:rPr>
                <w:rStyle w:val="SourceReference"/>
              </w:rPr>
              <w:t>[AASB 138.120]</w:t>
            </w:r>
          </w:p>
          <w:p w:rsidR="00546387" w:rsidRPr="00892DE3" w:rsidRDefault="00546387" w:rsidP="00546387">
            <w:r w:rsidRPr="00892DE3">
              <w:t xml:space="preserve">Factors that are considered in determining the useful life of an intangible asset include: </w:t>
            </w:r>
          </w:p>
          <w:p w:rsidR="00546387" w:rsidRPr="00892DE3" w:rsidRDefault="00546387" w:rsidP="00546387">
            <w:pPr>
              <w:pStyle w:val="List"/>
            </w:pPr>
            <w:r w:rsidRPr="00892DE3">
              <w:t>(a)</w:t>
            </w:r>
            <w:r w:rsidRPr="00892DE3">
              <w:tab/>
              <w:t>the expected usage of the asset by the entity and whether the asset could be managed efficiently by another management team;</w:t>
            </w:r>
          </w:p>
          <w:p w:rsidR="00546387" w:rsidRPr="00892DE3" w:rsidRDefault="00546387" w:rsidP="00546387">
            <w:pPr>
              <w:pStyle w:val="List"/>
            </w:pPr>
            <w:r w:rsidRPr="00892DE3">
              <w:t>(b)</w:t>
            </w:r>
            <w:r w:rsidRPr="00892DE3">
              <w:tab/>
              <w:t>typical product life cycles for the asset and public information on estimates of useful lives of similar assets that are used in a similar way;</w:t>
            </w:r>
          </w:p>
          <w:p w:rsidR="00546387" w:rsidRPr="00892DE3" w:rsidRDefault="00546387" w:rsidP="00546387">
            <w:pPr>
              <w:pStyle w:val="List"/>
            </w:pPr>
            <w:r w:rsidRPr="00892DE3">
              <w:t>(c)</w:t>
            </w:r>
            <w:r w:rsidRPr="00892DE3">
              <w:tab/>
              <w:t xml:space="preserve">technical, technological, commercial or other types of obsolescence; </w:t>
            </w:r>
          </w:p>
          <w:p w:rsidR="00546387" w:rsidRPr="00892DE3" w:rsidRDefault="00546387" w:rsidP="00546387">
            <w:pPr>
              <w:pStyle w:val="List"/>
            </w:pPr>
            <w:r w:rsidRPr="00892DE3">
              <w:t>(d)</w:t>
            </w:r>
            <w:r w:rsidRPr="00892DE3">
              <w:tab/>
              <w:t>the stability of the industry in which the asset operates and changes in the market demand for the products or services output from the asset;</w:t>
            </w:r>
          </w:p>
          <w:p w:rsidR="00546387" w:rsidRPr="00892DE3" w:rsidRDefault="00546387" w:rsidP="00546387">
            <w:pPr>
              <w:pStyle w:val="List"/>
            </w:pPr>
            <w:r w:rsidRPr="00892DE3">
              <w:t>(e)</w:t>
            </w:r>
            <w:r w:rsidRPr="00892DE3">
              <w:tab/>
              <w:t xml:space="preserve">expected actions by competitors or potential competitors; </w:t>
            </w:r>
          </w:p>
          <w:p w:rsidR="00546387" w:rsidRPr="00892DE3" w:rsidRDefault="00546387" w:rsidP="00546387">
            <w:pPr>
              <w:pStyle w:val="List"/>
            </w:pPr>
            <w:r w:rsidRPr="00892DE3">
              <w:t>(f)</w:t>
            </w:r>
            <w:r w:rsidRPr="00892DE3">
              <w:tab/>
              <w:t>the level of maintenance expenditure required to obtain the expected future economic benefits from the asset and the entity’s ability and intention to reach such a level;</w:t>
            </w:r>
          </w:p>
          <w:p w:rsidR="00546387" w:rsidRPr="00892DE3" w:rsidRDefault="00546387" w:rsidP="00546387">
            <w:pPr>
              <w:pStyle w:val="List"/>
            </w:pPr>
            <w:r w:rsidRPr="00892DE3">
              <w:t>(g)</w:t>
            </w:r>
            <w:r w:rsidRPr="00892DE3">
              <w:tab/>
              <w:t>the period of control over the asset and legal or similar limits on the use of the asset, such as the expiry dates of related leases; and</w:t>
            </w:r>
          </w:p>
          <w:p w:rsidR="00546387" w:rsidRPr="00892DE3" w:rsidRDefault="00546387" w:rsidP="00546387">
            <w:pPr>
              <w:pStyle w:val="List"/>
            </w:pPr>
            <w:r w:rsidRPr="00892DE3">
              <w:t>(h)</w:t>
            </w:r>
            <w:r w:rsidRPr="00892DE3">
              <w:tab/>
              <w:t xml:space="preserve">whether the useful life of the asset is dependent on the useful life of other assets of the entity. </w:t>
            </w:r>
            <w:r w:rsidRPr="00892DE3">
              <w:rPr>
                <w:rStyle w:val="SourceReference"/>
              </w:rPr>
              <w:t>[AASB 138.90]</w:t>
            </w:r>
          </w:p>
        </w:tc>
      </w:tr>
    </w:tbl>
    <w:p w:rsidR="007015D0" w:rsidRPr="00892DE3" w:rsidRDefault="007015D0"/>
    <w:p w:rsidR="00546387" w:rsidRPr="00892DE3" w:rsidRDefault="00546387">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7015D0" w:rsidRPr="00892DE3" w:rsidTr="00546387">
        <w:trPr>
          <w:cnfStyle w:val="100000000000" w:firstRow="1" w:lastRow="0" w:firstColumn="0" w:lastColumn="0" w:oddVBand="0" w:evenVBand="0" w:oddHBand="0" w:evenHBand="0" w:firstRowFirstColumn="0" w:firstRowLastColumn="0" w:lastRowFirstColumn="0" w:lastRowLastColumn="0"/>
          <w:tblHeader/>
        </w:trPr>
        <w:tc>
          <w:tcPr>
            <w:tcW w:w="9854" w:type="dxa"/>
          </w:tcPr>
          <w:p w:rsidR="007015D0" w:rsidRPr="00892DE3" w:rsidRDefault="007015D0" w:rsidP="007015D0">
            <w:r w:rsidRPr="00892DE3">
              <w:t xml:space="preserve">Guidance – Intangible assets </w:t>
            </w:r>
            <w:r w:rsidRPr="00491373">
              <w:rPr>
                <w:i/>
              </w:rPr>
              <w:t>(continued)</w:t>
            </w:r>
          </w:p>
        </w:tc>
      </w:tr>
      <w:tr w:rsidR="007015D0" w:rsidRPr="00892DE3" w:rsidTr="00546387">
        <w:tc>
          <w:tcPr>
            <w:tcW w:w="9854" w:type="dxa"/>
          </w:tcPr>
          <w:p w:rsidR="007015D0" w:rsidRPr="00892DE3" w:rsidRDefault="007015D0" w:rsidP="007015D0">
            <w:pPr>
              <w:rPr>
                <w:b/>
              </w:rPr>
            </w:pPr>
            <w:r w:rsidRPr="00892DE3">
              <w:rPr>
                <w:b/>
              </w:rPr>
              <w:t xml:space="preserve">Internal use software </w:t>
            </w:r>
          </w:p>
          <w:p w:rsidR="007015D0" w:rsidRPr="00892DE3" w:rsidRDefault="007015D0" w:rsidP="007015D0">
            <w:r w:rsidRPr="00892DE3">
              <w:t>Capitalisation threshold: FRD 109 requires expenditure on a non-monetary item without physical substance to be recognised as an intangible asset only if the amount involved meets the capitalisation threshold that is material to the entity. In addition, an entity should consider the following in determining the capitalisation threshold:</w:t>
            </w:r>
          </w:p>
          <w:p w:rsidR="007015D0" w:rsidRPr="00892DE3" w:rsidRDefault="007015D0" w:rsidP="007015D0">
            <w:pPr>
              <w:pStyle w:val="List"/>
            </w:pPr>
            <w:r w:rsidRPr="00892DE3">
              <w:t>(a)</w:t>
            </w:r>
            <w:r w:rsidRPr="00892DE3">
              <w:tab/>
              <w:t>the impact of the capitalisation threshold on the comprehensive operating statement and balance sheet, taking into consideration the pattern of investment and that an intangible asset may have a relatively short useful life (e.g. useful life of software is usually only three to five years); and</w:t>
            </w:r>
          </w:p>
          <w:p w:rsidR="007015D0" w:rsidRPr="00892DE3" w:rsidRDefault="007015D0" w:rsidP="007015D0">
            <w:pPr>
              <w:pStyle w:val="List"/>
            </w:pPr>
            <w:r w:rsidRPr="00892DE3">
              <w:t>(b)</w:t>
            </w:r>
            <w:r w:rsidRPr="00892DE3">
              <w:tab/>
              <w:t xml:space="preserve">the administrative burden of conducting annual impairment tests of intangible assets. </w:t>
            </w:r>
            <w:r w:rsidRPr="00892DE3">
              <w:rPr>
                <w:rStyle w:val="SourceReference"/>
              </w:rPr>
              <w:t>[FRD 109]</w:t>
            </w:r>
          </w:p>
          <w:p w:rsidR="007015D0" w:rsidRPr="00892DE3" w:rsidRDefault="007015D0" w:rsidP="007015D0">
            <w:r w:rsidRPr="00892DE3">
              <w:rPr>
                <w:b/>
              </w:rPr>
              <w:t>Research activities (or research phase of internal projects)</w:t>
            </w:r>
            <w:r w:rsidRPr="00892DE3">
              <w:t xml:space="preserve">: AASB 138 specifically prohibits the recognition of research activities as an asset. </w:t>
            </w:r>
            <w:r w:rsidRPr="00892DE3">
              <w:rPr>
                <w:rStyle w:val="SourceReference"/>
              </w:rPr>
              <w:t>[AASB 138.54]</w:t>
            </w:r>
          </w:p>
          <w:p w:rsidR="007015D0" w:rsidRPr="00892DE3" w:rsidRDefault="007015D0" w:rsidP="007015D0">
            <w:r w:rsidRPr="00892DE3">
              <w:rPr>
                <w:b/>
              </w:rPr>
              <w:t>Internal use software</w:t>
            </w:r>
            <w:r w:rsidR="00546387" w:rsidRPr="00892DE3">
              <w:t>:</w:t>
            </w:r>
            <w:r w:rsidRPr="00892DE3">
              <w:t xml:space="preserve"> </w:t>
            </w:r>
            <w:r w:rsidRPr="00892DE3">
              <w:rPr>
                <w:rStyle w:val="SourceReference"/>
              </w:rPr>
              <w:t>[AASB 138.54, FRD 109 App 1]</w:t>
            </w:r>
            <w:r w:rsidRPr="00892DE3">
              <w:t xml:space="preserve"> Purchased internal use software may comprise components with differing accounting treatment (refer to Appendix 1 of FRD 109 for further guidance). Where the accounting treatment differs, each component of the software must be proportionately allocated, based on its fair value, over the total contract price.</w:t>
            </w:r>
          </w:p>
          <w:p w:rsidR="007015D0" w:rsidRPr="00892DE3" w:rsidRDefault="007015D0" w:rsidP="007015D0">
            <w:r w:rsidRPr="00892DE3">
              <w:t>Internally developed internal use software usually involves three stages (refer Appendix 1 of FRD 109 for additional guidance):</w:t>
            </w:r>
          </w:p>
          <w:p w:rsidR="007015D0" w:rsidRPr="00892DE3" w:rsidRDefault="007015D0" w:rsidP="007015D0">
            <w:pPr>
              <w:pStyle w:val="List"/>
            </w:pPr>
            <w:r w:rsidRPr="00892DE3">
              <w:t>(a)</w:t>
            </w:r>
            <w:r w:rsidRPr="00892DE3">
              <w:tab/>
              <w:t>preliminary project stage – costs to be expensed;</w:t>
            </w:r>
          </w:p>
          <w:p w:rsidR="007015D0" w:rsidRPr="00892DE3" w:rsidRDefault="007015D0" w:rsidP="007015D0">
            <w:pPr>
              <w:pStyle w:val="List"/>
            </w:pPr>
            <w:r w:rsidRPr="00892DE3">
              <w:t>(b)</w:t>
            </w:r>
            <w:r w:rsidRPr="00892DE3">
              <w:tab/>
              <w:t>application development stage – costs to be capitalised or expensed; and</w:t>
            </w:r>
          </w:p>
          <w:p w:rsidR="007015D0" w:rsidRPr="00892DE3" w:rsidRDefault="007015D0" w:rsidP="007015D0">
            <w:pPr>
              <w:pStyle w:val="List"/>
            </w:pPr>
            <w:r w:rsidRPr="00892DE3">
              <w:t>(c)</w:t>
            </w:r>
            <w:r w:rsidRPr="00892DE3">
              <w:tab/>
              <w:t>post implementation/operation stage – costs to be expensed.</w:t>
            </w:r>
          </w:p>
          <w:p w:rsidR="007015D0" w:rsidRPr="00892DE3" w:rsidRDefault="007015D0" w:rsidP="007015D0">
            <w:r w:rsidRPr="00892DE3">
              <w:t xml:space="preserve">Internally developed internal use software may comprise more than one component. For example, the development of an accounting software system may consist of three components: general ledger, accounts payable </w:t>
            </w:r>
            <w:r w:rsidR="00217A5D" w:rsidRPr="00892DE3">
              <w:t>sub-</w:t>
            </w:r>
            <w:r w:rsidRPr="00892DE3">
              <w:t xml:space="preserve">ledger and an accounts receivable </w:t>
            </w:r>
            <w:r w:rsidR="00217A5D" w:rsidRPr="00892DE3">
              <w:t>sub-</w:t>
            </w:r>
            <w:r w:rsidRPr="00892DE3">
              <w:t>ledger. Where this is the case, each component of the system should be accounted for as a separate component and in accordance with FRD 109.</w:t>
            </w:r>
          </w:p>
        </w:tc>
      </w:tr>
    </w:tbl>
    <w:p w:rsidR="007015D0" w:rsidRPr="00892DE3" w:rsidRDefault="007015D0" w:rsidP="007015D0"/>
    <w:p w:rsidR="007015D0" w:rsidRPr="00892DE3" w:rsidRDefault="007015D0" w:rsidP="0019303F">
      <w:pPr>
        <w:pStyle w:val="Heading2"/>
      </w:pPr>
      <w:bookmarkStart w:id="121" w:name="_Toc477257491"/>
      <w:bookmarkStart w:id="122" w:name="_Toc478055748"/>
      <w:r w:rsidRPr="00892DE3">
        <w:t>Investments accounted for using the equity method</w:t>
      </w:r>
      <w:bookmarkEnd w:id="121"/>
      <w:bookmarkEnd w:id="122"/>
    </w:p>
    <w:p w:rsidR="007015D0" w:rsidRPr="00892DE3" w:rsidRDefault="007015D0" w:rsidP="007015D0">
      <w:r w:rsidRPr="00892DE3">
        <w:t xml:space="preserve">Joint arrangements are contractual arrangements between the Department and one or more other parties to undertake an economic activity that is subject to joint control. </w:t>
      </w:r>
    </w:p>
    <w:p w:rsidR="007015D0" w:rsidRPr="00892DE3" w:rsidRDefault="007015D0" w:rsidP="007015D0">
      <w:r w:rsidRPr="00892DE3">
        <w:t xml:space="preserve">Joint control is the contractually agreed sharing of control of an arrangement, which exists only when decisions about the relevant activities of the joint arrangement require the unanimous consent of the parties sharing control. </w:t>
      </w:r>
      <w:r w:rsidRPr="00892DE3">
        <w:rPr>
          <w:rStyle w:val="SourceReference"/>
        </w:rPr>
        <w:t>[AASB 11.7]</w:t>
      </w:r>
    </w:p>
    <w:p w:rsidR="007015D0" w:rsidRPr="00892DE3" w:rsidRDefault="007015D0" w:rsidP="007015D0">
      <w:r w:rsidRPr="00892DE3">
        <w:t xml:space="preserve">Investments in joint arrangements are classified as either joint operations or joint ventures. The classification depends on the contractual rights and obligations of each investor, rather than the legal structure of the joint arrangement. </w:t>
      </w:r>
    </w:p>
    <w:p w:rsidR="007015D0" w:rsidRPr="00892DE3" w:rsidRDefault="007015D0" w:rsidP="007015D0">
      <w:r w:rsidRPr="00892DE3">
        <w:t xml:space="preserve">The Department accounted for two investments using the equity method: New Technology Ltd (an associate) and Technology supply Pty Ltd (a joint venture). After initially recognising the investment value at cost in the balance sheet, the equity method requires the State’s share of the post-acquisition profits or losses of these investments to be recognised in the net result as ‘other economic flows’. The share of post-acquisition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 </w:t>
      </w:r>
      <w:r w:rsidRPr="00892DE3">
        <w:rPr>
          <w:rStyle w:val="SourceReference"/>
        </w:rPr>
        <w:t>[AASB 128.10; AASB 12.21(b),AASB 11.16)]</w:t>
      </w:r>
    </w:p>
    <w:p w:rsidR="007015D0" w:rsidRPr="00892DE3" w:rsidRDefault="007015D0" w:rsidP="007015D0">
      <w:pPr>
        <w:pStyle w:val="Heading30"/>
      </w:pPr>
      <w:r w:rsidRPr="00892DE3">
        <w:t xml:space="preserve">Investments in associate </w:t>
      </w:r>
    </w:p>
    <w:p w:rsidR="007015D0" w:rsidRPr="00892DE3" w:rsidRDefault="007015D0" w:rsidP="007015D0">
      <w:r w:rsidRPr="00892DE3">
        <w:t xml:space="preserve">New Technology Ltd is one of the Department’s strategic partners </w:t>
      </w:r>
      <w:r w:rsidR="00E229B5" w:rsidRPr="00892DE3">
        <w:t xml:space="preserve">specialising </w:t>
      </w:r>
      <w:r w:rsidRPr="00892DE3">
        <w:t>in developing new biological equipment in Melbourne, Victoria. The main business activities include</w:t>
      </w:r>
      <w:r w:rsidRPr="00892DE3">
        <w:rPr>
          <w:sz w:val="20"/>
        </w:rPr>
        <w:t xml:space="preserve">: </w:t>
      </w:r>
      <w:r w:rsidRPr="00892DE3">
        <w:rPr>
          <w:rStyle w:val="SourceReference"/>
          <w:sz w:val="18"/>
        </w:rPr>
        <w:t>[</w:t>
      </w:r>
      <w:r w:rsidR="00815027" w:rsidRPr="00892DE3">
        <w:rPr>
          <w:rStyle w:val="SourceReference"/>
          <w:sz w:val="18"/>
        </w:rPr>
        <w:t>insert detail</w:t>
      </w:r>
      <w:r w:rsidRPr="00892DE3">
        <w:rPr>
          <w:rStyle w:val="SourceReference"/>
          <w:sz w:val="18"/>
        </w:rPr>
        <w:t>]</w:t>
      </w:r>
      <w:r w:rsidRPr="00892DE3">
        <w:rPr>
          <w:rStyle w:val="SourceReference"/>
          <w:color w:val="000000" w:themeColor="text1"/>
          <w:sz w:val="18"/>
        </w:rPr>
        <w:t>.</w:t>
      </w:r>
      <w:r w:rsidRPr="00892DE3">
        <w:rPr>
          <w:sz w:val="22"/>
        </w:rPr>
        <w:t xml:space="preserve"> </w:t>
      </w:r>
      <w:r w:rsidRPr="00892DE3">
        <w:t xml:space="preserve">New Technology Ltd is an ASX publicly listed company. </w:t>
      </w:r>
    </w:p>
    <w:p w:rsidR="007015D0" w:rsidRPr="00892DE3" w:rsidRDefault="007015D0" w:rsidP="007015D0">
      <w:pPr>
        <w:pStyle w:val="Heading30"/>
      </w:pPr>
      <w:r w:rsidRPr="00892DE3">
        <w:t>Investments in joint venture</w:t>
      </w:r>
    </w:p>
    <w:p w:rsidR="007015D0" w:rsidRPr="00892DE3" w:rsidRDefault="007015D0" w:rsidP="007015D0">
      <w:r w:rsidRPr="00892DE3">
        <w:t>Up until 30 June 2016, the Department had a joint venture with Technology Supply Pty Ltd to provide expertise in technology supply services to the business units. The main business activities included: [xxx]</w:t>
      </w:r>
    </w:p>
    <w:p w:rsidR="007015D0" w:rsidRPr="00892DE3" w:rsidRDefault="007015D0" w:rsidP="007015D0">
      <w:r w:rsidRPr="00892DE3">
        <w:t xml:space="preserve">The joint venture ceased to operate effective from 1 July 2016. </w:t>
      </w:r>
      <w:r w:rsidRPr="00892DE3">
        <w:rPr>
          <w:rStyle w:val="SourceReference"/>
        </w:rPr>
        <w:t>[AASB 12.21(a)]</w:t>
      </w:r>
    </w:p>
    <w:p w:rsidR="00546387" w:rsidRPr="00892DE3" w:rsidRDefault="00546387">
      <w:pPr>
        <w:keepLines w:val="0"/>
        <w:rPr>
          <w:rFonts w:asciiTheme="majorHAnsi" w:hAnsiTheme="majorHAnsi"/>
          <w:b/>
          <w:szCs w:val="20"/>
        </w:rPr>
      </w:pPr>
      <w:r w:rsidRPr="00892DE3">
        <w:br w:type="page"/>
      </w:r>
    </w:p>
    <w:p w:rsidR="007015D0" w:rsidRPr="00892DE3" w:rsidRDefault="007015D0" w:rsidP="00266658">
      <w:pPr>
        <w:pStyle w:val="TableHeading"/>
      </w:pPr>
      <w:r w:rsidRPr="00892DE3">
        <w:t xml:space="preserve">Details of material associates and joint ventures </w:t>
      </w:r>
      <w:r w:rsidRPr="00892DE3">
        <w:rPr>
          <w:rStyle w:val="SourceReference"/>
          <w:b w:val="0"/>
        </w:rPr>
        <w:t>[AASB12.21(b)]</w:t>
      </w:r>
      <w:r w:rsidR="00266658" w:rsidRPr="00892DE3">
        <w:tab/>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2525"/>
        <w:gridCol w:w="1962"/>
        <w:gridCol w:w="1784"/>
        <w:gridCol w:w="892"/>
        <w:gridCol w:w="714"/>
        <w:gridCol w:w="910"/>
        <w:gridCol w:w="850"/>
      </w:tblGrid>
      <w:tr w:rsidR="00266658" w:rsidRPr="00892DE3" w:rsidTr="005463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5" w:type="dxa"/>
          </w:tcPr>
          <w:p w:rsidR="00266658" w:rsidRPr="00892DE3" w:rsidRDefault="00266658" w:rsidP="00266658">
            <w:pPr>
              <w:ind w:left="0" w:firstLine="0"/>
            </w:pPr>
          </w:p>
        </w:tc>
        <w:tc>
          <w:tcPr>
            <w:tcW w:w="1962" w:type="dxa"/>
            <w:hideMark/>
          </w:tcPr>
          <w:p w:rsidR="00266658" w:rsidRPr="00892DE3" w:rsidRDefault="00266658" w:rsidP="00546387">
            <w:pPr>
              <w:jc w:val="center"/>
              <w:cnfStyle w:val="100000000000" w:firstRow="1" w:lastRow="0" w:firstColumn="0" w:lastColumn="0" w:oddVBand="0" w:evenVBand="0" w:oddHBand="0" w:evenHBand="0" w:firstRowFirstColumn="0" w:firstRowLastColumn="0" w:lastRowFirstColumn="0" w:lastRowLastColumn="0"/>
            </w:pPr>
            <w:r w:rsidRPr="00892DE3">
              <w:t xml:space="preserve">Country of </w:t>
            </w:r>
            <w:r w:rsidR="00546387" w:rsidRPr="00892DE3">
              <w:br/>
            </w:r>
            <w:r w:rsidRPr="00892DE3">
              <w:t>incorporation</w:t>
            </w:r>
          </w:p>
        </w:tc>
        <w:tc>
          <w:tcPr>
            <w:tcW w:w="1784" w:type="dxa"/>
            <w:hideMark/>
          </w:tcPr>
          <w:p w:rsidR="00266658" w:rsidRPr="00892DE3" w:rsidRDefault="00266658" w:rsidP="00546387">
            <w:pPr>
              <w:jc w:val="center"/>
              <w:cnfStyle w:val="100000000000" w:firstRow="1" w:lastRow="0" w:firstColumn="0" w:lastColumn="0" w:oddVBand="0" w:evenVBand="0" w:oddHBand="0" w:evenHBand="0" w:firstRowFirstColumn="0" w:firstRowLastColumn="0" w:lastRowFirstColumn="0" w:lastRowLastColumn="0"/>
            </w:pPr>
            <w:r w:rsidRPr="00892DE3">
              <w:t xml:space="preserve">Measurement </w:t>
            </w:r>
            <w:r w:rsidR="00546387" w:rsidRPr="00892DE3">
              <w:br/>
            </w:r>
            <w:r w:rsidRPr="00892DE3">
              <w:t>method</w:t>
            </w:r>
          </w:p>
        </w:tc>
        <w:tc>
          <w:tcPr>
            <w:tcW w:w="1606" w:type="dxa"/>
            <w:gridSpan w:val="2"/>
            <w:hideMark/>
          </w:tcPr>
          <w:p w:rsidR="00266658" w:rsidRPr="00892DE3" w:rsidRDefault="00266658" w:rsidP="00266658">
            <w:pPr>
              <w:jc w:val="center"/>
              <w:cnfStyle w:val="100000000000" w:firstRow="1" w:lastRow="0" w:firstColumn="0" w:lastColumn="0" w:oddVBand="0" w:evenVBand="0" w:oddHBand="0" w:evenHBand="0" w:firstRowFirstColumn="0" w:firstRowLastColumn="0" w:lastRowFirstColumn="0" w:lastRowLastColumn="0"/>
            </w:pPr>
            <w:r w:rsidRPr="00892DE3">
              <w:t xml:space="preserve">Ownership </w:t>
            </w:r>
            <w:r w:rsidR="00546387" w:rsidRPr="00892DE3">
              <w:br/>
            </w:r>
            <w:r w:rsidRPr="00892DE3">
              <w:t>interest</w:t>
            </w:r>
          </w:p>
        </w:tc>
        <w:tc>
          <w:tcPr>
            <w:tcW w:w="1760" w:type="dxa"/>
            <w:gridSpan w:val="2"/>
            <w:noWrap/>
            <w:hideMark/>
          </w:tcPr>
          <w:p w:rsidR="00266658" w:rsidRPr="00892DE3" w:rsidRDefault="00266658" w:rsidP="00266658">
            <w:pPr>
              <w:jc w:val="center"/>
              <w:cnfStyle w:val="100000000000" w:firstRow="1" w:lastRow="0" w:firstColumn="0" w:lastColumn="0" w:oddVBand="0" w:evenVBand="0" w:oddHBand="0" w:evenHBand="0" w:firstRowFirstColumn="0" w:firstRowLastColumn="0" w:lastRowFirstColumn="0" w:lastRowLastColumn="0"/>
            </w:pPr>
            <w:r w:rsidRPr="00892DE3">
              <w:t xml:space="preserve">Published </w:t>
            </w:r>
            <w:r w:rsidR="00546387" w:rsidRPr="00892DE3">
              <w:br/>
            </w:r>
            <w:r w:rsidRPr="00892DE3">
              <w:t>fair value</w:t>
            </w:r>
          </w:p>
        </w:tc>
      </w:tr>
      <w:tr w:rsidR="00266658" w:rsidRPr="00892DE3" w:rsidTr="005463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5" w:type="dxa"/>
            <w:hideMark/>
          </w:tcPr>
          <w:p w:rsidR="00266658" w:rsidRPr="00892DE3" w:rsidRDefault="00266658" w:rsidP="00266658">
            <w:pPr>
              <w:ind w:left="0" w:firstLine="0"/>
            </w:pPr>
            <w:r w:rsidRPr="00892DE3">
              <w:t>Name of entity</w:t>
            </w:r>
          </w:p>
        </w:tc>
        <w:tc>
          <w:tcPr>
            <w:tcW w:w="1962" w:type="dxa"/>
            <w:shd w:val="clear" w:color="auto" w:fill="000000"/>
            <w:hideMark/>
          </w:tcPr>
          <w:p w:rsidR="00266658" w:rsidRPr="00892DE3" w:rsidRDefault="00266658" w:rsidP="00546387">
            <w:pPr>
              <w:jc w:val="center"/>
              <w:cnfStyle w:val="100000000000" w:firstRow="1" w:lastRow="0" w:firstColumn="0" w:lastColumn="0" w:oddVBand="0" w:evenVBand="0" w:oddHBand="0" w:evenHBand="0" w:firstRowFirstColumn="0" w:firstRowLastColumn="0" w:lastRowFirstColumn="0" w:lastRowLastColumn="0"/>
            </w:pPr>
          </w:p>
        </w:tc>
        <w:tc>
          <w:tcPr>
            <w:tcW w:w="1784" w:type="dxa"/>
            <w:hideMark/>
          </w:tcPr>
          <w:p w:rsidR="00266658" w:rsidRPr="00892DE3" w:rsidRDefault="00266658" w:rsidP="00546387">
            <w:pPr>
              <w:jc w:val="center"/>
              <w:cnfStyle w:val="100000000000" w:firstRow="1" w:lastRow="0" w:firstColumn="0" w:lastColumn="0" w:oddVBand="0" w:evenVBand="0" w:oddHBand="0" w:evenHBand="0" w:firstRowFirstColumn="0" w:firstRowLastColumn="0" w:lastRowFirstColumn="0" w:lastRowLastColumn="0"/>
            </w:pPr>
          </w:p>
        </w:tc>
        <w:tc>
          <w:tcPr>
            <w:tcW w:w="892" w:type="dxa"/>
            <w:hideMark/>
          </w:tcPr>
          <w:p w:rsidR="00266658" w:rsidRPr="00892DE3" w:rsidRDefault="00266658" w:rsidP="00266658">
            <w:pPr>
              <w:cnfStyle w:val="100000000000" w:firstRow="1" w:lastRow="0" w:firstColumn="0" w:lastColumn="0" w:oddVBand="0" w:evenVBand="0" w:oddHBand="0" w:evenHBand="0" w:firstRowFirstColumn="0" w:firstRowLastColumn="0" w:lastRowFirstColumn="0" w:lastRowLastColumn="0"/>
            </w:pPr>
            <w:r w:rsidRPr="00892DE3">
              <w:t>2017</w:t>
            </w:r>
          </w:p>
        </w:tc>
        <w:tc>
          <w:tcPr>
            <w:tcW w:w="714" w:type="dxa"/>
            <w:hideMark/>
          </w:tcPr>
          <w:p w:rsidR="00266658" w:rsidRPr="00892DE3" w:rsidRDefault="00266658" w:rsidP="00266658">
            <w:pPr>
              <w:cnfStyle w:val="100000000000" w:firstRow="1" w:lastRow="0" w:firstColumn="0" w:lastColumn="0" w:oddVBand="0" w:evenVBand="0" w:oddHBand="0" w:evenHBand="0" w:firstRowFirstColumn="0" w:firstRowLastColumn="0" w:lastRowFirstColumn="0" w:lastRowLastColumn="0"/>
            </w:pPr>
            <w:r w:rsidRPr="00892DE3">
              <w:t>2016</w:t>
            </w:r>
          </w:p>
        </w:tc>
        <w:tc>
          <w:tcPr>
            <w:tcW w:w="910" w:type="dxa"/>
            <w:noWrap/>
            <w:hideMark/>
          </w:tcPr>
          <w:p w:rsidR="00266658" w:rsidRPr="00892DE3" w:rsidRDefault="00266658" w:rsidP="00266658">
            <w:pPr>
              <w:cnfStyle w:val="100000000000" w:firstRow="1" w:lastRow="0" w:firstColumn="0" w:lastColumn="0" w:oddVBand="0" w:evenVBand="0" w:oddHBand="0" w:evenHBand="0" w:firstRowFirstColumn="0" w:firstRowLastColumn="0" w:lastRowFirstColumn="0" w:lastRowLastColumn="0"/>
            </w:pPr>
            <w:r w:rsidRPr="00892DE3">
              <w:t>2017</w:t>
            </w:r>
          </w:p>
        </w:tc>
        <w:tc>
          <w:tcPr>
            <w:tcW w:w="850" w:type="dxa"/>
            <w:noWrap/>
            <w:hideMark/>
          </w:tcPr>
          <w:p w:rsidR="00266658" w:rsidRPr="00892DE3" w:rsidRDefault="00266658" w:rsidP="00266658">
            <w:pPr>
              <w:cnfStyle w:val="100000000000" w:firstRow="1" w:lastRow="0" w:firstColumn="0" w:lastColumn="0" w:oddVBand="0" w:evenVBand="0" w:oddHBand="0" w:evenHBand="0" w:firstRowFirstColumn="0" w:firstRowLastColumn="0" w:lastRowFirstColumn="0" w:lastRowLastColumn="0"/>
            </w:pPr>
            <w:r w:rsidRPr="00892DE3">
              <w:t>2016</w:t>
            </w:r>
          </w:p>
        </w:tc>
      </w:tr>
      <w:tr w:rsidR="00266658" w:rsidRPr="00892DE3" w:rsidTr="00546387">
        <w:tc>
          <w:tcPr>
            <w:cnfStyle w:val="001000000000" w:firstRow="0" w:lastRow="0" w:firstColumn="1" w:lastColumn="0" w:oddVBand="0" w:evenVBand="0" w:oddHBand="0" w:evenHBand="0" w:firstRowFirstColumn="0" w:firstRowLastColumn="0" w:lastRowFirstColumn="0" w:lastRowLastColumn="0"/>
            <w:tcW w:w="2525" w:type="dxa"/>
            <w:hideMark/>
          </w:tcPr>
          <w:p w:rsidR="00266658" w:rsidRPr="00892DE3" w:rsidRDefault="00266658" w:rsidP="00266658">
            <w:pPr>
              <w:rPr>
                <w:rFonts w:cstheme="majorHAnsi"/>
                <w:b/>
              </w:rPr>
            </w:pPr>
            <w:r w:rsidRPr="00892DE3">
              <w:rPr>
                <w:rFonts w:cstheme="majorHAnsi"/>
                <w:b/>
              </w:rPr>
              <w:t>Associate</w:t>
            </w:r>
          </w:p>
        </w:tc>
        <w:tc>
          <w:tcPr>
            <w:tcW w:w="1962" w:type="dxa"/>
          </w:tcPr>
          <w:p w:rsidR="00266658" w:rsidRPr="00892DE3" w:rsidRDefault="00266658" w:rsidP="00546387">
            <w:pPr>
              <w:jc w:val="center"/>
              <w:cnfStyle w:val="000000000000" w:firstRow="0" w:lastRow="0" w:firstColumn="0" w:lastColumn="0" w:oddVBand="0" w:evenVBand="0" w:oddHBand="0" w:evenHBand="0" w:firstRowFirstColumn="0" w:firstRowLastColumn="0" w:lastRowFirstColumn="0" w:lastRowLastColumn="0"/>
              <w:rPr>
                <w:rFonts w:cstheme="majorHAnsi"/>
                <w:b/>
              </w:rPr>
            </w:pPr>
          </w:p>
        </w:tc>
        <w:tc>
          <w:tcPr>
            <w:tcW w:w="1784" w:type="dxa"/>
          </w:tcPr>
          <w:p w:rsidR="00266658" w:rsidRPr="00892DE3" w:rsidRDefault="00266658" w:rsidP="00546387">
            <w:pPr>
              <w:jc w:val="center"/>
              <w:cnfStyle w:val="000000000000" w:firstRow="0" w:lastRow="0" w:firstColumn="0" w:lastColumn="0" w:oddVBand="0" w:evenVBand="0" w:oddHBand="0" w:evenHBand="0" w:firstRowFirstColumn="0" w:firstRowLastColumn="0" w:lastRowFirstColumn="0" w:lastRowLastColumn="0"/>
              <w:rPr>
                <w:rFonts w:cstheme="majorHAnsi"/>
                <w:b/>
              </w:rPr>
            </w:pPr>
          </w:p>
        </w:tc>
        <w:tc>
          <w:tcPr>
            <w:tcW w:w="892" w:type="dxa"/>
            <w:shd w:val="clear" w:color="auto" w:fill="EBEBEB" w:themeFill="background2"/>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4" w:type="dxa"/>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10" w:type="dxa"/>
            <w:shd w:val="clear" w:color="auto" w:fill="EBEBEB" w:themeFill="background2"/>
            <w:noWrap/>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50" w:type="dxa"/>
            <w:noWrap/>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266658" w:rsidRPr="00892DE3" w:rsidTr="00546387">
        <w:tc>
          <w:tcPr>
            <w:cnfStyle w:val="001000000000" w:firstRow="0" w:lastRow="0" w:firstColumn="1" w:lastColumn="0" w:oddVBand="0" w:evenVBand="0" w:oddHBand="0" w:evenHBand="0" w:firstRowFirstColumn="0" w:firstRowLastColumn="0" w:lastRowFirstColumn="0" w:lastRowLastColumn="0"/>
            <w:tcW w:w="2525" w:type="dxa"/>
            <w:hideMark/>
          </w:tcPr>
          <w:p w:rsidR="00266658" w:rsidRPr="00892DE3" w:rsidRDefault="00266658" w:rsidP="00266658">
            <w:pPr>
              <w:rPr>
                <w:rFonts w:cstheme="majorHAnsi"/>
              </w:rPr>
            </w:pPr>
            <w:r w:rsidRPr="00892DE3">
              <w:rPr>
                <w:rFonts w:cstheme="majorHAnsi"/>
              </w:rPr>
              <w:t xml:space="preserve">New Technology Pty Ltd </w:t>
            </w:r>
            <w:r w:rsidR="00546387" w:rsidRPr="00892DE3">
              <w:rPr>
                <w:rFonts w:cstheme="majorHAnsi"/>
                <w:vertAlign w:val="superscript"/>
              </w:rPr>
              <w:t>(a</w:t>
            </w:r>
            <w:r w:rsidRPr="00892DE3">
              <w:rPr>
                <w:rFonts w:cstheme="majorHAnsi"/>
                <w:vertAlign w:val="superscript"/>
              </w:rPr>
              <w:t>)</w:t>
            </w:r>
          </w:p>
        </w:tc>
        <w:tc>
          <w:tcPr>
            <w:tcW w:w="1962" w:type="dxa"/>
            <w:hideMark/>
          </w:tcPr>
          <w:p w:rsidR="00266658" w:rsidRPr="00892DE3" w:rsidRDefault="00266658" w:rsidP="00546387">
            <w:pPr>
              <w:jc w:val="cente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Australia</w:t>
            </w:r>
          </w:p>
        </w:tc>
        <w:tc>
          <w:tcPr>
            <w:tcW w:w="1784" w:type="dxa"/>
            <w:hideMark/>
          </w:tcPr>
          <w:p w:rsidR="00266658" w:rsidRPr="00892DE3" w:rsidRDefault="00266658" w:rsidP="00546387">
            <w:pPr>
              <w:jc w:val="cente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Equity method</w:t>
            </w:r>
          </w:p>
        </w:tc>
        <w:tc>
          <w:tcPr>
            <w:tcW w:w="892" w:type="dxa"/>
            <w:shd w:val="clear" w:color="auto" w:fill="EBEBEB" w:themeFill="background2"/>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35</w:t>
            </w:r>
          </w:p>
        </w:tc>
        <w:tc>
          <w:tcPr>
            <w:tcW w:w="714" w:type="dxa"/>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35</w:t>
            </w:r>
          </w:p>
        </w:tc>
        <w:tc>
          <w:tcPr>
            <w:tcW w:w="910" w:type="dxa"/>
            <w:shd w:val="clear" w:color="auto" w:fill="EBEBEB" w:themeFill="background2"/>
            <w:noWrap/>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6 566</w:t>
            </w:r>
          </w:p>
        </w:tc>
        <w:tc>
          <w:tcPr>
            <w:tcW w:w="850" w:type="dxa"/>
            <w:noWrap/>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5 351</w:t>
            </w:r>
          </w:p>
        </w:tc>
      </w:tr>
      <w:tr w:rsidR="00266658" w:rsidRPr="00892DE3" w:rsidTr="00546387">
        <w:tc>
          <w:tcPr>
            <w:cnfStyle w:val="001000000000" w:firstRow="0" w:lastRow="0" w:firstColumn="1" w:lastColumn="0" w:oddVBand="0" w:evenVBand="0" w:oddHBand="0" w:evenHBand="0" w:firstRowFirstColumn="0" w:firstRowLastColumn="0" w:lastRowFirstColumn="0" w:lastRowLastColumn="0"/>
            <w:tcW w:w="2525" w:type="dxa"/>
            <w:hideMark/>
          </w:tcPr>
          <w:p w:rsidR="00266658" w:rsidRPr="00892DE3" w:rsidRDefault="00266658" w:rsidP="00266658">
            <w:pPr>
              <w:rPr>
                <w:rFonts w:cstheme="majorHAnsi"/>
                <w:b/>
              </w:rPr>
            </w:pPr>
            <w:r w:rsidRPr="00892DE3">
              <w:rPr>
                <w:rFonts w:cstheme="majorHAnsi"/>
                <w:b/>
              </w:rPr>
              <w:t>Joint venture</w:t>
            </w:r>
          </w:p>
        </w:tc>
        <w:tc>
          <w:tcPr>
            <w:tcW w:w="1962" w:type="dxa"/>
          </w:tcPr>
          <w:p w:rsidR="00266658" w:rsidRPr="00892DE3" w:rsidRDefault="00266658" w:rsidP="00546387">
            <w:pPr>
              <w:jc w:val="center"/>
              <w:cnfStyle w:val="000000000000" w:firstRow="0" w:lastRow="0" w:firstColumn="0" w:lastColumn="0" w:oddVBand="0" w:evenVBand="0" w:oddHBand="0" w:evenHBand="0" w:firstRowFirstColumn="0" w:firstRowLastColumn="0" w:lastRowFirstColumn="0" w:lastRowLastColumn="0"/>
              <w:rPr>
                <w:rFonts w:cstheme="majorHAnsi"/>
                <w:b/>
              </w:rPr>
            </w:pPr>
          </w:p>
        </w:tc>
        <w:tc>
          <w:tcPr>
            <w:tcW w:w="1784" w:type="dxa"/>
          </w:tcPr>
          <w:p w:rsidR="00266658" w:rsidRPr="00892DE3" w:rsidRDefault="00266658" w:rsidP="00546387">
            <w:pPr>
              <w:jc w:val="center"/>
              <w:cnfStyle w:val="000000000000" w:firstRow="0" w:lastRow="0" w:firstColumn="0" w:lastColumn="0" w:oddVBand="0" w:evenVBand="0" w:oddHBand="0" w:evenHBand="0" w:firstRowFirstColumn="0" w:firstRowLastColumn="0" w:lastRowFirstColumn="0" w:lastRowLastColumn="0"/>
              <w:rPr>
                <w:rFonts w:cstheme="majorHAnsi"/>
                <w:b/>
              </w:rPr>
            </w:pPr>
          </w:p>
        </w:tc>
        <w:tc>
          <w:tcPr>
            <w:tcW w:w="892" w:type="dxa"/>
            <w:shd w:val="clear" w:color="auto" w:fill="EBEBEB" w:themeFill="background2"/>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4" w:type="dxa"/>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10" w:type="dxa"/>
            <w:shd w:val="clear" w:color="auto" w:fill="EBEBEB" w:themeFill="background2"/>
            <w:noWrap/>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50" w:type="dxa"/>
            <w:noWrap/>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266658" w:rsidRPr="00892DE3" w:rsidTr="00546387">
        <w:tc>
          <w:tcPr>
            <w:cnfStyle w:val="001000000000" w:firstRow="0" w:lastRow="0" w:firstColumn="1" w:lastColumn="0" w:oddVBand="0" w:evenVBand="0" w:oddHBand="0" w:evenHBand="0" w:firstRowFirstColumn="0" w:firstRowLastColumn="0" w:lastRowFirstColumn="0" w:lastRowLastColumn="0"/>
            <w:tcW w:w="2525" w:type="dxa"/>
            <w:hideMark/>
          </w:tcPr>
          <w:p w:rsidR="00266658" w:rsidRPr="00892DE3" w:rsidRDefault="00266658" w:rsidP="00266658">
            <w:pPr>
              <w:rPr>
                <w:rFonts w:cstheme="majorHAnsi"/>
              </w:rPr>
            </w:pPr>
            <w:r w:rsidRPr="00892DE3">
              <w:rPr>
                <w:rFonts w:cstheme="majorHAnsi"/>
              </w:rPr>
              <w:t>Technology Supply Pty Ltd</w:t>
            </w:r>
          </w:p>
        </w:tc>
        <w:tc>
          <w:tcPr>
            <w:tcW w:w="1962" w:type="dxa"/>
            <w:hideMark/>
          </w:tcPr>
          <w:p w:rsidR="00266658" w:rsidRPr="00892DE3" w:rsidRDefault="00266658" w:rsidP="00546387">
            <w:pPr>
              <w:jc w:val="cente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Australia</w:t>
            </w:r>
          </w:p>
        </w:tc>
        <w:tc>
          <w:tcPr>
            <w:tcW w:w="1784" w:type="dxa"/>
            <w:hideMark/>
          </w:tcPr>
          <w:p w:rsidR="00266658" w:rsidRPr="00892DE3" w:rsidRDefault="00266658" w:rsidP="00546387">
            <w:pPr>
              <w:jc w:val="cente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Equity method</w:t>
            </w:r>
          </w:p>
        </w:tc>
        <w:tc>
          <w:tcPr>
            <w:tcW w:w="892" w:type="dxa"/>
            <w:shd w:val="clear" w:color="auto" w:fill="EBEBEB" w:themeFill="background2"/>
            <w:hideMark/>
          </w:tcPr>
          <w:p w:rsidR="00266658" w:rsidRPr="00892DE3" w:rsidRDefault="00546387" w:rsidP="0026665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4" w:type="dxa"/>
            <w:hideMark/>
          </w:tcPr>
          <w:p w:rsidR="00266658" w:rsidRPr="00892DE3" w:rsidRDefault="00266658" w:rsidP="0026665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w:t>
            </w:r>
          </w:p>
        </w:tc>
        <w:tc>
          <w:tcPr>
            <w:tcW w:w="910" w:type="dxa"/>
            <w:shd w:val="clear" w:color="auto" w:fill="EBEBEB" w:themeFill="background2"/>
            <w:noWrap/>
            <w:hideMark/>
          </w:tcPr>
          <w:p w:rsidR="00266658" w:rsidRPr="00892DE3" w:rsidRDefault="00546387" w:rsidP="0026665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w:t>
            </w:r>
            <w:r w:rsidR="00266658" w:rsidRPr="00892DE3">
              <w:rPr>
                <w:rFonts w:cstheme="majorHAnsi"/>
              </w:rPr>
              <w:t>a</w:t>
            </w:r>
            <w:r w:rsidRPr="00892DE3">
              <w:rPr>
                <w:rFonts w:cstheme="majorHAnsi"/>
              </w:rPr>
              <w:t>.</w:t>
            </w:r>
          </w:p>
        </w:tc>
        <w:tc>
          <w:tcPr>
            <w:tcW w:w="850" w:type="dxa"/>
            <w:noWrap/>
            <w:hideMark/>
          </w:tcPr>
          <w:p w:rsidR="00266658" w:rsidRPr="00892DE3" w:rsidRDefault="00546387" w:rsidP="0026665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r>
    </w:tbl>
    <w:p w:rsidR="00266658" w:rsidRPr="00892DE3" w:rsidRDefault="00266658" w:rsidP="00266658">
      <w:pPr>
        <w:pStyle w:val="Note"/>
      </w:pPr>
      <w:r w:rsidRPr="00892DE3">
        <w:t>Note:</w:t>
      </w:r>
    </w:p>
    <w:p w:rsidR="00266658" w:rsidRPr="00892DE3" w:rsidRDefault="00546387" w:rsidP="00266658">
      <w:pPr>
        <w:pStyle w:val="Note"/>
      </w:pPr>
      <w:r w:rsidRPr="00892DE3">
        <w:t>(a</w:t>
      </w:r>
      <w:r w:rsidR="00266658" w:rsidRPr="00892DE3">
        <w:t>)</w:t>
      </w:r>
      <w:r w:rsidR="00266658" w:rsidRPr="00892DE3">
        <w:tab/>
        <w:t>As at 30 June 2016, the fair value of the Department’s interest in New Technology Ltd was based on the quoted market price available on the Australian Stock Exchange, which is a level 1 input in terms of AASB 13 Fair Value Measurement.</w:t>
      </w:r>
    </w:p>
    <w:p w:rsidR="00266658" w:rsidRPr="00892DE3" w:rsidRDefault="00266658" w:rsidP="00266658"/>
    <w:p w:rsidR="00266658" w:rsidRPr="00892DE3" w:rsidRDefault="00266658" w:rsidP="00266658">
      <w:pPr>
        <w:pStyle w:val="Heading30"/>
      </w:pPr>
      <w:r w:rsidRPr="00892DE3">
        <w:t>Summarised financial information</w:t>
      </w:r>
    </w:p>
    <w:p w:rsidR="00266658" w:rsidRPr="00892DE3" w:rsidRDefault="00266658" w:rsidP="00266658">
      <w:r w:rsidRPr="00892DE3">
        <w:t>Presented below is the summarised financial information for the investments accounted for using the equity method. The summarised financial information below represents amounts shown in the financial statements of the equity accounted investments, prepared under AAS and adjusted as appropriate by the Department.</w:t>
      </w:r>
    </w:p>
    <w:p w:rsidR="00266658" w:rsidRPr="00892DE3" w:rsidRDefault="00266658" w:rsidP="00266658">
      <w:r w:rsidRPr="00892DE3">
        <w:t xml:space="preserve">The financial year end date of New Technology Ltd is 30 April. For the purpose of applying the equity method of accounting, the financial statements of New Technology Ltd have been used, and appropriate adjustments have been made for the effects of significant transactions between that date and 30 June 2017. </w:t>
      </w:r>
    </w:p>
    <w:p w:rsidR="005B5223" w:rsidRPr="00892DE3" w:rsidRDefault="00266658" w:rsidP="00266658">
      <w:r w:rsidRPr="00892DE3">
        <w:t>The Department’s share of the contingent liabilities and commitments of its associates and joint ventures are disclosed in Note 8.</w:t>
      </w:r>
      <w:r w:rsidR="00593287" w:rsidRPr="00892DE3">
        <w:t>2</w:t>
      </w:r>
      <w:r w:rsidRPr="00892DE3">
        <w:t xml:space="preserve"> and Note 7.5 respectively.</w:t>
      </w:r>
    </w:p>
    <w:p w:rsidR="00266658" w:rsidRPr="00892DE3" w:rsidRDefault="00266658" w:rsidP="00266658"/>
    <w:p w:rsidR="00266658" w:rsidRPr="00892DE3" w:rsidRDefault="00266658" w:rsidP="00266658">
      <w:pPr>
        <w:pStyle w:val="TableHeading"/>
      </w:pPr>
      <w:r w:rsidRPr="00892DE3">
        <w:t xml:space="preserve">New Technology Pty Ltd – Associate </w:t>
      </w:r>
      <w:r w:rsidRPr="00892DE3">
        <w:tab/>
        <w:t>($ thousand)</w:t>
      </w:r>
    </w:p>
    <w:tbl>
      <w:tblPr>
        <w:tblStyle w:val="ModelReportFinancialTable"/>
        <w:tblW w:w="0" w:type="auto"/>
        <w:tblLayout w:type="fixed"/>
        <w:tblLook w:val="06A0" w:firstRow="1" w:lastRow="0" w:firstColumn="1" w:lastColumn="0" w:noHBand="1" w:noVBand="1"/>
      </w:tblPr>
      <w:tblGrid>
        <w:gridCol w:w="1617"/>
        <w:gridCol w:w="6147"/>
        <w:gridCol w:w="980"/>
        <w:gridCol w:w="980"/>
      </w:tblGrid>
      <w:tr w:rsidR="00266658" w:rsidRPr="00892DE3" w:rsidTr="00546387">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617" w:type="dxa"/>
            <w:tcBorders>
              <w:bottom w:val="nil"/>
            </w:tcBorders>
            <w:shd w:val="clear" w:color="auto" w:fill="auto"/>
            <w:hideMark/>
          </w:tcPr>
          <w:p w:rsidR="00266658" w:rsidRPr="00892DE3" w:rsidRDefault="00266658" w:rsidP="00266658">
            <w:r w:rsidRPr="00892DE3">
              <w:t>Source reference</w:t>
            </w:r>
          </w:p>
        </w:tc>
        <w:tc>
          <w:tcPr>
            <w:tcW w:w="6147" w:type="dxa"/>
            <w:hideMark/>
          </w:tcPr>
          <w:p w:rsidR="00266658" w:rsidRPr="00892DE3" w:rsidRDefault="00266658" w:rsidP="00266658">
            <w:pPr>
              <w:jc w:val="left"/>
              <w:cnfStyle w:val="100000000000" w:firstRow="1" w:lastRow="0" w:firstColumn="0" w:lastColumn="0" w:oddVBand="0" w:evenVBand="0" w:oddHBand="0" w:evenHBand="0" w:firstRowFirstColumn="0" w:firstRowLastColumn="0" w:lastRowFirstColumn="0" w:lastRowLastColumn="0"/>
            </w:pPr>
          </w:p>
        </w:tc>
        <w:tc>
          <w:tcPr>
            <w:tcW w:w="980" w:type="dxa"/>
            <w:noWrap/>
            <w:hideMark/>
          </w:tcPr>
          <w:p w:rsidR="00266658" w:rsidRPr="00892DE3" w:rsidRDefault="00266658" w:rsidP="00F73105">
            <w:pPr>
              <w:cnfStyle w:val="100000000000" w:firstRow="1" w:lastRow="0" w:firstColumn="0" w:lastColumn="0" w:oddVBand="0" w:evenVBand="0" w:oddHBand="0" w:evenHBand="0" w:firstRowFirstColumn="0" w:firstRowLastColumn="0" w:lastRowFirstColumn="0" w:lastRowLastColumn="0"/>
            </w:pPr>
            <w:r w:rsidRPr="00892DE3">
              <w:t>2017</w:t>
            </w:r>
          </w:p>
        </w:tc>
        <w:tc>
          <w:tcPr>
            <w:tcW w:w="980" w:type="dxa"/>
            <w:noWrap/>
            <w:hideMark/>
          </w:tcPr>
          <w:p w:rsidR="00266658" w:rsidRPr="00892DE3" w:rsidRDefault="00266658" w:rsidP="00F73105">
            <w:pPr>
              <w:cnfStyle w:val="100000000000" w:firstRow="1" w:lastRow="0" w:firstColumn="0" w:lastColumn="0" w:oddVBand="0" w:evenVBand="0" w:oddHBand="0" w:evenHBand="0" w:firstRowFirstColumn="0" w:firstRowLastColumn="0" w:lastRowFirstColumn="0" w:lastRowLastColumn="0"/>
            </w:pPr>
            <w:r w:rsidRPr="00892DE3">
              <w:t>2016</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Summarised balance sheet</w:t>
            </w:r>
          </w:p>
        </w:tc>
        <w:tc>
          <w:tcPr>
            <w:tcW w:w="980" w:type="dxa"/>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c>
          <w:tcPr>
            <w:tcW w:w="980" w:type="dxa"/>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12.B12(b)(i)</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Current assets</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6 224</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4 706</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12.B12(b)(ii)</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current assets</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14 524</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13 043</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tabs>
                <w:tab w:val="left" w:pos="1350"/>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assets</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20 748</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noProof/>
              </w:rPr>
            </w:pPr>
            <w:r w:rsidRPr="00892DE3">
              <w:rPr>
                <w:b/>
              </w:rPr>
              <w:t>17 749</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12.B12(b)(iii)</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Current liabilities</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(1 778)</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(1 345)</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12.B12(b)(iv)</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current liabilities</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(4 150)</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(3 138)</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liabilities</w:t>
            </w:r>
          </w:p>
        </w:tc>
        <w:tc>
          <w:tcPr>
            <w:tcW w:w="980" w:type="dxa"/>
            <w:tcBorders>
              <w:bottom w:val="single" w:sz="4" w:space="0" w:color="auto"/>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(5 928)</w:t>
            </w:r>
          </w:p>
        </w:tc>
        <w:tc>
          <w:tcPr>
            <w:tcW w:w="980" w:type="dxa"/>
            <w:tcBorders>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(4 483)</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single" w:sz="4" w:space="0" w:color="auto"/>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assets</w:t>
            </w:r>
          </w:p>
        </w:tc>
        <w:tc>
          <w:tcPr>
            <w:tcW w:w="980" w:type="dxa"/>
            <w:tcBorders>
              <w:top w:val="single" w:sz="4" w:space="0" w:color="auto"/>
              <w:bottom w:val="single" w:sz="4" w:space="0" w:color="auto"/>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14 820</w:t>
            </w:r>
          </w:p>
        </w:tc>
        <w:tc>
          <w:tcPr>
            <w:tcW w:w="980" w:type="dxa"/>
            <w:tcBorders>
              <w:top w:val="single" w:sz="4" w:space="0" w:color="auto"/>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13 266</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12.B12(b)(v)</w:t>
            </w:r>
          </w:p>
        </w:tc>
        <w:tc>
          <w:tcPr>
            <w:tcW w:w="6147" w:type="dxa"/>
            <w:tcBorders>
              <w:top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Summarised operating statement</w:t>
            </w:r>
          </w:p>
        </w:tc>
        <w:tc>
          <w:tcPr>
            <w:tcW w:w="980" w:type="dxa"/>
            <w:tcBorders>
              <w:top w:val="single" w:sz="4" w:space="0" w:color="auto"/>
            </w:tcBorders>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c>
          <w:tcPr>
            <w:tcW w:w="980" w:type="dxa"/>
            <w:tcBorders>
              <w:top w:val="single" w:sz="4" w:space="0" w:color="auto"/>
            </w:tcBorders>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12.B12(b)(vi)</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Total income from transaction</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6 154</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3 803</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12.B12(b)(vii)</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Net result from continuing operation</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2 620</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1 150</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Net result from discounting operation</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394</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713</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12.B12(b)(viii)</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3 014</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1 863</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12.B12(b)(ix)</w:t>
            </w:r>
          </w:p>
        </w:tc>
        <w:tc>
          <w:tcPr>
            <w:tcW w:w="6147" w:type="dxa"/>
            <w:tcBorders>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Other economic flows – other comprehensive income</w:t>
            </w:r>
          </w:p>
        </w:tc>
        <w:tc>
          <w:tcPr>
            <w:tcW w:w="980" w:type="dxa"/>
            <w:tcBorders>
              <w:bottom w:val="single" w:sz="4" w:space="0" w:color="auto"/>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743</w:t>
            </w:r>
          </w:p>
        </w:tc>
        <w:tc>
          <w:tcPr>
            <w:tcW w:w="980" w:type="dxa"/>
            <w:tcBorders>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800</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single" w:sz="4" w:space="0" w:color="auto"/>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comprehensive income </w:t>
            </w:r>
          </w:p>
        </w:tc>
        <w:tc>
          <w:tcPr>
            <w:tcW w:w="980" w:type="dxa"/>
            <w:tcBorders>
              <w:top w:val="single" w:sz="4" w:space="0" w:color="auto"/>
              <w:bottom w:val="single" w:sz="4" w:space="0" w:color="auto"/>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3 757</w:t>
            </w:r>
          </w:p>
        </w:tc>
        <w:tc>
          <w:tcPr>
            <w:tcW w:w="980" w:type="dxa"/>
            <w:tcBorders>
              <w:top w:val="single" w:sz="4" w:space="0" w:color="auto"/>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2 663</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single" w:sz="4" w:space="0" w:color="auto"/>
              <w:bottom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Department’s share of associate’s operating statement</w:t>
            </w:r>
          </w:p>
        </w:tc>
        <w:tc>
          <w:tcPr>
            <w:tcW w:w="980" w:type="dxa"/>
            <w:tcBorders>
              <w:top w:val="single" w:sz="4" w:space="0" w:color="auto"/>
              <w:bottom w:val="nil"/>
            </w:tcBorders>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c>
          <w:tcPr>
            <w:tcW w:w="980" w:type="dxa"/>
            <w:tcBorders>
              <w:top w:val="single" w:sz="4" w:space="0" w:color="auto"/>
              <w:bottom w:val="nil"/>
            </w:tcBorders>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Share of associate’s net result after tax</w:t>
            </w:r>
          </w:p>
        </w:tc>
        <w:tc>
          <w:tcPr>
            <w:tcW w:w="980" w:type="dxa"/>
            <w:tcBorders>
              <w:top w:val="nil"/>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6 154</w:t>
            </w:r>
          </w:p>
        </w:tc>
        <w:tc>
          <w:tcPr>
            <w:tcW w:w="980" w:type="dxa"/>
            <w:tcBorders>
              <w:top w:val="nil"/>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3 803</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 xml:space="preserve">Share of associate’s other comprehensive income </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2 620</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1 150</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12.B14(b)</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Movements in carrying amount of interests in the associate</w:t>
            </w:r>
          </w:p>
        </w:tc>
        <w:tc>
          <w:tcPr>
            <w:tcW w:w="980" w:type="dxa"/>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c>
          <w:tcPr>
            <w:tcW w:w="980" w:type="dxa"/>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Carrying amount at the beginning of the year</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6 112</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5 731</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Share of associate’s net result after tax</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739</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456</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Share of associate’s other comprehensive income</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260</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280</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Dividends received/receivable from associate</w:t>
            </w:r>
          </w:p>
        </w:tc>
        <w:tc>
          <w:tcPr>
            <w:tcW w:w="980" w:type="dxa"/>
            <w:tcBorders>
              <w:bottom w:val="single" w:sz="4" w:space="0" w:color="auto"/>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(455)</w:t>
            </w:r>
          </w:p>
        </w:tc>
        <w:tc>
          <w:tcPr>
            <w:tcW w:w="980" w:type="dxa"/>
            <w:tcBorders>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(355)</w:t>
            </w:r>
          </w:p>
        </w:tc>
      </w:tr>
      <w:tr w:rsidR="00266658" w:rsidRPr="00892DE3" w:rsidTr="00546387">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single" w:sz="4" w:space="0" w:color="auto"/>
              <w:bottom w:val="single" w:sz="12"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Carrying amount at the end of the year</w:t>
            </w:r>
          </w:p>
        </w:tc>
        <w:tc>
          <w:tcPr>
            <w:tcW w:w="980" w:type="dxa"/>
            <w:tcBorders>
              <w:top w:val="single" w:sz="4" w:space="0" w:color="auto"/>
              <w:bottom w:val="single" w:sz="12" w:space="0" w:color="auto"/>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5 187</w:t>
            </w:r>
          </w:p>
        </w:tc>
        <w:tc>
          <w:tcPr>
            <w:tcW w:w="980" w:type="dxa"/>
            <w:tcBorders>
              <w:top w:val="single" w:sz="4" w:space="0" w:color="auto"/>
              <w:bottom w:val="single" w:sz="12"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6 112</w:t>
            </w:r>
          </w:p>
        </w:tc>
      </w:tr>
    </w:tbl>
    <w:p w:rsidR="00266658" w:rsidRPr="00892DE3" w:rsidRDefault="00266658" w:rsidP="00266658"/>
    <w:p w:rsidR="00266658" w:rsidRPr="00892DE3" w:rsidRDefault="00266658">
      <w:pPr>
        <w:keepLines w:val="0"/>
        <w:rPr>
          <w:rFonts w:asciiTheme="majorHAnsi" w:hAnsiTheme="majorHAnsi"/>
          <w:b/>
          <w:sz w:val="20"/>
          <w:szCs w:val="20"/>
        </w:rPr>
      </w:pPr>
      <w:r w:rsidRPr="00892DE3">
        <w:br w:type="page"/>
      </w:r>
    </w:p>
    <w:p w:rsidR="00266658" w:rsidRPr="00892DE3" w:rsidRDefault="00266658" w:rsidP="00266658">
      <w:pPr>
        <w:pStyle w:val="TableHeading"/>
      </w:pPr>
      <w:r w:rsidRPr="00892DE3">
        <w:t>Technology Supplies – Joint</w:t>
      </w:r>
      <w:r w:rsidR="006568E5" w:rsidRPr="00892DE3">
        <w:t xml:space="preserve"> v</w:t>
      </w:r>
      <w:r w:rsidRPr="00892DE3">
        <w:t xml:space="preserve">enture </w:t>
      </w:r>
      <w:r w:rsidRPr="00892DE3">
        <w:tab/>
        <w:t>($ thousand)</w:t>
      </w:r>
    </w:p>
    <w:tbl>
      <w:tblPr>
        <w:tblStyle w:val="ModelReportFinancialTable"/>
        <w:tblW w:w="0" w:type="auto"/>
        <w:tblLayout w:type="fixed"/>
        <w:tblLook w:val="06A0" w:firstRow="1" w:lastRow="0" w:firstColumn="1" w:lastColumn="0" w:noHBand="1" w:noVBand="1"/>
      </w:tblPr>
      <w:tblGrid>
        <w:gridCol w:w="1617"/>
        <w:gridCol w:w="6147"/>
        <w:gridCol w:w="980"/>
        <w:gridCol w:w="980"/>
      </w:tblGrid>
      <w:tr w:rsidR="00266658" w:rsidRPr="00892DE3" w:rsidTr="00252D3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617" w:type="dxa"/>
            <w:tcBorders>
              <w:bottom w:val="nil"/>
            </w:tcBorders>
            <w:shd w:val="clear" w:color="auto" w:fill="auto"/>
            <w:hideMark/>
          </w:tcPr>
          <w:p w:rsidR="00266658" w:rsidRPr="00892DE3" w:rsidRDefault="00266658" w:rsidP="00266658">
            <w:r w:rsidRPr="00892DE3">
              <w:t>Source reference</w:t>
            </w:r>
          </w:p>
        </w:tc>
        <w:tc>
          <w:tcPr>
            <w:tcW w:w="6147" w:type="dxa"/>
            <w:hideMark/>
          </w:tcPr>
          <w:p w:rsidR="00266658" w:rsidRPr="00892DE3" w:rsidRDefault="00266658" w:rsidP="00266658">
            <w:pPr>
              <w:jc w:val="left"/>
              <w:cnfStyle w:val="100000000000" w:firstRow="1" w:lastRow="0" w:firstColumn="0" w:lastColumn="0" w:oddVBand="0" w:evenVBand="0" w:oddHBand="0" w:evenHBand="0" w:firstRowFirstColumn="0" w:firstRowLastColumn="0" w:lastRowFirstColumn="0" w:lastRowLastColumn="0"/>
            </w:pPr>
          </w:p>
        </w:tc>
        <w:tc>
          <w:tcPr>
            <w:tcW w:w="980" w:type="dxa"/>
            <w:noWrap/>
            <w:hideMark/>
          </w:tcPr>
          <w:p w:rsidR="00266658" w:rsidRPr="00892DE3" w:rsidRDefault="00266658" w:rsidP="00F73105">
            <w:pPr>
              <w:cnfStyle w:val="100000000000" w:firstRow="1" w:lastRow="0" w:firstColumn="0" w:lastColumn="0" w:oddVBand="0" w:evenVBand="0" w:oddHBand="0" w:evenHBand="0" w:firstRowFirstColumn="0" w:firstRowLastColumn="0" w:lastRowFirstColumn="0" w:lastRowLastColumn="0"/>
            </w:pPr>
            <w:r w:rsidRPr="00892DE3">
              <w:t>2017</w:t>
            </w:r>
          </w:p>
        </w:tc>
        <w:tc>
          <w:tcPr>
            <w:tcW w:w="980" w:type="dxa"/>
            <w:noWrap/>
            <w:hideMark/>
          </w:tcPr>
          <w:p w:rsidR="00266658" w:rsidRPr="00892DE3" w:rsidRDefault="00266658" w:rsidP="00F73105">
            <w:pPr>
              <w:cnfStyle w:val="100000000000" w:firstRow="1" w:lastRow="0" w:firstColumn="0" w:lastColumn="0" w:oddVBand="0" w:evenVBand="0" w:oddHBand="0" w:evenHBand="0" w:firstRowFirstColumn="0" w:firstRowLastColumn="0" w:lastRowFirstColumn="0" w:lastRowLastColumn="0"/>
            </w:pPr>
            <w:r w:rsidRPr="00892DE3">
              <w:t>2016</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Summarised balance sheet</w:t>
            </w:r>
          </w:p>
        </w:tc>
        <w:tc>
          <w:tcPr>
            <w:tcW w:w="980" w:type="dxa"/>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p>
        </w:tc>
        <w:tc>
          <w:tcPr>
            <w:tcW w:w="980" w:type="dxa"/>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12.B12(b)(i)</w:t>
            </w:r>
          </w:p>
        </w:tc>
        <w:tc>
          <w:tcPr>
            <w:tcW w:w="6147" w:type="dxa"/>
            <w:tcBorders>
              <w:bottom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assets:</w:t>
            </w:r>
          </w:p>
        </w:tc>
        <w:tc>
          <w:tcPr>
            <w:tcW w:w="980" w:type="dxa"/>
            <w:tcBorders>
              <w:bottom w:val="nil"/>
            </w:tcBorders>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c>
          <w:tcPr>
            <w:tcW w:w="980" w:type="dxa"/>
            <w:tcBorders>
              <w:bottom w:val="nil"/>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hideMark/>
          </w:tcPr>
          <w:p w:rsidR="00266658" w:rsidRPr="00892DE3" w:rsidRDefault="00266658" w:rsidP="00266658">
            <w:r w:rsidRPr="00892DE3">
              <w:t>AASB 12.B13(a)</w:t>
            </w:r>
          </w:p>
        </w:tc>
        <w:tc>
          <w:tcPr>
            <w:tcW w:w="6147" w:type="dxa"/>
            <w:tcBorders>
              <w:top w:val="nil"/>
              <w:left w:val="nil"/>
              <w:bottom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Cash and cash equivalent</w:t>
            </w:r>
          </w:p>
        </w:tc>
        <w:tc>
          <w:tcPr>
            <w:tcW w:w="980" w:type="dxa"/>
            <w:tcBorders>
              <w:top w:val="nil"/>
              <w:bottom w:val="nil"/>
            </w:tcBorders>
            <w:shd w:val="clear" w:color="auto" w:fill="EBEBEB" w:themeFill="background2"/>
            <w:noWrap/>
            <w:hideMark/>
          </w:tcPr>
          <w:p w:rsidR="00266658" w:rsidRPr="00892DE3" w:rsidRDefault="00252D3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top w:val="nil"/>
              <w:bottom w:val="nil"/>
              <w:right w:val="nil"/>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1 212</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tcPr>
          <w:p w:rsidR="00266658" w:rsidRPr="00892DE3" w:rsidRDefault="00266658" w:rsidP="00266658"/>
        </w:tc>
        <w:tc>
          <w:tcPr>
            <w:tcW w:w="6147" w:type="dxa"/>
            <w:tcBorders>
              <w:left w:val="nil"/>
              <w:bottom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Other current assets (excluding cash)</w:t>
            </w:r>
          </w:p>
        </w:tc>
        <w:tc>
          <w:tcPr>
            <w:tcW w:w="980" w:type="dxa"/>
            <w:tcBorders>
              <w:bottom w:val="nil"/>
            </w:tcBorders>
            <w:shd w:val="clear" w:color="auto" w:fill="EBEBEB" w:themeFill="background2"/>
            <w:noWrap/>
            <w:hideMark/>
          </w:tcPr>
          <w:p w:rsidR="00266658" w:rsidRPr="00892DE3" w:rsidRDefault="00252D3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bottom w:val="nil"/>
              <w:right w:val="nil"/>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2 467</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12.B12(b)(ii)</w:t>
            </w:r>
          </w:p>
        </w:tc>
        <w:tc>
          <w:tcPr>
            <w:tcW w:w="6147" w:type="dxa"/>
            <w:tcBorders>
              <w:top w:val="nil"/>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Total non</w:t>
            </w:r>
            <w:r w:rsidRPr="00892DE3">
              <w:noBreakHyphen/>
              <w:t>current assets</w:t>
            </w:r>
          </w:p>
        </w:tc>
        <w:tc>
          <w:tcPr>
            <w:tcW w:w="980" w:type="dxa"/>
            <w:tcBorders>
              <w:top w:val="nil"/>
              <w:bottom w:val="single" w:sz="4" w:space="0" w:color="auto"/>
            </w:tcBorders>
            <w:shd w:val="clear" w:color="auto" w:fill="EBEBEB" w:themeFill="background2"/>
            <w:noWrap/>
            <w:hideMark/>
          </w:tcPr>
          <w:p w:rsidR="00266658" w:rsidRPr="00892DE3" w:rsidRDefault="00252D3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top w:val="nil"/>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5 701</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single" w:sz="4" w:space="0" w:color="auto"/>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assets</w:t>
            </w:r>
          </w:p>
        </w:tc>
        <w:tc>
          <w:tcPr>
            <w:tcW w:w="980" w:type="dxa"/>
            <w:tcBorders>
              <w:top w:val="single" w:sz="4" w:space="0" w:color="auto"/>
              <w:bottom w:val="single" w:sz="4" w:space="0" w:color="auto"/>
            </w:tcBorders>
            <w:shd w:val="clear" w:color="auto" w:fill="EBEBEB" w:themeFill="background2"/>
            <w:noWrap/>
            <w:hideMark/>
          </w:tcPr>
          <w:p w:rsidR="00266658" w:rsidRPr="00892DE3" w:rsidRDefault="00252D32" w:rsidP="00F7310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tcBorders>
              <w:top w:val="single" w:sz="4" w:space="0" w:color="auto"/>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9 380</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 (iii)</w:t>
            </w:r>
          </w:p>
        </w:tc>
        <w:tc>
          <w:tcPr>
            <w:tcW w:w="6147" w:type="dxa"/>
            <w:tcBorders>
              <w:top w:val="single" w:sz="4" w:space="0" w:color="auto"/>
              <w:bottom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liabilities:</w:t>
            </w:r>
          </w:p>
        </w:tc>
        <w:tc>
          <w:tcPr>
            <w:tcW w:w="980" w:type="dxa"/>
            <w:tcBorders>
              <w:top w:val="single" w:sz="4" w:space="0" w:color="auto"/>
              <w:bottom w:val="nil"/>
            </w:tcBorders>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c>
          <w:tcPr>
            <w:tcW w:w="980" w:type="dxa"/>
            <w:tcBorders>
              <w:top w:val="single" w:sz="4" w:space="0" w:color="auto"/>
              <w:bottom w:val="nil"/>
            </w:tcBorders>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hideMark/>
          </w:tcPr>
          <w:p w:rsidR="00266658" w:rsidRPr="00892DE3" w:rsidRDefault="00266658" w:rsidP="00266658">
            <w:r w:rsidRPr="00892DE3">
              <w:t>AASB 12.B13(b)</w:t>
            </w:r>
          </w:p>
        </w:tc>
        <w:tc>
          <w:tcPr>
            <w:tcW w:w="6147" w:type="dxa"/>
            <w:tcBorders>
              <w:top w:val="nil"/>
              <w:left w:val="nil"/>
              <w:bottom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Financial liabilities (excluding payables, provisions)</w:t>
            </w:r>
          </w:p>
        </w:tc>
        <w:tc>
          <w:tcPr>
            <w:tcW w:w="980" w:type="dxa"/>
            <w:tcBorders>
              <w:top w:val="nil"/>
              <w:bottom w:val="nil"/>
            </w:tcBorders>
            <w:shd w:val="clear" w:color="auto" w:fill="EBEBEB" w:themeFill="background2"/>
            <w:noWrap/>
            <w:hideMark/>
          </w:tcPr>
          <w:p w:rsidR="00266658" w:rsidRPr="00892DE3" w:rsidRDefault="00252D3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top w:val="nil"/>
              <w:bottom w:val="nil"/>
              <w:right w:val="nil"/>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(300)</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tcPr>
          <w:p w:rsidR="00266658" w:rsidRPr="00892DE3" w:rsidRDefault="00266658" w:rsidP="00266658"/>
        </w:tc>
        <w:tc>
          <w:tcPr>
            <w:tcW w:w="6147" w:type="dxa"/>
            <w:tcBorders>
              <w:left w:val="nil"/>
              <w:bottom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Other non</w:t>
            </w:r>
            <w:r w:rsidRPr="00892DE3">
              <w:noBreakHyphen/>
              <w:t>financial liabilities (including payables, provisions)</w:t>
            </w:r>
          </w:p>
        </w:tc>
        <w:tc>
          <w:tcPr>
            <w:tcW w:w="980" w:type="dxa"/>
            <w:tcBorders>
              <w:bottom w:val="nil"/>
            </w:tcBorders>
            <w:shd w:val="clear" w:color="auto" w:fill="EBEBEB" w:themeFill="background2"/>
            <w:noWrap/>
            <w:hideMark/>
          </w:tcPr>
          <w:p w:rsidR="00266658" w:rsidRPr="00892DE3" w:rsidRDefault="00252D3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bottom w:val="nil"/>
              <w:right w:val="nil"/>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(751)</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nil"/>
              <w:bottom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current liabilities:</w:t>
            </w:r>
          </w:p>
        </w:tc>
        <w:tc>
          <w:tcPr>
            <w:tcW w:w="980" w:type="dxa"/>
            <w:tcBorders>
              <w:top w:val="nil"/>
              <w:bottom w:val="nil"/>
            </w:tcBorders>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c>
          <w:tcPr>
            <w:tcW w:w="980" w:type="dxa"/>
            <w:tcBorders>
              <w:top w:val="nil"/>
              <w:bottom w:val="nil"/>
            </w:tcBorders>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tcPr>
          <w:p w:rsidR="00266658" w:rsidRPr="00892DE3" w:rsidRDefault="00266658" w:rsidP="00266658"/>
        </w:tc>
        <w:tc>
          <w:tcPr>
            <w:tcW w:w="6147" w:type="dxa"/>
            <w:tcBorders>
              <w:top w:val="nil"/>
              <w:left w:val="nil"/>
              <w:bottom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Financial liabilities (excluding payables, provisions)</w:t>
            </w:r>
          </w:p>
        </w:tc>
        <w:tc>
          <w:tcPr>
            <w:tcW w:w="980" w:type="dxa"/>
            <w:tcBorders>
              <w:top w:val="nil"/>
              <w:bottom w:val="nil"/>
            </w:tcBorders>
            <w:shd w:val="clear" w:color="auto" w:fill="EBEBEB" w:themeFill="background2"/>
            <w:noWrap/>
            <w:hideMark/>
          </w:tcPr>
          <w:p w:rsidR="00266658" w:rsidRPr="00892DE3" w:rsidRDefault="00252D3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top w:val="nil"/>
              <w:bottom w:val="nil"/>
              <w:right w:val="nil"/>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(1 150)</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tcPr>
          <w:p w:rsidR="00266658" w:rsidRPr="00892DE3" w:rsidRDefault="00266658" w:rsidP="00266658"/>
        </w:tc>
        <w:tc>
          <w:tcPr>
            <w:tcW w:w="6147" w:type="dxa"/>
            <w:tcBorders>
              <w:left w:val="nil"/>
              <w:bottom w:val="nil"/>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Other non</w:t>
            </w:r>
            <w:r w:rsidRPr="00892DE3">
              <w:noBreakHyphen/>
              <w:t>financial liabilities (including payables, provisions)</w:t>
            </w:r>
          </w:p>
        </w:tc>
        <w:tc>
          <w:tcPr>
            <w:tcW w:w="980" w:type="dxa"/>
            <w:tcBorders>
              <w:bottom w:val="nil"/>
            </w:tcBorders>
            <w:shd w:val="clear" w:color="auto" w:fill="EBEBEB" w:themeFill="background2"/>
            <w:noWrap/>
            <w:hideMark/>
          </w:tcPr>
          <w:p w:rsidR="00266658" w:rsidRPr="00892DE3" w:rsidRDefault="00252D32"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bottom w:val="nil"/>
              <w:right w:val="nil"/>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(1 303)</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nil"/>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liabilities</w:t>
            </w:r>
          </w:p>
        </w:tc>
        <w:tc>
          <w:tcPr>
            <w:tcW w:w="980" w:type="dxa"/>
            <w:tcBorders>
              <w:top w:val="nil"/>
              <w:bottom w:val="single" w:sz="4" w:space="0" w:color="auto"/>
            </w:tcBorders>
            <w:shd w:val="clear" w:color="auto" w:fill="EBEBEB" w:themeFill="background2"/>
            <w:noWrap/>
            <w:hideMark/>
          </w:tcPr>
          <w:p w:rsidR="00266658" w:rsidRPr="00892DE3" w:rsidRDefault="00252D32" w:rsidP="00F7310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tcBorders>
              <w:top w:val="nil"/>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(3 504)</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single" w:sz="4" w:space="0" w:color="auto"/>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assets</w:t>
            </w:r>
          </w:p>
        </w:tc>
        <w:tc>
          <w:tcPr>
            <w:tcW w:w="980" w:type="dxa"/>
            <w:tcBorders>
              <w:top w:val="single" w:sz="4" w:space="0" w:color="auto"/>
              <w:bottom w:val="single" w:sz="4" w:space="0" w:color="auto"/>
            </w:tcBorders>
            <w:shd w:val="clear" w:color="auto" w:fill="EBEBEB" w:themeFill="background2"/>
            <w:noWrap/>
            <w:hideMark/>
          </w:tcPr>
          <w:p w:rsidR="00266658" w:rsidRPr="00892DE3" w:rsidRDefault="00252D32" w:rsidP="00F7310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tcBorders>
              <w:top w:val="single" w:sz="4" w:space="0" w:color="auto"/>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5 876</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12.B12(b)(v)</w:t>
            </w:r>
          </w:p>
        </w:tc>
        <w:tc>
          <w:tcPr>
            <w:tcW w:w="6147" w:type="dxa"/>
            <w:tcBorders>
              <w:top w:val="single" w:sz="4" w:space="0" w:color="auto"/>
            </w:tcBorders>
            <w:hideMark/>
          </w:tcPr>
          <w:p w:rsidR="00266658" w:rsidRPr="00892DE3" w:rsidRDefault="00266658" w:rsidP="00266658">
            <w:pPr>
              <w:tabs>
                <w:tab w:val="center" w:pos="3090"/>
              </w:tabs>
              <w:jc w:val="left"/>
              <w:cnfStyle w:val="000000000000" w:firstRow="0" w:lastRow="0" w:firstColumn="0" w:lastColumn="0" w:oddVBand="0" w:evenVBand="0" w:oddHBand="0" w:evenHBand="0" w:firstRowFirstColumn="0" w:firstRowLastColumn="0" w:lastRowFirstColumn="0" w:lastRowLastColumn="0"/>
              <w:rPr>
                <w:b/>
              </w:rPr>
            </w:pPr>
            <w:r w:rsidRPr="00892DE3">
              <w:rPr>
                <w:b/>
              </w:rPr>
              <w:t>Summarised operating statement</w:t>
            </w:r>
          </w:p>
        </w:tc>
        <w:tc>
          <w:tcPr>
            <w:tcW w:w="980" w:type="dxa"/>
            <w:tcBorders>
              <w:top w:val="single" w:sz="4" w:space="0" w:color="auto"/>
            </w:tcBorders>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p>
        </w:tc>
        <w:tc>
          <w:tcPr>
            <w:tcW w:w="980" w:type="dxa"/>
            <w:tcBorders>
              <w:top w:val="single" w:sz="4" w:space="0" w:color="auto"/>
            </w:tcBorders>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12.B13(e)</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Revenue</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9 055</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12.B13(d)</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Interest income</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350</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12.B13(f)</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Depreciation</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(265)</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Interest expense</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(1 250)</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12.B12(b)(vi)</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Total income from transactions</w:t>
            </w:r>
          </w:p>
        </w:tc>
        <w:tc>
          <w:tcPr>
            <w:tcW w:w="980" w:type="dxa"/>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7 890</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12.B12(b)(vii)</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Net result from continuing operation</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2 536</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Net result from discounting operation</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447</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12.B12(b)(viii)</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2 983</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12.B12(b)(ix)</w:t>
            </w:r>
          </w:p>
        </w:tc>
        <w:tc>
          <w:tcPr>
            <w:tcW w:w="6147" w:type="dxa"/>
            <w:tcBorders>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Other economic flows – other comprehensive income</w:t>
            </w:r>
          </w:p>
        </w:tc>
        <w:tc>
          <w:tcPr>
            <w:tcW w:w="980" w:type="dxa"/>
            <w:tcBorders>
              <w:bottom w:val="single" w:sz="4" w:space="0" w:color="auto"/>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single" w:sz="4" w:space="0" w:color="auto"/>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comprehensive income </w:t>
            </w:r>
          </w:p>
        </w:tc>
        <w:tc>
          <w:tcPr>
            <w:tcW w:w="980" w:type="dxa"/>
            <w:tcBorders>
              <w:top w:val="single" w:sz="4" w:space="0" w:color="auto"/>
              <w:bottom w:val="single" w:sz="4" w:space="0" w:color="auto"/>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tcBorders>
              <w:top w:val="single" w:sz="4" w:space="0" w:color="auto"/>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2 983</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Department’s share of interests in the joint venture’s operating statement</w:t>
            </w:r>
          </w:p>
        </w:tc>
        <w:tc>
          <w:tcPr>
            <w:tcW w:w="980" w:type="dxa"/>
            <w:tcBorders>
              <w:top w:val="single" w:sz="4" w:space="0" w:color="auto"/>
            </w:tcBorders>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p>
        </w:tc>
        <w:tc>
          <w:tcPr>
            <w:tcW w:w="980" w:type="dxa"/>
            <w:tcBorders>
              <w:top w:val="single" w:sz="4" w:space="0" w:color="auto"/>
            </w:tcBorders>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Share of JV’s net result after tax (0% in 2017; 25% in 2016)</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522</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Share of JV’s other comprehensive income (0% in 2017; 25% in 2016)</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266658" w:rsidRPr="00892DE3" w:rsidRDefault="00266658" w:rsidP="00266658">
            <w:r w:rsidRPr="00892DE3">
              <w:t>AASB 12.B14(b)</w:t>
            </w:r>
          </w:p>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Movements in carrying amount of interests in the joint venture</w:t>
            </w:r>
          </w:p>
        </w:tc>
        <w:tc>
          <w:tcPr>
            <w:tcW w:w="980" w:type="dxa"/>
            <w:shd w:val="clear" w:color="auto" w:fill="EBEBEB" w:themeFill="background2"/>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p>
        </w:tc>
        <w:tc>
          <w:tcPr>
            <w:tcW w:w="980" w:type="dxa"/>
            <w:noWrap/>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Carrying amount at the beginning of the year</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1 104</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Share of joint venture’s net result after tax</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522</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Share of joint venture’s other comprehensive income</w:t>
            </w:r>
          </w:p>
        </w:tc>
        <w:tc>
          <w:tcPr>
            <w:tcW w:w="980" w:type="dxa"/>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bottom w:val="single" w:sz="4"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pPr>
            <w:r w:rsidRPr="00892DE3">
              <w:t>Dividends received/receivable from joint venture</w:t>
            </w:r>
          </w:p>
        </w:tc>
        <w:tc>
          <w:tcPr>
            <w:tcW w:w="980" w:type="dxa"/>
            <w:tcBorders>
              <w:bottom w:val="single" w:sz="4" w:space="0" w:color="auto"/>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bottom w:val="single" w:sz="4"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pPr>
            <w:r w:rsidRPr="00892DE3">
              <w:t>(157)</w:t>
            </w:r>
          </w:p>
        </w:tc>
      </w:tr>
      <w:tr w:rsidR="00266658" w:rsidRPr="00892DE3" w:rsidTr="00252D32">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266658" w:rsidRPr="00892DE3" w:rsidRDefault="00266658" w:rsidP="00266658"/>
        </w:tc>
        <w:tc>
          <w:tcPr>
            <w:tcW w:w="6147" w:type="dxa"/>
            <w:tcBorders>
              <w:top w:val="single" w:sz="4" w:space="0" w:color="auto"/>
              <w:bottom w:val="single" w:sz="12" w:space="0" w:color="auto"/>
            </w:tcBorders>
            <w:hideMark/>
          </w:tcPr>
          <w:p w:rsidR="00266658" w:rsidRPr="00892DE3" w:rsidRDefault="00266658" w:rsidP="00266658">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Carrying amount at the end of the year </w:t>
            </w:r>
          </w:p>
        </w:tc>
        <w:tc>
          <w:tcPr>
            <w:tcW w:w="980" w:type="dxa"/>
            <w:tcBorders>
              <w:top w:val="single" w:sz="4" w:space="0" w:color="auto"/>
              <w:bottom w:val="single" w:sz="12" w:space="0" w:color="auto"/>
            </w:tcBorders>
            <w:shd w:val="clear" w:color="auto" w:fill="EBEBEB" w:themeFill="background2"/>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tcBorders>
              <w:top w:val="single" w:sz="4" w:space="0" w:color="auto"/>
              <w:bottom w:val="single" w:sz="12" w:space="0" w:color="auto"/>
            </w:tcBorders>
            <w:noWrap/>
            <w:hideMark/>
          </w:tcPr>
          <w:p w:rsidR="00266658" w:rsidRPr="00892DE3" w:rsidRDefault="00266658" w:rsidP="00F73105">
            <w:pPr>
              <w:cnfStyle w:val="000000000000" w:firstRow="0" w:lastRow="0" w:firstColumn="0" w:lastColumn="0" w:oddVBand="0" w:evenVBand="0" w:oddHBand="0" w:evenHBand="0" w:firstRowFirstColumn="0" w:firstRowLastColumn="0" w:lastRowFirstColumn="0" w:lastRowLastColumn="0"/>
              <w:rPr>
                <w:b/>
              </w:rPr>
            </w:pPr>
            <w:r w:rsidRPr="00892DE3">
              <w:rPr>
                <w:b/>
              </w:rPr>
              <w:t>1 469</w:t>
            </w:r>
          </w:p>
        </w:tc>
      </w:tr>
    </w:tbl>
    <w:p w:rsidR="00266658" w:rsidRPr="00892DE3" w:rsidRDefault="00266658" w:rsidP="00266658"/>
    <w:p w:rsidR="00266658" w:rsidRPr="00892DE3" w:rsidRDefault="00266658" w:rsidP="00266658">
      <w:r w:rsidRPr="00892DE3">
        <w:br w:type="page"/>
      </w:r>
    </w:p>
    <w:tbl>
      <w:tblPr>
        <w:tblStyle w:val="ModelReportGuidanceTable"/>
        <w:tblW w:w="0" w:type="auto"/>
        <w:tblLayout w:type="fixed"/>
        <w:tblLook w:val="04A0" w:firstRow="1" w:lastRow="0" w:firstColumn="1" w:lastColumn="0" w:noHBand="0" w:noVBand="1"/>
      </w:tblPr>
      <w:tblGrid>
        <w:gridCol w:w="9854"/>
      </w:tblGrid>
      <w:tr w:rsidR="00266658"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266658" w:rsidRPr="00892DE3" w:rsidRDefault="00266658" w:rsidP="00266658">
            <w:r w:rsidRPr="00892DE3">
              <w:t>Guidance – Investments accounted using the equity method</w:t>
            </w:r>
          </w:p>
        </w:tc>
      </w:tr>
      <w:tr w:rsidR="00266658" w:rsidRPr="00892DE3" w:rsidTr="0044350A">
        <w:tc>
          <w:tcPr>
            <w:tcW w:w="9854" w:type="dxa"/>
          </w:tcPr>
          <w:p w:rsidR="00266658" w:rsidRPr="00892DE3" w:rsidRDefault="00266658" w:rsidP="00266658">
            <w:r w:rsidRPr="00892DE3">
              <w:t xml:space="preserve">AASB 11 Joint Arrangements defines a joint arrangement as an arrangement of which two or more parties have joint control. A joint arrangement is either a joint operation or a joint venture, depending upon the rights and obligations of the parties to the arrangement. </w:t>
            </w:r>
          </w:p>
          <w:p w:rsidR="00266658" w:rsidRPr="00892DE3" w:rsidRDefault="00266658" w:rsidP="00266658">
            <w:pPr>
              <w:rPr>
                <w:b/>
              </w:rPr>
            </w:pPr>
            <w:r w:rsidRPr="00892DE3">
              <w:rPr>
                <w:b/>
              </w:rPr>
              <w:t>Accounting for joint ventures using the equity method</w:t>
            </w:r>
          </w:p>
          <w:p w:rsidR="00266658" w:rsidRPr="00892DE3" w:rsidRDefault="00266658" w:rsidP="00266658">
            <w:r w:rsidRPr="00892DE3">
              <w:t xml:space="preserve">A joint venture is a joint arrangement whereby the parties that have joint control of the arrangement have rights to the net assets of the arrangement. </w:t>
            </w:r>
            <w:r w:rsidRPr="00892DE3">
              <w:rPr>
                <w:rStyle w:val="SourceReference"/>
              </w:rPr>
              <w:t>[AASB 11.16]</w:t>
            </w:r>
          </w:p>
          <w:p w:rsidR="00266658" w:rsidRPr="00892DE3" w:rsidRDefault="00266658" w:rsidP="00266658">
            <w:r w:rsidRPr="00892DE3">
              <w:t xml:space="preserve">A joint venturer shall recognise its interest in a joint venture as an investment and shall account for that investment using the equity method in accordance with AASB 128 Investments in Associates and Joint Ventures unless the entity is exempted from applying the equity method as specified in that standard. </w:t>
            </w:r>
            <w:r w:rsidRPr="00892DE3">
              <w:rPr>
                <w:rStyle w:val="SourceReference"/>
              </w:rPr>
              <w:t>[AASB 11.24]</w:t>
            </w:r>
          </w:p>
          <w:p w:rsidR="00266658" w:rsidRPr="00892DE3" w:rsidRDefault="00266658" w:rsidP="00266658">
            <w:r w:rsidRPr="00892DE3">
              <w:rPr>
                <w:b/>
              </w:rPr>
              <w:t>Application of equity method</w:t>
            </w:r>
            <w:r w:rsidRPr="00892DE3">
              <w:t xml:space="preserve">: Under the equity method, on initial recognition the investment in an associate or a joint venture is recognised at cost, and the carrying amount is increased or decreased to recognise the investor’s share of the profit or loss of the investee after the date of acquisition. The investor’s share of the investee’s profit or loss is recognised in the investor’s profit or loss. Distributions received from an investee reduce the carrying amount of the investment. Adjustments to the carrying amount may also be necessary for changes in the investor’s proportionate interest in the investee arising from changes in the investee’s other comprehensive income. Such changes include those arising from the revaluation of property, plant and equipment and from foreign exchange translation differences. The investor’s share of those changes is recognised in the investor’s other comprehensive income. </w:t>
            </w:r>
            <w:r w:rsidRPr="00892DE3">
              <w:rPr>
                <w:rStyle w:val="SourceReference"/>
              </w:rPr>
              <w:t>[AASB 128.10]</w:t>
            </w:r>
          </w:p>
          <w:p w:rsidR="00266658" w:rsidRPr="00892DE3" w:rsidRDefault="00266658" w:rsidP="00266658">
            <w:r w:rsidRPr="00892DE3">
              <w:rPr>
                <w:b/>
              </w:rPr>
              <w:t>Significant judgements and assumptions</w:t>
            </w:r>
            <w:r w:rsidRPr="00892DE3">
              <w:t xml:space="preserve">: Disclose information about significant judgements and assumptions it has made (and changes to those judgements and assumptions) in determining: </w:t>
            </w:r>
          </w:p>
          <w:p w:rsidR="00266658" w:rsidRPr="00892DE3" w:rsidRDefault="00266658" w:rsidP="00266658">
            <w:pPr>
              <w:pStyle w:val="List"/>
            </w:pPr>
            <w:r w:rsidRPr="00892DE3">
              <w:t>(a)</w:t>
            </w:r>
            <w:r w:rsidRPr="00892DE3">
              <w:tab/>
              <w:t>that it has joint control of an arrangement or significant influence over another entity; and</w:t>
            </w:r>
          </w:p>
          <w:p w:rsidR="00266658" w:rsidRPr="00892DE3" w:rsidRDefault="00266658" w:rsidP="00266658">
            <w:pPr>
              <w:pStyle w:val="List"/>
            </w:pPr>
            <w:r w:rsidRPr="00892DE3">
              <w:t>(b)</w:t>
            </w:r>
            <w:r w:rsidRPr="00892DE3">
              <w:tab/>
              <w:t>the type of joint arrangement (i.e. joint operation or joint venture) when the arrangement has been structured through a separate vehicle.</w:t>
            </w:r>
          </w:p>
          <w:p w:rsidR="00266658" w:rsidRPr="00892DE3" w:rsidRDefault="00266658" w:rsidP="00252D32">
            <w:r w:rsidRPr="00892DE3">
              <w:t xml:space="preserve">Specifically, an entity shall disclose, for example, significant judgements and assumptions made in determining that: </w:t>
            </w:r>
          </w:p>
          <w:p w:rsidR="00266658" w:rsidRPr="00892DE3" w:rsidRDefault="00266658" w:rsidP="00252D32">
            <w:pPr>
              <w:pStyle w:val="List"/>
            </w:pPr>
            <w:r w:rsidRPr="00892DE3">
              <w:t>(</w:t>
            </w:r>
            <w:r w:rsidR="00252D32" w:rsidRPr="00892DE3">
              <w:t>a</w:t>
            </w:r>
            <w:r w:rsidRPr="00892DE3">
              <w:t>)</w:t>
            </w:r>
            <w:r w:rsidRPr="00892DE3">
              <w:tab/>
              <w:t>it does not have significant influence even though it holds 20 per cent or more of the voting rights of another entity; or</w:t>
            </w:r>
          </w:p>
          <w:p w:rsidR="00266658" w:rsidRPr="00892DE3" w:rsidRDefault="00252D32" w:rsidP="00252D32">
            <w:pPr>
              <w:pStyle w:val="List"/>
            </w:pPr>
            <w:r w:rsidRPr="00892DE3">
              <w:t>(b)</w:t>
            </w:r>
            <w:r w:rsidR="00266658" w:rsidRPr="00892DE3">
              <w:tab/>
              <w:t>it has significant influence even though it holds less than 20 per cent of the voting rights of another entity.</w:t>
            </w:r>
          </w:p>
          <w:p w:rsidR="00266658" w:rsidRPr="00892DE3" w:rsidRDefault="00266658" w:rsidP="00266658">
            <w:pPr>
              <w:rPr>
                <w:b/>
              </w:rPr>
            </w:pPr>
            <w:r w:rsidRPr="00892DE3">
              <w:rPr>
                <w:b/>
              </w:rPr>
              <w:t>Nature, extent and financial effects of an entity’s interests in joint arrangements and associates</w:t>
            </w:r>
          </w:p>
          <w:p w:rsidR="00266658" w:rsidRPr="00892DE3" w:rsidRDefault="00266658" w:rsidP="00266658">
            <w:r w:rsidRPr="00892DE3">
              <w:t xml:space="preserve">An entity shall disclose: </w:t>
            </w:r>
          </w:p>
          <w:p w:rsidR="00266658" w:rsidRPr="00892DE3" w:rsidRDefault="00266658" w:rsidP="00266658">
            <w:pPr>
              <w:pStyle w:val="List"/>
            </w:pPr>
            <w:r w:rsidRPr="00892DE3">
              <w:t>(a)</w:t>
            </w:r>
            <w:r w:rsidRPr="00892DE3">
              <w:tab/>
              <w:t xml:space="preserve">for each joint arrangement and associate that is material to the reporting entity: </w:t>
            </w:r>
          </w:p>
          <w:p w:rsidR="00266658" w:rsidRPr="00892DE3" w:rsidRDefault="00266658" w:rsidP="00266658">
            <w:pPr>
              <w:pStyle w:val="List2"/>
            </w:pPr>
            <w:r w:rsidRPr="00892DE3">
              <w:t>(i)</w:t>
            </w:r>
            <w:r w:rsidRPr="00892DE3">
              <w:tab/>
              <w:t>the name of the joint arrangement or associate;</w:t>
            </w:r>
          </w:p>
          <w:p w:rsidR="00266658" w:rsidRPr="00892DE3" w:rsidRDefault="00266658" w:rsidP="00266658">
            <w:pPr>
              <w:pStyle w:val="List2"/>
            </w:pPr>
            <w:r w:rsidRPr="00892DE3">
              <w:t>(ii)</w:t>
            </w:r>
            <w:r w:rsidRPr="00892DE3">
              <w:tab/>
              <w:t>the nature of the entity’s relationship with the joint arrangement or associate (by, for example, describing the nature of the activities of the joint arrangement or associate and whether they are strategic to the entity’s activities);</w:t>
            </w:r>
          </w:p>
          <w:p w:rsidR="00266658" w:rsidRPr="00892DE3" w:rsidRDefault="00266658" w:rsidP="00266658">
            <w:pPr>
              <w:pStyle w:val="List2"/>
            </w:pPr>
            <w:r w:rsidRPr="00892DE3">
              <w:t>(iii)</w:t>
            </w:r>
            <w:r w:rsidRPr="00892DE3">
              <w:tab/>
              <w:t>the principal place of business (and country of incorporation, if applicable and different from the principal place of business) of the joint arrangement or associate; and</w:t>
            </w:r>
          </w:p>
          <w:p w:rsidR="00266658" w:rsidRPr="00892DE3" w:rsidRDefault="00266658" w:rsidP="00266658">
            <w:pPr>
              <w:pStyle w:val="List2"/>
            </w:pPr>
            <w:r w:rsidRPr="00892DE3">
              <w:t>(iv)</w:t>
            </w:r>
            <w:r w:rsidRPr="00892DE3">
              <w:tab/>
              <w:t>the proportion of ownership interest or participating share held by the entity and, if different, the proportion of voting rights held (if applicable);</w:t>
            </w:r>
          </w:p>
          <w:p w:rsidR="00266658" w:rsidRPr="00892DE3" w:rsidRDefault="00266658" w:rsidP="00266658">
            <w:pPr>
              <w:pStyle w:val="List"/>
            </w:pPr>
            <w:r w:rsidRPr="00892DE3">
              <w:t>(b)</w:t>
            </w:r>
            <w:r w:rsidRPr="00892DE3">
              <w:tab/>
              <w:t>for each joint venture and associate that is material to the reporting entity;</w:t>
            </w:r>
          </w:p>
          <w:p w:rsidR="00266658" w:rsidRPr="00892DE3" w:rsidRDefault="00266658" w:rsidP="00266658">
            <w:pPr>
              <w:pStyle w:val="List2"/>
            </w:pPr>
            <w:r w:rsidRPr="00892DE3">
              <w:t>(i)</w:t>
            </w:r>
            <w:r w:rsidRPr="00892DE3">
              <w:tab/>
              <w:t>whether the investment in the joint venture or associate is measured using the equity method or at fair value;</w:t>
            </w:r>
          </w:p>
          <w:p w:rsidR="00266658" w:rsidRPr="00892DE3" w:rsidRDefault="00266658" w:rsidP="00266658">
            <w:pPr>
              <w:pStyle w:val="List2"/>
            </w:pPr>
            <w:r w:rsidRPr="00892DE3">
              <w:t>(ii)</w:t>
            </w:r>
            <w:r w:rsidRPr="00892DE3">
              <w:tab/>
              <w:t>summarised financial information about the joint venture or associate as specified in paragraphs B12 and B13 of AASB 12; and</w:t>
            </w:r>
          </w:p>
          <w:p w:rsidR="00266658" w:rsidRPr="00892DE3" w:rsidRDefault="00266658" w:rsidP="00266658">
            <w:pPr>
              <w:pStyle w:val="List2"/>
            </w:pPr>
            <w:r w:rsidRPr="00892DE3">
              <w:t>(iii)</w:t>
            </w:r>
            <w:r w:rsidRPr="00892DE3">
              <w:tab/>
              <w:t>if the joint venture or associate is accounted for using the equity method, the fair value of its investment in the joint venture or associate, if there is a quoted market price for the investment;</w:t>
            </w:r>
          </w:p>
          <w:p w:rsidR="00266658" w:rsidRPr="00892DE3" w:rsidRDefault="00266658" w:rsidP="00266658">
            <w:pPr>
              <w:pStyle w:val="List"/>
            </w:pPr>
            <w:r w:rsidRPr="00892DE3">
              <w:t>(c)</w:t>
            </w:r>
            <w:r w:rsidRPr="00892DE3">
              <w:tab/>
              <w:t xml:space="preserve">financial information as specified in paragraph B16 about the entity’s investments in joint ventures and associates that are not individually material: </w:t>
            </w:r>
          </w:p>
          <w:p w:rsidR="00266658" w:rsidRPr="00892DE3" w:rsidRDefault="00266658" w:rsidP="00266658">
            <w:pPr>
              <w:pStyle w:val="List2"/>
            </w:pPr>
            <w:r w:rsidRPr="00892DE3">
              <w:t>(i)</w:t>
            </w:r>
            <w:r w:rsidRPr="00892DE3">
              <w:tab/>
              <w:t xml:space="preserve">in aggregate for all individually immaterial joint ventures; and, separately, </w:t>
            </w:r>
          </w:p>
          <w:p w:rsidR="0072347A" w:rsidRPr="00892DE3" w:rsidRDefault="00266658" w:rsidP="0072347A">
            <w:pPr>
              <w:pStyle w:val="List2"/>
            </w:pPr>
            <w:r w:rsidRPr="00892DE3">
              <w:t>(ii)</w:t>
            </w:r>
            <w:r w:rsidRPr="00892DE3">
              <w:tab/>
              <w:t>in aggregate for all individually immaterial associates.</w:t>
            </w:r>
          </w:p>
        </w:tc>
      </w:tr>
    </w:tbl>
    <w:p w:rsidR="0072347A" w:rsidRPr="00892DE3" w:rsidRDefault="0072347A"/>
    <w:p w:rsidR="0072347A" w:rsidRPr="00892DE3" w:rsidRDefault="0072347A">
      <w:r w:rsidRPr="00892DE3">
        <w:rPr>
          <w:b/>
        </w:rPr>
        <w:br w:type="page"/>
      </w:r>
    </w:p>
    <w:tbl>
      <w:tblPr>
        <w:tblStyle w:val="ModelReportGuidanceTable"/>
        <w:tblW w:w="0" w:type="auto"/>
        <w:tblLayout w:type="fixed"/>
        <w:tblLook w:val="04A0" w:firstRow="1" w:lastRow="0" w:firstColumn="1" w:lastColumn="0" w:noHBand="0" w:noVBand="1"/>
      </w:tblPr>
      <w:tblGrid>
        <w:gridCol w:w="9854"/>
      </w:tblGrid>
      <w:tr w:rsidR="0072347A"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72347A" w:rsidRPr="00892DE3" w:rsidRDefault="0072347A" w:rsidP="00266658">
            <w:r w:rsidRPr="00892DE3">
              <w:t xml:space="preserve">Guidance – Investments accounted using the equity method </w:t>
            </w:r>
            <w:r w:rsidRPr="00491373">
              <w:rPr>
                <w:i/>
              </w:rPr>
              <w:t>(continued)</w:t>
            </w:r>
          </w:p>
        </w:tc>
      </w:tr>
      <w:tr w:rsidR="0072347A" w:rsidRPr="00892DE3" w:rsidTr="0044350A">
        <w:tc>
          <w:tcPr>
            <w:tcW w:w="9854" w:type="dxa"/>
          </w:tcPr>
          <w:p w:rsidR="0072347A" w:rsidRPr="00892DE3" w:rsidRDefault="0072347A" w:rsidP="0072347A">
            <w:pPr>
              <w:rPr>
                <w:b/>
              </w:rPr>
            </w:pPr>
            <w:r w:rsidRPr="00892DE3">
              <w:rPr>
                <w:b/>
              </w:rPr>
              <w:t xml:space="preserve">Risks associated with an entity’s interests in joint ventures and associates </w:t>
            </w:r>
            <w:r w:rsidRPr="00892DE3">
              <w:rPr>
                <w:rStyle w:val="SourceReference"/>
              </w:rPr>
              <w:t>[AASB 12.23]</w:t>
            </w:r>
          </w:p>
          <w:p w:rsidR="0072347A" w:rsidRPr="00892DE3" w:rsidRDefault="0072347A" w:rsidP="0072347A">
            <w:r w:rsidRPr="00892DE3">
              <w:t>An entity shall disclose:</w:t>
            </w:r>
          </w:p>
          <w:p w:rsidR="0072347A" w:rsidRPr="00892DE3" w:rsidRDefault="0072347A" w:rsidP="0072347A">
            <w:pPr>
              <w:pStyle w:val="List"/>
            </w:pPr>
            <w:r w:rsidRPr="00892DE3">
              <w:t>(a)</w:t>
            </w:r>
            <w:r w:rsidRPr="00892DE3">
              <w:tab/>
              <w:t>commitments that it has relating to its joint ventures separately from the amount of other commitments as specified in paragraphs B18–B20; and</w:t>
            </w:r>
          </w:p>
          <w:p w:rsidR="0072347A" w:rsidRPr="00892DE3" w:rsidRDefault="0072347A" w:rsidP="0072347A">
            <w:pPr>
              <w:pStyle w:val="List"/>
            </w:pPr>
            <w:r w:rsidRPr="00892DE3">
              <w:t>(b)</w:t>
            </w:r>
            <w:r w:rsidRPr="00892DE3">
              <w:tab/>
              <w:t>in accordance with AASB 137 Provisions, Contingent Liabilities and Contingent Assets,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p>
          <w:p w:rsidR="0072347A" w:rsidRPr="00892DE3" w:rsidRDefault="0072347A" w:rsidP="0072347A">
            <w:pPr>
              <w:rPr>
                <w:b/>
              </w:rPr>
            </w:pPr>
            <w:r w:rsidRPr="00892DE3">
              <w:rPr>
                <w:b/>
              </w:rPr>
              <w:t>Disclosure in aggregate for individually immaterial associates and joint ventures</w:t>
            </w:r>
          </w:p>
          <w:p w:rsidR="0072347A" w:rsidRPr="00892DE3" w:rsidRDefault="0072347A" w:rsidP="0072347A">
            <w:r w:rsidRPr="00892DE3">
              <w:t xml:space="preserve">An entity shall disclose, in aggregate, the carrying amount of its interests in all individually immaterial joint ventures or associates that are accounted for using the equity method. </w:t>
            </w:r>
          </w:p>
          <w:p w:rsidR="0072347A" w:rsidRPr="00892DE3" w:rsidRDefault="0072347A" w:rsidP="0072347A">
            <w:r w:rsidRPr="00892DE3">
              <w:t xml:space="preserve">An entity shall also disclose separately the aggregate amount of its share of those joint ventures’ or associates’: </w:t>
            </w:r>
          </w:p>
          <w:p w:rsidR="0072347A" w:rsidRPr="00892DE3" w:rsidRDefault="0072347A" w:rsidP="0072347A">
            <w:pPr>
              <w:pStyle w:val="List"/>
            </w:pPr>
            <w:r w:rsidRPr="00892DE3">
              <w:t>(a)</w:t>
            </w:r>
            <w:r w:rsidRPr="00892DE3">
              <w:tab/>
              <w:t>profit or loss from continuing operations;</w:t>
            </w:r>
          </w:p>
          <w:p w:rsidR="0072347A" w:rsidRPr="00892DE3" w:rsidRDefault="0072347A" w:rsidP="0072347A">
            <w:pPr>
              <w:pStyle w:val="List"/>
            </w:pPr>
            <w:r w:rsidRPr="00892DE3">
              <w:t>(b)</w:t>
            </w:r>
            <w:r w:rsidRPr="00892DE3">
              <w:tab/>
              <w:t>post tax profit or loss from discontinued operations;</w:t>
            </w:r>
          </w:p>
          <w:p w:rsidR="0072347A" w:rsidRPr="00892DE3" w:rsidRDefault="0072347A" w:rsidP="0072347A">
            <w:pPr>
              <w:pStyle w:val="List"/>
            </w:pPr>
            <w:r w:rsidRPr="00892DE3">
              <w:t>(c)</w:t>
            </w:r>
            <w:r w:rsidRPr="00892DE3">
              <w:tab/>
              <w:t>other comprehensive income; and</w:t>
            </w:r>
          </w:p>
          <w:p w:rsidR="0072347A" w:rsidRPr="00892DE3" w:rsidRDefault="0072347A" w:rsidP="0072347A">
            <w:pPr>
              <w:pStyle w:val="List"/>
            </w:pPr>
            <w:r w:rsidRPr="00892DE3">
              <w:t>(d)</w:t>
            </w:r>
            <w:r w:rsidRPr="00892DE3">
              <w:tab/>
              <w:t xml:space="preserve">total comprehensive income. </w:t>
            </w:r>
          </w:p>
          <w:p w:rsidR="0072347A" w:rsidRPr="00892DE3" w:rsidRDefault="0072347A" w:rsidP="0072347A">
            <w:r w:rsidRPr="00892DE3">
              <w:t xml:space="preserve">An entity provides the disclosures separately for joint ventures and associates. </w:t>
            </w:r>
          </w:p>
          <w:p w:rsidR="0072347A" w:rsidRPr="00892DE3" w:rsidRDefault="0072347A" w:rsidP="0072347A">
            <w:pPr>
              <w:rPr>
                <w:b/>
              </w:rPr>
            </w:pPr>
            <w:r w:rsidRPr="00892DE3">
              <w:rPr>
                <w:b/>
              </w:rPr>
              <w:t xml:space="preserve">Restrictions on fund transfers </w:t>
            </w:r>
            <w:r w:rsidRPr="00892DE3">
              <w:rPr>
                <w:rStyle w:val="SourceReference"/>
              </w:rPr>
              <w:t>[AASB 12.22(a)]</w:t>
            </w:r>
          </w:p>
          <w:p w:rsidR="0072347A" w:rsidRPr="00892DE3" w:rsidRDefault="0072347A" w:rsidP="0072347A">
            <w:r w:rsidRPr="00892DE3">
              <w:t>The entity shall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rsidR="0072347A" w:rsidRPr="00892DE3" w:rsidRDefault="0072347A" w:rsidP="0072347A">
            <w:pPr>
              <w:rPr>
                <w:b/>
              </w:rPr>
            </w:pPr>
            <w:r w:rsidRPr="00892DE3">
              <w:rPr>
                <w:b/>
              </w:rPr>
              <w:t xml:space="preserve">Unrecognised share of losses </w:t>
            </w:r>
            <w:r w:rsidRPr="00892DE3">
              <w:rPr>
                <w:rStyle w:val="SourceReference"/>
              </w:rPr>
              <w:t>[AASB 12.22 (c)]</w:t>
            </w:r>
          </w:p>
          <w:p w:rsidR="0072347A" w:rsidRPr="00892DE3" w:rsidRDefault="0072347A" w:rsidP="0072347A">
            <w:r w:rsidRPr="00892DE3">
              <w:t>The entity shall disclose the unrecognised share of losses of an associate or joint venture, both for the period and cumulatively, if recognition of the associate’s or joint venture’s share of losses has been discontinued.</w:t>
            </w:r>
          </w:p>
          <w:p w:rsidR="0072347A" w:rsidRPr="00892DE3" w:rsidRDefault="0072347A" w:rsidP="0072347A">
            <w:pPr>
              <w:rPr>
                <w:b/>
              </w:rPr>
            </w:pPr>
            <w:r w:rsidRPr="00892DE3">
              <w:rPr>
                <w:b/>
              </w:rPr>
              <w:t xml:space="preserve">Different reporting periods </w:t>
            </w:r>
            <w:r w:rsidRPr="00892DE3">
              <w:rPr>
                <w:rStyle w:val="SourceReference"/>
              </w:rPr>
              <w:t>[AASB 12.22(b)]</w:t>
            </w:r>
          </w:p>
          <w:p w:rsidR="0072347A" w:rsidRPr="00892DE3" w:rsidRDefault="0072347A" w:rsidP="0072347A">
            <w:r w:rsidRPr="00892DE3">
              <w:t>When the financial statements of a joint venture or associate used in applying the equity method are as of a date or for a period that is different from that of the entity, the entity should disclose:</w:t>
            </w:r>
          </w:p>
          <w:p w:rsidR="0072347A" w:rsidRPr="00892DE3" w:rsidRDefault="0072347A" w:rsidP="0072347A">
            <w:pPr>
              <w:pStyle w:val="List"/>
            </w:pPr>
            <w:r w:rsidRPr="00892DE3">
              <w:t>(a)</w:t>
            </w:r>
            <w:r w:rsidRPr="00892DE3">
              <w:tab/>
              <w:t xml:space="preserve">the date of the end of the reporting period of the financial statements of that joint venture or associate; and </w:t>
            </w:r>
          </w:p>
          <w:p w:rsidR="0072347A" w:rsidRPr="00892DE3" w:rsidRDefault="0072347A" w:rsidP="0072347A">
            <w:pPr>
              <w:pStyle w:val="List"/>
            </w:pPr>
            <w:r w:rsidRPr="00892DE3">
              <w:t>(b)</w:t>
            </w:r>
            <w:r w:rsidRPr="00892DE3">
              <w:tab/>
              <w:t xml:space="preserve">the reason for using a different date or period. </w:t>
            </w:r>
          </w:p>
          <w:p w:rsidR="0072347A" w:rsidRPr="00892DE3" w:rsidRDefault="0072347A" w:rsidP="0072347A">
            <w:r w:rsidRPr="00892DE3">
              <w:t>[This disclosure is not applicable if the financial statements of an associate or joint venture used in applying the equity method are as of a date or for a period that is different from that of the entity.]</w:t>
            </w:r>
          </w:p>
          <w:p w:rsidR="0072347A" w:rsidRPr="00892DE3" w:rsidRDefault="0072347A" w:rsidP="0072347A">
            <w:pPr>
              <w:rPr>
                <w:b/>
              </w:rPr>
            </w:pPr>
            <w:r w:rsidRPr="00892DE3">
              <w:rPr>
                <w:b/>
              </w:rPr>
              <w:t xml:space="preserve">Equity accounted investment reduced to zero </w:t>
            </w:r>
            <w:r w:rsidRPr="00892DE3">
              <w:rPr>
                <w:rStyle w:val="SourceReference"/>
              </w:rPr>
              <w:t>[AASB 128.38-39]</w:t>
            </w:r>
          </w:p>
          <w:p w:rsidR="0072347A" w:rsidRPr="00892DE3" w:rsidRDefault="0072347A" w:rsidP="0072347A">
            <w:r w:rsidRPr="00892DE3">
              <w:t>If an investor’s share of losses of an associate equals or exceeds its interest in the associate, the investor discontinues recognising its share of further losses. The interest in an associate is the carrying amount of the investment in the associate under the equity method together with any long-term interests that, in substance, form part of the investor’s net investment in the associate. For example, an item for which settlement is neither planned nor likely to occur in the foreseeable future is, in substance, an extension of the entity’s investment in that associate.</w:t>
            </w:r>
          </w:p>
          <w:p w:rsidR="0072347A" w:rsidRPr="00892DE3" w:rsidRDefault="0072347A" w:rsidP="0072347A">
            <w:r w:rsidRPr="00892DE3">
              <w:t>Such items may include preference shares and long-term receivables or loans but do not include trade receivables, trade payables or any long-term receivables for which adequate collateral exists, such as secured loans. Losses recognised under the equity method in excess of the investor’s investment in ordinary shares are applied to the other components of the investor’s interest in an associate in the reverse order of their seniority (i.e. priority in liquidation).</w:t>
            </w:r>
          </w:p>
          <w:p w:rsidR="0072347A" w:rsidRPr="00892DE3" w:rsidRDefault="0072347A" w:rsidP="0072347A">
            <w:r w:rsidRPr="00892DE3">
              <w:t>After the investor’s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tc>
      </w:tr>
    </w:tbl>
    <w:p w:rsidR="00266658" w:rsidRPr="00892DE3" w:rsidRDefault="00266658" w:rsidP="00266658"/>
    <w:p w:rsidR="0072347A" w:rsidRPr="00892DE3" w:rsidRDefault="0072347A">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72347A" w:rsidRPr="00892DE3" w:rsidTr="00060DC2">
        <w:trPr>
          <w:cnfStyle w:val="100000000000" w:firstRow="1" w:lastRow="0" w:firstColumn="0" w:lastColumn="0" w:oddVBand="0" w:evenVBand="0" w:oddHBand="0" w:evenHBand="0" w:firstRowFirstColumn="0" w:firstRowLastColumn="0" w:lastRowFirstColumn="0" w:lastRowLastColumn="0"/>
        </w:trPr>
        <w:tc>
          <w:tcPr>
            <w:tcW w:w="9854" w:type="dxa"/>
          </w:tcPr>
          <w:p w:rsidR="0072347A" w:rsidRPr="00892DE3" w:rsidRDefault="0072347A" w:rsidP="00F73105">
            <w:r w:rsidRPr="00892DE3">
              <w:t xml:space="preserve">Guidance – Investments accounted using the equity method </w:t>
            </w:r>
            <w:r w:rsidRPr="00491373">
              <w:rPr>
                <w:i/>
              </w:rPr>
              <w:t>(continued)</w:t>
            </w:r>
          </w:p>
        </w:tc>
      </w:tr>
      <w:tr w:rsidR="0072347A" w:rsidRPr="00892DE3" w:rsidTr="00060DC2">
        <w:tc>
          <w:tcPr>
            <w:tcW w:w="9854" w:type="dxa"/>
          </w:tcPr>
          <w:p w:rsidR="0072347A" w:rsidRPr="00892DE3" w:rsidRDefault="0072347A" w:rsidP="0072347A">
            <w:pPr>
              <w:rPr>
                <w:b/>
              </w:rPr>
            </w:pPr>
            <w:r w:rsidRPr="00892DE3">
              <w:rPr>
                <w:b/>
              </w:rPr>
              <w:t xml:space="preserve">Discontinuing the use of the equity method </w:t>
            </w:r>
            <w:r w:rsidRPr="00892DE3">
              <w:rPr>
                <w:rStyle w:val="SourceReference"/>
              </w:rPr>
              <w:t>[AASB 128.22-23]</w:t>
            </w:r>
          </w:p>
          <w:p w:rsidR="0072347A" w:rsidRPr="00892DE3" w:rsidRDefault="0072347A" w:rsidP="0072347A">
            <w:r w:rsidRPr="00892DE3">
              <w:t xml:space="preserve">An entity shall discontinue the use of the equity method from the date that its investment ceases to be an associate or a joint venture as follows: </w:t>
            </w:r>
          </w:p>
          <w:p w:rsidR="0072347A" w:rsidRPr="00892DE3" w:rsidRDefault="0072347A" w:rsidP="0072347A">
            <w:pPr>
              <w:pStyle w:val="List"/>
            </w:pPr>
            <w:r w:rsidRPr="00892DE3">
              <w:t>(a)</w:t>
            </w:r>
            <w:r w:rsidRPr="00892DE3">
              <w:tab/>
              <w:t xml:space="preserve">If the investment becomes a subsidiary, the entity shall account for its investment in accordance with AASB 3 </w:t>
            </w:r>
            <w:r w:rsidRPr="00491373">
              <w:rPr>
                <w:i/>
              </w:rPr>
              <w:t>Business Combinations</w:t>
            </w:r>
            <w:r w:rsidRPr="00892DE3">
              <w:t xml:space="preserve"> and AASB 10 </w:t>
            </w:r>
            <w:r w:rsidRPr="00491373">
              <w:rPr>
                <w:i/>
              </w:rPr>
              <w:t>Consolidated Financial Statements</w:t>
            </w:r>
            <w:r w:rsidRPr="00892DE3">
              <w:t>; or</w:t>
            </w:r>
          </w:p>
          <w:p w:rsidR="0072347A" w:rsidRPr="00892DE3" w:rsidRDefault="0072347A" w:rsidP="0072347A">
            <w:pPr>
              <w:pStyle w:val="List"/>
            </w:pPr>
            <w:r w:rsidRPr="00892DE3">
              <w:t>(b)</w:t>
            </w:r>
            <w:r w:rsidRPr="00892DE3">
              <w:tab/>
              <w:t>If the retained interest in the former associate or joint venture is a financial asset, the entity shall measure the retained interest at fair value. The fair value of the retained interest shall be regarded as its fair value on initial recognition as a financial asset.</w:t>
            </w:r>
          </w:p>
          <w:p w:rsidR="0072347A" w:rsidRPr="00892DE3" w:rsidRDefault="00252D32" w:rsidP="00252D32">
            <w:pPr>
              <w:pStyle w:val="List"/>
            </w:pPr>
            <w:r w:rsidRPr="00892DE3">
              <w:tab/>
            </w:r>
            <w:r w:rsidR="0072347A" w:rsidRPr="00892DE3">
              <w:t>The entity shall recognise in profit or loss any difference between:</w:t>
            </w:r>
          </w:p>
          <w:p w:rsidR="0072347A" w:rsidRPr="00892DE3" w:rsidRDefault="0072347A" w:rsidP="00252D32">
            <w:pPr>
              <w:pStyle w:val="List2"/>
            </w:pPr>
            <w:r w:rsidRPr="00892DE3">
              <w:t>(</w:t>
            </w:r>
            <w:r w:rsidR="00252D32" w:rsidRPr="00892DE3">
              <w:t>i</w:t>
            </w:r>
            <w:r w:rsidRPr="00892DE3">
              <w:t>)</w:t>
            </w:r>
            <w:r w:rsidRPr="00892DE3">
              <w:tab/>
              <w:t xml:space="preserve">the fair value of any retained interest and any proceeds from disposing of a part interest in the associate or joint venture; and </w:t>
            </w:r>
          </w:p>
          <w:p w:rsidR="0072347A" w:rsidRPr="00892DE3" w:rsidRDefault="0072347A" w:rsidP="00252D32">
            <w:pPr>
              <w:pStyle w:val="List2"/>
            </w:pPr>
            <w:r w:rsidRPr="00892DE3">
              <w:t>(</w:t>
            </w:r>
            <w:r w:rsidR="00252D32" w:rsidRPr="00892DE3">
              <w:t>ii</w:t>
            </w:r>
            <w:r w:rsidRPr="00892DE3">
              <w:t>)</w:t>
            </w:r>
            <w:r w:rsidRPr="00892DE3">
              <w:tab/>
              <w:t>the carrying amount of the investment at the date the equity method was discontinued.</w:t>
            </w:r>
          </w:p>
          <w:p w:rsidR="0072347A" w:rsidRPr="00892DE3" w:rsidRDefault="0072347A" w:rsidP="00252D32">
            <w:pPr>
              <w:pStyle w:val="List"/>
            </w:pPr>
            <w:r w:rsidRPr="00892DE3">
              <w:t>(</w:t>
            </w:r>
            <w:r w:rsidR="00252D32" w:rsidRPr="00892DE3">
              <w:t>c</w:t>
            </w:r>
            <w:r w:rsidRPr="00892DE3">
              <w:t>)</w:t>
            </w:r>
            <w:r w:rsidRPr="00892DE3">
              <w:tab/>
              <w:t>When an entity discontinues the use of the equity method, the entity shall account for all amounts previously recognised in other comprehensive income in relation to that investment on the same basis as would have been required if the investee had directly disposed of the related assets or liabilities.</w:t>
            </w:r>
          </w:p>
          <w:p w:rsidR="0072347A" w:rsidRPr="00892DE3" w:rsidRDefault="0072347A" w:rsidP="0072347A">
            <w:r w:rsidRPr="00892DE3">
              <w:t>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shall reclassify to profit or loss the gain or loss that had previously been recognised in other comprehensive income in relation to the foreign operation.</w:t>
            </w:r>
          </w:p>
          <w:p w:rsidR="0072347A" w:rsidRPr="00892DE3" w:rsidRDefault="0072347A" w:rsidP="0072347A">
            <w:r w:rsidRPr="00892DE3">
              <w:t>All disclosures requirements in relation to joint ventures are applicable for both the current and the comparative periods irrespective of the fictitious discontinuation of the joint venture for the 2017 year.</w:t>
            </w:r>
          </w:p>
        </w:tc>
      </w:tr>
    </w:tbl>
    <w:p w:rsidR="00060DC2" w:rsidRPr="00892DE3" w:rsidRDefault="00060DC2" w:rsidP="00060DC2">
      <w:pPr>
        <w:pStyle w:val="Heading30"/>
      </w:pPr>
      <w:bookmarkStart w:id="123" w:name="_Toc477257492"/>
      <w:bookmarkStart w:id="124" w:name="_Toc478055749"/>
      <w:r w:rsidRPr="00892DE3">
        <w:t>Interests in subsidiary and unconsolidated structured entities</w:t>
      </w:r>
    </w:p>
    <w:p w:rsidR="00060DC2" w:rsidRPr="00892DE3" w:rsidRDefault="006D71EF" w:rsidP="006D71EF">
      <w:pPr>
        <w:pStyle w:val="Guidanceindentnoborder"/>
        <w:tabs>
          <w:tab w:val="clear" w:pos="450"/>
          <w:tab w:val="left" w:pos="0"/>
        </w:tabs>
        <w:ind w:left="0" w:firstLine="0"/>
        <w:rPr>
          <w:rFonts w:asciiTheme="minorHAnsi" w:hAnsiTheme="minorHAnsi"/>
          <w:color w:val="auto"/>
        </w:rPr>
      </w:pPr>
      <w:r w:rsidRPr="00892DE3">
        <w:rPr>
          <w:rFonts w:asciiTheme="minorHAnsi" w:hAnsiTheme="minorHAnsi"/>
          <w:color w:val="auto"/>
        </w:rPr>
        <w:t xml:space="preserve">Disclosure on interests in subsidiary and unconsolidated structured entities is not applicable if the department does not have control over another entity (i.e. no interests in subsidiaries) or has not identified any structure entity as defined by AASB 12 </w:t>
      </w:r>
      <w:r w:rsidRPr="00892DE3">
        <w:rPr>
          <w:rFonts w:asciiTheme="minorHAnsi" w:hAnsiTheme="minorHAnsi"/>
          <w:i/>
          <w:color w:val="auto"/>
        </w:rPr>
        <w:t>Disclosures of Interests in Other Entities</w:t>
      </w:r>
      <w:r w:rsidRPr="00892DE3">
        <w:rPr>
          <w:rFonts w:asciiTheme="minorHAnsi" w:hAnsiTheme="minorHAnsi"/>
          <w:color w:val="auto"/>
        </w:rPr>
        <w:t xml:space="preserve">. In relation to disclosures required for subsidiaries, entities should complete the assessment of the control test in accordance with AASB 10 </w:t>
      </w:r>
      <w:r w:rsidRPr="00892DE3">
        <w:rPr>
          <w:rFonts w:asciiTheme="minorHAnsi" w:hAnsiTheme="minorHAnsi"/>
          <w:i/>
          <w:color w:val="auto"/>
        </w:rPr>
        <w:t>Consolidated Financial Statements</w:t>
      </w:r>
      <w:r w:rsidRPr="00892DE3">
        <w:rPr>
          <w:rFonts w:asciiTheme="minorHAnsi" w:hAnsiTheme="minorHAnsi"/>
          <w:color w:val="auto"/>
        </w:rPr>
        <w:t xml:space="preserve"> to determine whether there are any entities that meet the control criteria set out in AASB 10, and whether the following disclosures will be applicable based on the relevant facts and circumstances. Please refer to Appendix 4 </w:t>
      </w:r>
      <w:r w:rsidRPr="00892DE3">
        <w:rPr>
          <w:rFonts w:asciiTheme="minorHAnsi" w:hAnsiTheme="minorHAnsi"/>
          <w:i/>
          <w:color w:val="auto"/>
        </w:rPr>
        <w:t>AASB 10 Consolidated Financial Statements checklist – Control analysis for Victorian public sector entities</w:t>
      </w:r>
      <w:r w:rsidRPr="00892DE3">
        <w:rPr>
          <w:rFonts w:asciiTheme="minorHAnsi" w:hAnsiTheme="minorHAnsi"/>
          <w:color w:val="auto"/>
        </w:rPr>
        <w:t xml:space="preserve"> for the assessment. </w:t>
      </w:r>
    </w:p>
    <w:p w:rsidR="006D71EF" w:rsidRPr="00892DE3" w:rsidRDefault="006D71EF" w:rsidP="006D71EF">
      <w:pPr>
        <w:pStyle w:val="Guidanceindentnoborder"/>
        <w:tabs>
          <w:tab w:val="clear" w:pos="450"/>
          <w:tab w:val="left" w:pos="0"/>
        </w:tabs>
        <w:ind w:left="0" w:firstLine="0"/>
        <w:rPr>
          <w:rFonts w:asciiTheme="minorHAnsi" w:hAnsiTheme="minorHAnsi"/>
          <w:color w:val="auto"/>
        </w:rPr>
      </w:pPr>
    </w:p>
    <w:p w:rsidR="006D71EF" w:rsidRPr="00892DE3" w:rsidRDefault="006D71EF" w:rsidP="006D71EF">
      <w:pPr>
        <w:pStyle w:val="Guidanceindentnoborder"/>
        <w:tabs>
          <w:tab w:val="clear" w:pos="450"/>
          <w:tab w:val="left" w:pos="0"/>
        </w:tabs>
        <w:ind w:left="0" w:firstLine="0"/>
        <w:rPr>
          <w:rFonts w:asciiTheme="minorHAnsi" w:hAnsiTheme="minorHAnsi"/>
          <w:color w:val="auto"/>
        </w:rPr>
      </w:pPr>
      <w:r w:rsidRPr="00892DE3">
        <w:rPr>
          <w:rFonts w:asciiTheme="minorHAnsi" w:hAnsiTheme="minorHAnsi"/>
          <w:color w:val="auto"/>
        </w:rPr>
        <w:t xml:space="preserve">Where a department has identified that it has control over another entity and is required to consolidate its interests in the entity, please note that the department will be required to present its financial statement for the department as a consolidated entity and as a parent for the current and comparative periods as required by AASB 10.4 and AASB 101.Aus 7.2. Please refer to Appendix 5 </w:t>
      </w:r>
      <w:r w:rsidRPr="00892DE3">
        <w:rPr>
          <w:rFonts w:asciiTheme="minorHAnsi" w:hAnsiTheme="minorHAnsi"/>
          <w:i/>
          <w:color w:val="auto"/>
        </w:rPr>
        <w:t>Interests in subsidiary and unconsolidated structured entities</w:t>
      </w:r>
      <w:r w:rsidRPr="00892DE3">
        <w:rPr>
          <w:rFonts w:asciiTheme="minorHAnsi" w:hAnsiTheme="minorHAnsi"/>
          <w:color w:val="auto"/>
        </w:rPr>
        <w:t xml:space="preserve"> for more information. </w:t>
      </w:r>
    </w:p>
    <w:p w:rsidR="00A17AA4" w:rsidRPr="00892DE3" w:rsidRDefault="00A17AA4">
      <w:pPr>
        <w:keepLines w:val="0"/>
        <w:rPr>
          <w:rFonts w:asciiTheme="majorHAnsi" w:eastAsiaTheme="majorEastAsia" w:hAnsiTheme="majorHAnsi" w:cstheme="majorBidi"/>
          <w:b/>
          <w:spacing w:val="-2"/>
          <w:sz w:val="24"/>
          <w:szCs w:val="26"/>
        </w:rPr>
      </w:pPr>
      <w:r w:rsidRPr="00892DE3">
        <w:br w:type="page"/>
      </w:r>
    </w:p>
    <w:p w:rsidR="00F73105" w:rsidRPr="00892DE3" w:rsidRDefault="00F73105" w:rsidP="0019303F">
      <w:pPr>
        <w:pStyle w:val="Heading2"/>
      </w:pPr>
      <w:r w:rsidRPr="00892DE3">
        <w:t>Investments and other financial assets</w:t>
      </w:r>
      <w:bookmarkEnd w:id="123"/>
      <w:bookmarkEnd w:id="124"/>
    </w:p>
    <w:p w:rsidR="00F73105" w:rsidRPr="00892DE3" w:rsidRDefault="00F73105" w:rsidP="00F73105">
      <w:pPr>
        <w:pStyle w:val="TableUnits"/>
      </w:pPr>
      <w:r w:rsidRPr="00892DE3">
        <w:t>($ thousand)</w:t>
      </w:r>
    </w:p>
    <w:tbl>
      <w:tblPr>
        <w:tblStyle w:val="ModelReportFinancialTable"/>
        <w:tblW w:w="0" w:type="auto"/>
        <w:tblLayout w:type="fixed"/>
        <w:tblLook w:val="06A0" w:firstRow="1" w:lastRow="0" w:firstColumn="1" w:lastColumn="0" w:noHBand="1" w:noVBand="1"/>
      </w:tblPr>
      <w:tblGrid>
        <w:gridCol w:w="1379"/>
        <w:gridCol w:w="6385"/>
        <w:gridCol w:w="980"/>
        <w:gridCol w:w="980"/>
      </w:tblGrid>
      <w:tr w:rsidR="00F73105" w:rsidRPr="00892DE3" w:rsidTr="0044350A">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379" w:type="dxa"/>
            <w:tcBorders>
              <w:bottom w:val="nil"/>
            </w:tcBorders>
            <w:shd w:val="clear" w:color="auto" w:fill="auto"/>
            <w:hideMark/>
          </w:tcPr>
          <w:p w:rsidR="00F73105" w:rsidRPr="00892DE3" w:rsidRDefault="00F73105" w:rsidP="00F73105">
            <w:r w:rsidRPr="00892DE3">
              <w:t>Source reference</w:t>
            </w:r>
          </w:p>
        </w:tc>
        <w:tc>
          <w:tcPr>
            <w:tcW w:w="6385" w:type="dxa"/>
            <w:hideMark/>
          </w:tcPr>
          <w:p w:rsidR="00F73105" w:rsidRPr="00892DE3" w:rsidRDefault="00F73105" w:rsidP="00F73105">
            <w:pPr>
              <w:jc w:val="left"/>
              <w:cnfStyle w:val="100000000000" w:firstRow="1" w:lastRow="0" w:firstColumn="0" w:lastColumn="0" w:oddVBand="0" w:evenVBand="0" w:oddHBand="0" w:evenHBand="0" w:firstRowFirstColumn="0" w:firstRowLastColumn="0" w:lastRowFirstColumn="0" w:lastRowLastColumn="0"/>
            </w:pPr>
          </w:p>
        </w:tc>
        <w:tc>
          <w:tcPr>
            <w:tcW w:w="980" w:type="dxa"/>
            <w:noWrap/>
            <w:hideMark/>
          </w:tcPr>
          <w:p w:rsidR="00F73105" w:rsidRPr="00892DE3" w:rsidRDefault="00F73105" w:rsidP="00F73105">
            <w:pPr>
              <w:cnfStyle w:val="100000000000" w:firstRow="1" w:lastRow="0" w:firstColumn="0" w:lastColumn="0" w:oddVBand="0" w:evenVBand="0" w:oddHBand="0" w:evenHBand="0" w:firstRowFirstColumn="0" w:firstRowLastColumn="0" w:lastRowFirstColumn="0" w:lastRowLastColumn="0"/>
            </w:pPr>
            <w:r w:rsidRPr="00892DE3">
              <w:t>2017</w:t>
            </w:r>
          </w:p>
        </w:tc>
        <w:tc>
          <w:tcPr>
            <w:tcW w:w="980" w:type="dxa"/>
            <w:noWrap/>
            <w:hideMark/>
          </w:tcPr>
          <w:p w:rsidR="00F73105" w:rsidRPr="00892DE3" w:rsidRDefault="00F73105" w:rsidP="00F73105">
            <w:pPr>
              <w:cnfStyle w:val="100000000000" w:firstRow="1" w:lastRow="0" w:firstColumn="0" w:lastColumn="0" w:oddVBand="0" w:evenVBand="0" w:oddHBand="0" w:evenHBand="0" w:firstRowFirstColumn="0" w:firstRowLastColumn="0" w:lastRowFirstColumn="0" w:lastRowLastColumn="0"/>
            </w:pPr>
            <w:r w:rsidRPr="00892DE3">
              <w:t>2016</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hideMark/>
          </w:tcPr>
          <w:p w:rsidR="00F73105" w:rsidRPr="00892DE3" w:rsidRDefault="00F73105" w:rsidP="00F73105">
            <w:r w:rsidRPr="00892DE3">
              <w:t>AASB 101.61</w:t>
            </w:r>
          </w:p>
        </w:tc>
        <w:tc>
          <w:tcPr>
            <w:tcW w:w="6385" w:type="dxa"/>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investments and other financial assets</w:t>
            </w:r>
          </w:p>
        </w:tc>
        <w:tc>
          <w:tcPr>
            <w:tcW w:w="980" w:type="dxa"/>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73105" w:rsidRPr="00892DE3" w:rsidRDefault="00F73105" w:rsidP="00F73105"/>
        </w:tc>
        <w:tc>
          <w:tcPr>
            <w:tcW w:w="6385" w:type="dxa"/>
            <w:tcBorders>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rPr>
                <w:b/>
              </w:rPr>
            </w:pPr>
            <w:r w:rsidRPr="00892DE3">
              <w:rPr>
                <w:b/>
              </w:rPr>
              <w:t>Term deposits:</w:t>
            </w:r>
            <w:r w:rsidR="00252D32" w:rsidRPr="00892DE3">
              <w:rPr>
                <w:b/>
                <w:vertAlign w:val="superscript"/>
              </w:rPr>
              <w:t xml:space="preserve"> (a</w:t>
            </w:r>
            <w:r w:rsidRPr="00892DE3">
              <w:rPr>
                <w:b/>
                <w:vertAlign w:val="superscript"/>
              </w:rPr>
              <w:t>)</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top w:val="nil"/>
              <w:left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Foreign currency term deposits &gt; three months</w:t>
            </w:r>
          </w:p>
        </w:tc>
        <w:tc>
          <w:tcPr>
            <w:tcW w:w="980" w:type="dxa"/>
            <w:tcBorders>
              <w:top w:val="nil"/>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1 000</w:t>
            </w:r>
          </w:p>
        </w:tc>
        <w:tc>
          <w:tcPr>
            <w:tcW w:w="980" w:type="dxa"/>
            <w:tcBorders>
              <w:top w:val="nil"/>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750</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left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Australian dollar term deposits &gt; three months</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941</w:t>
            </w:r>
          </w:p>
        </w:tc>
        <w:tc>
          <w:tcPr>
            <w:tcW w:w="980" w:type="dxa"/>
            <w:tcBorders>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2 443</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73105" w:rsidRPr="00892DE3" w:rsidRDefault="00F73105" w:rsidP="00F73105"/>
        </w:tc>
        <w:tc>
          <w:tcPr>
            <w:tcW w:w="6385" w:type="dxa"/>
            <w:tcBorders>
              <w:top w:val="nil"/>
              <w:bottom w:val="nil"/>
            </w:tcBorders>
            <w:hideMark/>
          </w:tcPr>
          <w:p w:rsidR="00F73105" w:rsidRPr="00892DE3" w:rsidRDefault="00F73105" w:rsidP="00252D32">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Debt securities: </w:t>
            </w:r>
            <w:r w:rsidRPr="00892DE3">
              <w:rPr>
                <w:b/>
                <w:vertAlign w:val="superscript"/>
              </w:rPr>
              <w:t>(</w:t>
            </w:r>
            <w:r w:rsidR="00252D32" w:rsidRPr="00892DE3">
              <w:rPr>
                <w:b/>
                <w:vertAlign w:val="superscript"/>
              </w:rPr>
              <w:t>b</w:t>
            </w:r>
            <w:r w:rsidRPr="00892DE3">
              <w:rPr>
                <w:b/>
                <w:vertAlign w:val="superscript"/>
              </w:rPr>
              <w:t>)</w:t>
            </w:r>
          </w:p>
        </w:tc>
        <w:tc>
          <w:tcPr>
            <w:tcW w:w="980" w:type="dxa"/>
            <w:tcBorders>
              <w:top w:val="nil"/>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tcBorders>
              <w:top w:val="nil"/>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top w:val="nil"/>
              <w:left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Five year government bonds</w:t>
            </w:r>
          </w:p>
        </w:tc>
        <w:tc>
          <w:tcPr>
            <w:tcW w:w="980" w:type="dxa"/>
            <w:tcBorders>
              <w:top w:val="nil"/>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778</w:t>
            </w:r>
          </w:p>
        </w:tc>
        <w:tc>
          <w:tcPr>
            <w:tcW w:w="980" w:type="dxa"/>
            <w:tcBorders>
              <w:top w:val="nil"/>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406</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left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Ten year government bonds</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220</w:t>
            </w:r>
          </w:p>
        </w:tc>
        <w:tc>
          <w:tcPr>
            <w:tcW w:w="980" w:type="dxa"/>
            <w:tcBorders>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340</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left w:val="nil"/>
              <w:bottom w:val="single" w:sz="6" w:space="0" w:color="auto"/>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Debentures</w:t>
            </w:r>
          </w:p>
        </w:tc>
        <w:tc>
          <w:tcPr>
            <w:tcW w:w="980" w:type="dxa"/>
            <w:tcBorders>
              <w:bottom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565</w:t>
            </w:r>
          </w:p>
        </w:tc>
        <w:tc>
          <w:tcPr>
            <w:tcW w:w="980" w:type="dxa"/>
            <w:tcBorders>
              <w:bottom w:val="single" w:sz="6" w:space="0" w:color="auto"/>
              <w:right w:val="nil"/>
            </w:tcBorders>
            <w:noWrap/>
            <w:hideMark/>
          </w:tcPr>
          <w:p w:rsidR="00F73105" w:rsidRPr="00892DE3" w:rsidRDefault="00252D32" w:rsidP="00F73105">
            <w:pPr>
              <w:cnfStyle w:val="000000000000" w:firstRow="0" w:lastRow="0" w:firstColumn="0" w:lastColumn="0" w:oddVBand="0" w:evenVBand="0" w:oddHBand="0" w:evenHBand="0" w:firstRowFirstColumn="0" w:firstRowLastColumn="0" w:lastRowFirstColumn="0" w:lastRowLastColumn="0"/>
            </w:pPr>
            <w:r w:rsidRPr="00892DE3">
              <w:t>..</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73105" w:rsidRPr="00892DE3" w:rsidRDefault="00F73105" w:rsidP="00F73105"/>
        </w:tc>
        <w:tc>
          <w:tcPr>
            <w:tcW w:w="6385" w:type="dxa"/>
            <w:tcBorders>
              <w:top w:val="single" w:sz="6" w:space="0" w:color="auto"/>
              <w:bottom w:val="single" w:sz="6" w:space="0" w:color="auto"/>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current investments and other financial assets</w:t>
            </w:r>
          </w:p>
        </w:tc>
        <w:tc>
          <w:tcPr>
            <w:tcW w:w="980" w:type="dxa"/>
            <w:tcBorders>
              <w:top w:val="single" w:sz="6" w:space="0" w:color="auto"/>
              <w:bottom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b/>
              </w:rPr>
            </w:pPr>
            <w:r w:rsidRPr="00892DE3">
              <w:rPr>
                <w:b/>
              </w:rPr>
              <w:t>3 504</w:t>
            </w:r>
          </w:p>
        </w:tc>
        <w:tc>
          <w:tcPr>
            <w:tcW w:w="980" w:type="dxa"/>
            <w:tcBorders>
              <w:top w:val="single" w:sz="6" w:space="0" w:color="auto"/>
              <w:bottom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b/>
              </w:rPr>
            </w:pPr>
            <w:r w:rsidRPr="00892DE3">
              <w:rPr>
                <w:b/>
              </w:rPr>
              <w:t>3 939</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hideMark/>
          </w:tcPr>
          <w:p w:rsidR="00F73105" w:rsidRPr="00892DE3" w:rsidRDefault="00F73105" w:rsidP="00F73105">
            <w:r w:rsidRPr="00892DE3">
              <w:t>AASB 101.61</w:t>
            </w:r>
          </w:p>
        </w:tc>
        <w:tc>
          <w:tcPr>
            <w:tcW w:w="6385" w:type="dxa"/>
            <w:tcBorders>
              <w:top w:val="single" w:sz="6" w:space="0" w:color="auto"/>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current investments and other financial assets</w:t>
            </w:r>
          </w:p>
        </w:tc>
        <w:tc>
          <w:tcPr>
            <w:tcW w:w="980" w:type="dxa"/>
            <w:tcBorders>
              <w:top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80" w:type="dxa"/>
            <w:tcBorders>
              <w:top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73105" w:rsidRPr="00892DE3" w:rsidRDefault="00F73105" w:rsidP="00F73105"/>
        </w:tc>
        <w:tc>
          <w:tcPr>
            <w:tcW w:w="6385" w:type="dxa"/>
            <w:tcBorders>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Equities and managed investment schemes:</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top w:val="nil"/>
              <w:left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 xml:space="preserve">Listed securities </w:t>
            </w:r>
            <w:r w:rsidR="00252D32" w:rsidRPr="00892DE3">
              <w:rPr>
                <w:vertAlign w:val="superscript"/>
              </w:rPr>
              <w:t>(c</w:t>
            </w:r>
            <w:r w:rsidRPr="00892DE3">
              <w:rPr>
                <w:vertAlign w:val="superscript"/>
              </w:rPr>
              <w:t>)</w:t>
            </w:r>
          </w:p>
        </w:tc>
        <w:tc>
          <w:tcPr>
            <w:tcW w:w="980" w:type="dxa"/>
            <w:tcBorders>
              <w:top w:val="nil"/>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1 614</w:t>
            </w:r>
          </w:p>
        </w:tc>
        <w:tc>
          <w:tcPr>
            <w:tcW w:w="980" w:type="dxa"/>
            <w:tcBorders>
              <w:top w:val="nil"/>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1 492</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left w:val="nil"/>
              <w:bottom w:val="nil"/>
            </w:tcBorders>
            <w:hideMark/>
          </w:tcPr>
          <w:p w:rsidR="00F73105" w:rsidRPr="00892DE3" w:rsidRDefault="00F73105" w:rsidP="00252D32">
            <w:pPr>
              <w:jc w:val="left"/>
              <w:cnfStyle w:val="000000000000" w:firstRow="0" w:lastRow="0" w:firstColumn="0" w:lastColumn="0" w:oddVBand="0" w:evenVBand="0" w:oddHBand="0" w:evenHBand="0" w:firstRowFirstColumn="0" w:firstRowLastColumn="0" w:lastRowFirstColumn="0" w:lastRowLastColumn="0"/>
            </w:pPr>
            <w:r w:rsidRPr="00892DE3">
              <w:t xml:space="preserve">Unlisted securities </w:t>
            </w:r>
            <w:r w:rsidRPr="00892DE3">
              <w:rPr>
                <w:vertAlign w:val="superscript"/>
              </w:rPr>
              <w:t>(</w:t>
            </w:r>
            <w:r w:rsidR="00252D32" w:rsidRPr="00892DE3">
              <w:rPr>
                <w:vertAlign w:val="superscript"/>
              </w:rPr>
              <w:t>d</w:t>
            </w:r>
            <w:r w:rsidRPr="00892DE3">
              <w:rPr>
                <w:vertAlign w:val="superscript"/>
              </w:rPr>
              <w:t>)</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222</w:t>
            </w:r>
          </w:p>
        </w:tc>
        <w:tc>
          <w:tcPr>
            <w:tcW w:w="980" w:type="dxa"/>
            <w:tcBorders>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538</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left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Managed investment schemes</w:t>
            </w:r>
            <w:r w:rsidR="00252D32" w:rsidRPr="00892DE3">
              <w:rPr>
                <w:vertAlign w:val="superscript"/>
              </w:rPr>
              <w:t xml:space="preserve"> (c</w:t>
            </w:r>
            <w:r w:rsidRPr="00892DE3">
              <w:rPr>
                <w:vertAlign w:val="superscript"/>
              </w:rPr>
              <w:t>)</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229</w:t>
            </w:r>
          </w:p>
        </w:tc>
        <w:tc>
          <w:tcPr>
            <w:tcW w:w="980" w:type="dxa"/>
            <w:tcBorders>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2 149</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73105" w:rsidRPr="00892DE3" w:rsidRDefault="00F73105" w:rsidP="00F73105"/>
        </w:tc>
        <w:tc>
          <w:tcPr>
            <w:tcW w:w="6385" w:type="dxa"/>
            <w:tcBorders>
              <w:top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rPr>
                <w:b/>
              </w:rPr>
            </w:pPr>
            <w:r w:rsidRPr="00892DE3">
              <w:rPr>
                <w:b/>
              </w:rPr>
              <w:t>Debt securities:</w:t>
            </w:r>
          </w:p>
        </w:tc>
        <w:tc>
          <w:tcPr>
            <w:tcW w:w="980" w:type="dxa"/>
            <w:tcBorders>
              <w:top w:val="nil"/>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tcBorders>
              <w:top w:val="nil"/>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top w:val="nil"/>
              <w:left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Five year government bonds at fair value through profit or loss</w:t>
            </w:r>
          </w:p>
        </w:tc>
        <w:tc>
          <w:tcPr>
            <w:tcW w:w="980" w:type="dxa"/>
            <w:tcBorders>
              <w:top w:val="nil"/>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3 823</w:t>
            </w:r>
          </w:p>
        </w:tc>
        <w:tc>
          <w:tcPr>
            <w:tcW w:w="980" w:type="dxa"/>
            <w:tcBorders>
              <w:top w:val="nil"/>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2 409</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left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Five year government bonds</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455</w:t>
            </w:r>
          </w:p>
        </w:tc>
        <w:tc>
          <w:tcPr>
            <w:tcW w:w="980" w:type="dxa"/>
            <w:tcBorders>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2 195</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left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Ten year government bonds</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1 880</w:t>
            </w:r>
          </w:p>
        </w:tc>
        <w:tc>
          <w:tcPr>
            <w:tcW w:w="980" w:type="dxa"/>
            <w:tcBorders>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1 880</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73105" w:rsidRPr="00892DE3" w:rsidRDefault="00F73105" w:rsidP="00F73105"/>
        </w:tc>
        <w:tc>
          <w:tcPr>
            <w:tcW w:w="6385" w:type="dxa"/>
            <w:tcBorders>
              <w:left w:val="nil"/>
              <w:bottom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Debentures</w:t>
            </w:r>
          </w:p>
        </w:tc>
        <w:tc>
          <w:tcPr>
            <w:tcW w:w="980" w:type="dxa"/>
            <w:tcBorders>
              <w:bottom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1 300</w:t>
            </w:r>
          </w:p>
        </w:tc>
        <w:tc>
          <w:tcPr>
            <w:tcW w:w="980" w:type="dxa"/>
            <w:tcBorders>
              <w:bottom w:val="nil"/>
              <w:right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192</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73105" w:rsidRPr="00892DE3" w:rsidRDefault="00F73105" w:rsidP="00F73105"/>
        </w:tc>
        <w:tc>
          <w:tcPr>
            <w:tcW w:w="6385" w:type="dxa"/>
            <w:tcBorders>
              <w:top w:val="nil"/>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Term deposits: </w:t>
            </w:r>
            <w:r w:rsidR="00252D32" w:rsidRPr="00892DE3">
              <w:rPr>
                <w:b/>
                <w:vertAlign w:val="superscript"/>
              </w:rPr>
              <w:t>(a</w:t>
            </w:r>
            <w:r w:rsidRPr="00892DE3">
              <w:rPr>
                <w:b/>
                <w:vertAlign w:val="superscript"/>
              </w:rPr>
              <w:t>)</w:t>
            </w:r>
          </w:p>
        </w:tc>
        <w:tc>
          <w:tcPr>
            <w:tcW w:w="980" w:type="dxa"/>
            <w:tcBorders>
              <w:top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tcBorders>
              <w:top w:val="nil"/>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73105" w:rsidRPr="00892DE3" w:rsidRDefault="00F73105" w:rsidP="00F73105"/>
        </w:tc>
        <w:tc>
          <w:tcPr>
            <w:tcW w:w="6385" w:type="dxa"/>
            <w:tcBorders>
              <w:bottom w:val="single" w:sz="6" w:space="0" w:color="auto"/>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pPr>
            <w:r w:rsidRPr="00892DE3">
              <w:t>Australian dollar term deposits &gt; 12 months</w:t>
            </w:r>
          </w:p>
        </w:tc>
        <w:tc>
          <w:tcPr>
            <w:tcW w:w="980" w:type="dxa"/>
            <w:tcBorders>
              <w:bottom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 xml:space="preserve"> 949</w:t>
            </w:r>
          </w:p>
        </w:tc>
        <w:tc>
          <w:tcPr>
            <w:tcW w:w="980" w:type="dxa"/>
            <w:tcBorders>
              <w:bottom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pPr>
            <w:r w:rsidRPr="00892DE3">
              <w:t>1 937</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73105" w:rsidRPr="00892DE3" w:rsidRDefault="00F73105" w:rsidP="00F73105"/>
        </w:tc>
        <w:tc>
          <w:tcPr>
            <w:tcW w:w="6385" w:type="dxa"/>
            <w:tcBorders>
              <w:top w:val="single" w:sz="6" w:space="0" w:color="auto"/>
              <w:bottom w:val="single" w:sz="6" w:space="0" w:color="auto"/>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non</w:t>
            </w:r>
            <w:r w:rsidRPr="00892DE3">
              <w:rPr>
                <w:b/>
              </w:rPr>
              <w:noBreakHyphen/>
              <w:t>current investments and other financial assets</w:t>
            </w:r>
          </w:p>
        </w:tc>
        <w:tc>
          <w:tcPr>
            <w:tcW w:w="980" w:type="dxa"/>
            <w:tcBorders>
              <w:top w:val="single" w:sz="6" w:space="0" w:color="auto"/>
              <w:bottom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b/>
              </w:rPr>
            </w:pPr>
            <w:r w:rsidRPr="00892DE3">
              <w:rPr>
                <w:b/>
              </w:rPr>
              <w:t>10 472</w:t>
            </w:r>
          </w:p>
        </w:tc>
        <w:tc>
          <w:tcPr>
            <w:tcW w:w="980" w:type="dxa"/>
            <w:tcBorders>
              <w:top w:val="single" w:sz="6" w:space="0" w:color="auto"/>
              <w:bottom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b/>
              </w:rPr>
            </w:pPr>
            <w:r w:rsidRPr="00892DE3">
              <w:rPr>
                <w:b/>
              </w:rPr>
              <w:t>12 792</w:t>
            </w:r>
          </w:p>
        </w:tc>
      </w:tr>
      <w:tr w:rsidR="00F73105" w:rsidRPr="00892DE3" w:rsidTr="0044350A">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73105" w:rsidRPr="00892DE3" w:rsidRDefault="00F73105" w:rsidP="00F73105"/>
        </w:tc>
        <w:tc>
          <w:tcPr>
            <w:tcW w:w="6385" w:type="dxa"/>
            <w:tcBorders>
              <w:top w:val="single" w:sz="6" w:space="0" w:color="auto"/>
              <w:bottom w:val="single" w:sz="12" w:space="0" w:color="auto"/>
            </w:tcBorders>
            <w:hideMark/>
          </w:tcPr>
          <w:p w:rsidR="00F73105" w:rsidRPr="00892DE3" w:rsidRDefault="00F73105" w:rsidP="00F73105">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investments and other financial assets</w:t>
            </w:r>
          </w:p>
        </w:tc>
        <w:tc>
          <w:tcPr>
            <w:tcW w:w="980" w:type="dxa"/>
            <w:tcBorders>
              <w:top w:val="single" w:sz="6" w:space="0" w:color="auto"/>
              <w:bottom w:val="single" w:sz="12"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b/>
              </w:rPr>
            </w:pPr>
            <w:r w:rsidRPr="00892DE3">
              <w:rPr>
                <w:b/>
              </w:rPr>
              <w:t>13 976</w:t>
            </w:r>
          </w:p>
        </w:tc>
        <w:tc>
          <w:tcPr>
            <w:tcW w:w="980" w:type="dxa"/>
            <w:tcBorders>
              <w:top w:val="single" w:sz="6" w:space="0" w:color="auto"/>
              <w:bottom w:val="single" w:sz="12"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b/>
              </w:rPr>
            </w:pPr>
            <w:r w:rsidRPr="00892DE3">
              <w:rPr>
                <w:b/>
              </w:rPr>
              <w:t>16 731</w:t>
            </w:r>
          </w:p>
        </w:tc>
      </w:tr>
    </w:tbl>
    <w:p w:rsidR="00F73105" w:rsidRPr="00892DE3" w:rsidRDefault="00F73105" w:rsidP="00F73105">
      <w:pPr>
        <w:pStyle w:val="Note"/>
      </w:pPr>
      <w:r w:rsidRPr="00892DE3">
        <w:t>Notes:</w:t>
      </w:r>
    </w:p>
    <w:p w:rsidR="00F73105" w:rsidRPr="00892DE3" w:rsidRDefault="00F73105" w:rsidP="00F73105">
      <w:pPr>
        <w:pStyle w:val="Note"/>
      </w:pPr>
      <w:r w:rsidRPr="00892DE3">
        <w:t>(</w:t>
      </w:r>
      <w:r w:rsidR="00252D32" w:rsidRPr="00892DE3">
        <w:t>a</w:t>
      </w:r>
      <w:r w:rsidRPr="00892DE3">
        <w:t>)</w:t>
      </w:r>
      <w:r w:rsidRPr="00892DE3">
        <w:tab/>
        <w:t>Term deposits under ‘investments and other financial assets’ class include only term deposits with maturity greater than 90 days.</w:t>
      </w:r>
    </w:p>
    <w:p w:rsidR="00F73105" w:rsidRPr="00892DE3" w:rsidRDefault="00F73105" w:rsidP="00F73105">
      <w:pPr>
        <w:pStyle w:val="Note"/>
      </w:pPr>
      <w:r w:rsidRPr="00892DE3">
        <w:t>(</w:t>
      </w:r>
      <w:r w:rsidR="00252D32" w:rsidRPr="00892DE3">
        <w:t>b</w:t>
      </w:r>
      <w:r w:rsidRPr="00892DE3">
        <w:t>)</w:t>
      </w:r>
      <w:r w:rsidRPr="00892DE3">
        <w:tab/>
        <w:t>These are debt securities that are maturing within the next 12 months.</w:t>
      </w:r>
    </w:p>
    <w:p w:rsidR="00F73105" w:rsidRPr="00892DE3" w:rsidRDefault="00F73105" w:rsidP="00F73105">
      <w:pPr>
        <w:pStyle w:val="Note"/>
      </w:pPr>
      <w:r w:rsidRPr="00892DE3">
        <w:t>(</w:t>
      </w:r>
      <w:r w:rsidR="00252D32" w:rsidRPr="00892DE3">
        <w:t>c</w:t>
      </w:r>
      <w:r w:rsidRPr="00892DE3">
        <w:t>)</w:t>
      </w:r>
      <w:r w:rsidRPr="00892DE3">
        <w:tab/>
        <w:t>The Department designated all its equities and managed investment schemes at fair value through profit or loss. Unless such assets are part of a disposal group held for sale, all equities and managed investment schemes are classified as non-current.</w:t>
      </w:r>
    </w:p>
    <w:p w:rsidR="00F73105" w:rsidRPr="00892DE3" w:rsidRDefault="00F73105" w:rsidP="00F73105">
      <w:pPr>
        <w:pStyle w:val="Note"/>
      </w:pPr>
      <w:r w:rsidRPr="00892DE3">
        <w:t>(</w:t>
      </w:r>
      <w:r w:rsidR="00252D32" w:rsidRPr="00892DE3">
        <w:t>d</w:t>
      </w:r>
      <w:r w:rsidRPr="00892DE3">
        <w:t>)</w:t>
      </w:r>
      <w:r w:rsidRPr="00892DE3">
        <w:tab/>
        <w:t>Unlisted securities include shares in Entity ABC, which were gifted to the Department under the Davey Bequest and can only be sold to fund projects for the development of new technology.</w:t>
      </w:r>
    </w:p>
    <w:p w:rsidR="00F73105" w:rsidRPr="00892DE3" w:rsidRDefault="00F73105" w:rsidP="00252D32">
      <w:pPr>
        <w:pStyle w:val="TableHeading"/>
      </w:pPr>
      <w:r w:rsidRPr="00892DE3">
        <w:t xml:space="preserve">Ageing analysis of investments and other financial assets </w:t>
      </w:r>
      <w:r w:rsidR="00252D32" w:rsidRPr="00892DE3">
        <w:rPr>
          <w:rStyle w:val="SourceReference"/>
          <w:b w:val="0"/>
        </w:rPr>
        <w:t>[AASB 7.37(a),(b)]</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542"/>
        <w:gridCol w:w="1014"/>
        <w:gridCol w:w="8"/>
        <w:gridCol w:w="1106"/>
        <w:gridCol w:w="991"/>
        <w:gridCol w:w="992"/>
        <w:gridCol w:w="992"/>
        <w:gridCol w:w="992"/>
      </w:tblGrid>
      <w:tr w:rsidR="00F73105" w:rsidRPr="00892DE3" w:rsidTr="00FF0E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42" w:type="dxa"/>
            <w:hideMark/>
          </w:tcPr>
          <w:p w:rsidR="00F73105" w:rsidRPr="00892DE3" w:rsidRDefault="00F73105" w:rsidP="00F73105">
            <w:pPr>
              <w:ind w:left="0" w:firstLine="0"/>
              <w:rPr>
                <w:rFonts w:cstheme="majorHAnsi"/>
              </w:rPr>
            </w:pPr>
          </w:p>
        </w:tc>
        <w:tc>
          <w:tcPr>
            <w:tcW w:w="1022" w:type="dxa"/>
            <w:gridSpan w:val="2"/>
            <w:noWrap/>
          </w:tcPr>
          <w:p w:rsidR="00F73105" w:rsidRPr="00892DE3" w:rsidRDefault="00F73105" w:rsidP="00F73105">
            <w:pPr>
              <w:cnfStyle w:val="100000000000" w:firstRow="1" w:lastRow="0" w:firstColumn="0" w:lastColumn="0" w:oddVBand="0" w:evenVBand="0" w:oddHBand="0" w:evenHBand="0" w:firstRowFirstColumn="0" w:firstRowLastColumn="0" w:lastRowFirstColumn="0" w:lastRowLastColumn="0"/>
              <w:rPr>
                <w:rFonts w:cstheme="majorHAnsi"/>
              </w:rPr>
            </w:pPr>
          </w:p>
        </w:tc>
        <w:tc>
          <w:tcPr>
            <w:tcW w:w="1106" w:type="dxa"/>
            <w:noWrap/>
          </w:tcPr>
          <w:p w:rsidR="00F73105" w:rsidRPr="00892DE3" w:rsidRDefault="00FF0E77" w:rsidP="00F73105">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Not past</w:t>
            </w:r>
          </w:p>
        </w:tc>
        <w:tc>
          <w:tcPr>
            <w:tcW w:w="3967" w:type="dxa"/>
            <w:gridSpan w:val="4"/>
            <w:tcBorders>
              <w:bottom w:val="single" w:sz="6" w:space="0" w:color="FFFFFF" w:themeColor="background1"/>
            </w:tcBorders>
            <w:hideMark/>
          </w:tcPr>
          <w:p w:rsidR="00F73105" w:rsidRPr="00892DE3" w:rsidRDefault="00F73105" w:rsidP="00F73105">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Past due but not impaired</w:t>
            </w:r>
          </w:p>
        </w:tc>
      </w:tr>
      <w:tr w:rsidR="00F73105" w:rsidRPr="00892DE3" w:rsidTr="00FF0E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42" w:type="dxa"/>
            <w:hideMark/>
          </w:tcPr>
          <w:p w:rsidR="00F73105" w:rsidRPr="00892DE3" w:rsidRDefault="00F73105" w:rsidP="00F73105">
            <w:pPr>
              <w:ind w:left="0" w:firstLine="0"/>
              <w:rPr>
                <w:rFonts w:cstheme="majorHAnsi"/>
              </w:rPr>
            </w:pPr>
          </w:p>
        </w:tc>
        <w:tc>
          <w:tcPr>
            <w:tcW w:w="1014" w:type="dxa"/>
            <w:hideMark/>
          </w:tcPr>
          <w:p w:rsidR="00F73105" w:rsidRPr="00892DE3" w:rsidRDefault="00F73105" w:rsidP="00F73105">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Carrying amount</w:t>
            </w:r>
          </w:p>
        </w:tc>
        <w:tc>
          <w:tcPr>
            <w:tcW w:w="1114" w:type="dxa"/>
            <w:gridSpan w:val="2"/>
            <w:hideMark/>
          </w:tcPr>
          <w:p w:rsidR="00F73105" w:rsidRPr="00892DE3" w:rsidRDefault="00FF0E77" w:rsidP="00F73105">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due </w:t>
            </w:r>
            <w:r w:rsidR="00F73105" w:rsidRPr="00892DE3">
              <w:rPr>
                <w:rFonts w:cstheme="majorHAnsi"/>
              </w:rPr>
              <w:t>and not impaired</w:t>
            </w:r>
          </w:p>
        </w:tc>
        <w:tc>
          <w:tcPr>
            <w:tcW w:w="991" w:type="dxa"/>
            <w:tcBorders>
              <w:top w:val="single" w:sz="6" w:space="0" w:color="FFFFFF" w:themeColor="background1"/>
            </w:tcBorders>
            <w:hideMark/>
          </w:tcPr>
          <w:p w:rsidR="00F73105" w:rsidRPr="00892DE3" w:rsidRDefault="00F73105" w:rsidP="00F73105">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Less than </w:t>
            </w:r>
            <w:r w:rsidRPr="00892DE3">
              <w:rPr>
                <w:rFonts w:cstheme="majorHAnsi"/>
              </w:rPr>
              <w:br/>
              <w:t>1 month</w:t>
            </w:r>
          </w:p>
        </w:tc>
        <w:tc>
          <w:tcPr>
            <w:tcW w:w="992" w:type="dxa"/>
            <w:tcBorders>
              <w:top w:val="single" w:sz="6" w:space="0" w:color="FFFFFF" w:themeColor="background1"/>
            </w:tcBorders>
            <w:hideMark/>
          </w:tcPr>
          <w:p w:rsidR="00F73105" w:rsidRPr="00892DE3" w:rsidRDefault="00F73105" w:rsidP="00F73105">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w:t>
            </w:r>
            <w:r w:rsidRPr="00892DE3">
              <w:rPr>
                <w:rFonts w:cstheme="majorHAnsi"/>
              </w:rPr>
              <w:noBreakHyphen/>
              <w:t>3 months</w:t>
            </w:r>
          </w:p>
        </w:tc>
        <w:tc>
          <w:tcPr>
            <w:tcW w:w="992" w:type="dxa"/>
            <w:tcBorders>
              <w:top w:val="single" w:sz="6" w:space="0" w:color="FFFFFF" w:themeColor="background1"/>
            </w:tcBorders>
            <w:hideMark/>
          </w:tcPr>
          <w:p w:rsidR="00F73105" w:rsidRPr="00892DE3" w:rsidRDefault="00F73105" w:rsidP="00252D3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3 months </w:t>
            </w:r>
            <w:r w:rsidR="00252D32" w:rsidRPr="00892DE3">
              <w:rPr>
                <w:rFonts w:cstheme="majorHAnsi"/>
              </w:rPr>
              <w:t>-</w:t>
            </w:r>
            <w:r w:rsidRPr="00892DE3">
              <w:rPr>
                <w:rFonts w:cstheme="majorHAnsi"/>
              </w:rPr>
              <w:t xml:space="preserve"> </w:t>
            </w:r>
            <w:r w:rsidRPr="00892DE3">
              <w:rPr>
                <w:rFonts w:cstheme="majorHAnsi"/>
              </w:rPr>
              <w:br/>
              <w:t>1 year</w:t>
            </w:r>
          </w:p>
        </w:tc>
        <w:tc>
          <w:tcPr>
            <w:tcW w:w="992" w:type="dxa"/>
            <w:tcBorders>
              <w:top w:val="single" w:sz="6" w:space="0" w:color="FFFFFF" w:themeColor="background1"/>
            </w:tcBorders>
            <w:hideMark/>
          </w:tcPr>
          <w:p w:rsidR="00F73105" w:rsidRPr="00892DE3" w:rsidRDefault="00F73105" w:rsidP="00252D32">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w:t>
            </w:r>
            <w:r w:rsidRPr="00892DE3">
              <w:rPr>
                <w:rFonts w:cstheme="majorHAnsi"/>
              </w:rPr>
              <w:noBreakHyphen/>
              <w:t>5 years</w:t>
            </w:r>
          </w:p>
        </w:tc>
      </w:tr>
      <w:tr w:rsidR="00F73105" w:rsidRPr="00892DE3" w:rsidTr="00FF0E77">
        <w:tc>
          <w:tcPr>
            <w:cnfStyle w:val="001000000000" w:firstRow="0" w:lastRow="0" w:firstColumn="1" w:lastColumn="0" w:oddVBand="0" w:evenVBand="0" w:oddHBand="0" w:evenHBand="0" w:firstRowFirstColumn="0" w:firstRowLastColumn="0" w:lastRowFirstColumn="0" w:lastRowLastColumn="0"/>
            <w:tcW w:w="3542" w:type="dxa"/>
          </w:tcPr>
          <w:p w:rsidR="00F73105" w:rsidRPr="00892DE3" w:rsidRDefault="00F73105" w:rsidP="00F73105">
            <w:pPr>
              <w:rPr>
                <w:rFonts w:cstheme="majorHAnsi"/>
                <w:b/>
              </w:rPr>
            </w:pPr>
            <w:r w:rsidRPr="00892DE3">
              <w:rPr>
                <w:rFonts w:cstheme="majorHAnsi"/>
                <w:b/>
              </w:rPr>
              <w:t>2017</w:t>
            </w:r>
          </w:p>
        </w:tc>
        <w:tc>
          <w:tcPr>
            <w:tcW w:w="1014" w:type="dxa"/>
            <w:shd w:val="clear" w:color="auto" w:fill="EBEBEB" w:themeFill="background2"/>
            <w:noWrap/>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1114" w:type="dxa"/>
            <w:gridSpan w:val="2"/>
            <w:noWrap/>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1" w:type="dxa"/>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r>
      <w:tr w:rsidR="00F73105" w:rsidRPr="00892DE3" w:rsidTr="00FF0E77">
        <w:tc>
          <w:tcPr>
            <w:cnfStyle w:val="001000000000" w:firstRow="0" w:lastRow="0" w:firstColumn="1" w:lastColumn="0" w:oddVBand="0" w:evenVBand="0" w:oddHBand="0" w:evenHBand="0" w:firstRowFirstColumn="0" w:firstRowLastColumn="0" w:lastRowFirstColumn="0" w:lastRowLastColumn="0"/>
            <w:tcW w:w="3542" w:type="dxa"/>
            <w:hideMark/>
          </w:tcPr>
          <w:p w:rsidR="00F73105" w:rsidRPr="00892DE3" w:rsidRDefault="00F73105" w:rsidP="00F73105">
            <w:pPr>
              <w:rPr>
                <w:rFonts w:cstheme="majorHAnsi"/>
              </w:rPr>
            </w:pPr>
            <w:r w:rsidRPr="00892DE3">
              <w:rPr>
                <w:rFonts w:cstheme="majorHAnsi"/>
              </w:rPr>
              <w:t>Equities and managed investment schemes</w:t>
            </w:r>
          </w:p>
        </w:tc>
        <w:tc>
          <w:tcPr>
            <w:tcW w:w="1014" w:type="dxa"/>
            <w:shd w:val="clear" w:color="auto" w:fill="EBEBEB" w:themeFill="background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2 065</w:t>
            </w:r>
          </w:p>
        </w:tc>
        <w:tc>
          <w:tcPr>
            <w:tcW w:w="1114" w:type="dxa"/>
            <w:gridSpan w:val="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2 065</w:t>
            </w:r>
          </w:p>
        </w:tc>
        <w:tc>
          <w:tcPr>
            <w:tcW w:w="991"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FF0E77">
        <w:tc>
          <w:tcPr>
            <w:cnfStyle w:val="001000000000" w:firstRow="0" w:lastRow="0" w:firstColumn="1" w:lastColumn="0" w:oddVBand="0" w:evenVBand="0" w:oddHBand="0" w:evenHBand="0" w:firstRowFirstColumn="0" w:firstRowLastColumn="0" w:lastRowFirstColumn="0" w:lastRowLastColumn="0"/>
            <w:tcW w:w="3542" w:type="dxa"/>
            <w:hideMark/>
          </w:tcPr>
          <w:p w:rsidR="00F73105" w:rsidRPr="00892DE3" w:rsidRDefault="00F73105" w:rsidP="00F73105">
            <w:pPr>
              <w:rPr>
                <w:rFonts w:cstheme="majorHAnsi"/>
              </w:rPr>
            </w:pPr>
            <w:r w:rsidRPr="00892DE3">
              <w:rPr>
                <w:rFonts w:cstheme="majorHAnsi"/>
              </w:rPr>
              <w:t>Term deposits</w:t>
            </w:r>
          </w:p>
        </w:tc>
        <w:tc>
          <w:tcPr>
            <w:tcW w:w="1014" w:type="dxa"/>
            <w:shd w:val="clear" w:color="auto" w:fill="EBEBEB" w:themeFill="background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c>
          <w:tcPr>
            <w:tcW w:w="1114" w:type="dxa"/>
            <w:gridSpan w:val="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c>
          <w:tcPr>
            <w:tcW w:w="991"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FF0E77">
        <w:tc>
          <w:tcPr>
            <w:cnfStyle w:val="001000000000" w:firstRow="0" w:lastRow="0" w:firstColumn="1" w:lastColumn="0" w:oddVBand="0" w:evenVBand="0" w:oddHBand="0" w:evenHBand="0" w:firstRowFirstColumn="0" w:firstRowLastColumn="0" w:lastRowFirstColumn="0" w:lastRowLastColumn="0"/>
            <w:tcW w:w="3542" w:type="dxa"/>
            <w:tcBorders>
              <w:bottom w:val="single" w:sz="6" w:space="0" w:color="auto"/>
            </w:tcBorders>
            <w:hideMark/>
          </w:tcPr>
          <w:p w:rsidR="00F73105" w:rsidRPr="00892DE3" w:rsidRDefault="00F73105" w:rsidP="00F73105">
            <w:pPr>
              <w:rPr>
                <w:rFonts w:cstheme="majorHAnsi"/>
              </w:rPr>
            </w:pPr>
            <w:r w:rsidRPr="00892DE3">
              <w:rPr>
                <w:rFonts w:cstheme="majorHAnsi"/>
              </w:rPr>
              <w:t>Debt securities</w:t>
            </w:r>
          </w:p>
        </w:tc>
        <w:tc>
          <w:tcPr>
            <w:tcW w:w="1014" w:type="dxa"/>
            <w:tcBorders>
              <w:bottom w:val="single" w:sz="6" w:space="0" w:color="auto"/>
            </w:tcBorders>
            <w:shd w:val="clear" w:color="auto" w:fill="EBEBEB" w:themeFill="background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9 021</w:t>
            </w:r>
          </w:p>
        </w:tc>
        <w:tc>
          <w:tcPr>
            <w:tcW w:w="1114" w:type="dxa"/>
            <w:gridSpan w:val="2"/>
            <w:tcBorders>
              <w:bottom w:val="single" w:sz="6" w:space="0" w:color="auto"/>
            </w:tcBorders>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9 021</w:t>
            </w:r>
          </w:p>
        </w:tc>
        <w:tc>
          <w:tcPr>
            <w:tcW w:w="991" w:type="dxa"/>
            <w:tcBorders>
              <w:bottom w:val="single" w:sz="6" w:space="0" w:color="auto"/>
            </w:tcBorders>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tcBorders>
              <w:bottom w:val="single" w:sz="6" w:space="0" w:color="auto"/>
            </w:tcBorders>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tcBorders>
              <w:bottom w:val="single" w:sz="6" w:space="0" w:color="auto"/>
            </w:tcBorders>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tcBorders>
              <w:bottom w:val="single" w:sz="6" w:space="0" w:color="auto"/>
            </w:tcBorders>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FF0E77">
        <w:tc>
          <w:tcPr>
            <w:cnfStyle w:val="001000000000" w:firstRow="0" w:lastRow="0" w:firstColumn="1" w:lastColumn="0" w:oddVBand="0" w:evenVBand="0" w:oddHBand="0" w:evenHBand="0" w:firstRowFirstColumn="0" w:firstRowLastColumn="0" w:lastRowFirstColumn="0" w:lastRowLastColumn="0"/>
            <w:tcW w:w="3542" w:type="dxa"/>
            <w:tcBorders>
              <w:top w:val="single" w:sz="6" w:space="0" w:color="auto"/>
              <w:bottom w:val="single" w:sz="6" w:space="0" w:color="auto"/>
            </w:tcBorders>
            <w:hideMark/>
          </w:tcPr>
          <w:p w:rsidR="00F73105" w:rsidRPr="00892DE3" w:rsidRDefault="00F73105" w:rsidP="00F73105">
            <w:pPr>
              <w:rPr>
                <w:rFonts w:cstheme="majorHAnsi"/>
                <w:b/>
              </w:rPr>
            </w:pPr>
            <w:r w:rsidRPr="00892DE3">
              <w:rPr>
                <w:rFonts w:cstheme="majorHAnsi"/>
                <w:b/>
              </w:rPr>
              <w:t xml:space="preserve">Total </w:t>
            </w:r>
          </w:p>
        </w:tc>
        <w:tc>
          <w:tcPr>
            <w:tcW w:w="1014" w:type="dxa"/>
            <w:tcBorders>
              <w:top w:val="single" w:sz="6" w:space="0" w:color="auto"/>
              <w:bottom w:val="single" w:sz="6" w:space="0" w:color="auto"/>
            </w:tcBorders>
            <w:shd w:val="clear" w:color="auto" w:fill="EBEBEB" w:themeFill="background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13 976</w:t>
            </w:r>
          </w:p>
        </w:tc>
        <w:tc>
          <w:tcPr>
            <w:tcW w:w="1114" w:type="dxa"/>
            <w:gridSpan w:val="2"/>
            <w:tcBorders>
              <w:top w:val="single" w:sz="6" w:space="0" w:color="auto"/>
              <w:bottom w:val="single" w:sz="6" w:space="0" w:color="auto"/>
            </w:tcBorders>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13 976</w:t>
            </w:r>
          </w:p>
        </w:tc>
        <w:tc>
          <w:tcPr>
            <w:tcW w:w="991" w:type="dxa"/>
            <w:tcBorders>
              <w:top w:val="single" w:sz="6" w:space="0" w:color="auto"/>
              <w:bottom w:val="single" w:sz="6" w:space="0" w:color="auto"/>
            </w:tcBorders>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92" w:type="dxa"/>
            <w:tcBorders>
              <w:top w:val="single" w:sz="6" w:space="0" w:color="auto"/>
              <w:bottom w:val="single" w:sz="6" w:space="0" w:color="auto"/>
            </w:tcBorders>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92" w:type="dxa"/>
            <w:tcBorders>
              <w:top w:val="single" w:sz="6" w:space="0" w:color="auto"/>
              <w:bottom w:val="single" w:sz="6" w:space="0" w:color="auto"/>
            </w:tcBorders>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92" w:type="dxa"/>
            <w:tcBorders>
              <w:top w:val="single" w:sz="6" w:space="0" w:color="auto"/>
              <w:bottom w:val="single" w:sz="6" w:space="0" w:color="auto"/>
            </w:tcBorders>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73105" w:rsidRPr="00892DE3" w:rsidTr="00FF0E77">
        <w:tc>
          <w:tcPr>
            <w:cnfStyle w:val="001000000000" w:firstRow="0" w:lastRow="0" w:firstColumn="1" w:lastColumn="0" w:oddVBand="0" w:evenVBand="0" w:oddHBand="0" w:evenHBand="0" w:firstRowFirstColumn="0" w:firstRowLastColumn="0" w:lastRowFirstColumn="0" w:lastRowLastColumn="0"/>
            <w:tcW w:w="3542" w:type="dxa"/>
            <w:tcBorders>
              <w:top w:val="single" w:sz="6" w:space="0" w:color="auto"/>
            </w:tcBorders>
            <w:hideMark/>
          </w:tcPr>
          <w:p w:rsidR="00F73105" w:rsidRPr="00892DE3" w:rsidRDefault="00F73105" w:rsidP="00F73105">
            <w:pPr>
              <w:rPr>
                <w:rFonts w:cstheme="majorHAnsi"/>
                <w:b/>
              </w:rPr>
            </w:pPr>
            <w:r w:rsidRPr="00892DE3">
              <w:rPr>
                <w:rFonts w:cstheme="majorHAnsi"/>
                <w:b/>
              </w:rPr>
              <w:t>2016</w:t>
            </w:r>
          </w:p>
        </w:tc>
        <w:tc>
          <w:tcPr>
            <w:tcW w:w="1014" w:type="dxa"/>
            <w:tcBorders>
              <w:top w:val="single" w:sz="6" w:space="0" w:color="auto"/>
            </w:tcBorders>
            <w:shd w:val="clear" w:color="auto" w:fill="EBEBEB" w:themeFill="background2"/>
            <w:noWrap/>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1114" w:type="dxa"/>
            <w:gridSpan w:val="2"/>
            <w:tcBorders>
              <w:top w:val="single" w:sz="6" w:space="0" w:color="auto"/>
            </w:tcBorders>
            <w:noWrap/>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1" w:type="dxa"/>
            <w:tcBorders>
              <w:top w:val="single" w:sz="6" w:space="0" w:color="auto"/>
            </w:tcBorders>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Borders>
              <w:top w:val="single" w:sz="6" w:space="0" w:color="auto"/>
            </w:tcBorders>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Borders>
              <w:top w:val="single" w:sz="6" w:space="0" w:color="auto"/>
            </w:tcBorders>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Borders>
              <w:top w:val="single" w:sz="6" w:space="0" w:color="auto"/>
            </w:tcBorders>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r>
      <w:tr w:rsidR="00F73105" w:rsidRPr="00892DE3" w:rsidTr="00FF0E77">
        <w:tc>
          <w:tcPr>
            <w:cnfStyle w:val="001000000000" w:firstRow="0" w:lastRow="0" w:firstColumn="1" w:lastColumn="0" w:oddVBand="0" w:evenVBand="0" w:oddHBand="0" w:evenHBand="0" w:firstRowFirstColumn="0" w:firstRowLastColumn="0" w:lastRowFirstColumn="0" w:lastRowLastColumn="0"/>
            <w:tcW w:w="3542" w:type="dxa"/>
            <w:hideMark/>
          </w:tcPr>
          <w:p w:rsidR="00F73105" w:rsidRPr="00892DE3" w:rsidRDefault="00F73105" w:rsidP="00F73105">
            <w:pPr>
              <w:rPr>
                <w:rFonts w:cstheme="majorHAnsi"/>
              </w:rPr>
            </w:pPr>
            <w:r w:rsidRPr="00892DE3">
              <w:rPr>
                <w:rFonts w:cstheme="majorHAnsi"/>
              </w:rPr>
              <w:t>Equities and managed investment schemes</w:t>
            </w:r>
          </w:p>
        </w:tc>
        <w:tc>
          <w:tcPr>
            <w:tcW w:w="1014" w:type="dxa"/>
            <w:shd w:val="clear" w:color="auto" w:fill="EBEBEB" w:themeFill="background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4 179</w:t>
            </w:r>
          </w:p>
        </w:tc>
        <w:tc>
          <w:tcPr>
            <w:tcW w:w="1114" w:type="dxa"/>
            <w:gridSpan w:val="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4 179</w:t>
            </w:r>
          </w:p>
        </w:tc>
        <w:tc>
          <w:tcPr>
            <w:tcW w:w="991"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FF0E77">
        <w:tc>
          <w:tcPr>
            <w:cnfStyle w:val="001000000000" w:firstRow="0" w:lastRow="0" w:firstColumn="1" w:lastColumn="0" w:oddVBand="0" w:evenVBand="0" w:oddHBand="0" w:evenHBand="0" w:firstRowFirstColumn="0" w:firstRowLastColumn="0" w:lastRowFirstColumn="0" w:lastRowLastColumn="0"/>
            <w:tcW w:w="3542" w:type="dxa"/>
            <w:hideMark/>
          </w:tcPr>
          <w:p w:rsidR="00F73105" w:rsidRPr="00892DE3" w:rsidRDefault="00F73105" w:rsidP="00F73105">
            <w:pPr>
              <w:rPr>
                <w:rFonts w:cstheme="majorHAnsi"/>
              </w:rPr>
            </w:pPr>
            <w:r w:rsidRPr="00892DE3">
              <w:rPr>
                <w:rFonts w:cstheme="majorHAnsi"/>
              </w:rPr>
              <w:t>Term deposits</w:t>
            </w:r>
          </w:p>
        </w:tc>
        <w:tc>
          <w:tcPr>
            <w:tcW w:w="1014" w:type="dxa"/>
            <w:shd w:val="clear" w:color="auto" w:fill="EBEBEB" w:themeFill="background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5 130</w:t>
            </w:r>
          </w:p>
        </w:tc>
        <w:tc>
          <w:tcPr>
            <w:tcW w:w="1114" w:type="dxa"/>
            <w:gridSpan w:val="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5 130</w:t>
            </w:r>
          </w:p>
        </w:tc>
        <w:tc>
          <w:tcPr>
            <w:tcW w:w="991"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FF0E77">
        <w:tc>
          <w:tcPr>
            <w:cnfStyle w:val="001000000000" w:firstRow="0" w:lastRow="0" w:firstColumn="1" w:lastColumn="0" w:oddVBand="0" w:evenVBand="0" w:oddHBand="0" w:evenHBand="0" w:firstRowFirstColumn="0" w:firstRowLastColumn="0" w:lastRowFirstColumn="0" w:lastRowLastColumn="0"/>
            <w:tcW w:w="3542" w:type="dxa"/>
            <w:hideMark/>
          </w:tcPr>
          <w:p w:rsidR="00F73105" w:rsidRPr="00892DE3" w:rsidRDefault="00F73105" w:rsidP="00F73105">
            <w:pPr>
              <w:rPr>
                <w:rFonts w:cstheme="majorHAnsi"/>
              </w:rPr>
            </w:pPr>
            <w:r w:rsidRPr="00892DE3">
              <w:rPr>
                <w:rFonts w:cstheme="majorHAnsi"/>
              </w:rPr>
              <w:t>Debt securities</w:t>
            </w:r>
          </w:p>
        </w:tc>
        <w:tc>
          <w:tcPr>
            <w:tcW w:w="1014" w:type="dxa"/>
            <w:shd w:val="clear" w:color="auto" w:fill="EBEBEB" w:themeFill="background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7 422</w:t>
            </w:r>
          </w:p>
        </w:tc>
        <w:tc>
          <w:tcPr>
            <w:tcW w:w="1114" w:type="dxa"/>
            <w:gridSpan w:val="2"/>
            <w:noWrap/>
            <w:hideMark/>
          </w:tcPr>
          <w:p w:rsidR="00F73105" w:rsidRPr="00892DE3" w:rsidRDefault="00F73105"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7 422</w:t>
            </w:r>
          </w:p>
        </w:tc>
        <w:tc>
          <w:tcPr>
            <w:tcW w:w="991"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FF0E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2" w:type="dxa"/>
            <w:hideMark/>
          </w:tcPr>
          <w:p w:rsidR="00F73105" w:rsidRPr="00892DE3" w:rsidRDefault="00F73105" w:rsidP="00F73105">
            <w:pPr>
              <w:rPr>
                <w:rFonts w:cstheme="majorHAnsi"/>
              </w:rPr>
            </w:pPr>
            <w:r w:rsidRPr="00892DE3">
              <w:rPr>
                <w:rFonts w:cstheme="majorHAnsi"/>
              </w:rPr>
              <w:t>Total</w:t>
            </w:r>
          </w:p>
        </w:tc>
        <w:tc>
          <w:tcPr>
            <w:tcW w:w="1014" w:type="dxa"/>
            <w:shd w:val="clear" w:color="auto" w:fill="EBEBEB" w:themeFill="background2"/>
            <w:noWrap/>
            <w:hideMark/>
          </w:tcPr>
          <w:p w:rsidR="00F73105" w:rsidRPr="00892DE3" w:rsidRDefault="00F73105" w:rsidP="00F73105">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16 731</w:t>
            </w:r>
          </w:p>
        </w:tc>
        <w:tc>
          <w:tcPr>
            <w:tcW w:w="1114" w:type="dxa"/>
            <w:gridSpan w:val="2"/>
            <w:noWrap/>
            <w:hideMark/>
          </w:tcPr>
          <w:p w:rsidR="00F73105" w:rsidRPr="00892DE3" w:rsidRDefault="00F73105" w:rsidP="00F73105">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16 731</w:t>
            </w:r>
          </w:p>
        </w:tc>
        <w:tc>
          <w:tcPr>
            <w:tcW w:w="991" w:type="dxa"/>
            <w:hideMark/>
          </w:tcPr>
          <w:p w:rsidR="00F73105" w:rsidRPr="00892DE3" w:rsidRDefault="00252D32" w:rsidP="00F73105">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73105" w:rsidRPr="00892DE3" w:rsidRDefault="00252D32" w:rsidP="00F73105">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F73105" w:rsidRPr="00892DE3" w:rsidRDefault="00F73105">
      <w:pPr>
        <w:keepLines w:val="0"/>
      </w:pPr>
    </w:p>
    <w:tbl>
      <w:tblPr>
        <w:tblStyle w:val="ModelReportGuidanceTable"/>
        <w:tblW w:w="0" w:type="auto"/>
        <w:tblLayout w:type="fixed"/>
        <w:tblLook w:val="04A0" w:firstRow="1" w:lastRow="0" w:firstColumn="1" w:lastColumn="0" w:noHBand="0" w:noVBand="1"/>
      </w:tblPr>
      <w:tblGrid>
        <w:gridCol w:w="9854"/>
      </w:tblGrid>
      <w:tr w:rsidR="00F73105"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F73105" w:rsidRPr="00892DE3" w:rsidRDefault="00F73105" w:rsidP="00F73105">
            <w:r w:rsidRPr="00892DE3">
              <w:t>Guidance – Investments and other financial asset</w:t>
            </w:r>
            <w:r w:rsidR="005D6437" w:rsidRPr="00892DE3">
              <w:t>s</w:t>
            </w:r>
          </w:p>
        </w:tc>
      </w:tr>
      <w:tr w:rsidR="00F73105" w:rsidRPr="00892DE3" w:rsidTr="0044350A">
        <w:tc>
          <w:tcPr>
            <w:tcW w:w="9854" w:type="dxa"/>
          </w:tcPr>
          <w:p w:rsidR="00F73105" w:rsidRPr="00892DE3" w:rsidRDefault="00F73105" w:rsidP="00F73105">
            <w:pPr>
              <w:rPr>
                <w:b/>
              </w:rPr>
            </w:pPr>
            <w:r w:rsidRPr="00892DE3">
              <w:rPr>
                <w:b/>
              </w:rPr>
              <w:t>Restricted assets</w:t>
            </w:r>
          </w:p>
          <w:p w:rsidR="00F73105" w:rsidRPr="00892DE3" w:rsidRDefault="00F73105" w:rsidP="00F73105">
            <w:r w:rsidRPr="00892DE3">
              <w:t>Where the use of an asset, which is recognised in the balance sheet of a government department is restricted, wholly or in part, by regulations or other externally imposed requirements, and information about those restrictions is relevant to assessing the performance or financial position of the government department, the following must be disclosed:</w:t>
            </w:r>
          </w:p>
          <w:p w:rsidR="00F73105" w:rsidRPr="00892DE3" w:rsidRDefault="00F73105" w:rsidP="00F73105">
            <w:pPr>
              <w:pStyle w:val="List"/>
            </w:pPr>
            <w:r w:rsidRPr="00892DE3">
              <w:t>(a)</w:t>
            </w:r>
            <w:r w:rsidRPr="00892DE3">
              <w:tab/>
              <w:t>the identity and carrying amount of those assets, the use of which is restricted; and</w:t>
            </w:r>
          </w:p>
          <w:p w:rsidR="00F73105" w:rsidRPr="00892DE3" w:rsidRDefault="00F73105" w:rsidP="00F73105">
            <w:pPr>
              <w:pStyle w:val="List"/>
            </w:pPr>
            <w:r w:rsidRPr="00892DE3">
              <w:t>(b)</w:t>
            </w:r>
            <w:r w:rsidRPr="00892DE3">
              <w:tab/>
              <w:t>the nature of those restrictions.</w:t>
            </w:r>
          </w:p>
          <w:p w:rsidR="00F73105" w:rsidRPr="00892DE3" w:rsidRDefault="00AE7E88" w:rsidP="00F73105">
            <w:pPr>
              <w:rPr>
                <w:b/>
              </w:rPr>
            </w:pPr>
            <w:r w:rsidRPr="00892DE3">
              <w:rPr>
                <w:b/>
              </w:rPr>
              <w:t>De</w:t>
            </w:r>
            <w:r w:rsidR="00F73105" w:rsidRPr="00892DE3">
              <w:rPr>
                <w:b/>
              </w:rPr>
              <w:t>recognition of financial assets</w:t>
            </w:r>
          </w:p>
          <w:p w:rsidR="00F73105" w:rsidRPr="00892DE3" w:rsidRDefault="00F73105" w:rsidP="00491373">
            <w:r w:rsidRPr="00892DE3">
              <w:t>These requirements a</w:t>
            </w:r>
            <w:r w:rsidR="00491373">
              <w:t>re</w:t>
            </w:r>
            <w:r w:rsidRPr="00892DE3">
              <w:t xml:space="preserve"> addressed in the ‘Financial Instruments’ note and are not repeated here.</w:t>
            </w:r>
          </w:p>
        </w:tc>
      </w:tr>
    </w:tbl>
    <w:p w:rsidR="00F73105" w:rsidRPr="00892DE3" w:rsidRDefault="00F73105" w:rsidP="0019303F">
      <w:pPr>
        <w:pStyle w:val="Heading2"/>
      </w:pPr>
      <w:bookmarkStart w:id="125" w:name="_Toc477257493"/>
      <w:bookmarkStart w:id="126" w:name="_Toc478055750"/>
      <w:r w:rsidRPr="00892DE3">
        <w:t>Acquisition and disposal of entities</w:t>
      </w:r>
      <w:bookmarkEnd w:id="125"/>
      <w:bookmarkEnd w:id="126"/>
    </w:p>
    <w:p w:rsidR="00F73105" w:rsidRPr="00892DE3" w:rsidRDefault="00F73105" w:rsidP="00D31BB8">
      <w:pPr>
        <w:pStyle w:val="Heading3"/>
      </w:pPr>
      <w:r w:rsidRPr="00892DE3">
        <w:t xml:space="preserve">Entity acquired </w:t>
      </w:r>
      <w:r w:rsidRPr="00892DE3">
        <w:rPr>
          <w:rStyle w:val="SourceReference"/>
          <w:b w:val="0"/>
        </w:rPr>
        <w:t>[AASB 107.40]</w:t>
      </w:r>
    </w:p>
    <w:p w:rsidR="00F73105" w:rsidRPr="00892DE3" w:rsidRDefault="00F73105" w:rsidP="00F73105">
      <w:r w:rsidRPr="00892DE3">
        <w:t>On 2 August 2016, the Department acquired 100 per cent of the net assets of IT Communications Pty Limited for cash consideration of $26 million. Details of the acquisition are as follows:</w:t>
      </w:r>
    </w:p>
    <w:p w:rsidR="00F73105" w:rsidRPr="00892DE3" w:rsidRDefault="00F73105" w:rsidP="00F73105">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574"/>
        <w:gridCol w:w="1077"/>
        <w:gridCol w:w="986"/>
      </w:tblGrid>
      <w:tr w:rsidR="00F73105" w:rsidRPr="00892DE3" w:rsidTr="004435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p>
        </w:tc>
        <w:tc>
          <w:tcPr>
            <w:tcW w:w="1077" w:type="dxa"/>
            <w:noWrap/>
            <w:hideMark/>
          </w:tcPr>
          <w:p w:rsidR="00F73105" w:rsidRPr="00892DE3" w:rsidRDefault="00F73105" w:rsidP="005D6437">
            <w:pPr>
              <w:spacing w:after="0"/>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986" w:type="dxa"/>
            <w:noWrap/>
            <w:hideMark/>
          </w:tcPr>
          <w:p w:rsidR="00F73105" w:rsidRPr="00892DE3" w:rsidRDefault="00F73105" w:rsidP="005D6437">
            <w:pPr>
              <w:spacing w:after="0"/>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b/>
              </w:rPr>
            </w:pPr>
            <w:r w:rsidRPr="00892DE3">
              <w:rPr>
                <w:rFonts w:cstheme="majorHAnsi"/>
                <w:b/>
              </w:rPr>
              <w:t>Consideration</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6" w:type="dxa"/>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Cash and cash equivalents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26 035</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Land and buildings</w:t>
            </w:r>
          </w:p>
        </w:tc>
        <w:tc>
          <w:tcPr>
            <w:tcW w:w="1077" w:type="dxa"/>
            <w:shd w:val="clear" w:color="auto" w:fill="EBEBEB" w:themeFill="background2"/>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Ordinary shares</w:t>
            </w:r>
          </w:p>
        </w:tc>
        <w:tc>
          <w:tcPr>
            <w:tcW w:w="1077" w:type="dxa"/>
            <w:shd w:val="clear" w:color="auto" w:fill="EBEBEB" w:themeFill="background2"/>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Deferred purchase consideration</w:t>
            </w:r>
          </w:p>
        </w:tc>
        <w:tc>
          <w:tcPr>
            <w:tcW w:w="1077" w:type="dxa"/>
            <w:shd w:val="clear" w:color="auto" w:fill="EBEBEB" w:themeFill="background2"/>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tcBorders>
              <w:bottom w:val="single" w:sz="6" w:space="0" w:color="auto"/>
            </w:tcBorders>
            <w:hideMark/>
          </w:tcPr>
          <w:p w:rsidR="00F73105" w:rsidRPr="00892DE3" w:rsidRDefault="00F73105" w:rsidP="005D6437">
            <w:pPr>
              <w:spacing w:after="0"/>
              <w:rPr>
                <w:rFonts w:cstheme="majorHAnsi"/>
              </w:rPr>
            </w:pPr>
            <w:r w:rsidRPr="00892DE3">
              <w:rPr>
                <w:rFonts w:cstheme="majorHAnsi"/>
              </w:rPr>
              <w:t>Other</w:t>
            </w:r>
          </w:p>
        </w:tc>
        <w:tc>
          <w:tcPr>
            <w:tcW w:w="1077" w:type="dxa"/>
            <w:tcBorders>
              <w:bottom w:val="single" w:sz="6" w:space="0" w:color="auto"/>
            </w:tcBorders>
            <w:shd w:val="clear" w:color="auto" w:fill="EBEBEB" w:themeFill="background2"/>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6" w:type="dxa"/>
            <w:tcBorders>
              <w:bottom w:val="single" w:sz="6" w:space="0" w:color="auto"/>
            </w:tcBorders>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tcBorders>
              <w:top w:val="single" w:sz="6" w:space="0" w:color="auto"/>
              <w:bottom w:val="single" w:sz="6" w:space="0" w:color="auto"/>
            </w:tcBorders>
            <w:hideMark/>
          </w:tcPr>
          <w:p w:rsidR="00F73105" w:rsidRPr="00892DE3" w:rsidRDefault="00F73105" w:rsidP="005D6437">
            <w:pPr>
              <w:spacing w:after="0"/>
              <w:rPr>
                <w:rFonts w:cstheme="majorHAnsi"/>
                <w:b/>
              </w:rPr>
            </w:pPr>
            <w:r w:rsidRPr="00892DE3">
              <w:rPr>
                <w:rFonts w:cstheme="majorHAnsi"/>
                <w:b/>
              </w:rPr>
              <w:t>Total consideration</w:t>
            </w:r>
          </w:p>
        </w:tc>
        <w:tc>
          <w:tcPr>
            <w:tcW w:w="1077" w:type="dxa"/>
            <w:tcBorders>
              <w:top w:val="single" w:sz="6" w:space="0" w:color="auto"/>
              <w:bottom w:val="single" w:sz="6" w:space="0" w:color="auto"/>
            </w:tcBorders>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26 035</w:t>
            </w:r>
          </w:p>
        </w:tc>
        <w:tc>
          <w:tcPr>
            <w:tcW w:w="986" w:type="dxa"/>
            <w:tcBorders>
              <w:top w:val="single" w:sz="6" w:space="0" w:color="auto"/>
              <w:bottom w:val="single" w:sz="6" w:space="0" w:color="auto"/>
            </w:tcBorders>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tcBorders>
              <w:top w:val="single" w:sz="6" w:space="0" w:color="auto"/>
            </w:tcBorders>
            <w:hideMark/>
          </w:tcPr>
          <w:p w:rsidR="00F73105" w:rsidRPr="00892DE3" w:rsidRDefault="00F73105" w:rsidP="005D6437">
            <w:pPr>
              <w:tabs>
                <w:tab w:val="left" w:pos="2925"/>
              </w:tabs>
              <w:spacing w:after="0"/>
              <w:rPr>
                <w:rFonts w:cstheme="majorHAnsi"/>
                <w:b/>
              </w:rPr>
            </w:pPr>
            <w:r w:rsidRPr="00892DE3">
              <w:rPr>
                <w:rFonts w:cstheme="majorHAnsi"/>
                <w:b/>
              </w:rPr>
              <w:t>Fair value of net assets acquired</w:t>
            </w:r>
          </w:p>
        </w:tc>
        <w:tc>
          <w:tcPr>
            <w:tcW w:w="1077" w:type="dxa"/>
            <w:tcBorders>
              <w:top w:val="single" w:sz="6" w:space="0" w:color="auto"/>
            </w:tcBorders>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6" w:type="dxa"/>
            <w:tcBorders>
              <w:top w:val="single" w:sz="6" w:space="0" w:color="auto"/>
            </w:tcBorders>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b/>
              </w:rPr>
            </w:pPr>
            <w:r w:rsidRPr="00892DE3">
              <w:rPr>
                <w:rFonts w:cstheme="majorHAnsi"/>
                <w:b/>
              </w:rPr>
              <w:t>Assets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6" w:type="dxa"/>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Cash and deposits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2 628</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Receivables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1 356</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Investments and other financial assets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1 899</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Inventories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1 819</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Property, plant and equipment</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20 392</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Other non</w:t>
            </w:r>
            <w:r w:rsidRPr="00892DE3">
              <w:rPr>
                <w:rFonts w:cstheme="majorHAnsi"/>
              </w:rPr>
              <w:noBreakHyphen/>
              <w:t>financial assets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Biological assets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122</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Intangible assets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2 362</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b/>
              </w:rPr>
            </w:pPr>
            <w:r w:rsidRPr="00892DE3">
              <w:rPr>
                <w:rFonts w:cstheme="majorHAnsi"/>
                <w:b/>
              </w:rPr>
              <w:t>Liabilities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6" w:type="dxa"/>
            <w:noWrap/>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Payables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(3 219)</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Provisions</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(1 246)</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tcBorders>
              <w:bottom w:val="single" w:sz="6" w:space="0" w:color="auto"/>
            </w:tcBorders>
            <w:hideMark/>
          </w:tcPr>
          <w:p w:rsidR="00F73105" w:rsidRPr="00892DE3" w:rsidRDefault="00F73105" w:rsidP="005D6437">
            <w:pPr>
              <w:spacing w:after="0"/>
              <w:rPr>
                <w:rFonts w:cstheme="majorHAnsi"/>
              </w:rPr>
            </w:pPr>
            <w:r w:rsidRPr="00892DE3">
              <w:rPr>
                <w:rFonts w:cstheme="majorHAnsi"/>
              </w:rPr>
              <w:t>Other liabilities</w:t>
            </w:r>
          </w:p>
        </w:tc>
        <w:tc>
          <w:tcPr>
            <w:tcW w:w="1077" w:type="dxa"/>
            <w:tcBorders>
              <w:bottom w:val="single" w:sz="6" w:space="0" w:color="auto"/>
            </w:tcBorders>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w:t>
            </w:r>
          </w:p>
        </w:tc>
        <w:tc>
          <w:tcPr>
            <w:tcW w:w="986" w:type="dxa"/>
            <w:tcBorders>
              <w:bottom w:val="single" w:sz="6" w:space="0" w:color="auto"/>
            </w:tcBorders>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tcBorders>
              <w:top w:val="single" w:sz="6" w:space="0" w:color="auto"/>
              <w:bottom w:val="single" w:sz="6" w:space="0" w:color="auto"/>
            </w:tcBorders>
            <w:hideMark/>
          </w:tcPr>
          <w:p w:rsidR="00F73105" w:rsidRPr="00892DE3" w:rsidRDefault="00F73105" w:rsidP="005D6437">
            <w:pPr>
              <w:spacing w:after="0"/>
              <w:rPr>
                <w:rFonts w:cstheme="majorHAnsi"/>
                <w:b/>
              </w:rPr>
            </w:pPr>
            <w:r w:rsidRPr="00892DE3">
              <w:rPr>
                <w:rFonts w:cstheme="majorHAnsi"/>
                <w:b/>
              </w:rPr>
              <w:t>Net assets acquired</w:t>
            </w:r>
          </w:p>
        </w:tc>
        <w:tc>
          <w:tcPr>
            <w:tcW w:w="1077" w:type="dxa"/>
            <w:tcBorders>
              <w:top w:val="single" w:sz="6" w:space="0" w:color="auto"/>
              <w:bottom w:val="single" w:sz="6" w:space="0" w:color="auto"/>
            </w:tcBorders>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26 035</w:t>
            </w:r>
          </w:p>
        </w:tc>
        <w:tc>
          <w:tcPr>
            <w:tcW w:w="986" w:type="dxa"/>
            <w:tcBorders>
              <w:top w:val="single" w:sz="6" w:space="0" w:color="auto"/>
              <w:bottom w:val="single" w:sz="6" w:space="0" w:color="auto"/>
            </w:tcBorders>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tcBorders>
              <w:top w:val="single" w:sz="6" w:space="0" w:color="auto"/>
            </w:tcBorders>
            <w:hideMark/>
          </w:tcPr>
          <w:p w:rsidR="00F73105" w:rsidRPr="00892DE3" w:rsidRDefault="00F73105" w:rsidP="005D6437">
            <w:pPr>
              <w:spacing w:after="0"/>
              <w:rPr>
                <w:rFonts w:cstheme="majorHAnsi"/>
                <w:b/>
              </w:rPr>
            </w:pPr>
            <w:r w:rsidRPr="00892DE3">
              <w:rPr>
                <w:rFonts w:cstheme="majorHAnsi"/>
                <w:b/>
              </w:rPr>
              <w:t>Net cash outflow</w:t>
            </w:r>
            <w:r w:rsidR="006135D4" w:rsidRPr="00892DE3">
              <w:rPr>
                <w:rFonts w:cstheme="majorHAnsi"/>
                <w:b/>
              </w:rPr>
              <w:t>s</w:t>
            </w:r>
            <w:r w:rsidRPr="00892DE3">
              <w:rPr>
                <w:rFonts w:cstheme="majorHAnsi"/>
                <w:b/>
              </w:rPr>
              <w:t xml:space="preserve"> on acquisition</w:t>
            </w:r>
          </w:p>
        </w:tc>
        <w:tc>
          <w:tcPr>
            <w:tcW w:w="1077" w:type="dxa"/>
            <w:tcBorders>
              <w:top w:val="single" w:sz="6" w:space="0" w:color="auto"/>
            </w:tcBorders>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6" w:type="dxa"/>
            <w:tcBorders>
              <w:top w:val="single" w:sz="6" w:space="0" w:color="auto"/>
            </w:tcBorders>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hideMark/>
          </w:tcPr>
          <w:p w:rsidR="00F73105" w:rsidRPr="00892DE3" w:rsidRDefault="00F73105" w:rsidP="005D6437">
            <w:pPr>
              <w:spacing w:after="0"/>
              <w:rPr>
                <w:rFonts w:cstheme="majorHAnsi"/>
              </w:rPr>
            </w:pPr>
            <w:r w:rsidRPr="00892DE3">
              <w:rPr>
                <w:rFonts w:cstheme="majorHAnsi"/>
              </w:rPr>
              <w:t>Cash and cash equivalents consideration</w:t>
            </w:r>
          </w:p>
        </w:tc>
        <w:tc>
          <w:tcPr>
            <w:tcW w:w="1077" w:type="dxa"/>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26 035</w:t>
            </w:r>
          </w:p>
        </w:tc>
        <w:tc>
          <w:tcPr>
            <w:tcW w:w="986" w:type="dxa"/>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0" w:type="dxa"/>
            <w:tcBorders>
              <w:bottom w:val="single" w:sz="6" w:space="0" w:color="auto"/>
            </w:tcBorders>
            <w:hideMark/>
          </w:tcPr>
          <w:p w:rsidR="00F73105" w:rsidRPr="00892DE3" w:rsidRDefault="00F73105" w:rsidP="005D6437">
            <w:pPr>
              <w:spacing w:after="0"/>
              <w:rPr>
                <w:rFonts w:cstheme="majorHAnsi"/>
              </w:rPr>
            </w:pPr>
            <w:r w:rsidRPr="00892DE3">
              <w:rPr>
                <w:rFonts w:cstheme="majorHAnsi"/>
              </w:rPr>
              <w:t>Less cash and cash equivalent balances acquired</w:t>
            </w:r>
          </w:p>
        </w:tc>
        <w:tc>
          <w:tcPr>
            <w:tcW w:w="1077" w:type="dxa"/>
            <w:tcBorders>
              <w:bottom w:val="single" w:sz="6" w:space="0" w:color="auto"/>
            </w:tcBorders>
            <w:shd w:val="clear" w:color="auto" w:fill="EBEBEB" w:themeFill="background2"/>
            <w:noWrap/>
            <w:hideMark/>
          </w:tcPr>
          <w:p w:rsidR="00F73105" w:rsidRPr="00892DE3" w:rsidRDefault="00F73105"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(2 628)</w:t>
            </w:r>
          </w:p>
        </w:tc>
        <w:tc>
          <w:tcPr>
            <w:tcW w:w="986" w:type="dxa"/>
            <w:tcBorders>
              <w:bottom w:val="single" w:sz="6" w:space="0" w:color="auto"/>
            </w:tcBorders>
            <w:noWrap/>
            <w:hideMark/>
          </w:tcPr>
          <w:p w:rsidR="00F73105" w:rsidRPr="00892DE3" w:rsidRDefault="005D6437" w:rsidP="005D6437">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tcBorders>
              <w:top w:val="single" w:sz="6" w:space="0" w:color="auto"/>
              <w:bottom w:val="single" w:sz="12" w:space="0" w:color="auto"/>
            </w:tcBorders>
            <w:hideMark/>
          </w:tcPr>
          <w:p w:rsidR="00F73105" w:rsidRPr="00892DE3" w:rsidRDefault="00F73105" w:rsidP="005D6437">
            <w:pPr>
              <w:spacing w:after="0"/>
              <w:rPr>
                <w:rFonts w:cstheme="majorHAnsi"/>
                <w:b w:val="0"/>
              </w:rPr>
            </w:pPr>
            <w:r w:rsidRPr="00892DE3">
              <w:rPr>
                <w:rFonts w:cstheme="majorHAnsi"/>
              </w:rPr>
              <w:t>Net cash outflow</w:t>
            </w:r>
            <w:r w:rsidR="006135D4" w:rsidRPr="00892DE3">
              <w:rPr>
                <w:rFonts w:cstheme="majorHAnsi"/>
              </w:rPr>
              <w:t>s</w:t>
            </w:r>
          </w:p>
        </w:tc>
        <w:tc>
          <w:tcPr>
            <w:tcW w:w="1077" w:type="dxa"/>
            <w:tcBorders>
              <w:top w:val="single" w:sz="6" w:space="0" w:color="auto"/>
              <w:bottom w:val="single" w:sz="12" w:space="0" w:color="auto"/>
            </w:tcBorders>
            <w:shd w:val="clear" w:color="auto" w:fill="EBEBEB" w:themeFill="background2"/>
            <w:noWrap/>
            <w:hideMark/>
          </w:tcPr>
          <w:p w:rsidR="00F73105" w:rsidRPr="00892DE3" w:rsidRDefault="00F73105" w:rsidP="005D6437">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23 407</w:t>
            </w:r>
          </w:p>
        </w:tc>
        <w:tc>
          <w:tcPr>
            <w:tcW w:w="986" w:type="dxa"/>
            <w:tcBorders>
              <w:top w:val="single" w:sz="6" w:space="0" w:color="auto"/>
              <w:bottom w:val="single" w:sz="12" w:space="0" w:color="auto"/>
            </w:tcBorders>
            <w:noWrap/>
            <w:hideMark/>
          </w:tcPr>
          <w:p w:rsidR="00F73105" w:rsidRPr="00892DE3" w:rsidRDefault="005D6437" w:rsidP="005D6437">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F73105" w:rsidRPr="00892DE3" w:rsidRDefault="00F73105" w:rsidP="00F73105"/>
    <w:p w:rsidR="000872A1" w:rsidRDefault="000872A1">
      <w:pPr>
        <w:keepLines w:val="0"/>
        <w:rPr>
          <w:rFonts w:asciiTheme="majorHAnsi" w:eastAsiaTheme="majorEastAsia" w:hAnsiTheme="majorHAnsi" w:cstheme="majorBidi"/>
          <w:b/>
          <w:bCs/>
          <w:spacing w:val="-2"/>
          <w:sz w:val="20"/>
          <w:szCs w:val="26"/>
        </w:rPr>
      </w:pPr>
      <w:r>
        <w:br w:type="page"/>
      </w:r>
    </w:p>
    <w:p w:rsidR="00F73105" w:rsidRPr="00892DE3" w:rsidRDefault="00F73105" w:rsidP="00D31BB8">
      <w:pPr>
        <w:pStyle w:val="Heading3"/>
      </w:pPr>
      <w:r w:rsidRPr="00892DE3">
        <w:t xml:space="preserve">Entity disposed </w:t>
      </w:r>
      <w:r w:rsidRPr="00892DE3">
        <w:rPr>
          <w:rStyle w:val="SourceReference"/>
          <w:b w:val="0"/>
        </w:rPr>
        <w:t>[AASB 107.40]</w:t>
      </w:r>
    </w:p>
    <w:p w:rsidR="00F73105" w:rsidRPr="00892DE3" w:rsidRDefault="00F73105" w:rsidP="00F73105">
      <w:r w:rsidRPr="00892DE3">
        <w:t>During the financial year, the Department lost control of one business due to disposal. Details of the disposal are as follows:</w:t>
      </w:r>
    </w:p>
    <w:p w:rsidR="00F73105" w:rsidRPr="00892DE3" w:rsidRDefault="00F73105" w:rsidP="00F73105">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571"/>
        <w:gridCol w:w="1077"/>
        <w:gridCol w:w="989"/>
      </w:tblGrid>
      <w:tr w:rsidR="00F73105" w:rsidRPr="00892DE3" w:rsidTr="004435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p>
        </w:tc>
        <w:tc>
          <w:tcPr>
            <w:tcW w:w="1077" w:type="dxa"/>
            <w:noWrap/>
            <w:hideMark/>
          </w:tcPr>
          <w:p w:rsidR="00F73105" w:rsidRPr="00892DE3" w:rsidRDefault="00F73105" w:rsidP="00F73105">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989" w:type="dxa"/>
            <w:noWrap/>
            <w:hideMark/>
          </w:tcPr>
          <w:p w:rsidR="00F73105" w:rsidRPr="00892DE3" w:rsidRDefault="00F73105" w:rsidP="00F73105">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b/>
              </w:rPr>
            </w:pPr>
            <w:r w:rsidRPr="00892DE3">
              <w:rPr>
                <w:rFonts w:cstheme="majorHAnsi"/>
                <w:b/>
              </w:rPr>
              <w:t>Consideration</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9" w:type="dxa"/>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Cash and cash equivalents</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17 795</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Land and buildings</w:t>
            </w:r>
          </w:p>
        </w:tc>
        <w:tc>
          <w:tcPr>
            <w:tcW w:w="1077" w:type="dxa"/>
            <w:shd w:val="clear" w:color="auto" w:fill="EBEBEB" w:themeFill="background2"/>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F73105" w:rsidRPr="00892DE3">
              <w:rPr>
                <w:rFonts w:cstheme="majorHAnsi"/>
              </w:rPr>
              <w:t>.</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Ordinary shares</w:t>
            </w:r>
          </w:p>
        </w:tc>
        <w:tc>
          <w:tcPr>
            <w:tcW w:w="1077" w:type="dxa"/>
            <w:shd w:val="clear" w:color="auto" w:fill="EBEBEB" w:themeFill="background2"/>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F73105" w:rsidRPr="00892DE3">
              <w:rPr>
                <w:rFonts w:cstheme="majorHAnsi"/>
              </w:rPr>
              <w:t>.</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Deferred purchase consideration</w:t>
            </w:r>
          </w:p>
        </w:tc>
        <w:tc>
          <w:tcPr>
            <w:tcW w:w="1077" w:type="dxa"/>
            <w:shd w:val="clear" w:color="auto" w:fill="EBEBEB" w:themeFill="background2"/>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F73105" w:rsidRPr="00892DE3">
              <w:rPr>
                <w:rFonts w:cstheme="majorHAnsi"/>
              </w:rPr>
              <w:t>.</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tcBorders>
              <w:bottom w:val="single" w:sz="6" w:space="0" w:color="auto"/>
            </w:tcBorders>
            <w:hideMark/>
          </w:tcPr>
          <w:p w:rsidR="00F73105" w:rsidRPr="00892DE3" w:rsidRDefault="00F73105" w:rsidP="00F73105">
            <w:pPr>
              <w:rPr>
                <w:rFonts w:cstheme="majorHAnsi"/>
              </w:rPr>
            </w:pPr>
            <w:r w:rsidRPr="00892DE3">
              <w:rPr>
                <w:rFonts w:cstheme="majorHAnsi"/>
              </w:rPr>
              <w:t>Other</w:t>
            </w:r>
          </w:p>
        </w:tc>
        <w:tc>
          <w:tcPr>
            <w:tcW w:w="1077" w:type="dxa"/>
            <w:tcBorders>
              <w:bottom w:val="single" w:sz="6" w:space="0" w:color="auto"/>
            </w:tcBorders>
            <w:shd w:val="clear" w:color="auto" w:fill="EBEBEB" w:themeFill="background2"/>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F73105" w:rsidRPr="00892DE3">
              <w:rPr>
                <w:rFonts w:cstheme="majorHAnsi"/>
              </w:rPr>
              <w:t>.</w:t>
            </w:r>
          </w:p>
        </w:tc>
        <w:tc>
          <w:tcPr>
            <w:tcW w:w="989" w:type="dxa"/>
            <w:tcBorders>
              <w:bottom w:val="single" w:sz="6" w:space="0" w:color="auto"/>
            </w:tcBorders>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tcBorders>
              <w:top w:val="single" w:sz="6" w:space="0" w:color="auto"/>
              <w:bottom w:val="single" w:sz="6" w:space="0" w:color="auto"/>
            </w:tcBorders>
            <w:hideMark/>
          </w:tcPr>
          <w:p w:rsidR="00F73105" w:rsidRPr="00892DE3" w:rsidRDefault="00F73105" w:rsidP="00F73105">
            <w:pPr>
              <w:rPr>
                <w:rFonts w:cstheme="majorHAnsi"/>
                <w:b/>
              </w:rPr>
            </w:pPr>
            <w:r w:rsidRPr="00892DE3">
              <w:rPr>
                <w:rFonts w:cstheme="majorHAnsi"/>
                <w:b/>
              </w:rPr>
              <w:t>Total consideration</w:t>
            </w:r>
          </w:p>
        </w:tc>
        <w:tc>
          <w:tcPr>
            <w:tcW w:w="1077" w:type="dxa"/>
            <w:tcBorders>
              <w:top w:val="single" w:sz="6" w:space="0" w:color="auto"/>
              <w:bottom w:val="single" w:sz="6" w:space="0" w:color="auto"/>
            </w:tcBorders>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17 795</w:t>
            </w:r>
          </w:p>
        </w:tc>
        <w:tc>
          <w:tcPr>
            <w:tcW w:w="989" w:type="dxa"/>
            <w:tcBorders>
              <w:top w:val="single" w:sz="6" w:space="0" w:color="auto"/>
              <w:bottom w:val="single" w:sz="6" w:space="0" w:color="auto"/>
            </w:tcBorders>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tcBorders>
              <w:top w:val="single" w:sz="6" w:space="0" w:color="auto"/>
            </w:tcBorders>
            <w:hideMark/>
          </w:tcPr>
          <w:p w:rsidR="00F73105" w:rsidRPr="00892DE3" w:rsidRDefault="00F73105" w:rsidP="00F73105">
            <w:pPr>
              <w:rPr>
                <w:rFonts w:cstheme="majorHAnsi"/>
                <w:b/>
              </w:rPr>
            </w:pPr>
            <w:r w:rsidRPr="00892DE3">
              <w:rPr>
                <w:rFonts w:cstheme="majorHAnsi"/>
                <w:b/>
              </w:rPr>
              <w:t>Book value of net assets disposed</w:t>
            </w:r>
          </w:p>
        </w:tc>
        <w:tc>
          <w:tcPr>
            <w:tcW w:w="1077" w:type="dxa"/>
            <w:tcBorders>
              <w:top w:val="single" w:sz="6" w:space="0" w:color="auto"/>
            </w:tcBorders>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9" w:type="dxa"/>
            <w:tcBorders>
              <w:top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b/>
              </w:rPr>
            </w:pPr>
            <w:r w:rsidRPr="00892DE3">
              <w:rPr>
                <w:rFonts w:cstheme="majorHAnsi"/>
                <w:b/>
              </w:rPr>
              <w:t>Assets</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9" w:type="dxa"/>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Cash and deposits</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(348)</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Receivables</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7 372</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Investments and other financial assets</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4 065</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Inventories</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2 555</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Property, plant and equipment</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14 227</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tabs>
                <w:tab w:val="left" w:pos="1560"/>
              </w:tabs>
              <w:rPr>
                <w:rFonts w:cstheme="majorHAnsi"/>
                <w:b/>
              </w:rPr>
            </w:pPr>
            <w:r w:rsidRPr="00892DE3">
              <w:rPr>
                <w:rFonts w:cstheme="majorHAnsi"/>
                <w:b/>
              </w:rPr>
              <w:t>Liabilities</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989" w:type="dxa"/>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Payables</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(2 778)</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Borrowings</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(2 599)</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Provisions</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(4 678)</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tcBorders>
              <w:bottom w:val="single" w:sz="6" w:space="0" w:color="auto"/>
            </w:tcBorders>
            <w:hideMark/>
          </w:tcPr>
          <w:p w:rsidR="00F73105" w:rsidRPr="00892DE3" w:rsidRDefault="00F73105" w:rsidP="00F73105">
            <w:pPr>
              <w:rPr>
                <w:rFonts w:cstheme="majorHAnsi"/>
              </w:rPr>
            </w:pPr>
            <w:r w:rsidRPr="00892DE3">
              <w:rPr>
                <w:rFonts w:cstheme="majorHAnsi"/>
              </w:rPr>
              <w:t>Other liabilities</w:t>
            </w:r>
          </w:p>
        </w:tc>
        <w:tc>
          <w:tcPr>
            <w:tcW w:w="1077" w:type="dxa"/>
            <w:tcBorders>
              <w:bottom w:val="single" w:sz="6" w:space="0" w:color="auto"/>
            </w:tcBorders>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w:t>
            </w:r>
          </w:p>
        </w:tc>
        <w:tc>
          <w:tcPr>
            <w:tcW w:w="989" w:type="dxa"/>
            <w:tcBorders>
              <w:bottom w:val="single" w:sz="6" w:space="0" w:color="auto"/>
            </w:tcBorders>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tcBorders>
              <w:top w:val="single" w:sz="6" w:space="0" w:color="auto"/>
              <w:bottom w:val="single" w:sz="6" w:space="0" w:color="auto"/>
            </w:tcBorders>
            <w:hideMark/>
          </w:tcPr>
          <w:p w:rsidR="00F73105" w:rsidRPr="00892DE3" w:rsidRDefault="00F73105" w:rsidP="00F73105">
            <w:pPr>
              <w:rPr>
                <w:rFonts w:cstheme="majorHAnsi"/>
                <w:b/>
              </w:rPr>
            </w:pPr>
            <w:r w:rsidRPr="00892DE3">
              <w:rPr>
                <w:rFonts w:cstheme="majorHAnsi"/>
                <w:b/>
              </w:rPr>
              <w:t>Net assets acquired</w:t>
            </w:r>
          </w:p>
        </w:tc>
        <w:tc>
          <w:tcPr>
            <w:tcW w:w="1077" w:type="dxa"/>
            <w:tcBorders>
              <w:top w:val="single" w:sz="6" w:space="0" w:color="auto"/>
              <w:bottom w:val="single" w:sz="6" w:space="0" w:color="auto"/>
            </w:tcBorders>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17 795</w:t>
            </w:r>
          </w:p>
        </w:tc>
        <w:tc>
          <w:tcPr>
            <w:tcW w:w="989" w:type="dxa"/>
            <w:tcBorders>
              <w:top w:val="single" w:sz="6" w:space="0" w:color="auto"/>
              <w:bottom w:val="single" w:sz="6" w:space="0" w:color="auto"/>
            </w:tcBorders>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tcBorders>
              <w:top w:val="single" w:sz="6" w:space="0" w:color="auto"/>
            </w:tcBorders>
            <w:hideMark/>
          </w:tcPr>
          <w:p w:rsidR="00F73105" w:rsidRPr="00892DE3" w:rsidRDefault="00F73105" w:rsidP="00F73105">
            <w:pPr>
              <w:rPr>
                <w:rFonts w:cstheme="majorHAnsi"/>
                <w:b/>
              </w:rPr>
            </w:pPr>
            <w:r w:rsidRPr="00892DE3">
              <w:rPr>
                <w:rFonts w:cstheme="majorHAnsi"/>
                <w:b/>
              </w:rPr>
              <w:t>Net cash inflow</w:t>
            </w:r>
            <w:r w:rsidR="006135D4" w:rsidRPr="00892DE3">
              <w:rPr>
                <w:rFonts w:cstheme="majorHAnsi"/>
                <w:b/>
              </w:rPr>
              <w:t>s</w:t>
            </w:r>
            <w:r w:rsidRPr="00892DE3">
              <w:rPr>
                <w:rFonts w:cstheme="majorHAnsi"/>
                <w:b/>
              </w:rPr>
              <w:t xml:space="preserve"> on disposal</w:t>
            </w:r>
          </w:p>
        </w:tc>
        <w:tc>
          <w:tcPr>
            <w:tcW w:w="1077" w:type="dxa"/>
            <w:tcBorders>
              <w:top w:val="single" w:sz="6" w:space="0" w:color="auto"/>
            </w:tcBorders>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9" w:type="dxa"/>
            <w:tcBorders>
              <w:top w:val="single" w:sz="6" w:space="0" w:color="auto"/>
            </w:tcBorders>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hideMark/>
          </w:tcPr>
          <w:p w:rsidR="00F73105" w:rsidRPr="00892DE3" w:rsidRDefault="00F73105" w:rsidP="00F73105">
            <w:pPr>
              <w:rPr>
                <w:rFonts w:cstheme="majorHAnsi"/>
              </w:rPr>
            </w:pPr>
            <w:r w:rsidRPr="00892DE3">
              <w:rPr>
                <w:rFonts w:cstheme="majorHAnsi"/>
              </w:rPr>
              <w:t>Cash and cash equivalents consideration</w:t>
            </w:r>
          </w:p>
        </w:tc>
        <w:tc>
          <w:tcPr>
            <w:tcW w:w="1077" w:type="dxa"/>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17 795</w:t>
            </w:r>
          </w:p>
        </w:tc>
        <w:tc>
          <w:tcPr>
            <w:tcW w:w="989" w:type="dxa"/>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c>
          <w:tcPr>
            <w:cnfStyle w:val="001000000000" w:firstRow="0" w:lastRow="0" w:firstColumn="1" w:lastColumn="0" w:oddVBand="0" w:evenVBand="0" w:oddHBand="0" w:evenHBand="0" w:firstRowFirstColumn="0" w:firstRowLastColumn="0" w:lastRowFirstColumn="0" w:lastRowLastColumn="0"/>
            <w:tcW w:w="7571" w:type="dxa"/>
            <w:tcBorders>
              <w:bottom w:val="single" w:sz="6" w:space="0" w:color="auto"/>
            </w:tcBorders>
            <w:hideMark/>
          </w:tcPr>
          <w:p w:rsidR="00F73105" w:rsidRPr="00892DE3" w:rsidRDefault="00F73105" w:rsidP="00F73105">
            <w:pPr>
              <w:rPr>
                <w:rFonts w:cstheme="majorHAnsi"/>
              </w:rPr>
            </w:pPr>
            <w:r w:rsidRPr="00892DE3">
              <w:rPr>
                <w:rFonts w:cstheme="majorHAnsi"/>
              </w:rPr>
              <w:t>Less cash and cash equivalent balances acquired</w:t>
            </w:r>
          </w:p>
        </w:tc>
        <w:tc>
          <w:tcPr>
            <w:tcW w:w="1077" w:type="dxa"/>
            <w:tcBorders>
              <w:bottom w:val="single" w:sz="6" w:space="0" w:color="auto"/>
            </w:tcBorders>
            <w:shd w:val="clear" w:color="auto" w:fill="EBEBEB" w:themeFill="background2"/>
            <w:noWrap/>
            <w:hideMark/>
          </w:tcPr>
          <w:p w:rsidR="00F73105" w:rsidRPr="00892DE3" w:rsidRDefault="00F7310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(348)</w:t>
            </w:r>
          </w:p>
        </w:tc>
        <w:tc>
          <w:tcPr>
            <w:tcW w:w="989" w:type="dxa"/>
            <w:tcBorders>
              <w:bottom w:val="single" w:sz="6" w:space="0" w:color="auto"/>
            </w:tcBorders>
            <w:noWrap/>
            <w:hideMark/>
          </w:tcPr>
          <w:p w:rsidR="00F73105" w:rsidRPr="00892DE3" w:rsidRDefault="00EE6BE5" w:rsidP="00F7310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73105" w:rsidRPr="00892DE3" w:rsidTr="004435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1" w:type="dxa"/>
            <w:tcBorders>
              <w:top w:val="single" w:sz="6" w:space="0" w:color="auto"/>
              <w:bottom w:val="single" w:sz="12" w:space="0" w:color="auto"/>
            </w:tcBorders>
            <w:hideMark/>
          </w:tcPr>
          <w:p w:rsidR="00F73105" w:rsidRPr="00892DE3" w:rsidRDefault="00F73105" w:rsidP="00F73105">
            <w:pPr>
              <w:rPr>
                <w:rFonts w:cstheme="majorHAnsi"/>
                <w:b w:val="0"/>
              </w:rPr>
            </w:pPr>
            <w:r w:rsidRPr="00892DE3">
              <w:rPr>
                <w:rFonts w:cstheme="majorHAnsi"/>
              </w:rPr>
              <w:t>Net cash flow</w:t>
            </w:r>
            <w:r w:rsidR="006135D4" w:rsidRPr="00892DE3">
              <w:rPr>
                <w:rFonts w:cstheme="majorHAnsi"/>
              </w:rPr>
              <w:t>s</w:t>
            </w:r>
          </w:p>
        </w:tc>
        <w:tc>
          <w:tcPr>
            <w:tcW w:w="1077" w:type="dxa"/>
            <w:tcBorders>
              <w:top w:val="single" w:sz="6" w:space="0" w:color="auto"/>
              <w:bottom w:val="single" w:sz="12" w:space="0" w:color="auto"/>
            </w:tcBorders>
            <w:shd w:val="clear" w:color="auto" w:fill="EBEBEB" w:themeFill="background2"/>
            <w:noWrap/>
            <w:hideMark/>
          </w:tcPr>
          <w:p w:rsidR="00F73105" w:rsidRPr="00892DE3" w:rsidRDefault="00F73105" w:rsidP="00F73105">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17 447</w:t>
            </w:r>
          </w:p>
        </w:tc>
        <w:tc>
          <w:tcPr>
            <w:tcW w:w="989" w:type="dxa"/>
            <w:tcBorders>
              <w:top w:val="single" w:sz="6" w:space="0" w:color="auto"/>
              <w:bottom w:val="single" w:sz="12" w:space="0" w:color="auto"/>
            </w:tcBorders>
            <w:noWrap/>
            <w:hideMark/>
          </w:tcPr>
          <w:p w:rsidR="00F73105" w:rsidRPr="00892DE3" w:rsidRDefault="00EE6BE5" w:rsidP="00F73105">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F73105" w:rsidRPr="00892DE3" w:rsidRDefault="00F73105" w:rsidP="00F73105"/>
    <w:tbl>
      <w:tblPr>
        <w:tblStyle w:val="ModelReportGuidanceTable"/>
        <w:tblW w:w="0" w:type="auto"/>
        <w:tblLayout w:type="fixed"/>
        <w:tblLook w:val="04A0" w:firstRow="1" w:lastRow="0" w:firstColumn="1" w:lastColumn="0" w:noHBand="0" w:noVBand="1"/>
      </w:tblPr>
      <w:tblGrid>
        <w:gridCol w:w="9854"/>
      </w:tblGrid>
      <w:tr w:rsidR="00F73105"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F73105" w:rsidRPr="00892DE3" w:rsidRDefault="00F73105" w:rsidP="00F73105">
            <w:r w:rsidRPr="00892DE3">
              <w:t>Guidance – Obtaining and losing control of subsidiaries and other businesses</w:t>
            </w:r>
          </w:p>
        </w:tc>
      </w:tr>
      <w:tr w:rsidR="00F73105" w:rsidRPr="00892DE3" w:rsidTr="0044350A">
        <w:tc>
          <w:tcPr>
            <w:tcW w:w="9854" w:type="dxa"/>
          </w:tcPr>
          <w:p w:rsidR="00CD28C9" w:rsidRPr="00892DE3" w:rsidRDefault="00CD28C9" w:rsidP="00CD28C9">
            <w:r w:rsidRPr="00892DE3">
              <w:t xml:space="preserve">The aggregate cash flows arising from acquisitions and from obtaining or losing control of subsidiaries or other businesses shall be presented separately and classified as investing activities. </w:t>
            </w:r>
          </w:p>
          <w:p w:rsidR="00CD28C9" w:rsidRPr="00892DE3" w:rsidRDefault="00CD28C9" w:rsidP="00CD28C9">
            <w:r w:rsidRPr="00892DE3">
              <w:t>An entity shall disclose, in aggregate, in respect of both obtaining and losing control of subsidiaries and other business units during the period, each of the following:</w:t>
            </w:r>
          </w:p>
          <w:p w:rsidR="00CD28C9" w:rsidRPr="00892DE3" w:rsidRDefault="00CD28C9" w:rsidP="00CD28C9">
            <w:pPr>
              <w:pStyle w:val="ListBullet"/>
            </w:pPr>
            <w:r w:rsidRPr="00892DE3">
              <w:t>the total consideration paid or received;</w:t>
            </w:r>
          </w:p>
          <w:p w:rsidR="00CD28C9" w:rsidRPr="00892DE3" w:rsidRDefault="00CD28C9" w:rsidP="00CD28C9">
            <w:pPr>
              <w:pStyle w:val="ListBullet"/>
            </w:pPr>
            <w:r w:rsidRPr="00892DE3">
              <w:t>the portion of the purchase or disposal consideration discharged by means of cash and cash equivalents;</w:t>
            </w:r>
          </w:p>
          <w:p w:rsidR="00CD28C9" w:rsidRPr="00892DE3" w:rsidRDefault="00CD28C9" w:rsidP="00CD28C9">
            <w:pPr>
              <w:pStyle w:val="ListBullet"/>
            </w:pPr>
            <w:r w:rsidRPr="00892DE3">
              <w:t xml:space="preserve">the amount of cash and cash equivalents in the subsidiaries or other businesses over which control is obtained or lost; and </w:t>
            </w:r>
          </w:p>
          <w:p w:rsidR="00CD28C9" w:rsidRPr="00892DE3" w:rsidRDefault="00CD28C9" w:rsidP="00CD28C9">
            <w:pPr>
              <w:pStyle w:val="ListBullet"/>
            </w:pPr>
            <w:r w:rsidRPr="00892DE3">
              <w:t xml:space="preserve">the amount of the assets and liabilities other than cash or cash equivalents in the subsidiaries or other businesses over which control is obtained or lost, summarised by each major category. </w:t>
            </w:r>
          </w:p>
          <w:p w:rsidR="00CD28C9" w:rsidRPr="00892DE3" w:rsidRDefault="00CD28C9" w:rsidP="00CD28C9">
            <w:r w:rsidRPr="00892DE3">
              <w:t>The following additional information shall be provided if it is relevant in understanding the financial position and liquidity of an entity:</w:t>
            </w:r>
          </w:p>
          <w:p w:rsidR="00CD28C9" w:rsidRPr="00892DE3" w:rsidRDefault="00CD28C9" w:rsidP="00CD28C9">
            <w:pPr>
              <w:pStyle w:val="ListBullet"/>
            </w:pPr>
            <w:r w:rsidRPr="00892DE3">
              <w:t>the amount of undrawn borrowing facilities that may be available for future operating activities and to settle capital commitments, indicating any restrictions on the use of these facilities;</w:t>
            </w:r>
          </w:p>
          <w:p w:rsidR="00CD28C9" w:rsidRPr="00892DE3" w:rsidRDefault="00CD28C9" w:rsidP="00CD28C9">
            <w:pPr>
              <w:pStyle w:val="ListBullet"/>
            </w:pPr>
            <w:r w:rsidRPr="00892DE3">
              <w:t>the aggregate amount of cash flows that represent increases in operating capacity separately from those cash flows that are required to maintain operating capacity; and</w:t>
            </w:r>
          </w:p>
          <w:p w:rsidR="00F73105" w:rsidRPr="00892DE3" w:rsidRDefault="00CD28C9" w:rsidP="00CD28C9">
            <w:pPr>
              <w:pStyle w:val="ListBullet"/>
            </w:pPr>
            <w:r w:rsidRPr="00892DE3">
              <w:t>the amount of the cash flows arising from the operating, investing and financing activities of each reportable segment.</w:t>
            </w:r>
          </w:p>
        </w:tc>
      </w:tr>
    </w:tbl>
    <w:p w:rsidR="00F73105" w:rsidRPr="00892DE3" w:rsidRDefault="00F73105" w:rsidP="00F73105"/>
    <w:p w:rsidR="005412E1" w:rsidRPr="00892DE3" w:rsidRDefault="005412E1" w:rsidP="00F73105"/>
    <w:bookmarkEnd w:id="112"/>
    <w:p w:rsidR="00FD0181" w:rsidRPr="00892DE3" w:rsidRDefault="00FD0181" w:rsidP="00F73105">
      <w:pPr>
        <w:sectPr w:rsidR="00FD0181" w:rsidRPr="00892DE3" w:rsidSect="00544F7E">
          <w:headerReference w:type="even" r:id="rId135"/>
          <w:headerReference w:type="default" r:id="rId136"/>
          <w:footerReference w:type="even" r:id="rId137"/>
          <w:footerReference w:type="default" r:id="rId138"/>
          <w:headerReference w:type="first" r:id="rId139"/>
          <w:footerReference w:type="first" r:id="rId140"/>
          <w:pgSz w:w="11906" w:h="16838" w:code="9"/>
          <w:pgMar w:top="1134" w:right="1134" w:bottom="1134" w:left="1134" w:header="624" w:footer="567" w:gutter="0"/>
          <w:cols w:sep="1" w:space="567"/>
          <w:titlePg/>
          <w:docGrid w:linePitch="360"/>
        </w:sectPr>
      </w:pPr>
    </w:p>
    <w:p w:rsidR="00CD28C9" w:rsidRPr="00892DE3" w:rsidRDefault="00CD28C9" w:rsidP="00CD28C9">
      <w:pPr>
        <w:pStyle w:val="Heading1"/>
      </w:pPr>
      <w:bookmarkStart w:id="127" w:name="Section6"/>
      <w:r w:rsidRPr="00892DE3">
        <w:t>OTHER ASSETS AND LIABILITIES</w:t>
      </w:r>
    </w:p>
    <w:p w:rsidR="00D8218E" w:rsidRPr="00892DE3" w:rsidRDefault="00D8218E" w:rsidP="00D8218E">
      <w:pPr>
        <w:pStyle w:val="Heading30"/>
        <w:sectPr w:rsidR="00D8218E" w:rsidRPr="00892DE3" w:rsidSect="00544F7E">
          <w:headerReference w:type="first" r:id="rId141"/>
          <w:footerReference w:type="first" r:id="rId142"/>
          <w:pgSz w:w="11906" w:h="16838" w:code="9"/>
          <w:pgMar w:top="1134" w:right="1134" w:bottom="1134" w:left="1134" w:header="624" w:footer="567" w:gutter="0"/>
          <w:cols w:sep="1" w:space="567"/>
          <w:titlePg/>
          <w:docGrid w:linePitch="360"/>
        </w:sectPr>
      </w:pPr>
    </w:p>
    <w:p w:rsidR="00CD28C9" w:rsidRPr="00892DE3" w:rsidRDefault="00CD28C9" w:rsidP="00D8218E">
      <w:pPr>
        <w:pStyle w:val="Heading30"/>
      </w:pPr>
      <w:r w:rsidRPr="00892DE3">
        <w:t>Introduction</w:t>
      </w:r>
    </w:p>
    <w:p w:rsidR="00CD28C9" w:rsidRPr="00892DE3" w:rsidRDefault="00CD28C9" w:rsidP="00CD28C9">
      <w:r w:rsidRPr="00892DE3">
        <w:t xml:space="preserve">This section sets out those assets and liabilities that arose from the Department’s </w:t>
      </w:r>
      <w:r w:rsidR="00595FEE" w:rsidRPr="00892DE3">
        <w:t xml:space="preserve">controlled </w:t>
      </w:r>
      <w:r w:rsidRPr="00892DE3">
        <w:t xml:space="preserve">operations. </w:t>
      </w:r>
    </w:p>
    <w:p w:rsidR="00CD28C9" w:rsidRPr="00892DE3" w:rsidRDefault="00D8218E" w:rsidP="00544F7E">
      <w:pPr>
        <w:pStyle w:val="Heading30"/>
      </w:pPr>
      <w:r w:rsidRPr="00892DE3">
        <w:br w:type="column"/>
      </w:r>
      <w:r w:rsidR="00CD28C9" w:rsidRPr="00892DE3">
        <w:t>Structure</w:t>
      </w:r>
    </w:p>
    <w:p w:rsidR="00AE7E88" w:rsidRPr="00892DE3" w:rsidRDefault="00D8218E" w:rsidP="00B05757">
      <w:pPr>
        <w:pStyle w:val="TOC9"/>
        <w:rPr>
          <w:rFonts w:eastAsiaTheme="minorEastAsia"/>
          <w:spacing w:val="0"/>
          <w:sz w:val="22"/>
          <w:szCs w:val="22"/>
          <w:lang w:eastAsia="en-AU"/>
        </w:rPr>
      </w:pPr>
      <w:r w:rsidRPr="00892DE3">
        <w:fldChar w:fldCharType="begin"/>
      </w:r>
      <w:r w:rsidRPr="00892DE3">
        <w:instrText xml:space="preserve"> TOC \h \z \t "Heading 2 (#),9" \b Section6 \* MERGEFORMAT </w:instrText>
      </w:r>
      <w:r w:rsidRPr="00892DE3">
        <w:fldChar w:fldCharType="separate"/>
      </w:r>
      <w:hyperlink w:anchor="_Toc474337011" w:history="1">
        <w:r w:rsidR="00AE7E88" w:rsidRPr="00892DE3">
          <w:rPr>
            <w:rStyle w:val="Hyperlink"/>
          </w:rPr>
          <w:t>6.1</w:t>
        </w:r>
        <w:r w:rsidR="00AE7E88" w:rsidRPr="00892DE3">
          <w:rPr>
            <w:rFonts w:eastAsiaTheme="minorEastAsia"/>
            <w:spacing w:val="0"/>
            <w:sz w:val="22"/>
            <w:szCs w:val="22"/>
            <w:lang w:eastAsia="en-AU"/>
          </w:rPr>
          <w:tab/>
        </w:r>
        <w:r w:rsidR="00AE7E88" w:rsidRPr="00892DE3">
          <w:rPr>
            <w:rStyle w:val="Hyperlink"/>
          </w:rPr>
          <w:t>Receivables</w:t>
        </w:r>
        <w:r w:rsidR="00AE7E88" w:rsidRPr="00892DE3">
          <w:rPr>
            <w:webHidden/>
          </w:rPr>
          <w:tab/>
        </w:r>
        <w:r w:rsidR="00AE7E88" w:rsidRPr="00892DE3">
          <w:rPr>
            <w:webHidden/>
          </w:rPr>
          <w:fldChar w:fldCharType="begin"/>
        </w:r>
        <w:r w:rsidR="00AE7E88" w:rsidRPr="00892DE3">
          <w:rPr>
            <w:webHidden/>
          </w:rPr>
          <w:instrText xml:space="preserve"> PAGEREF _Toc474337011 \h </w:instrText>
        </w:r>
        <w:r w:rsidR="00AE7E88" w:rsidRPr="00892DE3">
          <w:rPr>
            <w:webHidden/>
          </w:rPr>
        </w:r>
        <w:r w:rsidR="00AE7E88" w:rsidRPr="00892DE3">
          <w:rPr>
            <w:webHidden/>
          </w:rPr>
          <w:fldChar w:fldCharType="separate"/>
        </w:r>
        <w:r w:rsidR="00F63B17">
          <w:rPr>
            <w:webHidden/>
          </w:rPr>
          <w:t>134</w:t>
        </w:r>
        <w:r w:rsidR="00AE7E88" w:rsidRPr="00892DE3">
          <w:rPr>
            <w:webHidden/>
          </w:rPr>
          <w:fldChar w:fldCharType="end"/>
        </w:r>
      </w:hyperlink>
    </w:p>
    <w:p w:rsidR="00AE7E88" w:rsidRPr="00892DE3" w:rsidRDefault="003C212D" w:rsidP="00B05757">
      <w:pPr>
        <w:pStyle w:val="TOC9"/>
        <w:rPr>
          <w:rFonts w:eastAsiaTheme="minorEastAsia"/>
          <w:spacing w:val="0"/>
          <w:sz w:val="22"/>
          <w:szCs w:val="22"/>
          <w:lang w:eastAsia="en-AU"/>
        </w:rPr>
      </w:pPr>
      <w:hyperlink w:anchor="_Toc474337012" w:history="1">
        <w:r w:rsidR="00AE7E88" w:rsidRPr="00892DE3">
          <w:rPr>
            <w:rStyle w:val="Hyperlink"/>
          </w:rPr>
          <w:t>6.2</w:t>
        </w:r>
        <w:r w:rsidR="00AE7E88" w:rsidRPr="00892DE3">
          <w:rPr>
            <w:rFonts w:eastAsiaTheme="minorEastAsia"/>
            <w:spacing w:val="0"/>
            <w:sz w:val="22"/>
            <w:szCs w:val="22"/>
            <w:lang w:eastAsia="en-AU"/>
          </w:rPr>
          <w:tab/>
        </w:r>
        <w:r w:rsidR="00AE7E88" w:rsidRPr="00892DE3">
          <w:rPr>
            <w:rStyle w:val="Hyperlink"/>
          </w:rPr>
          <w:t>Payables</w:t>
        </w:r>
        <w:r w:rsidR="00AE7E88" w:rsidRPr="00892DE3">
          <w:rPr>
            <w:webHidden/>
          </w:rPr>
          <w:tab/>
        </w:r>
        <w:r w:rsidR="00AE7E88" w:rsidRPr="00892DE3">
          <w:rPr>
            <w:webHidden/>
          </w:rPr>
          <w:fldChar w:fldCharType="begin"/>
        </w:r>
        <w:r w:rsidR="00AE7E88" w:rsidRPr="00892DE3">
          <w:rPr>
            <w:webHidden/>
          </w:rPr>
          <w:instrText xml:space="preserve"> PAGEREF _Toc474337012 \h </w:instrText>
        </w:r>
        <w:r w:rsidR="00AE7E88" w:rsidRPr="00892DE3">
          <w:rPr>
            <w:webHidden/>
          </w:rPr>
        </w:r>
        <w:r w:rsidR="00AE7E88" w:rsidRPr="00892DE3">
          <w:rPr>
            <w:webHidden/>
          </w:rPr>
          <w:fldChar w:fldCharType="separate"/>
        </w:r>
        <w:r w:rsidR="00F63B17">
          <w:rPr>
            <w:webHidden/>
          </w:rPr>
          <w:t>138</w:t>
        </w:r>
        <w:r w:rsidR="00AE7E88" w:rsidRPr="00892DE3">
          <w:rPr>
            <w:webHidden/>
          </w:rPr>
          <w:fldChar w:fldCharType="end"/>
        </w:r>
      </w:hyperlink>
    </w:p>
    <w:p w:rsidR="00AE7E88" w:rsidRPr="00892DE3" w:rsidRDefault="003C212D" w:rsidP="00B05757">
      <w:pPr>
        <w:pStyle w:val="TOC9"/>
        <w:rPr>
          <w:rFonts w:eastAsiaTheme="minorEastAsia"/>
          <w:spacing w:val="0"/>
          <w:sz w:val="22"/>
          <w:szCs w:val="22"/>
          <w:lang w:eastAsia="en-AU"/>
        </w:rPr>
      </w:pPr>
      <w:hyperlink w:anchor="_Toc474337013" w:history="1">
        <w:r w:rsidR="00AE7E88" w:rsidRPr="00892DE3">
          <w:rPr>
            <w:rStyle w:val="Hyperlink"/>
          </w:rPr>
          <w:t>6.3</w:t>
        </w:r>
        <w:r w:rsidR="00AE7E88" w:rsidRPr="00892DE3">
          <w:rPr>
            <w:rFonts w:eastAsiaTheme="minorEastAsia"/>
            <w:spacing w:val="0"/>
            <w:sz w:val="22"/>
            <w:szCs w:val="22"/>
            <w:lang w:eastAsia="en-AU"/>
          </w:rPr>
          <w:tab/>
        </w:r>
        <w:r w:rsidR="00AE7E88" w:rsidRPr="00892DE3">
          <w:rPr>
            <w:rStyle w:val="Hyperlink"/>
          </w:rPr>
          <w:t>Inventories</w:t>
        </w:r>
        <w:r w:rsidR="00AE7E88" w:rsidRPr="00892DE3">
          <w:rPr>
            <w:webHidden/>
          </w:rPr>
          <w:tab/>
        </w:r>
        <w:r w:rsidR="00AE7E88" w:rsidRPr="00892DE3">
          <w:rPr>
            <w:webHidden/>
          </w:rPr>
          <w:fldChar w:fldCharType="begin"/>
        </w:r>
        <w:r w:rsidR="00AE7E88" w:rsidRPr="00892DE3">
          <w:rPr>
            <w:webHidden/>
          </w:rPr>
          <w:instrText xml:space="preserve"> PAGEREF _Toc474337013 \h </w:instrText>
        </w:r>
        <w:r w:rsidR="00AE7E88" w:rsidRPr="00892DE3">
          <w:rPr>
            <w:webHidden/>
          </w:rPr>
        </w:r>
        <w:r w:rsidR="00AE7E88" w:rsidRPr="00892DE3">
          <w:rPr>
            <w:webHidden/>
          </w:rPr>
          <w:fldChar w:fldCharType="separate"/>
        </w:r>
        <w:r w:rsidR="00F63B17">
          <w:rPr>
            <w:webHidden/>
          </w:rPr>
          <w:t>139</w:t>
        </w:r>
        <w:r w:rsidR="00AE7E88" w:rsidRPr="00892DE3">
          <w:rPr>
            <w:webHidden/>
          </w:rPr>
          <w:fldChar w:fldCharType="end"/>
        </w:r>
      </w:hyperlink>
    </w:p>
    <w:p w:rsidR="00AE7E88" w:rsidRPr="00892DE3" w:rsidRDefault="003C212D" w:rsidP="00B05757">
      <w:pPr>
        <w:pStyle w:val="TOC9"/>
        <w:rPr>
          <w:rFonts w:eastAsiaTheme="minorEastAsia"/>
          <w:spacing w:val="0"/>
          <w:sz w:val="22"/>
          <w:szCs w:val="22"/>
          <w:lang w:eastAsia="en-AU"/>
        </w:rPr>
      </w:pPr>
      <w:hyperlink w:anchor="_Toc474337014" w:history="1">
        <w:r w:rsidR="00AE7E88" w:rsidRPr="00892DE3">
          <w:rPr>
            <w:rStyle w:val="Hyperlink"/>
          </w:rPr>
          <w:t>6.4</w:t>
        </w:r>
        <w:r w:rsidR="00AE7E88" w:rsidRPr="00892DE3">
          <w:rPr>
            <w:rFonts w:eastAsiaTheme="minorEastAsia"/>
            <w:spacing w:val="0"/>
            <w:sz w:val="22"/>
            <w:szCs w:val="22"/>
            <w:lang w:eastAsia="en-AU"/>
          </w:rPr>
          <w:tab/>
        </w:r>
        <w:r w:rsidR="00AE7E88" w:rsidRPr="00892DE3">
          <w:rPr>
            <w:rStyle w:val="Hyperlink"/>
          </w:rPr>
          <w:t>Other non-financial assets</w:t>
        </w:r>
        <w:r w:rsidR="00AE7E88" w:rsidRPr="00892DE3">
          <w:rPr>
            <w:webHidden/>
          </w:rPr>
          <w:tab/>
        </w:r>
        <w:r w:rsidR="00AE7E88" w:rsidRPr="00892DE3">
          <w:rPr>
            <w:webHidden/>
          </w:rPr>
          <w:fldChar w:fldCharType="begin"/>
        </w:r>
        <w:r w:rsidR="00AE7E88" w:rsidRPr="00892DE3">
          <w:rPr>
            <w:webHidden/>
          </w:rPr>
          <w:instrText xml:space="preserve"> PAGEREF _Toc474337014 \h </w:instrText>
        </w:r>
        <w:r w:rsidR="00AE7E88" w:rsidRPr="00892DE3">
          <w:rPr>
            <w:webHidden/>
          </w:rPr>
        </w:r>
        <w:r w:rsidR="00AE7E88" w:rsidRPr="00892DE3">
          <w:rPr>
            <w:webHidden/>
          </w:rPr>
          <w:fldChar w:fldCharType="separate"/>
        </w:r>
        <w:r w:rsidR="00F63B17">
          <w:rPr>
            <w:webHidden/>
          </w:rPr>
          <w:t>140</w:t>
        </w:r>
        <w:r w:rsidR="00AE7E88" w:rsidRPr="00892DE3">
          <w:rPr>
            <w:webHidden/>
          </w:rPr>
          <w:fldChar w:fldCharType="end"/>
        </w:r>
      </w:hyperlink>
    </w:p>
    <w:p w:rsidR="00AE7E88" w:rsidRPr="00892DE3" w:rsidRDefault="003C212D" w:rsidP="00B05757">
      <w:pPr>
        <w:pStyle w:val="TOC9"/>
        <w:rPr>
          <w:rFonts w:eastAsiaTheme="minorEastAsia"/>
          <w:spacing w:val="0"/>
          <w:sz w:val="22"/>
          <w:szCs w:val="22"/>
          <w:lang w:eastAsia="en-AU"/>
        </w:rPr>
      </w:pPr>
      <w:hyperlink w:anchor="_Toc474337015" w:history="1">
        <w:r w:rsidR="00AE7E88" w:rsidRPr="00892DE3">
          <w:rPr>
            <w:rStyle w:val="Hyperlink"/>
          </w:rPr>
          <w:t>6.5</w:t>
        </w:r>
        <w:r w:rsidR="00AE7E88" w:rsidRPr="00892DE3">
          <w:rPr>
            <w:rFonts w:eastAsiaTheme="minorEastAsia"/>
            <w:spacing w:val="0"/>
            <w:sz w:val="22"/>
            <w:szCs w:val="22"/>
            <w:lang w:eastAsia="en-AU"/>
          </w:rPr>
          <w:tab/>
        </w:r>
        <w:r w:rsidR="00AE7E88" w:rsidRPr="00892DE3">
          <w:rPr>
            <w:rStyle w:val="Hyperlink"/>
          </w:rPr>
          <w:t>Other provisions</w:t>
        </w:r>
        <w:r w:rsidR="00AE7E88" w:rsidRPr="00892DE3">
          <w:rPr>
            <w:webHidden/>
          </w:rPr>
          <w:tab/>
        </w:r>
        <w:r w:rsidR="00AE7E88" w:rsidRPr="00892DE3">
          <w:rPr>
            <w:webHidden/>
          </w:rPr>
          <w:fldChar w:fldCharType="begin"/>
        </w:r>
        <w:r w:rsidR="00AE7E88" w:rsidRPr="00892DE3">
          <w:rPr>
            <w:webHidden/>
          </w:rPr>
          <w:instrText xml:space="preserve"> PAGEREF _Toc474337015 \h </w:instrText>
        </w:r>
        <w:r w:rsidR="00AE7E88" w:rsidRPr="00892DE3">
          <w:rPr>
            <w:webHidden/>
          </w:rPr>
        </w:r>
        <w:r w:rsidR="00AE7E88" w:rsidRPr="00892DE3">
          <w:rPr>
            <w:webHidden/>
          </w:rPr>
          <w:fldChar w:fldCharType="separate"/>
        </w:r>
        <w:r w:rsidR="00F63B17">
          <w:rPr>
            <w:webHidden/>
          </w:rPr>
          <w:t>141</w:t>
        </w:r>
        <w:r w:rsidR="00AE7E88" w:rsidRPr="00892DE3">
          <w:rPr>
            <w:webHidden/>
          </w:rPr>
          <w:fldChar w:fldCharType="end"/>
        </w:r>
      </w:hyperlink>
    </w:p>
    <w:p w:rsidR="00CD28C9" w:rsidRPr="00892DE3" w:rsidRDefault="00D8218E" w:rsidP="00CD28C9">
      <w:r w:rsidRPr="00892DE3">
        <w:fldChar w:fldCharType="end"/>
      </w:r>
    </w:p>
    <w:p w:rsidR="00D8218E" w:rsidRPr="00892DE3" w:rsidRDefault="00D8218E" w:rsidP="00CD28C9">
      <w:pPr>
        <w:sectPr w:rsidR="00D8218E" w:rsidRPr="00892DE3" w:rsidSect="00D8218E">
          <w:headerReference w:type="even" r:id="rId143"/>
          <w:headerReference w:type="default" r:id="rId144"/>
          <w:type w:val="continuous"/>
          <w:pgSz w:w="11906" w:h="16838" w:code="9"/>
          <w:pgMar w:top="1134" w:right="1134" w:bottom="1134" w:left="1134" w:header="624" w:footer="567" w:gutter="0"/>
          <w:cols w:num="2" w:space="567"/>
          <w:docGrid w:linePitch="360"/>
        </w:sectPr>
      </w:pPr>
    </w:p>
    <w:p w:rsidR="00CD28C9" w:rsidRPr="00892DE3" w:rsidRDefault="00CD28C9" w:rsidP="00CD28C9"/>
    <w:tbl>
      <w:tblPr>
        <w:tblStyle w:val="ModelReportGuidanceTable"/>
        <w:tblW w:w="0" w:type="auto"/>
        <w:tblLayout w:type="fixed"/>
        <w:tblLook w:val="04A0" w:firstRow="1" w:lastRow="0" w:firstColumn="1" w:lastColumn="0" w:noHBand="0" w:noVBand="1"/>
      </w:tblPr>
      <w:tblGrid>
        <w:gridCol w:w="9854"/>
      </w:tblGrid>
      <w:tr w:rsidR="00CD28C9"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CD28C9" w:rsidRPr="00892DE3" w:rsidRDefault="00CD28C9" w:rsidP="00CD28C9">
            <w:r w:rsidRPr="00892DE3">
              <w:t xml:space="preserve">Guidance – Other asset and liability disclosures </w:t>
            </w:r>
            <w:r w:rsidRPr="00892DE3">
              <w:rPr>
                <w:rStyle w:val="SourceReference"/>
                <w:b w:val="0"/>
                <w:color w:val="FFFFFF" w:themeColor="background1"/>
              </w:rPr>
              <w:t>[AASB 101.61]</w:t>
            </w:r>
          </w:p>
        </w:tc>
      </w:tr>
      <w:tr w:rsidR="00CD28C9" w:rsidRPr="00892DE3" w:rsidTr="0044350A">
        <w:tc>
          <w:tcPr>
            <w:tcW w:w="9854" w:type="dxa"/>
          </w:tcPr>
          <w:p w:rsidR="00CD28C9" w:rsidRPr="00892DE3" w:rsidRDefault="00CD28C9" w:rsidP="00CD28C9">
            <w:r w:rsidRPr="00892DE3">
              <w:t>For each asset and liability line item that combines amounts expected to be recovered or settled (a) no more than 12</w:t>
            </w:r>
            <w:r w:rsidR="00D8218E" w:rsidRPr="00892DE3">
              <w:t> </w:t>
            </w:r>
            <w:r w:rsidRPr="00892DE3">
              <w:t>months after the reporting period, and (b) more than 12 months after the reporting period, an entity shall disclose the amount expected to be recovered or settled after more than 12 months.</w:t>
            </w:r>
          </w:p>
          <w:p w:rsidR="00CD28C9" w:rsidRPr="00892DE3" w:rsidRDefault="00CD28C9" w:rsidP="00CD28C9">
            <w:r w:rsidRPr="00892DE3">
              <w:t>Instead of disclosing this information in a separate note it may be more appropriate to include such disclosures in the relevant asset and liability notes. An illustrative example of these disclosure items has not been given in the Model on the basis that the balance sheet and other notes make the required disclosures.</w:t>
            </w:r>
          </w:p>
        </w:tc>
      </w:tr>
    </w:tbl>
    <w:p w:rsidR="00CD28C9" w:rsidRPr="00892DE3" w:rsidRDefault="00CD28C9" w:rsidP="00CD28C9"/>
    <w:p w:rsidR="00CD28C9" w:rsidRPr="00892DE3" w:rsidRDefault="00CD28C9" w:rsidP="0019303F">
      <w:pPr>
        <w:pStyle w:val="Heading2"/>
      </w:pPr>
      <w:bookmarkStart w:id="128" w:name="_Toc474337011"/>
      <w:bookmarkStart w:id="129" w:name="_Toc478055754"/>
      <w:r w:rsidRPr="00892DE3">
        <w:t>Receivables</w:t>
      </w:r>
      <w:bookmarkEnd w:id="128"/>
      <w:bookmarkEnd w:id="129"/>
    </w:p>
    <w:p w:rsidR="00CD28C9" w:rsidRPr="00892DE3" w:rsidRDefault="00CD28C9" w:rsidP="00CD28C9">
      <w:pPr>
        <w:pStyle w:val="TableUnits"/>
      </w:pPr>
      <w:r w:rsidRPr="00892DE3">
        <w:t>($ thousand)</w:t>
      </w:r>
    </w:p>
    <w:tbl>
      <w:tblPr>
        <w:tblStyle w:val="ModelReportFinancialTable"/>
        <w:tblW w:w="9659" w:type="dxa"/>
        <w:tblLayout w:type="fixed"/>
        <w:tblLook w:val="06A0" w:firstRow="1" w:lastRow="0" w:firstColumn="1" w:lastColumn="0" w:noHBand="1" w:noVBand="1"/>
      </w:tblPr>
      <w:tblGrid>
        <w:gridCol w:w="1379"/>
        <w:gridCol w:w="6480"/>
        <w:gridCol w:w="900"/>
        <w:gridCol w:w="900"/>
      </w:tblGrid>
      <w:tr w:rsidR="00CD28C9" w:rsidRPr="00892DE3" w:rsidTr="00D821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9" w:type="dxa"/>
            <w:tcBorders>
              <w:bottom w:val="nil"/>
            </w:tcBorders>
            <w:shd w:val="clear" w:color="auto" w:fill="auto"/>
            <w:hideMark/>
          </w:tcPr>
          <w:p w:rsidR="00CD28C9" w:rsidRPr="00892DE3" w:rsidRDefault="00CD28C9" w:rsidP="00CD28C9">
            <w:r w:rsidRPr="00892DE3">
              <w:t>Source reference</w:t>
            </w:r>
          </w:p>
        </w:tc>
        <w:tc>
          <w:tcPr>
            <w:tcW w:w="6480" w:type="dxa"/>
            <w:hideMark/>
          </w:tcPr>
          <w:p w:rsidR="00CD28C9" w:rsidRPr="00892DE3" w:rsidRDefault="00CD28C9" w:rsidP="00CD28C9">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00" w:type="dxa"/>
            <w:noWrap/>
            <w:hideMark/>
          </w:tcPr>
          <w:p w:rsidR="00CD28C9" w:rsidRPr="00892DE3" w:rsidRDefault="00CD28C9" w:rsidP="00A137C6">
            <w:pPr>
              <w:cnfStyle w:val="100000000000" w:firstRow="1" w:lastRow="0" w:firstColumn="0" w:lastColumn="0" w:oddVBand="0" w:evenVBand="0" w:oddHBand="0" w:evenHBand="0" w:firstRowFirstColumn="0" w:firstRowLastColumn="0" w:lastRowFirstColumn="0" w:lastRowLastColumn="0"/>
            </w:pPr>
            <w:r w:rsidRPr="00892DE3">
              <w:t>2017</w:t>
            </w:r>
          </w:p>
        </w:tc>
        <w:tc>
          <w:tcPr>
            <w:tcW w:w="900" w:type="dxa"/>
            <w:noWrap/>
            <w:hideMark/>
          </w:tcPr>
          <w:p w:rsidR="00CD28C9" w:rsidRPr="00892DE3" w:rsidRDefault="00CD28C9" w:rsidP="00A137C6">
            <w:pPr>
              <w:cnfStyle w:val="100000000000" w:firstRow="1" w:lastRow="0" w:firstColumn="0" w:lastColumn="0" w:oddVBand="0" w:evenVBand="0" w:oddHBand="0" w:evenHBand="0" w:firstRowFirstColumn="0" w:firstRowLastColumn="0" w:lastRowFirstColumn="0" w:lastRowLastColumn="0"/>
            </w:pPr>
            <w:r w:rsidRPr="00892DE3">
              <w:t>2016</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hideMark/>
          </w:tcPr>
          <w:p w:rsidR="00CD28C9" w:rsidRPr="00892DE3" w:rsidRDefault="00CD28C9" w:rsidP="00CD28C9">
            <w:r w:rsidRPr="00892DE3">
              <w:t>AASB 101.78(b)</w:t>
            </w:r>
          </w:p>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b/>
                <w:color w:val="000000"/>
              </w:rPr>
            </w:pPr>
            <w:r w:rsidRPr="00892DE3">
              <w:rPr>
                <w:b/>
              </w:rPr>
              <w:t>Contractual</w:t>
            </w:r>
          </w:p>
        </w:tc>
        <w:tc>
          <w:tcPr>
            <w:tcW w:w="900" w:type="dxa"/>
            <w:shd w:val="clear" w:color="auto" w:fill="EBEBEB" w:themeFill="background2"/>
            <w:noWrap/>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b/>
              </w:rPr>
            </w:pPr>
          </w:p>
        </w:tc>
        <w:tc>
          <w:tcPr>
            <w:tcW w:w="900" w:type="dxa"/>
            <w:noWrap/>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b/>
              </w:rPr>
            </w:pP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Finance lease receivables</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581</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1 231</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Sale of goods and services</w:t>
            </w:r>
            <w:r w:rsidRPr="00892DE3">
              <w:rPr>
                <w:color w:val="000000"/>
                <w:vertAlign w:val="superscript"/>
              </w:rPr>
              <w:t xml:space="preserve"> </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1 375</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985</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Loans to third parties</w:t>
            </w:r>
            <w:r w:rsidRPr="00892DE3">
              <w:rPr>
                <w:color w:val="000000"/>
                <w:vertAlign w:val="superscript"/>
              </w:rPr>
              <w:t xml:space="preserve"> </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544</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485</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hideMark/>
          </w:tcPr>
          <w:p w:rsidR="00CD28C9" w:rsidRPr="00892DE3" w:rsidRDefault="00CD28C9" w:rsidP="00CD28C9">
            <w:r w:rsidRPr="00892DE3">
              <w:t>AASB 139.63</w:t>
            </w:r>
          </w:p>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Provision for doubtful contractual receivables</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(520)</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(327)</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Accrued investment income</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1 864</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1 058</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Other receivables</w:t>
            </w:r>
            <w:r w:rsidRPr="00892DE3">
              <w:rPr>
                <w:color w:val="000000"/>
                <w:vertAlign w:val="superscript"/>
              </w:rPr>
              <w:t xml:space="preserve"> </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334</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438</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b/>
                <w:color w:val="000000"/>
              </w:rPr>
            </w:pPr>
            <w:r w:rsidRPr="00892DE3">
              <w:rPr>
                <w:b/>
              </w:rPr>
              <w:t>Statutory</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bCs/>
                <w:color w:val="000000"/>
              </w:rPr>
              <w:t xml:space="preserve"> </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bCs/>
                <w:color w:val="000000"/>
              </w:rPr>
              <w:t xml:space="preserve"> </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Amount owing from Victorian Government</w:t>
            </w:r>
            <w:r w:rsidRPr="00892DE3">
              <w:rPr>
                <w:color w:val="000000"/>
                <w:vertAlign w:val="superscript"/>
              </w:rPr>
              <w:t xml:space="preserve"> </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31 500</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16 151</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GST input tax credit recoverable</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34</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50</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Fines and regulatory fees</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100</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75</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tcBorders>
              <w:bottom w:val="single" w:sz="6" w:space="0" w:color="auto"/>
            </w:tcBorders>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Other receivables</w:t>
            </w:r>
          </w:p>
        </w:tc>
        <w:tc>
          <w:tcPr>
            <w:tcW w:w="900" w:type="dxa"/>
            <w:tcBorders>
              <w:bottom w:val="single" w:sz="6" w:space="0" w:color="auto"/>
            </w:tcBorders>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234</w:t>
            </w:r>
          </w:p>
        </w:tc>
        <w:tc>
          <w:tcPr>
            <w:tcW w:w="900" w:type="dxa"/>
            <w:tcBorders>
              <w:bottom w:val="single" w:sz="6" w:space="0" w:color="auto"/>
            </w:tcBorders>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399</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tcBorders>
              <w:top w:val="single" w:sz="6" w:space="0" w:color="auto"/>
              <w:bottom w:val="single" w:sz="6" w:space="0" w:color="auto"/>
            </w:tcBorders>
            <w:hideMark/>
          </w:tcPr>
          <w:p w:rsidR="00CD28C9" w:rsidRPr="00892DE3" w:rsidRDefault="00CD28C9" w:rsidP="00CD28C9">
            <w:pPr>
              <w:jc w:val="left"/>
              <w:cnfStyle w:val="000000000000" w:firstRow="0" w:lastRow="0" w:firstColumn="0" w:lastColumn="0" w:oddVBand="0" w:evenVBand="0" w:oddHBand="0" w:evenHBand="0" w:firstRowFirstColumn="0" w:firstRowLastColumn="0" w:lastRowFirstColumn="0" w:lastRowLastColumn="0"/>
              <w:rPr>
                <w:b/>
                <w:color w:val="000000"/>
              </w:rPr>
            </w:pPr>
            <w:r w:rsidRPr="00892DE3">
              <w:rPr>
                <w:b/>
                <w:color w:val="000000"/>
              </w:rPr>
              <w:t>Total receivables</w:t>
            </w:r>
          </w:p>
        </w:tc>
        <w:tc>
          <w:tcPr>
            <w:tcW w:w="900" w:type="dxa"/>
            <w:tcBorders>
              <w:top w:val="single" w:sz="6" w:space="0" w:color="auto"/>
              <w:bottom w:val="single" w:sz="6" w:space="0" w:color="auto"/>
            </w:tcBorders>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bCs/>
                <w:color w:val="000000"/>
              </w:rPr>
              <w:t>36 046</w:t>
            </w:r>
          </w:p>
        </w:tc>
        <w:tc>
          <w:tcPr>
            <w:tcW w:w="900" w:type="dxa"/>
            <w:tcBorders>
              <w:top w:val="single" w:sz="6" w:space="0" w:color="auto"/>
              <w:bottom w:val="single" w:sz="6" w:space="0" w:color="auto"/>
            </w:tcBorders>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bCs/>
                <w:color w:val="000000"/>
              </w:rPr>
              <w:t>20 545</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D28C9" w:rsidRPr="00892DE3" w:rsidRDefault="00CD28C9" w:rsidP="00CD28C9"/>
        </w:tc>
        <w:tc>
          <w:tcPr>
            <w:tcW w:w="6480" w:type="dxa"/>
            <w:tcBorders>
              <w:top w:val="single" w:sz="6" w:space="0" w:color="auto"/>
            </w:tcBorders>
            <w:hideMark/>
          </w:tcPr>
          <w:p w:rsidR="00CD28C9" w:rsidRPr="00892DE3" w:rsidRDefault="00D8218E" w:rsidP="00CD28C9">
            <w:pPr>
              <w:jc w:val="left"/>
              <w:cnfStyle w:val="000000000000" w:firstRow="0" w:lastRow="0" w:firstColumn="0" w:lastColumn="0" w:oddVBand="0" w:evenVBand="0" w:oddHBand="0" w:evenHBand="0" w:firstRowFirstColumn="0" w:firstRowLastColumn="0" w:lastRowFirstColumn="0" w:lastRowLastColumn="0"/>
              <w:rPr>
                <w:i/>
              </w:rPr>
            </w:pPr>
            <w:r w:rsidRPr="00892DE3">
              <w:rPr>
                <w:i/>
              </w:rPr>
              <w:t>Represented by</w:t>
            </w:r>
          </w:p>
        </w:tc>
        <w:tc>
          <w:tcPr>
            <w:tcW w:w="900" w:type="dxa"/>
            <w:tcBorders>
              <w:top w:val="single" w:sz="6" w:space="0" w:color="auto"/>
            </w:tcBorders>
            <w:shd w:val="clear" w:color="auto" w:fill="EBEBEB" w:themeFill="background2"/>
            <w:noWrap/>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p>
        </w:tc>
        <w:tc>
          <w:tcPr>
            <w:tcW w:w="900" w:type="dxa"/>
            <w:tcBorders>
              <w:top w:val="single" w:sz="6" w:space="0" w:color="auto"/>
            </w:tcBorders>
            <w:noWrap/>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hideMark/>
          </w:tcPr>
          <w:p w:rsidR="00CD28C9" w:rsidRPr="00892DE3" w:rsidRDefault="00CD28C9" w:rsidP="00CD28C9">
            <w:r w:rsidRPr="00892DE3">
              <w:t>AASB 101.61</w:t>
            </w:r>
          </w:p>
        </w:tc>
        <w:tc>
          <w:tcPr>
            <w:tcW w:w="6480" w:type="dxa"/>
            <w:hideMark/>
          </w:tcPr>
          <w:p w:rsidR="00CD28C9" w:rsidRPr="00892DE3" w:rsidRDefault="00CD28C9" w:rsidP="00D8218E">
            <w:pPr>
              <w:ind w:left="170"/>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Current receivables</w:t>
            </w:r>
          </w:p>
        </w:tc>
        <w:tc>
          <w:tcPr>
            <w:tcW w:w="900" w:type="dxa"/>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28 665</w:t>
            </w:r>
          </w:p>
        </w:tc>
        <w:tc>
          <w:tcPr>
            <w:tcW w:w="900" w:type="dxa"/>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18 146</w:t>
            </w:r>
          </w:p>
        </w:tc>
      </w:tr>
      <w:tr w:rsidR="00CD28C9" w:rsidRPr="00892DE3" w:rsidTr="00D8218E">
        <w:tc>
          <w:tcPr>
            <w:cnfStyle w:val="001000000000" w:firstRow="0" w:lastRow="0" w:firstColumn="1" w:lastColumn="0" w:oddVBand="0" w:evenVBand="0" w:oddHBand="0" w:evenHBand="0" w:firstRowFirstColumn="0" w:firstRowLastColumn="0" w:lastRowFirstColumn="0" w:lastRowLastColumn="0"/>
            <w:tcW w:w="1379" w:type="dxa"/>
            <w:shd w:val="clear" w:color="auto" w:fill="auto"/>
            <w:hideMark/>
          </w:tcPr>
          <w:p w:rsidR="00CD28C9" w:rsidRPr="00892DE3" w:rsidRDefault="00CD28C9" w:rsidP="00CD28C9">
            <w:r w:rsidRPr="00892DE3">
              <w:t>AASB 101.61</w:t>
            </w:r>
          </w:p>
        </w:tc>
        <w:tc>
          <w:tcPr>
            <w:tcW w:w="6480" w:type="dxa"/>
            <w:tcBorders>
              <w:bottom w:val="single" w:sz="12" w:space="0" w:color="auto"/>
            </w:tcBorders>
            <w:hideMark/>
          </w:tcPr>
          <w:p w:rsidR="00CD28C9" w:rsidRPr="00892DE3" w:rsidRDefault="00CD28C9" w:rsidP="00D8218E">
            <w:pPr>
              <w:ind w:left="170"/>
              <w:jc w:val="left"/>
              <w:cnfStyle w:val="000000000000" w:firstRow="0" w:lastRow="0" w:firstColumn="0" w:lastColumn="0" w:oddVBand="0" w:evenVBand="0" w:oddHBand="0" w:evenHBand="0" w:firstRowFirstColumn="0" w:firstRowLastColumn="0" w:lastRowFirstColumn="0" w:lastRowLastColumn="0"/>
            </w:pPr>
            <w:r w:rsidRPr="00892DE3">
              <w:t>Non-current receivables</w:t>
            </w:r>
          </w:p>
        </w:tc>
        <w:tc>
          <w:tcPr>
            <w:tcW w:w="900" w:type="dxa"/>
            <w:tcBorders>
              <w:bottom w:val="single" w:sz="12" w:space="0" w:color="auto"/>
            </w:tcBorders>
            <w:shd w:val="clear" w:color="auto" w:fill="EBEBEB" w:themeFill="background2"/>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pPr>
            <w:r w:rsidRPr="00892DE3">
              <w:t>7 380</w:t>
            </w:r>
          </w:p>
        </w:tc>
        <w:tc>
          <w:tcPr>
            <w:tcW w:w="900" w:type="dxa"/>
            <w:tcBorders>
              <w:bottom w:val="single" w:sz="12" w:space="0" w:color="auto"/>
            </w:tcBorders>
            <w:noWrap/>
            <w:hideMark/>
          </w:tcPr>
          <w:p w:rsidR="00CD28C9" w:rsidRPr="00892DE3" w:rsidRDefault="00CD28C9" w:rsidP="00A137C6">
            <w:pPr>
              <w:cnfStyle w:val="000000000000" w:firstRow="0" w:lastRow="0" w:firstColumn="0" w:lastColumn="0" w:oddVBand="0" w:evenVBand="0" w:oddHBand="0" w:evenHBand="0" w:firstRowFirstColumn="0" w:firstRowLastColumn="0" w:lastRowFirstColumn="0" w:lastRowLastColumn="0"/>
            </w:pPr>
            <w:r w:rsidRPr="00892DE3">
              <w:t>2 398</w:t>
            </w:r>
          </w:p>
        </w:tc>
      </w:tr>
    </w:tbl>
    <w:p w:rsidR="00CD28C9" w:rsidRPr="00892DE3" w:rsidRDefault="00CD28C9" w:rsidP="00CD28C9"/>
    <w:p w:rsidR="00CD28C9" w:rsidRPr="00892DE3" w:rsidRDefault="00CD28C9" w:rsidP="00CD28C9">
      <w:r w:rsidRPr="00892DE3">
        <w:rPr>
          <w:b/>
        </w:rPr>
        <w:t>Contractual receivables</w:t>
      </w:r>
      <w:r w:rsidRPr="00892DE3">
        <w:t xml:space="preserve"> are classified as financial instruments and categorised as ‘loans and receivables’. They are initially recognised at fair value plus any directly attributable transaction costs. Subsequent to initial measurement they are measured at amortised cost using the effective interest method, less any impairment. </w:t>
      </w:r>
    </w:p>
    <w:p w:rsidR="00CD28C9" w:rsidRPr="00892DE3" w:rsidRDefault="00CD28C9" w:rsidP="00CD28C9">
      <w:r w:rsidRPr="00892DE3">
        <w:rPr>
          <w:b/>
        </w:rPr>
        <w:t>Statutory receivables</w:t>
      </w:r>
      <w:r w:rsidRPr="00892DE3">
        <w:t xml:space="preserve"> do not arise from contracts and are recognised and measured similarly to contractual receivables (except for impairment), but are not classified as financial instruments. Amounts recognised from the Victorian Government represent funding for all commitments incurred and are drawn from the Consolidated Fund as the commitments fall due.</w:t>
      </w:r>
    </w:p>
    <w:p w:rsidR="0039663C" w:rsidRPr="00892DE3" w:rsidRDefault="0039663C">
      <w:pPr>
        <w:keepLines w:val="0"/>
        <w:rPr>
          <w:rFonts w:asciiTheme="majorHAnsi" w:hAnsiTheme="majorHAnsi"/>
          <w:b/>
          <w:szCs w:val="20"/>
        </w:rPr>
      </w:pPr>
      <w:r w:rsidRPr="00892DE3">
        <w:br w:type="page"/>
      </w:r>
    </w:p>
    <w:p w:rsidR="00CD28C9" w:rsidRPr="00892DE3" w:rsidRDefault="00CD28C9" w:rsidP="0039663C">
      <w:pPr>
        <w:pStyle w:val="TableHeading"/>
      </w:pPr>
      <w:r w:rsidRPr="00892DE3">
        <w:t xml:space="preserve">Movement in the provision for doubtful debts </w:t>
      </w:r>
      <w:r w:rsidRPr="00892DE3">
        <w:rPr>
          <w:rStyle w:val="SourceReference"/>
          <w:b w:val="0"/>
        </w:rPr>
        <w:t>[AASB 7.16]</w:t>
      </w:r>
      <w:r w:rsidR="0039663C" w:rsidRPr="00892DE3">
        <w:tab/>
      </w: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793"/>
        <w:gridCol w:w="895"/>
        <w:gridCol w:w="949"/>
      </w:tblGrid>
      <w:tr w:rsidR="0039663C" w:rsidRPr="00892DE3" w:rsidTr="004435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39" w:type="dxa"/>
            <w:hideMark/>
          </w:tcPr>
          <w:p w:rsidR="0039663C" w:rsidRPr="00892DE3" w:rsidRDefault="0039663C" w:rsidP="0039663C">
            <w:pPr>
              <w:ind w:left="0" w:firstLine="0"/>
            </w:pPr>
          </w:p>
        </w:tc>
        <w:tc>
          <w:tcPr>
            <w:tcW w:w="900" w:type="dxa"/>
            <w:noWrap/>
            <w:hideMark/>
          </w:tcPr>
          <w:p w:rsidR="0039663C" w:rsidRPr="00892DE3" w:rsidRDefault="0039663C" w:rsidP="0039663C">
            <w:pPr>
              <w:cnfStyle w:val="100000000000" w:firstRow="1" w:lastRow="0" w:firstColumn="0" w:lastColumn="0" w:oddVBand="0" w:evenVBand="0" w:oddHBand="0" w:evenHBand="0" w:firstRowFirstColumn="0" w:firstRowLastColumn="0" w:lastRowFirstColumn="0" w:lastRowLastColumn="0"/>
            </w:pPr>
            <w:r w:rsidRPr="00892DE3">
              <w:t>2017</w:t>
            </w:r>
          </w:p>
        </w:tc>
        <w:tc>
          <w:tcPr>
            <w:tcW w:w="954" w:type="dxa"/>
            <w:noWrap/>
            <w:hideMark/>
          </w:tcPr>
          <w:p w:rsidR="0039663C" w:rsidRPr="00892DE3" w:rsidRDefault="0039663C" w:rsidP="0039663C">
            <w:pPr>
              <w:cnfStyle w:val="100000000000" w:firstRow="1" w:lastRow="0" w:firstColumn="0" w:lastColumn="0" w:oddVBand="0" w:evenVBand="0" w:oddHBand="0" w:evenHBand="0" w:firstRowFirstColumn="0" w:firstRowLastColumn="0" w:lastRowFirstColumn="0" w:lastRowLastColumn="0"/>
            </w:pPr>
            <w:r w:rsidRPr="00892DE3">
              <w:t>2016</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839" w:type="dxa"/>
            <w:hideMark/>
          </w:tcPr>
          <w:p w:rsidR="0039663C" w:rsidRPr="00892DE3" w:rsidRDefault="0039663C" w:rsidP="0039663C">
            <w:pPr>
              <w:rPr>
                <w:rFonts w:cstheme="majorHAnsi"/>
                <w:b/>
              </w:rPr>
            </w:pPr>
            <w:r w:rsidRPr="00892DE3">
              <w:rPr>
                <w:rFonts w:cstheme="majorHAnsi"/>
                <w:b/>
              </w:rPr>
              <w:t>Balance at beginning of the year</w:t>
            </w:r>
          </w:p>
        </w:tc>
        <w:tc>
          <w:tcPr>
            <w:tcW w:w="900"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(327)</w:t>
            </w:r>
          </w:p>
        </w:tc>
        <w:tc>
          <w:tcPr>
            <w:tcW w:w="954"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(53)</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839" w:type="dxa"/>
            <w:hideMark/>
          </w:tcPr>
          <w:p w:rsidR="0039663C" w:rsidRPr="00892DE3" w:rsidRDefault="0039663C" w:rsidP="0039663C">
            <w:pPr>
              <w:rPr>
                <w:rFonts w:cstheme="majorHAnsi"/>
              </w:rPr>
            </w:pPr>
            <w:r w:rsidRPr="00892DE3">
              <w:rPr>
                <w:rFonts w:cstheme="majorHAnsi"/>
              </w:rPr>
              <w:t>Reversal of unused provision recognised in the net result</w:t>
            </w:r>
          </w:p>
        </w:tc>
        <w:tc>
          <w:tcPr>
            <w:tcW w:w="900"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30</w:t>
            </w:r>
          </w:p>
        </w:tc>
        <w:tc>
          <w:tcPr>
            <w:tcW w:w="954"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839" w:type="dxa"/>
            <w:hideMark/>
          </w:tcPr>
          <w:p w:rsidR="0039663C" w:rsidRPr="00892DE3" w:rsidRDefault="0039663C" w:rsidP="0039663C">
            <w:pPr>
              <w:rPr>
                <w:rFonts w:cstheme="majorHAnsi"/>
              </w:rPr>
            </w:pPr>
            <w:r w:rsidRPr="00892DE3">
              <w:rPr>
                <w:rFonts w:cstheme="majorHAnsi"/>
              </w:rPr>
              <w:t>Transfers in/acquired outputs</w:t>
            </w:r>
          </w:p>
        </w:tc>
        <w:tc>
          <w:tcPr>
            <w:tcW w:w="900"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w:t>
            </w:r>
          </w:p>
        </w:tc>
        <w:tc>
          <w:tcPr>
            <w:tcW w:w="954"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839" w:type="dxa"/>
          </w:tcPr>
          <w:p w:rsidR="0039663C" w:rsidRPr="00892DE3" w:rsidRDefault="0039663C" w:rsidP="0039663C">
            <w:pPr>
              <w:rPr>
                <w:rFonts w:cstheme="majorHAnsi"/>
              </w:rPr>
            </w:pPr>
            <w:r w:rsidRPr="00892DE3">
              <w:rPr>
                <w:rFonts w:cstheme="majorHAnsi"/>
              </w:rPr>
              <w:t>Transfers out/disposed outputs</w:t>
            </w:r>
          </w:p>
        </w:tc>
        <w:tc>
          <w:tcPr>
            <w:tcW w:w="900"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137</w:t>
            </w:r>
          </w:p>
        </w:tc>
        <w:tc>
          <w:tcPr>
            <w:tcW w:w="954"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839" w:type="dxa"/>
            <w:hideMark/>
          </w:tcPr>
          <w:p w:rsidR="0039663C" w:rsidRPr="00892DE3" w:rsidRDefault="0039663C" w:rsidP="0039663C">
            <w:pPr>
              <w:rPr>
                <w:rFonts w:cstheme="majorHAnsi"/>
              </w:rPr>
            </w:pPr>
            <w:r w:rsidRPr="00892DE3">
              <w:rPr>
                <w:rFonts w:cstheme="majorHAnsi"/>
              </w:rPr>
              <w:t>Increase in provision recognised in the net result</w:t>
            </w:r>
          </w:p>
        </w:tc>
        <w:tc>
          <w:tcPr>
            <w:tcW w:w="900"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(485)</w:t>
            </w:r>
          </w:p>
        </w:tc>
        <w:tc>
          <w:tcPr>
            <w:tcW w:w="954"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(341)</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839" w:type="dxa"/>
            <w:tcBorders>
              <w:bottom w:val="single" w:sz="6" w:space="0" w:color="auto"/>
            </w:tcBorders>
            <w:hideMark/>
          </w:tcPr>
          <w:p w:rsidR="0039663C" w:rsidRPr="00892DE3" w:rsidRDefault="0039663C" w:rsidP="0039663C">
            <w:pPr>
              <w:rPr>
                <w:rFonts w:cstheme="majorHAnsi"/>
              </w:rPr>
            </w:pPr>
            <w:r w:rsidRPr="00892DE3">
              <w:rPr>
                <w:rFonts w:cstheme="majorHAnsi"/>
              </w:rPr>
              <w:t>Reversal of provision of receivables written off during the year as uncollectible</w:t>
            </w:r>
          </w:p>
        </w:tc>
        <w:tc>
          <w:tcPr>
            <w:tcW w:w="900" w:type="dxa"/>
            <w:tcBorders>
              <w:bottom w:val="single" w:sz="6" w:space="0" w:color="auto"/>
            </w:tcBorders>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150</w:t>
            </w:r>
          </w:p>
        </w:tc>
        <w:tc>
          <w:tcPr>
            <w:tcW w:w="954" w:type="dxa"/>
            <w:tcBorders>
              <w:bottom w:val="single" w:sz="6" w:space="0" w:color="auto"/>
            </w:tcBorders>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52</w:t>
            </w:r>
          </w:p>
        </w:tc>
      </w:tr>
      <w:tr w:rsidR="0039663C" w:rsidRPr="00892DE3" w:rsidTr="004435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9" w:type="dxa"/>
            <w:tcBorders>
              <w:top w:val="single" w:sz="6" w:space="0" w:color="auto"/>
              <w:bottom w:val="single" w:sz="12" w:space="0" w:color="auto"/>
            </w:tcBorders>
            <w:hideMark/>
          </w:tcPr>
          <w:p w:rsidR="0039663C" w:rsidRPr="00892DE3" w:rsidRDefault="0039663C" w:rsidP="0039663C">
            <w:pPr>
              <w:rPr>
                <w:rFonts w:cstheme="majorHAnsi"/>
                <w:b w:val="0"/>
              </w:rPr>
            </w:pPr>
            <w:r w:rsidRPr="00892DE3">
              <w:rPr>
                <w:rFonts w:cstheme="majorHAnsi"/>
              </w:rPr>
              <w:t>Balance at end of the year</w:t>
            </w:r>
          </w:p>
        </w:tc>
        <w:tc>
          <w:tcPr>
            <w:tcW w:w="900" w:type="dxa"/>
            <w:tcBorders>
              <w:top w:val="single" w:sz="6" w:space="0" w:color="auto"/>
              <w:bottom w:val="single" w:sz="12" w:space="0" w:color="auto"/>
            </w:tcBorders>
            <w:shd w:val="clear" w:color="auto" w:fill="EBEBEB" w:themeFill="background2"/>
            <w:noWrap/>
            <w:hideMark/>
          </w:tcPr>
          <w:p w:rsidR="0039663C" w:rsidRPr="00892DE3" w:rsidRDefault="0039663C" w:rsidP="0039663C">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(520)</w:t>
            </w:r>
          </w:p>
        </w:tc>
        <w:tc>
          <w:tcPr>
            <w:tcW w:w="954" w:type="dxa"/>
            <w:tcBorders>
              <w:top w:val="single" w:sz="6" w:space="0" w:color="auto"/>
              <w:bottom w:val="single" w:sz="12" w:space="0" w:color="auto"/>
            </w:tcBorders>
            <w:noWrap/>
            <w:hideMark/>
          </w:tcPr>
          <w:p w:rsidR="0039663C" w:rsidRPr="00892DE3" w:rsidRDefault="0039663C" w:rsidP="0039663C">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(327)</w:t>
            </w:r>
          </w:p>
        </w:tc>
      </w:tr>
    </w:tbl>
    <w:p w:rsidR="0039663C" w:rsidRPr="00892DE3" w:rsidRDefault="0039663C" w:rsidP="0039663C"/>
    <w:p w:rsidR="0039663C" w:rsidRPr="00892DE3" w:rsidRDefault="0039663C" w:rsidP="0039663C">
      <w:r w:rsidRPr="00892DE3">
        <w:rPr>
          <w:b/>
        </w:rPr>
        <w:t>Doubtful debts</w:t>
      </w:r>
      <w:r w:rsidRPr="00892DE3">
        <w:t>: Receivables are assessed for bad and doubtful debts on a regular basis. A provision for doubtful debts is recognised when there is objective evidence that the debts may not be collected and bad debts are written off when identified. In assessing impairment of statutory (non-contractual) financial assets, which are not financial instruments, professional judgement is applied in assessing materiality using estimates, averages and other computational methods in accordance with AASB 136 Impairment of Assets.</w:t>
      </w:r>
    </w:p>
    <w:p w:rsidR="0039663C" w:rsidRPr="00892DE3" w:rsidRDefault="0039663C" w:rsidP="0039663C">
      <w:r w:rsidRPr="00892DE3">
        <w:t xml:space="preserve">A provision is made for estimated irrecoverable amounts from the sale of goods when there is objective evidence that an individual receivable is impaired. The increase in the provision for the year is recognised in the net result. </w:t>
      </w:r>
    </w:p>
    <w:p w:rsidR="0039663C" w:rsidRPr="00892DE3" w:rsidRDefault="0039663C" w:rsidP="0039663C">
      <w:r w:rsidRPr="00892DE3">
        <w:t>Loans to third parties are repayable on demand. However, payment is not expected within 12 months after the reporting period and these balances are consequently classified as non-current.</w:t>
      </w:r>
    </w:p>
    <w:p w:rsidR="0039663C" w:rsidRPr="00892DE3" w:rsidRDefault="0039663C" w:rsidP="0039663C">
      <w:r w:rsidRPr="00892DE3">
        <w:t>Bad debts considered as written off by mutual consent are classified as a transaction expense. Bad debts not written off, but included in the provision for doubtful debts, are classified as other economic flows in the net result.</w:t>
      </w:r>
    </w:p>
    <w:p w:rsidR="00CD28C9" w:rsidRPr="00892DE3" w:rsidRDefault="0039663C" w:rsidP="0039663C">
      <w:pPr>
        <w:pStyle w:val="TableHeading"/>
      </w:pPr>
      <w:r w:rsidRPr="00892DE3">
        <w:t xml:space="preserve">Ageing analysis of contractual receivables </w:t>
      </w:r>
      <w:r w:rsidRPr="00892DE3">
        <w:rPr>
          <w:rStyle w:val="SourceReference"/>
          <w:b w:val="0"/>
        </w:rPr>
        <w:t>[AASB 7.37(a)]</w:t>
      </w:r>
      <w:r w:rsidRPr="00892DE3">
        <w:rPr>
          <w:b w:val="0"/>
        </w:rPr>
        <w:t xml:space="preserve"> </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974"/>
        <w:gridCol w:w="1071"/>
        <w:gridCol w:w="1107"/>
        <w:gridCol w:w="1118"/>
        <w:gridCol w:w="989"/>
        <w:gridCol w:w="1428"/>
        <w:gridCol w:w="950"/>
      </w:tblGrid>
      <w:tr w:rsidR="0039663C" w:rsidRPr="00892DE3" w:rsidTr="004435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4" w:type="dxa"/>
          </w:tcPr>
          <w:p w:rsidR="0039663C" w:rsidRPr="00892DE3" w:rsidRDefault="0039663C" w:rsidP="0039663C">
            <w:pPr>
              <w:ind w:left="0" w:firstLine="0"/>
            </w:pPr>
          </w:p>
        </w:tc>
        <w:tc>
          <w:tcPr>
            <w:tcW w:w="1071" w:type="dxa"/>
            <w:noWrap/>
          </w:tcPr>
          <w:p w:rsidR="0039663C" w:rsidRPr="00892DE3" w:rsidRDefault="0039663C" w:rsidP="0039663C">
            <w:pPr>
              <w:cnfStyle w:val="100000000000" w:firstRow="1" w:lastRow="0" w:firstColumn="0" w:lastColumn="0" w:oddVBand="0" w:evenVBand="0" w:oddHBand="0" w:evenHBand="0" w:firstRowFirstColumn="0" w:firstRowLastColumn="0" w:lastRowFirstColumn="0" w:lastRowLastColumn="0"/>
            </w:pPr>
          </w:p>
        </w:tc>
        <w:tc>
          <w:tcPr>
            <w:tcW w:w="1107" w:type="dxa"/>
            <w:noWrap/>
            <w:hideMark/>
          </w:tcPr>
          <w:p w:rsidR="0039663C" w:rsidRPr="00892DE3" w:rsidRDefault="00D8218E" w:rsidP="0039663C">
            <w:pPr>
              <w:cnfStyle w:val="100000000000" w:firstRow="1" w:lastRow="0" w:firstColumn="0" w:lastColumn="0" w:oddVBand="0" w:evenVBand="0" w:oddHBand="0" w:evenHBand="0" w:firstRowFirstColumn="0" w:firstRowLastColumn="0" w:lastRowFirstColumn="0" w:lastRowLastColumn="0"/>
            </w:pPr>
            <w:r w:rsidRPr="00892DE3">
              <w:t>Not past</w:t>
            </w:r>
          </w:p>
        </w:tc>
        <w:tc>
          <w:tcPr>
            <w:tcW w:w="4485" w:type="dxa"/>
            <w:gridSpan w:val="4"/>
            <w:tcBorders>
              <w:bottom w:val="single" w:sz="6" w:space="0" w:color="FFFFFF" w:themeColor="background1"/>
            </w:tcBorders>
            <w:hideMark/>
          </w:tcPr>
          <w:p w:rsidR="0039663C" w:rsidRPr="00892DE3" w:rsidRDefault="0039663C" w:rsidP="0039663C">
            <w:pPr>
              <w:jc w:val="center"/>
              <w:cnfStyle w:val="100000000000" w:firstRow="1" w:lastRow="0" w:firstColumn="0" w:lastColumn="0" w:oddVBand="0" w:evenVBand="0" w:oddHBand="0" w:evenHBand="0" w:firstRowFirstColumn="0" w:firstRowLastColumn="0" w:lastRowFirstColumn="0" w:lastRowLastColumn="0"/>
            </w:pPr>
            <w:r w:rsidRPr="00892DE3">
              <w:t>Past due but not impaired</w:t>
            </w:r>
          </w:p>
        </w:tc>
      </w:tr>
      <w:tr w:rsidR="0039663C" w:rsidRPr="00892DE3" w:rsidTr="004435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74" w:type="dxa"/>
            <w:hideMark/>
          </w:tcPr>
          <w:p w:rsidR="0039663C" w:rsidRPr="00892DE3" w:rsidRDefault="0039663C" w:rsidP="0039663C">
            <w:pPr>
              <w:ind w:left="0" w:firstLine="0"/>
            </w:pPr>
          </w:p>
        </w:tc>
        <w:tc>
          <w:tcPr>
            <w:tcW w:w="1071" w:type="dxa"/>
            <w:shd w:val="clear" w:color="auto" w:fill="000000"/>
            <w:hideMark/>
          </w:tcPr>
          <w:p w:rsidR="0039663C" w:rsidRPr="00892DE3" w:rsidRDefault="0039663C" w:rsidP="0039663C">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1107" w:type="dxa"/>
            <w:hideMark/>
          </w:tcPr>
          <w:p w:rsidR="0039663C" w:rsidRPr="00892DE3" w:rsidRDefault="00D8218E" w:rsidP="0039663C">
            <w:pPr>
              <w:cnfStyle w:val="100000000000" w:firstRow="1" w:lastRow="0" w:firstColumn="0" w:lastColumn="0" w:oddVBand="0" w:evenVBand="0" w:oddHBand="0" w:evenHBand="0" w:firstRowFirstColumn="0" w:firstRowLastColumn="0" w:lastRowFirstColumn="0" w:lastRowLastColumn="0"/>
            </w:pPr>
            <w:r w:rsidRPr="00892DE3">
              <w:t xml:space="preserve">due </w:t>
            </w:r>
            <w:r w:rsidR="0039663C" w:rsidRPr="00892DE3">
              <w:t>and not impaired</w:t>
            </w:r>
          </w:p>
        </w:tc>
        <w:tc>
          <w:tcPr>
            <w:tcW w:w="1118" w:type="dxa"/>
            <w:tcBorders>
              <w:top w:val="single" w:sz="6" w:space="0" w:color="FFFFFF" w:themeColor="background1"/>
            </w:tcBorders>
            <w:hideMark/>
          </w:tcPr>
          <w:p w:rsidR="0039663C" w:rsidRPr="00892DE3" w:rsidRDefault="0039663C" w:rsidP="0039663C">
            <w:pPr>
              <w:cnfStyle w:val="100000000000" w:firstRow="1" w:lastRow="0" w:firstColumn="0" w:lastColumn="0" w:oddVBand="0" w:evenVBand="0" w:oddHBand="0" w:evenHBand="0" w:firstRowFirstColumn="0" w:firstRowLastColumn="0" w:lastRowFirstColumn="0" w:lastRowLastColumn="0"/>
            </w:pPr>
            <w:r w:rsidRPr="00892DE3">
              <w:t xml:space="preserve">Less than </w:t>
            </w:r>
            <w:r w:rsidRPr="00892DE3">
              <w:br/>
              <w:t>1 month</w:t>
            </w:r>
          </w:p>
        </w:tc>
        <w:tc>
          <w:tcPr>
            <w:tcW w:w="989" w:type="dxa"/>
            <w:tcBorders>
              <w:top w:val="single" w:sz="6" w:space="0" w:color="FFFFFF" w:themeColor="background1"/>
            </w:tcBorders>
            <w:hideMark/>
          </w:tcPr>
          <w:p w:rsidR="0039663C" w:rsidRPr="00892DE3" w:rsidRDefault="0039663C" w:rsidP="0039663C">
            <w:pPr>
              <w:cnfStyle w:val="100000000000" w:firstRow="1" w:lastRow="0" w:firstColumn="0" w:lastColumn="0" w:oddVBand="0" w:evenVBand="0" w:oddHBand="0" w:evenHBand="0" w:firstRowFirstColumn="0" w:firstRowLastColumn="0" w:lastRowFirstColumn="0" w:lastRowLastColumn="0"/>
            </w:pPr>
            <w:r w:rsidRPr="00892DE3">
              <w:t>1</w:t>
            </w:r>
            <w:r w:rsidRPr="00892DE3">
              <w:noBreakHyphen/>
              <w:t>3 months</w:t>
            </w:r>
          </w:p>
        </w:tc>
        <w:tc>
          <w:tcPr>
            <w:tcW w:w="1428" w:type="dxa"/>
            <w:tcBorders>
              <w:top w:val="single" w:sz="6" w:space="0" w:color="FFFFFF" w:themeColor="background1"/>
            </w:tcBorders>
            <w:hideMark/>
          </w:tcPr>
          <w:p w:rsidR="0039663C" w:rsidRPr="00892DE3" w:rsidRDefault="0039663C" w:rsidP="00D8218E">
            <w:pPr>
              <w:cnfStyle w:val="100000000000" w:firstRow="1" w:lastRow="0" w:firstColumn="0" w:lastColumn="0" w:oddVBand="0" w:evenVBand="0" w:oddHBand="0" w:evenHBand="0" w:firstRowFirstColumn="0" w:firstRowLastColumn="0" w:lastRowFirstColumn="0" w:lastRowLastColumn="0"/>
            </w:pPr>
            <w:r w:rsidRPr="00892DE3">
              <w:t xml:space="preserve">3 months </w:t>
            </w:r>
            <w:r w:rsidR="00D8218E" w:rsidRPr="00892DE3">
              <w:t>-</w:t>
            </w:r>
            <w:r w:rsidRPr="00892DE3">
              <w:t xml:space="preserve"> </w:t>
            </w:r>
            <w:r w:rsidR="00D8218E" w:rsidRPr="00892DE3">
              <w:br/>
            </w:r>
            <w:r w:rsidRPr="00892DE3">
              <w:t>1 year</w:t>
            </w:r>
          </w:p>
        </w:tc>
        <w:tc>
          <w:tcPr>
            <w:tcW w:w="950" w:type="dxa"/>
            <w:tcBorders>
              <w:top w:val="single" w:sz="6" w:space="0" w:color="FFFFFF" w:themeColor="background1"/>
            </w:tcBorders>
            <w:hideMark/>
          </w:tcPr>
          <w:p w:rsidR="0039663C" w:rsidRPr="00892DE3" w:rsidRDefault="0039663C" w:rsidP="0039663C">
            <w:pPr>
              <w:cnfStyle w:val="100000000000" w:firstRow="1" w:lastRow="0" w:firstColumn="0" w:lastColumn="0" w:oddVBand="0" w:evenVBand="0" w:oddHBand="0" w:evenHBand="0" w:firstRowFirstColumn="0" w:firstRowLastColumn="0" w:lastRowFirstColumn="0" w:lastRowLastColumn="0"/>
            </w:pPr>
            <w:r w:rsidRPr="00892DE3">
              <w:t>1</w:t>
            </w:r>
            <w:r w:rsidR="00D8218E" w:rsidRPr="00892DE3">
              <w:t xml:space="preserve"> </w:t>
            </w:r>
            <w:r w:rsidRPr="00892DE3">
              <w:noBreakHyphen/>
              <w:t xml:space="preserve"> 5 years</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tcPr>
          <w:p w:rsidR="0039663C" w:rsidRPr="00892DE3" w:rsidRDefault="0039663C" w:rsidP="0039663C">
            <w:pPr>
              <w:rPr>
                <w:rFonts w:cstheme="majorHAnsi"/>
                <w:b/>
              </w:rPr>
            </w:pPr>
            <w:r w:rsidRPr="00892DE3">
              <w:rPr>
                <w:rFonts w:cstheme="majorHAnsi"/>
                <w:b/>
              </w:rPr>
              <w:t>2017</w:t>
            </w:r>
          </w:p>
        </w:tc>
        <w:tc>
          <w:tcPr>
            <w:tcW w:w="1071" w:type="dxa"/>
            <w:shd w:val="clear" w:color="auto" w:fill="EBEBEB" w:themeFill="background2"/>
            <w:noWrap/>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p>
        </w:tc>
        <w:tc>
          <w:tcPr>
            <w:tcW w:w="1107" w:type="dxa"/>
            <w:noWrap/>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p>
        </w:tc>
        <w:tc>
          <w:tcPr>
            <w:tcW w:w="1118" w:type="dxa"/>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p>
        </w:tc>
        <w:tc>
          <w:tcPr>
            <w:tcW w:w="989" w:type="dxa"/>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p>
        </w:tc>
        <w:tc>
          <w:tcPr>
            <w:tcW w:w="1428" w:type="dxa"/>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p>
        </w:tc>
        <w:tc>
          <w:tcPr>
            <w:tcW w:w="950" w:type="dxa"/>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hideMark/>
          </w:tcPr>
          <w:p w:rsidR="0039663C" w:rsidRPr="00892DE3" w:rsidRDefault="0039663C" w:rsidP="0039663C">
            <w:pPr>
              <w:rPr>
                <w:rFonts w:cstheme="majorHAnsi"/>
              </w:rPr>
            </w:pPr>
            <w:r w:rsidRPr="00892DE3">
              <w:rPr>
                <w:rFonts w:cstheme="majorHAnsi"/>
              </w:rPr>
              <w:t>Finance lease receivables</w:t>
            </w:r>
          </w:p>
        </w:tc>
        <w:tc>
          <w:tcPr>
            <w:tcW w:w="1071"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581</w:t>
            </w:r>
          </w:p>
        </w:tc>
        <w:tc>
          <w:tcPr>
            <w:tcW w:w="1107"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523</w:t>
            </w:r>
          </w:p>
        </w:tc>
        <w:tc>
          <w:tcPr>
            <w:tcW w:w="111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w:t>
            </w:r>
          </w:p>
        </w:tc>
        <w:tc>
          <w:tcPr>
            <w:tcW w:w="989"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hideMark/>
          </w:tcPr>
          <w:p w:rsidR="0039663C" w:rsidRPr="00892DE3" w:rsidRDefault="0039663C" w:rsidP="0039663C">
            <w:pPr>
              <w:rPr>
                <w:rFonts w:cstheme="majorHAnsi"/>
              </w:rPr>
            </w:pPr>
            <w:r w:rsidRPr="00892DE3">
              <w:rPr>
                <w:rFonts w:cstheme="majorHAnsi"/>
              </w:rPr>
              <w:t>Sale of goods and services</w:t>
            </w:r>
          </w:p>
        </w:tc>
        <w:tc>
          <w:tcPr>
            <w:tcW w:w="1071"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1 253</w:t>
            </w:r>
          </w:p>
        </w:tc>
        <w:tc>
          <w:tcPr>
            <w:tcW w:w="1107"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908</w:t>
            </w:r>
          </w:p>
        </w:tc>
        <w:tc>
          <w:tcPr>
            <w:tcW w:w="111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125</w:t>
            </w:r>
          </w:p>
        </w:tc>
        <w:tc>
          <w:tcPr>
            <w:tcW w:w="989"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94</w:t>
            </w:r>
          </w:p>
        </w:tc>
        <w:tc>
          <w:tcPr>
            <w:tcW w:w="142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63</w:t>
            </w:r>
          </w:p>
        </w:tc>
        <w:tc>
          <w:tcPr>
            <w:tcW w:w="950"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63</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hideMark/>
          </w:tcPr>
          <w:p w:rsidR="0039663C" w:rsidRPr="00892DE3" w:rsidRDefault="0039663C" w:rsidP="0039663C">
            <w:pPr>
              <w:rPr>
                <w:rFonts w:cstheme="majorHAnsi"/>
              </w:rPr>
            </w:pPr>
            <w:r w:rsidRPr="00892DE3">
              <w:rPr>
                <w:rFonts w:cstheme="majorHAnsi"/>
              </w:rPr>
              <w:t>Loans to third parties</w:t>
            </w:r>
          </w:p>
        </w:tc>
        <w:tc>
          <w:tcPr>
            <w:tcW w:w="1071"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146</w:t>
            </w:r>
          </w:p>
        </w:tc>
        <w:tc>
          <w:tcPr>
            <w:tcW w:w="1107"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106</w:t>
            </w:r>
          </w:p>
        </w:tc>
        <w:tc>
          <w:tcPr>
            <w:tcW w:w="111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w:t>
            </w:r>
          </w:p>
        </w:tc>
        <w:tc>
          <w:tcPr>
            <w:tcW w:w="989"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w:t>
            </w:r>
          </w:p>
        </w:tc>
        <w:tc>
          <w:tcPr>
            <w:tcW w:w="142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w:t>
            </w:r>
          </w:p>
        </w:tc>
        <w:tc>
          <w:tcPr>
            <w:tcW w:w="950"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hideMark/>
          </w:tcPr>
          <w:p w:rsidR="0039663C" w:rsidRPr="00892DE3" w:rsidRDefault="0039663C" w:rsidP="0039663C">
            <w:pPr>
              <w:rPr>
                <w:rFonts w:cstheme="majorHAnsi"/>
              </w:rPr>
            </w:pPr>
            <w:r w:rsidRPr="00892DE3">
              <w:rPr>
                <w:rFonts w:cstheme="majorHAnsi"/>
              </w:rPr>
              <w:t>Accrued investment income</w:t>
            </w:r>
          </w:p>
        </w:tc>
        <w:tc>
          <w:tcPr>
            <w:tcW w:w="1071"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c>
          <w:tcPr>
            <w:tcW w:w="1107"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c>
          <w:tcPr>
            <w:tcW w:w="111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tcBorders>
              <w:bottom w:val="single" w:sz="6" w:space="0" w:color="auto"/>
            </w:tcBorders>
            <w:hideMark/>
          </w:tcPr>
          <w:p w:rsidR="0039663C" w:rsidRPr="00892DE3" w:rsidRDefault="0039663C" w:rsidP="0039663C">
            <w:pPr>
              <w:rPr>
                <w:rFonts w:cstheme="majorHAnsi"/>
              </w:rPr>
            </w:pPr>
            <w:r w:rsidRPr="00892DE3">
              <w:rPr>
                <w:rFonts w:cstheme="majorHAnsi"/>
              </w:rPr>
              <w:t>Other receivables</w:t>
            </w:r>
          </w:p>
        </w:tc>
        <w:tc>
          <w:tcPr>
            <w:tcW w:w="1071" w:type="dxa"/>
            <w:tcBorders>
              <w:bottom w:val="single" w:sz="6" w:space="0" w:color="auto"/>
            </w:tcBorders>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c>
          <w:tcPr>
            <w:tcW w:w="1107" w:type="dxa"/>
            <w:tcBorders>
              <w:bottom w:val="single" w:sz="6" w:space="0" w:color="auto"/>
            </w:tcBorders>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c>
          <w:tcPr>
            <w:tcW w:w="1118" w:type="dxa"/>
            <w:tcBorders>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tcBorders>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tcBorders>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tcBorders>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tcBorders>
              <w:top w:val="single" w:sz="6" w:space="0" w:color="auto"/>
              <w:bottom w:val="single" w:sz="6" w:space="0" w:color="auto"/>
            </w:tcBorders>
            <w:hideMark/>
          </w:tcPr>
          <w:p w:rsidR="0039663C" w:rsidRPr="00892DE3" w:rsidRDefault="0039663C" w:rsidP="0039663C">
            <w:pPr>
              <w:rPr>
                <w:rFonts w:cstheme="majorHAnsi"/>
                <w:b/>
              </w:rPr>
            </w:pPr>
            <w:r w:rsidRPr="00892DE3">
              <w:rPr>
                <w:rFonts w:cstheme="majorHAnsi"/>
                <w:b/>
              </w:rPr>
              <w:t xml:space="preserve">Total </w:t>
            </w:r>
          </w:p>
        </w:tc>
        <w:tc>
          <w:tcPr>
            <w:tcW w:w="1071" w:type="dxa"/>
            <w:tcBorders>
              <w:top w:val="single" w:sz="6" w:space="0" w:color="auto"/>
              <w:bottom w:val="single" w:sz="6" w:space="0" w:color="auto"/>
            </w:tcBorders>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4 178</w:t>
            </w:r>
          </w:p>
        </w:tc>
        <w:tc>
          <w:tcPr>
            <w:tcW w:w="1107" w:type="dxa"/>
            <w:tcBorders>
              <w:top w:val="single" w:sz="6" w:space="0" w:color="auto"/>
              <w:bottom w:val="single" w:sz="6" w:space="0" w:color="auto"/>
            </w:tcBorders>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3 735</w:t>
            </w:r>
          </w:p>
        </w:tc>
        <w:tc>
          <w:tcPr>
            <w:tcW w:w="1118" w:type="dxa"/>
            <w:tcBorders>
              <w:top w:val="single" w:sz="6" w:space="0" w:color="auto"/>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198</w:t>
            </w:r>
          </w:p>
        </w:tc>
        <w:tc>
          <w:tcPr>
            <w:tcW w:w="989" w:type="dxa"/>
            <w:tcBorders>
              <w:top w:val="single" w:sz="6" w:space="0" w:color="auto"/>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105</w:t>
            </w:r>
          </w:p>
        </w:tc>
        <w:tc>
          <w:tcPr>
            <w:tcW w:w="1428" w:type="dxa"/>
            <w:tcBorders>
              <w:top w:val="single" w:sz="6" w:space="0" w:color="auto"/>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70</w:t>
            </w:r>
          </w:p>
        </w:tc>
        <w:tc>
          <w:tcPr>
            <w:tcW w:w="950" w:type="dxa"/>
            <w:tcBorders>
              <w:top w:val="single" w:sz="6" w:space="0" w:color="auto"/>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70</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tcBorders>
              <w:top w:val="single" w:sz="6" w:space="0" w:color="auto"/>
            </w:tcBorders>
            <w:hideMark/>
          </w:tcPr>
          <w:p w:rsidR="0039663C" w:rsidRPr="00892DE3" w:rsidRDefault="0039663C" w:rsidP="0039663C">
            <w:pPr>
              <w:rPr>
                <w:rFonts w:cstheme="majorHAnsi"/>
                <w:b/>
              </w:rPr>
            </w:pPr>
            <w:r w:rsidRPr="00892DE3">
              <w:rPr>
                <w:rFonts w:cstheme="majorHAnsi"/>
                <w:b/>
              </w:rPr>
              <w:t>2016</w:t>
            </w:r>
          </w:p>
        </w:tc>
        <w:tc>
          <w:tcPr>
            <w:tcW w:w="1071" w:type="dxa"/>
            <w:tcBorders>
              <w:top w:val="single" w:sz="6" w:space="0" w:color="auto"/>
            </w:tcBorders>
            <w:shd w:val="clear" w:color="auto" w:fill="EBEBEB" w:themeFill="background2"/>
            <w:noWrap/>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07" w:type="dxa"/>
            <w:tcBorders>
              <w:top w:val="single" w:sz="6" w:space="0" w:color="auto"/>
            </w:tcBorders>
            <w:noWrap/>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18" w:type="dxa"/>
            <w:tcBorders>
              <w:top w:val="single" w:sz="6" w:space="0" w:color="auto"/>
            </w:tcBorders>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89" w:type="dxa"/>
            <w:tcBorders>
              <w:top w:val="single" w:sz="6" w:space="0" w:color="auto"/>
            </w:tcBorders>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428" w:type="dxa"/>
            <w:tcBorders>
              <w:top w:val="single" w:sz="6" w:space="0" w:color="auto"/>
            </w:tcBorders>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50" w:type="dxa"/>
            <w:tcBorders>
              <w:top w:val="single" w:sz="6" w:space="0" w:color="auto"/>
            </w:tcBorders>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b/>
              </w:rPr>
            </w:pP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hideMark/>
          </w:tcPr>
          <w:p w:rsidR="0039663C" w:rsidRPr="00892DE3" w:rsidRDefault="0039663C" w:rsidP="0039663C">
            <w:pPr>
              <w:rPr>
                <w:rFonts w:cstheme="majorHAnsi"/>
              </w:rPr>
            </w:pPr>
            <w:r w:rsidRPr="00892DE3">
              <w:rPr>
                <w:rFonts w:cstheme="majorHAnsi"/>
              </w:rPr>
              <w:t>Finance lease receivables</w:t>
            </w:r>
          </w:p>
        </w:tc>
        <w:tc>
          <w:tcPr>
            <w:tcW w:w="1071"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1 231</w:t>
            </w:r>
          </w:p>
        </w:tc>
        <w:tc>
          <w:tcPr>
            <w:tcW w:w="1107"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1 108</w:t>
            </w:r>
          </w:p>
        </w:tc>
        <w:tc>
          <w:tcPr>
            <w:tcW w:w="111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123</w:t>
            </w:r>
          </w:p>
        </w:tc>
        <w:tc>
          <w:tcPr>
            <w:tcW w:w="989"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hideMark/>
          </w:tcPr>
          <w:p w:rsidR="0039663C" w:rsidRPr="00892DE3" w:rsidRDefault="0039663C" w:rsidP="0039663C">
            <w:pPr>
              <w:rPr>
                <w:rFonts w:cstheme="majorHAnsi"/>
              </w:rPr>
            </w:pPr>
            <w:r w:rsidRPr="00892DE3">
              <w:rPr>
                <w:rFonts w:cstheme="majorHAnsi"/>
              </w:rPr>
              <w:t>Sale of goods and services</w:t>
            </w:r>
          </w:p>
        </w:tc>
        <w:tc>
          <w:tcPr>
            <w:tcW w:w="1071"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902</w:t>
            </w:r>
          </w:p>
        </w:tc>
        <w:tc>
          <w:tcPr>
            <w:tcW w:w="1107"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654</w:t>
            </w:r>
          </w:p>
        </w:tc>
        <w:tc>
          <w:tcPr>
            <w:tcW w:w="111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w:t>
            </w:r>
          </w:p>
        </w:tc>
        <w:tc>
          <w:tcPr>
            <w:tcW w:w="989"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68</w:t>
            </w:r>
          </w:p>
        </w:tc>
        <w:tc>
          <w:tcPr>
            <w:tcW w:w="142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w:t>
            </w:r>
          </w:p>
        </w:tc>
        <w:tc>
          <w:tcPr>
            <w:tcW w:w="950"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hideMark/>
          </w:tcPr>
          <w:p w:rsidR="0039663C" w:rsidRPr="00892DE3" w:rsidRDefault="0039663C" w:rsidP="0039663C">
            <w:pPr>
              <w:rPr>
                <w:rFonts w:cstheme="majorHAnsi"/>
              </w:rPr>
            </w:pPr>
            <w:r w:rsidRPr="00892DE3">
              <w:rPr>
                <w:rFonts w:cstheme="majorHAnsi"/>
              </w:rPr>
              <w:t>Loans to third parties</w:t>
            </w:r>
          </w:p>
        </w:tc>
        <w:tc>
          <w:tcPr>
            <w:tcW w:w="1071"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241</w:t>
            </w:r>
          </w:p>
        </w:tc>
        <w:tc>
          <w:tcPr>
            <w:tcW w:w="1107"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175</w:t>
            </w:r>
          </w:p>
        </w:tc>
        <w:tc>
          <w:tcPr>
            <w:tcW w:w="111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w:t>
            </w:r>
          </w:p>
        </w:tc>
        <w:tc>
          <w:tcPr>
            <w:tcW w:w="989"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w:t>
            </w:r>
          </w:p>
        </w:tc>
        <w:tc>
          <w:tcPr>
            <w:tcW w:w="142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w:t>
            </w:r>
          </w:p>
        </w:tc>
        <w:tc>
          <w:tcPr>
            <w:tcW w:w="950"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hideMark/>
          </w:tcPr>
          <w:p w:rsidR="0039663C" w:rsidRPr="00892DE3" w:rsidRDefault="0039663C" w:rsidP="0039663C">
            <w:pPr>
              <w:rPr>
                <w:rFonts w:cstheme="majorHAnsi"/>
              </w:rPr>
            </w:pPr>
            <w:r w:rsidRPr="00892DE3">
              <w:rPr>
                <w:rFonts w:cstheme="majorHAnsi"/>
              </w:rPr>
              <w:t>Accrued investment income</w:t>
            </w:r>
          </w:p>
        </w:tc>
        <w:tc>
          <w:tcPr>
            <w:tcW w:w="1071" w:type="dxa"/>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1 058</w:t>
            </w:r>
          </w:p>
        </w:tc>
        <w:tc>
          <w:tcPr>
            <w:tcW w:w="1107" w:type="dxa"/>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1 058</w:t>
            </w:r>
          </w:p>
        </w:tc>
        <w:tc>
          <w:tcPr>
            <w:tcW w:w="111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2974" w:type="dxa"/>
            <w:tcBorders>
              <w:bottom w:val="single" w:sz="6" w:space="0" w:color="auto"/>
            </w:tcBorders>
            <w:hideMark/>
          </w:tcPr>
          <w:p w:rsidR="0039663C" w:rsidRPr="00892DE3" w:rsidRDefault="0039663C" w:rsidP="0039663C">
            <w:pPr>
              <w:rPr>
                <w:rFonts w:cstheme="majorHAnsi"/>
              </w:rPr>
            </w:pPr>
            <w:r w:rsidRPr="00892DE3">
              <w:rPr>
                <w:rFonts w:cstheme="majorHAnsi"/>
              </w:rPr>
              <w:t>Other receivables</w:t>
            </w:r>
          </w:p>
        </w:tc>
        <w:tc>
          <w:tcPr>
            <w:tcW w:w="1071" w:type="dxa"/>
            <w:tcBorders>
              <w:bottom w:val="single" w:sz="6" w:space="0" w:color="auto"/>
            </w:tcBorders>
            <w:shd w:val="clear" w:color="auto" w:fill="EBEBEB" w:themeFill="background2"/>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438</w:t>
            </w:r>
          </w:p>
        </w:tc>
        <w:tc>
          <w:tcPr>
            <w:tcW w:w="1107" w:type="dxa"/>
            <w:tcBorders>
              <w:bottom w:val="single" w:sz="6" w:space="0" w:color="auto"/>
            </w:tcBorders>
            <w:noWrap/>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438</w:t>
            </w:r>
          </w:p>
        </w:tc>
        <w:tc>
          <w:tcPr>
            <w:tcW w:w="1118" w:type="dxa"/>
            <w:tcBorders>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tcBorders>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tcBorders>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tcBorders>
              <w:bottom w:val="single" w:sz="6" w:space="0" w:color="auto"/>
            </w:tcBorders>
            <w:hideMark/>
          </w:tcPr>
          <w:p w:rsidR="0039663C" w:rsidRPr="00892DE3" w:rsidRDefault="0039663C" w:rsidP="0039663C">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39663C" w:rsidRPr="00892DE3" w:rsidTr="004435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Borders>
              <w:top w:val="single" w:sz="6" w:space="0" w:color="auto"/>
              <w:bottom w:val="single" w:sz="12" w:space="0" w:color="auto"/>
            </w:tcBorders>
            <w:hideMark/>
          </w:tcPr>
          <w:p w:rsidR="0039663C" w:rsidRPr="00892DE3" w:rsidRDefault="0039663C" w:rsidP="0039663C">
            <w:pPr>
              <w:rPr>
                <w:rFonts w:cstheme="majorHAnsi"/>
                <w:b w:val="0"/>
              </w:rPr>
            </w:pPr>
            <w:r w:rsidRPr="00892DE3">
              <w:rPr>
                <w:rFonts w:cstheme="majorHAnsi"/>
              </w:rPr>
              <w:t>Total</w:t>
            </w:r>
          </w:p>
        </w:tc>
        <w:tc>
          <w:tcPr>
            <w:tcW w:w="1071" w:type="dxa"/>
            <w:tcBorders>
              <w:top w:val="single" w:sz="6" w:space="0" w:color="auto"/>
              <w:bottom w:val="single" w:sz="12" w:space="0" w:color="auto"/>
            </w:tcBorders>
            <w:shd w:val="clear" w:color="auto" w:fill="EBEBEB" w:themeFill="background2"/>
            <w:noWrap/>
            <w:hideMark/>
          </w:tcPr>
          <w:p w:rsidR="0039663C" w:rsidRPr="00892DE3" w:rsidRDefault="0039663C" w:rsidP="0039663C">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3 870</w:t>
            </w:r>
          </w:p>
        </w:tc>
        <w:tc>
          <w:tcPr>
            <w:tcW w:w="1107" w:type="dxa"/>
            <w:tcBorders>
              <w:top w:val="single" w:sz="6" w:space="0" w:color="auto"/>
              <w:bottom w:val="single" w:sz="12" w:space="0" w:color="auto"/>
            </w:tcBorders>
            <w:noWrap/>
            <w:hideMark/>
          </w:tcPr>
          <w:p w:rsidR="0039663C" w:rsidRPr="00892DE3" w:rsidRDefault="0039663C" w:rsidP="0039663C">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3 433</w:t>
            </w:r>
          </w:p>
        </w:tc>
        <w:tc>
          <w:tcPr>
            <w:tcW w:w="1118" w:type="dxa"/>
            <w:tcBorders>
              <w:top w:val="single" w:sz="6" w:space="0" w:color="auto"/>
              <w:bottom w:val="single" w:sz="12" w:space="0" w:color="auto"/>
            </w:tcBorders>
            <w:hideMark/>
          </w:tcPr>
          <w:p w:rsidR="0039663C" w:rsidRPr="00892DE3" w:rsidRDefault="0039663C" w:rsidP="0039663C">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237</w:t>
            </w:r>
          </w:p>
        </w:tc>
        <w:tc>
          <w:tcPr>
            <w:tcW w:w="989" w:type="dxa"/>
            <w:tcBorders>
              <w:top w:val="single" w:sz="6" w:space="0" w:color="auto"/>
              <w:bottom w:val="single" w:sz="12" w:space="0" w:color="auto"/>
            </w:tcBorders>
            <w:hideMark/>
          </w:tcPr>
          <w:p w:rsidR="0039663C" w:rsidRPr="00892DE3" w:rsidRDefault="0039663C" w:rsidP="0039663C">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86</w:t>
            </w:r>
          </w:p>
        </w:tc>
        <w:tc>
          <w:tcPr>
            <w:tcW w:w="1428" w:type="dxa"/>
            <w:tcBorders>
              <w:top w:val="single" w:sz="6" w:space="0" w:color="auto"/>
              <w:bottom w:val="single" w:sz="12" w:space="0" w:color="auto"/>
            </w:tcBorders>
            <w:hideMark/>
          </w:tcPr>
          <w:p w:rsidR="0039663C" w:rsidRPr="00892DE3" w:rsidRDefault="0039663C" w:rsidP="0039663C">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57</w:t>
            </w:r>
          </w:p>
        </w:tc>
        <w:tc>
          <w:tcPr>
            <w:tcW w:w="950" w:type="dxa"/>
            <w:tcBorders>
              <w:top w:val="single" w:sz="6" w:space="0" w:color="auto"/>
              <w:bottom w:val="single" w:sz="12" w:space="0" w:color="auto"/>
            </w:tcBorders>
            <w:hideMark/>
          </w:tcPr>
          <w:p w:rsidR="0039663C" w:rsidRPr="00892DE3" w:rsidRDefault="0039663C" w:rsidP="0039663C">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57</w:t>
            </w:r>
          </w:p>
        </w:tc>
      </w:tr>
    </w:tbl>
    <w:p w:rsidR="0039663C" w:rsidRPr="00892DE3" w:rsidRDefault="0039663C" w:rsidP="0039663C">
      <w:r w:rsidRPr="00892DE3">
        <w:t>No interest is charged for the first 30 days from the invoice date. Thereafter, interest is charged at 2 per cent on the outstanding balance. The average credit period for sales of goods/services and for other receivables is 30 days. There are no material financial assets that are individually determined to be impaired. Currently the Department does not hold any collateral as security nor credit enhancements relating to any of its financial assets.</w:t>
      </w:r>
    </w:p>
    <w:p w:rsidR="0039663C" w:rsidRPr="00892DE3" w:rsidRDefault="0039663C" w:rsidP="0039663C">
      <w:r w:rsidRPr="00892DE3">
        <w:t>There are no financial assets that have had their terms renegotiated so as to prevent them from being past due or impaired, and they are stated at the carrying amounts as indicated.</w:t>
      </w:r>
    </w:p>
    <w:p w:rsidR="0039663C" w:rsidRPr="00892DE3" w:rsidRDefault="0039663C" w:rsidP="0039663C">
      <w:pPr>
        <w:pStyle w:val="Heading30"/>
      </w:pPr>
      <w:r w:rsidRPr="00892DE3">
        <w:t xml:space="preserve">Finance leases (Department as lessor) </w:t>
      </w:r>
      <w:r w:rsidRPr="00892DE3">
        <w:rPr>
          <w:rStyle w:val="SourceReference"/>
          <w:b w:val="0"/>
        </w:rPr>
        <w:t>[AASB 117.36, 117.39]</w:t>
      </w:r>
    </w:p>
    <w:p w:rsidR="0039663C" w:rsidRPr="00892DE3" w:rsidRDefault="0039663C" w:rsidP="0039663C">
      <w:r w:rsidRPr="00892DE3">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rsidR="0039663C" w:rsidRPr="00892DE3" w:rsidRDefault="0039663C" w:rsidP="0039663C">
      <w:r w:rsidRPr="00892DE3">
        <w:t xml:space="preserve">Finance lease receivables relate to equipment with lease terms of five years. The lessees have options to purchase the equipment for a nominal amount at the conclusion of the lease agreements. </w:t>
      </w:r>
      <w:r w:rsidRPr="00892DE3">
        <w:rPr>
          <w:rStyle w:val="SourceReference"/>
        </w:rPr>
        <w:t>[AASB 117.47(f)]</w:t>
      </w:r>
      <w:r w:rsidRPr="00892DE3">
        <w:t xml:space="preserve">. In relation to the leasing arrangements below, there are unguaranteed residual values of $9 000 in 2016-17 ($24 000 in 2015-16) that were accrued for the benefit of the Department. </w:t>
      </w:r>
      <w:r w:rsidRPr="00892DE3">
        <w:rPr>
          <w:rStyle w:val="SourceReference"/>
        </w:rPr>
        <w:t>[AASB 117.47(c)]</w:t>
      </w:r>
    </w:p>
    <w:p w:rsidR="0039663C" w:rsidRPr="00892DE3" w:rsidRDefault="0039663C">
      <w:pPr>
        <w:keepLines w:val="0"/>
      </w:pPr>
      <w:r w:rsidRPr="00892DE3">
        <w:br w:type="page"/>
      </w:r>
    </w:p>
    <w:p w:rsidR="00CD28C9" w:rsidRPr="00892DE3" w:rsidRDefault="0039663C" w:rsidP="0039663C">
      <w:pPr>
        <w:pStyle w:val="TableUnits"/>
      </w:pPr>
      <w:r w:rsidRPr="00892DE3">
        <w:t>($ thousand)</w:t>
      </w:r>
    </w:p>
    <w:tbl>
      <w:tblPr>
        <w:tblStyle w:val="ModelReportFinancialTable"/>
        <w:tblW w:w="5000" w:type="pct"/>
        <w:tblLayout w:type="fixed"/>
        <w:tblLook w:val="06A0" w:firstRow="1" w:lastRow="0" w:firstColumn="1" w:lastColumn="0" w:noHBand="1" w:noVBand="1"/>
      </w:tblPr>
      <w:tblGrid>
        <w:gridCol w:w="1382"/>
        <w:gridCol w:w="4329"/>
        <w:gridCol w:w="994"/>
        <w:gridCol w:w="897"/>
        <w:gridCol w:w="31"/>
        <w:gridCol w:w="1082"/>
        <w:gridCol w:w="1016"/>
        <w:gridCol w:w="21"/>
      </w:tblGrid>
      <w:tr w:rsidR="0039663C" w:rsidRPr="00892DE3" w:rsidTr="0044350A">
        <w:trPr>
          <w:gridAfter w:val="1"/>
          <w:cnfStyle w:val="100000000000" w:firstRow="1" w:lastRow="0" w:firstColumn="0" w:lastColumn="0" w:oddVBand="0" w:evenVBand="0" w:oddHBand="0" w:evenHBand="0" w:firstRowFirstColumn="0" w:firstRowLastColumn="0" w:lastRowFirstColumn="0" w:lastRowLastColumn="0"/>
          <w:wAfter w:w="11" w:type="pct"/>
          <w:tblHeader/>
        </w:trPr>
        <w:tc>
          <w:tcPr>
            <w:cnfStyle w:val="001000000100" w:firstRow="0" w:lastRow="0" w:firstColumn="1" w:lastColumn="0" w:oddVBand="0" w:evenVBand="0" w:oddHBand="0" w:evenHBand="0" w:firstRowFirstColumn="1" w:firstRowLastColumn="0" w:lastRowFirstColumn="0" w:lastRowLastColumn="0"/>
            <w:tcW w:w="708" w:type="pct"/>
            <w:tcBorders>
              <w:bottom w:val="nil"/>
            </w:tcBorders>
            <w:shd w:val="clear" w:color="auto" w:fill="auto"/>
          </w:tcPr>
          <w:p w:rsidR="0039663C" w:rsidRPr="00892DE3" w:rsidRDefault="0039663C" w:rsidP="0039663C">
            <w:r w:rsidRPr="00892DE3">
              <w:t>Source reference</w:t>
            </w:r>
          </w:p>
        </w:tc>
        <w:tc>
          <w:tcPr>
            <w:tcW w:w="2219" w:type="pct"/>
          </w:tcPr>
          <w:p w:rsidR="0039663C" w:rsidRPr="00892DE3" w:rsidRDefault="0039663C" w:rsidP="0039663C">
            <w:pPr>
              <w:jc w:val="left"/>
              <w:cnfStyle w:val="100000000000" w:firstRow="1" w:lastRow="0" w:firstColumn="0" w:lastColumn="0" w:oddVBand="0" w:evenVBand="0" w:oddHBand="0" w:evenHBand="0" w:firstRowFirstColumn="0" w:firstRowLastColumn="0" w:lastRowFirstColumn="0" w:lastRowLastColumn="0"/>
            </w:pPr>
          </w:p>
        </w:tc>
        <w:tc>
          <w:tcPr>
            <w:tcW w:w="969" w:type="pct"/>
            <w:gridSpan w:val="2"/>
            <w:noWrap/>
            <w:hideMark/>
          </w:tcPr>
          <w:p w:rsidR="0039663C" w:rsidRPr="00892DE3" w:rsidRDefault="0039663C" w:rsidP="004201EA">
            <w:pPr>
              <w:cnfStyle w:val="100000000000" w:firstRow="1" w:lastRow="0" w:firstColumn="0" w:lastColumn="0" w:oddVBand="0" w:evenVBand="0" w:oddHBand="0" w:evenHBand="0" w:firstRowFirstColumn="0" w:firstRowLastColumn="0" w:lastRowFirstColumn="0" w:lastRowLastColumn="0"/>
            </w:pPr>
            <w:r w:rsidRPr="00892DE3">
              <w:t>Minimum lease receivables </w:t>
            </w:r>
            <w:r w:rsidRPr="00892DE3">
              <w:rPr>
                <w:vertAlign w:val="superscript"/>
              </w:rPr>
              <w:t>(</w:t>
            </w:r>
            <w:r w:rsidR="004201EA" w:rsidRPr="00892DE3">
              <w:rPr>
                <w:vertAlign w:val="superscript"/>
              </w:rPr>
              <w:t>a</w:t>
            </w:r>
            <w:r w:rsidRPr="00892DE3">
              <w:rPr>
                <w:vertAlign w:val="superscript"/>
              </w:rPr>
              <w:t>)</w:t>
            </w:r>
          </w:p>
        </w:tc>
        <w:tc>
          <w:tcPr>
            <w:tcW w:w="1092" w:type="pct"/>
            <w:gridSpan w:val="3"/>
            <w:noWrap/>
            <w:hideMark/>
          </w:tcPr>
          <w:p w:rsidR="0039663C" w:rsidRPr="00892DE3" w:rsidRDefault="0039663C" w:rsidP="00A137C6">
            <w:pPr>
              <w:cnfStyle w:val="100000000000" w:firstRow="1" w:lastRow="0" w:firstColumn="0" w:lastColumn="0" w:oddVBand="0" w:evenVBand="0" w:oddHBand="0" w:evenHBand="0" w:firstRowFirstColumn="0" w:firstRowLastColumn="0" w:lastRowFirstColumn="0" w:lastRowLastColumn="0"/>
            </w:pPr>
            <w:r w:rsidRPr="00892DE3">
              <w:t>Present value of minimum lease receivables</w:t>
            </w:r>
          </w:p>
        </w:tc>
      </w:tr>
      <w:tr w:rsidR="0039663C" w:rsidRPr="00892DE3" w:rsidTr="0044350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 w:type="pct"/>
            <w:tcBorders>
              <w:bottom w:val="nil"/>
            </w:tcBorders>
            <w:shd w:val="clear" w:color="auto" w:fill="auto"/>
            <w:hideMark/>
          </w:tcPr>
          <w:p w:rsidR="0039663C" w:rsidRPr="00892DE3" w:rsidRDefault="0039663C" w:rsidP="0039663C"/>
        </w:tc>
        <w:tc>
          <w:tcPr>
            <w:tcW w:w="2219" w:type="pct"/>
            <w:hideMark/>
          </w:tcPr>
          <w:p w:rsidR="0039663C" w:rsidRPr="00892DE3" w:rsidRDefault="0039663C" w:rsidP="0039663C">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509" w:type="pct"/>
            <w:noWrap/>
            <w:hideMark/>
          </w:tcPr>
          <w:p w:rsidR="0039663C" w:rsidRPr="00892DE3" w:rsidRDefault="0039663C" w:rsidP="00A137C6">
            <w:pPr>
              <w:cnfStyle w:val="100000000000" w:firstRow="1" w:lastRow="0" w:firstColumn="0" w:lastColumn="0" w:oddVBand="0" w:evenVBand="0" w:oddHBand="0" w:evenHBand="0" w:firstRowFirstColumn="0" w:firstRowLastColumn="0" w:lastRowFirstColumn="0" w:lastRowLastColumn="0"/>
            </w:pPr>
            <w:r w:rsidRPr="00892DE3">
              <w:t>2017</w:t>
            </w:r>
          </w:p>
        </w:tc>
        <w:tc>
          <w:tcPr>
            <w:tcW w:w="476" w:type="pct"/>
            <w:gridSpan w:val="2"/>
            <w:noWrap/>
            <w:hideMark/>
          </w:tcPr>
          <w:p w:rsidR="0039663C" w:rsidRPr="00892DE3" w:rsidRDefault="0039663C" w:rsidP="00A137C6">
            <w:pPr>
              <w:cnfStyle w:val="100000000000" w:firstRow="1" w:lastRow="0" w:firstColumn="0" w:lastColumn="0" w:oddVBand="0" w:evenVBand="0" w:oddHBand="0" w:evenHBand="0" w:firstRowFirstColumn="0" w:firstRowLastColumn="0" w:lastRowFirstColumn="0" w:lastRowLastColumn="0"/>
            </w:pPr>
            <w:r w:rsidRPr="00892DE3">
              <w:t>2016</w:t>
            </w:r>
          </w:p>
        </w:tc>
        <w:tc>
          <w:tcPr>
            <w:tcW w:w="555" w:type="pct"/>
            <w:noWrap/>
            <w:hideMark/>
          </w:tcPr>
          <w:p w:rsidR="0039663C" w:rsidRPr="00892DE3" w:rsidRDefault="0039663C" w:rsidP="00A137C6">
            <w:pPr>
              <w:cnfStyle w:val="100000000000" w:firstRow="1" w:lastRow="0" w:firstColumn="0" w:lastColumn="0" w:oddVBand="0" w:evenVBand="0" w:oddHBand="0" w:evenHBand="0" w:firstRowFirstColumn="0" w:firstRowLastColumn="0" w:lastRowFirstColumn="0" w:lastRowLastColumn="0"/>
            </w:pPr>
            <w:r w:rsidRPr="00892DE3">
              <w:t>2017</w:t>
            </w:r>
          </w:p>
        </w:tc>
        <w:tc>
          <w:tcPr>
            <w:tcW w:w="532" w:type="pct"/>
            <w:gridSpan w:val="2"/>
            <w:noWrap/>
            <w:hideMark/>
          </w:tcPr>
          <w:p w:rsidR="0039663C" w:rsidRPr="00892DE3" w:rsidRDefault="0039663C" w:rsidP="00A137C6">
            <w:pPr>
              <w:cnfStyle w:val="100000000000" w:firstRow="1" w:lastRow="0" w:firstColumn="0" w:lastColumn="0" w:oddVBand="0" w:evenVBand="0" w:oddHBand="0" w:evenHBand="0" w:firstRowFirstColumn="0" w:firstRowLastColumn="0" w:lastRowFirstColumn="0" w:lastRowLastColumn="0"/>
            </w:pPr>
            <w:r w:rsidRPr="00892DE3">
              <w:t>2016</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39663C" w:rsidRPr="00892DE3" w:rsidRDefault="0039663C" w:rsidP="0039663C">
            <w:r w:rsidRPr="00892DE3">
              <w:t>AASB 117.47(a)</w:t>
            </w:r>
          </w:p>
        </w:tc>
        <w:tc>
          <w:tcPr>
            <w:tcW w:w="2219" w:type="pct"/>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pPr>
            <w:r w:rsidRPr="00892DE3">
              <w:rPr>
                <w:b/>
              </w:rPr>
              <w:t>Finance lease receivables</w:t>
            </w:r>
            <w:r w:rsidRPr="00892DE3">
              <w:t xml:space="preserve"> </w:t>
            </w:r>
          </w:p>
        </w:tc>
        <w:tc>
          <w:tcPr>
            <w:tcW w:w="509" w:type="pct"/>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76" w:type="pct"/>
            <w:gridSpan w:val="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555" w:type="pct"/>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532" w:type="pct"/>
            <w:gridSpan w:val="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39663C" w:rsidRPr="00892DE3" w:rsidRDefault="0039663C" w:rsidP="0039663C"/>
        </w:tc>
        <w:tc>
          <w:tcPr>
            <w:tcW w:w="2219" w:type="pct"/>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pPr>
            <w:r w:rsidRPr="00892DE3">
              <w:t>Not longer than one year</w:t>
            </w:r>
          </w:p>
        </w:tc>
        <w:tc>
          <w:tcPr>
            <w:tcW w:w="509" w:type="pct"/>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270</w:t>
            </w:r>
          </w:p>
        </w:tc>
        <w:tc>
          <w:tcPr>
            <w:tcW w:w="476" w:type="pct"/>
            <w:gridSpan w:val="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46</w:t>
            </w:r>
          </w:p>
        </w:tc>
        <w:tc>
          <w:tcPr>
            <w:tcW w:w="555" w:type="pct"/>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225</w:t>
            </w:r>
          </w:p>
        </w:tc>
        <w:tc>
          <w:tcPr>
            <w:tcW w:w="532" w:type="pct"/>
            <w:gridSpan w:val="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38</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39663C" w:rsidRPr="00892DE3" w:rsidRDefault="0039663C" w:rsidP="0039663C"/>
        </w:tc>
        <w:tc>
          <w:tcPr>
            <w:tcW w:w="2219" w:type="pct"/>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pPr>
            <w:r w:rsidRPr="00892DE3">
              <w:t>Longer than one year but not longer than five years</w:t>
            </w:r>
          </w:p>
        </w:tc>
        <w:tc>
          <w:tcPr>
            <w:tcW w:w="509" w:type="pct"/>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305</w:t>
            </w:r>
          </w:p>
        </w:tc>
        <w:tc>
          <w:tcPr>
            <w:tcW w:w="476" w:type="pct"/>
            <w:gridSpan w:val="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1 016</w:t>
            </w:r>
          </w:p>
        </w:tc>
        <w:tc>
          <w:tcPr>
            <w:tcW w:w="555" w:type="pct"/>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254</w:t>
            </w:r>
          </w:p>
        </w:tc>
        <w:tc>
          <w:tcPr>
            <w:tcW w:w="532" w:type="pct"/>
            <w:gridSpan w:val="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847</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39663C" w:rsidRPr="00892DE3" w:rsidRDefault="0039663C" w:rsidP="0039663C"/>
        </w:tc>
        <w:tc>
          <w:tcPr>
            <w:tcW w:w="2219" w:type="pct"/>
            <w:tcBorders>
              <w:bottom w:val="single" w:sz="4" w:space="0" w:color="auto"/>
            </w:tcBorders>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pPr>
            <w:r w:rsidRPr="00892DE3">
              <w:t>Longer than five years</w:t>
            </w:r>
          </w:p>
        </w:tc>
        <w:tc>
          <w:tcPr>
            <w:tcW w:w="509" w:type="pct"/>
            <w:tcBorders>
              <w:bottom w:val="single" w:sz="4"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124</w:t>
            </w:r>
          </w:p>
        </w:tc>
        <w:tc>
          <w:tcPr>
            <w:tcW w:w="476" w:type="pct"/>
            <w:gridSpan w:val="2"/>
            <w:tcBorders>
              <w:bottom w:val="single" w:sz="4"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420</w:t>
            </w:r>
          </w:p>
        </w:tc>
        <w:tc>
          <w:tcPr>
            <w:tcW w:w="555" w:type="pct"/>
            <w:tcBorders>
              <w:bottom w:val="single" w:sz="4"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102</w:t>
            </w:r>
          </w:p>
        </w:tc>
        <w:tc>
          <w:tcPr>
            <w:tcW w:w="532" w:type="pct"/>
            <w:gridSpan w:val="2"/>
            <w:tcBorders>
              <w:bottom w:val="single" w:sz="4"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346</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39663C" w:rsidRPr="00892DE3" w:rsidRDefault="0039663C" w:rsidP="0039663C"/>
        </w:tc>
        <w:tc>
          <w:tcPr>
            <w:tcW w:w="2219" w:type="pct"/>
            <w:tcBorders>
              <w:top w:val="single" w:sz="4" w:space="0" w:color="auto"/>
              <w:bottom w:val="nil"/>
            </w:tcBorders>
            <w:hideMark/>
          </w:tcPr>
          <w:p w:rsidR="0039663C" w:rsidRPr="00892DE3" w:rsidRDefault="0039663C" w:rsidP="0039663C">
            <w:pPr>
              <w:tabs>
                <w:tab w:val="left" w:pos="2895"/>
              </w:tabs>
              <w:jc w:val="left"/>
              <w:cnfStyle w:val="000000000000" w:firstRow="0" w:lastRow="0" w:firstColumn="0" w:lastColumn="0" w:oddVBand="0" w:evenVBand="0" w:oddHBand="0" w:evenHBand="0" w:firstRowFirstColumn="0" w:firstRowLastColumn="0" w:lastRowFirstColumn="0" w:lastRowLastColumn="0"/>
              <w:rPr>
                <w:b/>
              </w:rPr>
            </w:pPr>
            <w:r w:rsidRPr="00892DE3">
              <w:rPr>
                <w:b/>
              </w:rPr>
              <w:t>Minimum future lease receivables</w:t>
            </w:r>
          </w:p>
        </w:tc>
        <w:tc>
          <w:tcPr>
            <w:tcW w:w="509" w:type="pct"/>
            <w:tcBorders>
              <w:top w:val="single" w:sz="4" w:space="0" w:color="auto"/>
              <w:bottom w:val="nil"/>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699</w:t>
            </w:r>
          </w:p>
        </w:tc>
        <w:tc>
          <w:tcPr>
            <w:tcW w:w="476" w:type="pct"/>
            <w:gridSpan w:val="2"/>
            <w:tcBorders>
              <w:top w:val="single" w:sz="4" w:space="0" w:color="auto"/>
              <w:bottom w:val="nil"/>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1 482</w:t>
            </w:r>
          </w:p>
        </w:tc>
        <w:tc>
          <w:tcPr>
            <w:tcW w:w="555" w:type="pct"/>
            <w:tcBorders>
              <w:top w:val="single" w:sz="4" w:space="0" w:color="auto"/>
              <w:bottom w:val="nil"/>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581</w:t>
            </w:r>
          </w:p>
        </w:tc>
        <w:tc>
          <w:tcPr>
            <w:tcW w:w="532" w:type="pct"/>
            <w:gridSpan w:val="2"/>
            <w:tcBorders>
              <w:top w:val="single" w:sz="4" w:space="0" w:color="auto"/>
              <w:bottom w:val="nil"/>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1 231</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39663C" w:rsidRPr="00892DE3" w:rsidRDefault="0039663C" w:rsidP="0039663C">
            <w:r w:rsidRPr="00892DE3">
              <w:t>AASB 117.47(b)</w:t>
            </w:r>
          </w:p>
        </w:tc>
        <w:tc>
          <w:tcPr>
            <w:tcW w:w="2219" w:type="pct"/>
            <w:tcBorders>
              <w:top w:val="nil"/>
              <w:bottom w:val="single" w:sz="4" w:space="0" w:color="auto"/>
            </w:tcBorders>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pPr>
            <w:r w:rsidRPr="00892DE3">
              <w:t>Less unearned finance income</w:t>
            </w:r>
          </w:p>
        </w:tc>
        <w:tc>
          <w:tcPr>
            <w:tcW w:w="509" w:type="pct"/>
            <w:tcBorders>
              <w:top w:val="nil"/>
              <w:bottom w:val="single" w:sz="4"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(118)</w:t>
            </w:r>
          </w:p>
        </w:tc>
        <w:tc>
          <w:tcPr>
            <w:tcW w:w="476" w:type="pct"/>
            <w:gridSpan w:val="2"/>
            <w:tcBorders>
              <w:top w:val="nil"/>
              <w:bottom w:val="single" w:sz="4"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(251)</w:t>
            </w:r>
          </w:p>
        </w:tc>
        <w:tc>
          <w:tcPr>
            <w:tcW w:w="555" w:type="pct"/>
            <w:tcBorders>
              <w:top w:val="nil"/>
              <w:bottom w:val="single" w:sz="4"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w:t>
            </w:r>
          </w:p>
        </w:tc>
        <w:tc>
          <w:tcPr>
            <w:tcW w:w="532" w:type="pct"/>
            <w:gridSpan w:val="2"/>
            <w:tcBorders>
              <w:top w:val="nil"/>
              <w:bottom w:val="single" w:sz="4"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39663C" w:rsidRPr="00892DE3" w:rsidRDefault="0039663C" w:rsidP="0039663C"/>
        </w:tc>
        <w:tc>
          <w:tcPr>
            <w:tcW w:w="2219" w:type="pct"/>
            <w:tcBorders>
              <w:top w:val="single" w:sz="4" w:space="0" w:color="auto"/>
              <w:bottom w:val="single" w:sz="4" w:space="0" w:color="auto"/>
            </w:tcBorders>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b/>
              </w:rPr>
            </w:pPr>
            <w:r w:rsidRPr="00892DE3">
              <w:rPr>
                <w:b/>
              </w:rPr>
              <w:t>Present value of minimum lease receivables</w:t>
            </w:r>
          </w:p>
        </w:tc>
        <w:tc>
          <w:tcPr>
            <w:tcW w:w="509" w:type="pct"/>
            <w:tcBorders>
              <w:top w:val="single" w:sz="4" w:space="0" w:color="auto"/>
              <w:bottom w:val="single" w:sz="4"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581</w:t>
            </w:r>
          </w:p>
        </w:tc>
        <w:tc>
          <w:tcPr>
            <w:tcW w:w="476" w:type="pct"/>
            <w:gridSpan w:val="2"/>
            <w:tcBorders>
              <w:top w:val="single" w:sz="4" w:space="0" w:color="auto"/>
              <w:bottom w:val="single" w:sz="4"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1 231</w:t>
            </w:r>
          </w:p>
        </w:tc>
        <w:tc>
          <w:tcPr>
            <w:tcW w:w="555" w:type="pct"/>
            <w:tcBorders>
              <w:top w:val="single" w:sz="4" w:space="0" w:color="auto"/>
              <w:bottom w:val="single" w:sz="4"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581</w:t>
            </w:r>
          </w:p>
        </w:tc>
        <w:tc>
          <w:tcPr>
            <w:tcW w:w="532" w:type="pct"/>
            <w:gridSpan w:val="2"/>
            <w:tcBorders>
              <w:top w:val="single" w:sz="4" w:space="0" w:color="auto"/>
              <w:bottom w:val="single" w:sz="4"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1 231</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39663C" w:rsidRPr="00892DE3" w:rsidRDefault="0039663C" w:rsidP="0039663C"/>
        </w:tc>
        <w:tc>
          <w:tcPr>
            <w:tcW w:w="2219" w:type="pct"/>
            <w:tcBorders>
              <w:top w:val="single" w:sz="4" w:space="0" w:color="auto"/>
            </w:tcBorders>
            <w:noWrap/>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b/>
              </w:rPr>
            </w:pPr>
            <w:r w:rsidRPr="00892DE3">
              <w:rPr>
                <w:b/>
              </w:rPr>
              <w:t>Included in the financial statements as:</w:t>
            </w:r>
          </w:p>
        </w:tc>
        <w:tc>
          <w:tcPr>
            <w:tcW w:w="509" w:type="pct"/>
            <w:tcBorders>
              <w:top w:val="single" w:sz="4"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bCs/>
              </w:rPr>
            </w:pPr>
            <w:r w:rsidRPr="00892DE3">
              <w:rPr>
                <w:b/>
                <w:bCs/>
              </w:rPr>
              <w:t xml:space="preserve"> </w:t>
            </w:r>
          </w:p>
        </w:tc>
        <w:tc>
          <w:tcPr>
            <w:tcW w:w="476" w:type="pct"/>
            <w:gridSpan w:val="2"/>
            <w:tcBorders>
              <w:top w:val="single" w:sz="4"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bCs/>
              </w:rPr>
            </w:pPr>
            <w:r w:rsidRPr="00892DE3">
              <w:rPr>
                <w:b/>
                <w:bCs/>
              </w:rPr>
              <w:t xml:space="preserve"> </w:t>
            </w:r>
          </w:p>
        </w:tc>
        <w:tc>
          <w:tcPr>
            <w:tcW w:w="555" w:type="pct"/>
            <w:tcBorders>
              <w:top w:val="single" w:sz="4"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bCs/>
              </w:rPr>
            </w:pPr>
            <w:r w:rsidRPr="00892DE3">
              <w:rPr>
                <w:b/>
                <w:bCs/>
              </w:rPr>
              <w:t xml:space="preserve"> </w:t>
            </w:r>
          </w:p>
        </w:tc>
        <w:tc>
          <w:tcPr>
            <w:tcW w:w="532" w:type="pct"/>
            <w:gridSpan w:val="2"/>
            <w:tcBorders>
              <w:top w:val="single" w:sz="4"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bCs/>
              </w:rPr>
            </w:pPr>
            <w:r w:rsidRPr="00892DE3">
              <w:rPr>
                <w:b/>
                <w:bCs/>
              </w:rPr>
              <w:t xml:space="preserve"> </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39663C" w:rsidRPr="00892DE3" w:rsidRDefault="0039663C" w:rsidP="0039663C"/>
        </w:tc>
        <w:tc>
          <w:tcPr>
            <w:tcW w:w="2219" w:type="pct"/>
            <w:noWrap/>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pPr>
            <w:r w:rsidRPr="00892DE3">
              <w:t>Current finance lease receivables</w:t>
            </w:r>
          </w:p>
        </w:tc>
        <w:tc>
          <w:tcPr>
            <w:tcW w:w="509" w:type="pct"/>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76" w:type="pct"/>
            <w:gridSpan w:val="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555" w:type="pct"/>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225</w:t>
            </w:r>
          </w:p>
        </w:tc>
        <w:tc>
          <w:tcPr>
            <w:tcW w:w="532" w:type="pct"/>
            <w:gridSpan w:val="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38</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39663C" w:rsidRPr="00892DE3" w:rsidRDefault="0039663C" w:rsidP="0039663C"/>
        </w:tc>
        <w:tc>
          <w:tcPr>
            <w:tcW w:w="2219" w:type="pct"/>
            <w:tcBorders>
              <w:bottom w:val="single" w:sz="4" w:space="0" w:color="auto"/>
            </w:tcBorders>
            <w:noWrap/>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 xml:space="preserve">current finance lease receivables </w:t>
            </w:r>
          </w:p>
        </w:tc>
        <w:tc>
          <w:tcPr>
            <w:tcW w:w="509" w:type="pct"/>
            <w:tcBorders>
              <w:bottom w:val="single" w:sz="4"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76" w:type="pct"/>
            <w:gridSpan w:val="2"/>
            <w:tcBorders>
              <w:bottom w:val="single" w:sz="4"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555" w:type="pct"/>
            <w:tcBorders>
              <w:bottom w:val="single" w:sz="4"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 xml:space="preserve"> 356</w:t>
            </w:r>
          </w:p>
        </w:tc>
        <w:tc>
          <w:tcPr>
            <w:tcW w:w="532" w:type="pct"/>
            <w:gridSpan w:val="2"/>
            <w:tcBorders>
              <w:bottom w:val="single" w:sz="4"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r w:rsidRPr="00892DE3">
              <w:t>1 193</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hideMark/>
          </w:tcPr>
          <w:p w:rsidR="0039663C" w:rsidRPr="00892DE3" w:rsidRDefault="0039663C" w:rsidP="0039663C"/>
        </w:tc>
        <w:tc>
          <w:tcPr>
            <w:tcW w:w="2219" w:type="pct"/>
            <w:tcBorders>
              <w:top w:val="single" w:sz="4" w:space="0" w:color="auto"/>
              <w:bottom w:val="single" w:sz="12" w:space="0" w:color="auto"/>
            </w:tcBorders>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w:t>
            </w:r>
          </w:p>
        </w:tc>
        <w:tc>
          <w:tcPr>
            <w:tcW w:w="509" w:type="pct"/>
            <w:tcBorders>
              <w:top w:val="single" w:sz="4" w:space="0" w:color="auto"/>
              <w:bottom w:val="single" w:sz="12"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476" w:type="pct"/>
            <w:gridSpan w:val="2"/>
            <w:tcBorders>
              <w:top w:val="single" w:sz="4" w:space="0" w:color="auto"/>
              <w:bottom w:val="single" w:sz="12"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555" w:type="pct"/>
            <w:tcBorders>
              <w:top w:val="single" w:sz="4" w:space="0" w:color="auto"/>
              <w:bottom w:val="single" w:sz="12" w:space="0" w:color="auto"/>
            </w:tcBorders>
            <w:shd w:val="clear" w:color="auto" w:fill="EBEBEB" w:themeFill="background2"/>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581</w:t>
            </w:r>
          </w:p>
        </w:tc>
        <w:tc>
          <w:tcPr>
            <w:tcW w:w="532" w:type="pct"/>
            <w:gridSpan w:val="2"/>
            <w:tcBorders>
              <w:top w:val="single" w:sz="4" w:space="0" w:color="auto"/>
              <w:bottom w:val="single" w:sz="12" w:space="0" w:color="auto"/>
            </w:tcBorders>
            <w:noWrap/>
            <w:hideMark/>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b/>
              </w:rPr>
            </w:pPr>
            <w:r w:rsidRPr="00892DE3">
              <w:rPr>
                <w:b/>
              </w:rPr>
              <w:t>1 231</w:t>
            </w:r>
          </w:p>
        </w:tc>
      </w:tr>
    </w:tbl>
    <w:p w:rsidR="0039663C" w:rsidRPr="00892DE3" w:rsidRDefault="0039663C" w:rsidP="0039663C">
      <w:pPr>
        <w:pStyle w:val="Note"/>
      </w:pPr>
      <w:r w:rsidRPr="00892DE3">
        <w:t>Note:</w:t>
      </w:r>
    </w:p>
    <w:p w:rsidR="0039663C" w:rsidRPr="00892DE3" w:rsidRDefault="0039663C" w:rsidP="0039663C">
      <w:pPr>
        <w:pStyle w:val="Note"/>
      </w:pPr>
      <w:r w:rsidRPr="00892DE3">
        <w:t>(</w:t>
      </w:r>
      <w:r w:rsidR="004201EA" w:rsidRPr="00892DE3">
        <w:t>a</w:t>
      </w:r>
      <w:r w:rsidRPr="00892DE3">
        <w:t>)</w:t>
      </w:r>
      <w:r w:rsidRPr="00892DE3">
        <w:tab/>
        <w:t>Minimum future lease payments receivable includes the aggregate of all lease payments receivable and any guaranteed residual.</w:t>
      </w:r>
    </w:p>
    <w:p w:rsidR="0039663C" w:rsidRPr="00892DE3" w:rsidRDefault="0039663C"/>
    <w:tbl>
      <w:tblPr>
        <w:tblStyle w:val="ModelReportGuidanceTable"/>
        <w:tblW w:w="0" w:type="auto"/>
        <w:tblLayout w:type="fixed"/>
        <w:tblLook w:val="04A0" w:firstRow="1" w:lastRow="0" w:firstColumn="1" w:lastColumn="0" w:noHBand="0" w:noVBand="1"/>
      </w:tblPr>
      <w:tblGrid>
        <w:gridCol w:w="9724"/>
      </w:tblGrid>
      <w:tr w:rsidR="0039663C" w:rsidRPr="00892DE3" w:rsidTr="0044350A">
        <w:trPr>
          <w:cnfStyle w:val="100000000000" w:firstRow="1" w:lastRow="0" w:firstColumn="0" w:lastColumn="0" w:oddVBand="0" w:evenVBand="0" w:oddHBand="0" w:evenHBand="0" w:firstRowFirstColumn="0" w:firstRowLastColumn="0" w:lastRowFirstColumn="0" w:lastRowLastColumn="0"/>
        </w:trPr>
        <w:tc>
          <w:tcPr>
            <w:tcW w:w="9724" w:type="dxa"/>
          </w:tcPr>
          <w:p w:rsidR="0039663C" w:rsidRPr="00892DE3" w:rsidRDefault="0039663C" w:rsidP="0039663C">
            <w:r w:rsidRPr="00892DE3">
              <w:t>Guidance – Receivables</w:t>
            </w:r>
          </w:p>
        </w:tc>
      </w:tr>
      <w:tr w:rsidR="0039663C" w:rsidRPr="00892DE3" w:rsidTr="0044350A">
        <w:tc>
          <w:tcPr>
            <w:tcW w:w="9724" w:type="dxa"/>
          </w:tcPr>
          <w:p w:rsidR="0039663C" w:rsidRPr="00892DE3" w:rsidRDefault="0039663C" w:rsidP="0039663C">
            <w:r w:rsidRPr="00892DE3">
              <w:rPr>
                <w:b/>
              </w:rPr>
              <w:t>Statutory receivables</w:t>
            </w:r>
            <w:r w:rsidRPr="00892DE3">
              <w:t xml:space="preserve"> </w:t>
            </w:r>
            <w:r w:rsidRPr="00892DE3">
              <w:rPr>
                <w:rStyle w:val="SourceReference"/>
              </w:rPr>
              <w:t>[AASB 132.AG12]</w:t>
            </w:r>
            <w:r w:rsidRPr="00892DE3">
              <w:t>: Assets that are not contractual (such as assets that arise as a result of statutory requirements), are not financial instruments as defined. Therefore, although these assets are similar to financial instruments, they are not in the scope of AASB 7 Financial Instruments: Disclosures. However, entities may wish to apply disclosure requirements similar to those from AASB 7 to such assets at their own discretion. Note: impairment of statutory receivables is determined under AASB 136 and not AASB 139.</w:t>
            </w:r>
          </w:p>
          <w:p w:rsidR="0039663C" w:rsidRPr="00892DE3" w:rsidRDefault="0039663C" w:rsidP="0039663C">
            <w:r w:rsidRPr="00892DE3">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rsidR="0039663C" w:rsidRPr="00892DE3" w:rsidRDefault="0039663C" w:rsidP="0039663C">
            <w:r w:rsidRPr="00892DE3">
              <w:rPr>
                <w:b/>
              </w:rPr>
              <w:t>Amounts owing from Victorian Government</w:t>
            </w:r>
            <w:r w:rsidRPr="00892DE3">
              <w:t>: An amount owing in the Department’s State Administration Unit (SAU) inter entity account balance that relates to appropriations should be reported as a receivable classified as either current or non-current as appropriate, with the non-current portion (if any) measured on present value basis.</w:t>
            </w:r>
          </w:p>
          <w:p w:rsidR="0039663C" w:rsidRPr="00892DE3" w:rsidRDefault="0039663C" w:rsidP="0039663C">
            <w:r w:rsidRPr="00892DE3">
              <w:t xml:space="preserve">Components of SAU that relate to depreciation equivalent funding must also be allocated between current and non-current, with the non-current portion (if any) measured on present value basis. </w:t>
            </w:r>
          </w:p>
          <w:p w:rsidR="0039663C" w:rsidRPr="00892DE3" w:rsidRDefault="0039663C" w:rsidP="0039663C">
            <w:r w:rsidRPr="00892DE3">
              <w:t xml:space="preserve">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non-current, with the non-current portion measured on a present value basis, as appropriate. </w:t>
            </w:r>
          </w:p>
          <w:p w:rsidR="0039663C" w:rsidRPr="00892DE3" w:rsidRDefault="0039663C" w:rsidP="0039663C">
            <w:r w:rsidRPr="00892DE3">
              <w:t>Components of the SAU that relate to employee benefits must be allocated between current and non-current. Given the latter is based on employee benefit liabilities that are themselves measured on a present value basis, no further discounting or measurement adjustment is required.</w:t>
            </w:r>
          </w:p>
          <w:p w:rsidR="0039663C" w:rsidRPr="00892DE3" w:rsidRDefault="0039663C" w:rsidP="0039663C">
            <w:r w:rsidRPr="00892DE3">
              <w:t>All other balances in the SAU are considered to be current, and so no measurement adjustment is required.</w:t>
            </w:r>
          </w:p>
          <w:p w:rsidR="0039663C" w:rsidRPr="00892DE3" w:rsidRDefault="0039663C" w:rsidP="0039663C">
            <w:pPr>
              <w:rPr>
                <w:b/>
              </w:rPr>
            </w:pPr>
            <w:r w:rsidRPr="00892DE3">
              <w:rPr>
                <w:b/>
              </w:rPr>
              <w:t>Reversal of amount in provision for receivables written off as uncollectible</w:t>
            </w:r>
          </w:p>
          <w:p w:rsidR="0039663C" w:rsidRPr="00892DE3" w:rsidRDefault="0039663C" w:rsidP="0039663C">
            <w:r w:rsidRPr="00892DE3">
              <w:t>Initially, if there is objective evidence for impairment of a receivable, the provision is increased accordingly with the impairment expense recognised in the net result as an ‘other economic flow’. However, when it becomes mutually agreed between debtor and creditor that the receivable has become uncollectible, the carrying amount of the receivable needs to be reduced, and a bad debt expense for the write-off recognised in the net result as a transaction. Accordingly at the same time, the amount in the provision together with its related impairment expense initially recognised as an ‘other economic flow’ will need to be reversed.</w:t>
            </w:r>
          </w:p>
          <w:p w:rsidR="0039663C" w:rsidRPr="00892DE3" w:rsidRDefault="0039663C" w:rsidP="000675EA">
            <w:r w:rsidRPr="00892DE3">
              <w:t>Where the bad debt is written off following a unilateral decision, the carrying amount of the receivable needs to be reduced, and a bad debt expense for the write-off recognised in the net result as an ‘other economic flow’. Accordingly at the same time, the amount in the provision together with its related impairment expense will need to be reversed.</w:t>
            </w:r>
          </w:p>
        </w:tc>
      </w:tr>
    </w:tbl>
    <w:p w:rsidR="0039663C" w:rsidRPr="00892DE3" w:rsidRDefault="0039663C" w:rsidP="0039663C"/>
    <w:p w:rsidR="0039663C" w:rsidRPr="00892DE3" w:rsidRDefault="0039663C">
      <w:pPr>
        <w:keepLines w:val="0"/>
      </w:pPr>
      <w:r w:rsidRPr="00892DE3">
        <w:br w:type="page"/>
      </w:r>
    </w:p>
    <w:tbl>
      <w:tblPr>
        <w:tblStyle w:val="ModelReportGuidanceTable"/>
        <w:tblW w:w="0" w:type="auto"/>
        <w:tblLayout w:type="fixed"/>
        <w:tblLook w:val="04A0" w:firstRow="1" w:lastRow="0" w:firstColumn="1" w:lastColumn="0" w:noHBand="0" w:noVBand="1"/>
      </w:tblPr>
      <w:tblGrid>
        <w:gridCol w:w="9724"/>
      </w:tblGrid>
      <w:tr w:rsidR="0039663C" w:rsidRPr="00892DE3" w:rsidTr="0044350A">
        <w:trPr>
          <w:cnfStyle w:val="100000000000" w:firstRow="1" w:lastRow="0" w:firstColumn="0" w:lastColumn="0" w:oddVBand="0" w:evenVBand="0" w:oddHBand="0" w:evenHBand="0" w:firstRowFirstColumn="0" w:firstRowLastColumn="0" w:lastRowFirstColumn="0" w:lastRowLastColumn="0"/>
        </w:trPr>
        <w:tc>
          <w:tcPr>
            <w:tcW w:w="9724" w:type="dxa"/>
          </w:tcPr>
          <w:p w:rsidR="0039663C" w:rsidRPr="00892DE3" w:rsidRDefault="0039663C" w:rsidP="00A137C6">
            <w:r w:rsidRPr="00892DE3">
              <w:t xml:space="preserve">Guidance – Receivables </w:t>
            </w:r>
            <w:r w:rsidRPr="00491373">
              <w:rPr>
                <w:i/>
              </w:rPr>
              <w:t>(continued)</w:t>
            </w:r>
          </w:p>
        </w:tc>
      </w:tr>
      <w:tr w:rsidR="0039663C" w:rsidRPr="00892DE3" w:rsidTr="0044350A">
        <w:tc>
          <w:tcPr>
            <w:tcW w:w="9724" w:type="dxa"/>
          </w:tcPr>
          <w:p w:rsidR="000675EA" w:rsidRPr="00892DE3" w:rsidRDefault="000675EA" w:rsidP="000675EA">
            <w:pPr>
              <w:rPr>
                <w:b/>
              </w:rPr>
            </w:pPr>
            <w:r w:rsidRPr="00892DE3">
              <w:rPr>
                <w:b/>
              </w:rPr>
              <w:t>Derecognition of financial assets</w:t>
            </w:r>
          </w:p>
          <w:p w:rsidR="000675EA" w:rsidRPr="00892DE3" w:rsidRDefault="000675EA" w:rsidP="000675EA">
            <w:pPr>
              <w:rPr>
                <w:rStyle w:val="SourceReference"/>
              </w:rPr>
            </w:pPr>
            <w:r w:rsidRPr="00892DE3">
              <w:t xml:space="preserve">The following flowchart (extract of AASB 139) illustrates the evaluation of whether and to what extent a financial asset is derecognised </w:t>
            </w:r>
            <w:r w:rsidRPr="00892DE3">
              <w:rPr>
                <w:rStyle w:val="SourceReference"/>
              </w:rPr>
              <w:t>[Source: AASB 139 Financial Instruments: Recognition and Measurement (August 2014)]</w:t>
            </w:r>
          </w:p>
          <w:p w:rsidR="0039663C" w:rsidRPr="00892DE3" w:rsidRDefault="0039663C" w:rsidP="000675EA">
            <w:pPr>
              <w:rPr>
                <w:b/>
              </w:rPr>
            </w:pPr>
            <w:r w:rsidRPr="00892DE3">
              <w:rPr>
                <w:b/>
              </w:rPr>
              <w:t xml:space="preserve">Disclosures for transferred assets that are not derecognised in entirety </w:t>
            </w:r>
            <w:r w:rsidRPr="00892DE3">
              <w:rPr>
                <w:rStyle w:val="SourceReference"/>
                <w:b/>
              </w:rPr>
              <w:t>[AASB 7.42D]</w:t>
            </w:r>
          </w:p>
          <w:p w:rsidR="0039663C" w:rsidRPr="00892DE3" w:rsidRDefault="0039663C" w:rsidP="0039663C">
            <w:r w:rsidRPr="00892DE3">
              <w:t>An entity may have transferred financial assets in such a way that part or all of the financial assets do not qualify for derecognition. The entity shall disclose for each class of transferred financial assets that are not derecognised in their entirety:</w:t>
            </w:r>
          </w:p>
          <w:p w:rsidR="0039663C" w:rsidRPr="00892DE3" w:rsidRDefault="0039663C" w:rsidP="0039663C">
            <w:pPr>
              <w:pStyle w:val="List"/>
            </w:pPr>
            <w:r w:rsidRPr="00892DE3">
              <w:t>(a)</w:t>
            </w:r>
            <w:r w:rsidRPr="00892DE3">
              <w:tab/>
              <w:t>the nature of the assets;</w:t>
            </w:r>
          </w:p>
          <w:p w:rsidR="0039663C" w:rsidRPr="00892DE3" w:rsidRDefault="0039663C" w:rsidP="0039663C">
            <w:pPr>
              <w:pStyle w:val="List"/>
            </w:pPr>
            <w:r w:rsidRPr="00892DE3">
              <w:t>(b)</w:t>
            </w:r>
            <w:r w:rsidRPr="00892DE3">
              <w:tab/>
              <w:t>the nature of the risks and rewards of ownership to which the entity is exposed;</w:t>
            </w:r>
          </w:p>
          <w:p w:rsidR="0039663C" w:rsidRPr="00892DE3" w:rsidRDefault="0039663C" w:rsidP="0039663C">
            <w:pPr>
              <w:pStyle w:val="List"/>
            </w:pPr>
            <w:r w:rsidRPr="00892DE3">
              <w:t>(c)</w:t>
            </w:r>
            <w:r w:rsidRPr="00892DE3">
              <w:tab/>
              <w:t>a description of the nature of the relationship between the transferred assets and the associated liabilities, including restrictions arising from the transfer on the reporting entity’s use of the transferred assets;</w:t>
            </w:r>
          </w:p>
          <w:p w:rsidR="0039663C" w:rsidRPr="00892DE3" w:rsidRDefault="0039663C" w:rsidP="0039663C">
            <w:pPr>
              <w:pStyle w:val="List"/>
            </w:pPr>
            <w:r w:rsidRPr="00892DE3">
              <w:t>(d)</w:t>
            </w:r>
            <w:r w:rsidRPr="00892DE3">
              <w:tab/>
              <w:t>when the entity continues to recognise all of the asset, the carrying amounts of the asset and of the associated liability; and</w:t>
            </w:r>
          </w:p>
          <w:p w:rsidR="0039663C" w:rsidRPr="00892DE3" w:rsidRDefault="0039663C" w:rsidP="0039663C">
            <w:pPr>
              <w:pStyle w:val="List"/>
            </w:pPr>
            <w:r w:rsidRPr="00892DE3">
              <w:t>(e)</w:t>
            </w:r>
            <w:r w:rsidRPr="00892DE3">
              <w:tab/>
              <w:t>when the entity continues to recognise the asset to the extent of its continuing involvement, the total amount of the asset, the amount of the asset that the entity continues to recognise and the carrying amount of the associated liability.</w:t>
            </w:r>
          </w:p>
          <w:p w:rsidR="0039663C" w:rsidRPr="00892DE3" w:rsidRDefault="0039663C" w:rsidP="0039663C">
            <w:pPr>
              <w:jc w:val="center"/>
            </w:pPr>
            <w:r w:rsidRPr="00892DE3">
              <w:rPr>
                <w:i/>
                <w:noProof/>
                <w:color w:val="0063A6" w:themeColor="accent1"/>
                <w:lang w:eastAsia="en-AU"/>
              </w:rPr>
              <w:drawing>
                <wp:inline distT="0" distB="0" distL="0" distR="0" wp14:anchorId="0B48CDCF" wp14:editId="030C484F">
                  <wp:extent cx="5263764" cy="5539094"/>
                  <wp:effectExtent l="19050" t="19050" r="1333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9B0.tmp"/>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261764" cy="5536989"/>
                          </a:xfrm>
                          <a:prstGeom prst="rect">
                            <a:avLst/>
                          </a:prstGeom>
                          <a:ln>
                            <a:solidFill>
                              <a:schemeClr val="tx1"/>
                            </a:solidFill>
                          </a:ln>
                        </pic:spPr>
                      </pic:pic>
                    </a:graphicData>
                  </a:graphic>
                </wp:inline>
              </w:drawing>
            </w:r>
          </w:p>
          <w:p w:rsidR="0039663C" w:rsidRPr="00892DE3" w:rsidRDefault="0039663C" w:rsidP="0039663C">
            <w:pPr>
              <w:jc w:val="center"/>
            </w:pPr>
          </w:p>
        </w:tc>
      </w:tr>
    </w:tbl>
    <w:p w:rsidR="0039663C" w:rsidRPr="00892DE3" w:rsidRDefault="0039663C">
      <w:pPr>
        <w:keepLines w:val="0"/>
        <w:rPr>
          <w:rFonts w:asciiTheme="majorHAnsi" w:eastAsiaTheme="majorEastAsia" w:hAnsiTheme="majorHAnsi" w:cstheme="majorBidi"/>
          <w:b/>
          <w:spacing w:val="-2"/>
          <w:sz w:val="26"/>
          <w:szCs w:val="26"/>
        </w:rPr>
      </w:pPr>
      <w:r w:rsidRPr="00892DE3">
        <w:br w:type="page"/>
      </w:r>
    </w:p>
    <w:p w:rsidR="0039663C" w:rsidRPr="00892DE3" w:rsidRDefault="0039663C" w:rsidP="0019303F">
      <w:pPr>
        <w:pStyle w:val="Heading2"/>
      </w:pPr>
      <w:bookmarkStart w:id="130" w:name="_Toc474337012"/>
      <w:bookmarkStart w:id="131" w:name="_Toc478055755"/>
      <w:r w:rsidRPr="00892DE3">
        <w:t>Payables</w:t>
      </w:r>
      <w:bookmarkEnd w:id="130"/>
      <w:bookmarkEnd w:id="131"/>
    </w:p>
    <w:p w:rsidR="0039663C" w:rsidRPr="00892DE3" w:rsidRDefault="0039663C" w:rsidP="0039663C">
      <w:pPr>
        <w:pStyle w:val="TableUnits"/>
      </w:pPr>
      <w:r w:rsidRPr="00892DE3">
        <w:t>($ thousand)</w:t>
      </w:r>
    </w:p>
    <w:tbl>
      <w:tblPr>
        <w:tblStyle w:val="ModelReportFinancialTable"/>
        <w:tblW w:w="9691" w:type="dxa"/>
        <w:tblLayout w:type="fixed"/>
        <w:tblLook w:val="06E0" w:firstRow="1" w:lastRow="1" w:firstColumn="1" w:lastColumn="0" w:noHBand="1" w:noVBand="1"/>
      </w:tblPr>
      <w:tblGrid>
        <w:gridCol w:w="1384"/>
        <w:gridCol w:w="6475"/>
        <w:gridCol w:w="916"/>
        <w:gridCol w:w="916"/>
      </w:tblGrid>
      <w:tr w:rsidR="0039663C" w:rsidRPr="00892DE3" w:rsidTr="004435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Borders>
              <w:bottom w:val="nil"/>
            </w:tcBorders>
            <w:shd w:val="clear" w:color="auto" w:fill="auto"/>
          </w:tcPr>
          <w:p w:rsidR="0039663C" w:rsidRPr="00892DE3" w:rsidRDefault="0039663C" w:rsidP="0039663C">
            <w:r w:rsidRPr="00892DE3">
              <w:t>Source reference</w:t>
            </w:r>
          </w:p>
        </w:tc>
        <w:tc>
          <w:tcPr>
            <w:tcW w:w="6475" w:type="dxa"/>
            <w:hideMark/>
          </w:tcPr>
          <w:p w:rsidR="0039663C" w:rsidRPr="00892DE3" w:rsidRDefault="0039663C" w:rsidP="0039663C">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39663C" w:rsidRPr="00892DE3" w:rsidRDefault="0039663C" w:rsidP="00A137C6">
            <w:pPr>
              <w:cnfStyle w:val="100000000000" w:firstRow="1" w:lastRow="0" w:firstColumn="0" w:lastColumn="0" w:oddVBand="0" w:evenVBand="0" w:oddHBand="0" w:evenHBand="0" w:firstRowFirstColumn="0" w:firstRowLastColumn="0" w:lastRowFirstColumn="0" w:lastRowLastColumn="0"/>
            </w:pPr>
            <w:r w:rsidRPr="00892DE3">
              <w:t>2017</w:t>
            </w:r>
          </w:p>
        </w:tc>
        <w:tc>
          <w:tcPr>
            <w:tcW w:w="916" w:type="dxa"/>
            <w:noWrap/>
            <w:hideMark/>
          </w:tcPr>
          <w:p w:rsidR="0039663C" w:rsidRPr="00892DE3" w:rsidRDefault="0039663C" w:rsidP="00A137C6">
            <w:pPr>
              <w:cnfStyle w:val="100000000000" w:firstRow="1" w:lastRow="0" w:firstColumn="0" w:lastColumn="0" w:oddVBand="0" w:evenVBand="0" w:oddHBand="0" w:evenHBand="0" w:firstRowFirstColumn="0" w:firstRowLastColumn="0" w:lastRowFirstColumn="0" w:lastRowLastColumn="0"/>
            </w:pPr>
            <w:r w:rsidRPr="00892DE3">
              <w:t>2016</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b/>
                <w:color w:val="000000"/>
              </w:rPr>
            </w:pPr>
            <w:r w:rsidRPr="00892DE3">
              <w:rPr>
                <w:b/>
              </w:rPr>
              <w:t>Contractual</w:t>
            </w:r>
          </w:p>
        </w:tc>
        <w:tc>
          <w:tcPr>
            <w:tcW w:w="916" w:type="dxa"/>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p>
        </w:tc>
        <w:tc>
          <w:tcPr>
            <w:tcW w:w="916" w:type="dxa"/>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pP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Supplies and services</w:t>
            </w:r>
          </w:p>
        </w:tc>
        <w:tc>
          <w:tcPr>
            <w:tcW w:w="916" w:type="dxa"/>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4 466</w:t>
            </w:r>
          </w:p>
        </w:tc>
        <w:tc>
          <w:tcPr>
            <w:tcW w:w="916" w:type="dxa"/>
            <w:noWrap/>
            <w:hideMark/>
          </w:tcPr>
          <w:p w:rsidR="0039663C" w:rsidRPr="00892DE3" w:rsidRDefault="00595FEE" w:rsidP="006568E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3 430</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Amounts payable to government and agencies</w:t>
            </w:r>
          </w:p>
        </w:tc>
        <w:tc>
          <w:tcPr>
            <w:tcW w:w="916" w:type="dxa"/>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10 891</w:t>
            </w:r>
          </w:p>
        </w:tc>
        <w:tc>
          <w:tcPr>
            <w:tcW w:w="916" w:type="dxa"/>
            <w:noWrap/>
            <w:hideMark/>
          </w:tcPr>
          <w:p w:rsidR="0039663C" w:rsidRPr="00892DE3" w:rsidRDefault="003C3C62" w:rsidP="006568E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1 796</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Unearned income</w:t>
            </w:r>
          </w:p>
        </w:tc>
        <w:tc>
          <w:tcPr>
            <w:tcW w:w="916" w:type="dxa"/>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1 145</w:t>
            </w:r>
          </w:p>
        </w:tc>
        <w:tc>
          <w:tcPr>
            <w:tcW w:w="916" w:type="dxa"/>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1 990</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hideMark/>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Other payables</w:t>
            </w:r>
          </w:p>
        </w:tc>
        <w:tc>
          <w:tcPr>
            <w:tcW w:w="916" w:type="dxa"/>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817</w:t>
            </w:r>
          </w:p>
        </w:tc>
        <w:tc>
          <w:tcPr>
            <w:tcW w:w="916" w:type="dxa"/>
            <w:noWrap/>
            <w:hideMark/>
          </w:tcPr>
          <w:p w:rsidR="0039663C" w:rsidRPr="00892DE3" w:rsidRDefault="003C3C62" w:rsidP="006568E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8 925</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r w:rsidRPr="00892DE3">
              <w:rPr>
                <w:rFonts w:asciiTheme="majorHAnsi" w:hAnsiTheme="majorHAnsi" w:cstheme="majorHAnsi"/>
                <w:b/>
              </w:rPr>
              <w:t>Statutory</w:t>
            </w:r>
          </w:p>
        </w:tc>
        <w:tc>
          <w:tcPr>
            <w:tcW w:w="916" w:type="dxa"/>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892DE3">
              <w:rPr>
                <w:rFonts w:asciiTheme="majorHAnsi" w:hAnsiTheme="majorHAnsi" w:cstheme="majorHAnsi"/>
                <w:b/>
                <w:bCs/>
                <w:color w:val="000000"/>
              </w:rPr>
              <w:t xml:space="preserve"> </w:t>
            </w:r>
          </w:p>
        </w:tc>
        <w:tc>
          <w:tcPr>
            <w:tcW w:w="916" w:type="dxa"/>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892DE3">
              <w:rPr>
                <w:rFonts w:asciiTheme="majorHAnsi" w:hAnsiTheme="majorHAnsi" w:cstheme="majorHAnsi"/>
                <w:b/>
                <w:bCs/>
                <w:color w:val="000000"/>
              </w:rPr>
              <w:t xml:space="preserve"> </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FBT payable</w:t>
            </w:r>
          </w:p>
        </w:tc>
        <w:tc>
          <w:tcPr>
            <w:tcW w:w="916" w:type="dxa"/>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82</w:t>
            </w:r>
          </w:p>
        </w:tc>
        <w:tc>
          <w:tcPr>
            <w:tcW w:w="916" w:type="dxa"/>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169</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 xml:space="preserve">GST payable </w:t>
            </w:r>
          </w:p>
        </w:tc>
        <w:tc>
          <w:tcPr>
            <w:tcW w:w="916" w:type="dxa"/>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109</w:t>
            </w:r>
          </w:p>
        </w:tc>
        <w:tc>
          <w:tcPr>
            <w:tcW w:w="916" w:type="dxa"/>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225</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tcBorders>
              <w:bottom w:val="single" w:sz="4" w:space="0" w:color="auto"/>
            </w:tcBorders>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Other taxes payable</w:t>
            </w:r>
          </w:p>
        </w:tc>
        <w:tc>
          <w:tcPr>
            <w:tcW w:w="916" w:type="dxa"/>
            <w:tcBorders>
              <w:bottom w:val="single" w:sz="4" w:space="0" w:color="auto"/>
            </w:tcBorders>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82</w:t>
            </w:r>
          </w:p>
        </w:tc>
        <w:tc>
          <w:tcPr>
            <w:tcW w:w="916" w:type="dxa"/>
            <w:tcBorders>
              <w:bottom w:val="single" w:sz="4" w:space="0" w:color="auto"/>
            </w:tcBorders>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169</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tcBorders>
              <w:top w:val="single" w:sz="4" w:space="0" w:color="auto"/>
              <w:bottom w:val="single" w:sz="4" w:space="0" w:color="auto"/>
            </w:tcBorders>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r w:rsidRPr="00892DE3">
              <w:rPr>
                <w:rFonts w:asciiTheme="majorHAnsi" w:hAnsiTheme="majorHAnsi" w:cstheme="majorHAnsi"/>
                <w:b/>
                <w:color w:val="000000"/>
              </w:rPr>
              <w:t>Total payables</w:t>
            </w:r>
          </w:p>
        </w:tc>
        <w:tc>
          <w:tcPr>
            <w:tcW w:w="916" w:type="dxa"/>
            <w:tcBorders>
              <w:top w:val="single" w:sz="4" w:space="0" w:color="auto"/>
              <w:bottom w:val="single" w:sz="4" w:space="0" w:color="auto"/>
            </w:tcBorders>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rPr>
            </w:pPr>
            <w:r w:rsidRPr="00892DE3">
              <w:rPr>
                <w:rFonts w:asciiTheme="majorHAnsi" w:eastAsia="Times New Roman" w:hAnsiTheme="majorHAnsi" w:cstheme="majorHAnsi"/>
                <w:b/>
                <w:color w:val="000000"/>
              </w:rPr>
              <w:t>17 592</w:t>
            </w:r>
          </w:p>
        </w:tc>
        <w:tc>
          <w:tcPr>
            <w:tcW w:w="916" w:type="dxa"/>
            <w:tcBorders>
              <w:top w:val="single" w:sz="4" w:space="0" w:color="auto"/>
              <w:bottom w:val="single" w:sz="4" w:space="0" w:color="auto"/>
            </w:tcBorders>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rPr>
            </w:pPr>
            <w:r w:rsidRPr="00892DE3">
              <w:rPr>
                <w:rFonts w:asciiTheme="majorHAnsi" w:eastAsia="Times New Roman" w:hAnsiTheme="majorHAnsi" w:cstheme="majorHAnsi"/>
                <w:b/>
                <w:color w:val="000000"/>
              </w:rPr>
              <w:t>16 704</w:t>
            </w: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39663C" w:rsidRPr="00892DE3" w:rsidRDefault="0039663C" w:rsidP="0039663C"/>
        </w:tc>
        <w:tc>
          <w:tcPr>
            <w:tcW w:w="6475" w:type="dxa"/>
            <w:tcBorders>
              <w:top w:val="single" w:sz="4" w:space="0" w:color="auto"/>
            </w:tcBorders>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rPr>
            </w:pPr>
            <w:r w:rsidRPr="00892DE3">
              <w:rPr>
                <w:rFonts w:asciiTheme="majorHAnsi" w:hAnsiTheme="majorHAnsi" w:cstheme="majorHAnsi"/>
                <w:i/>
                <w:color w:val="000000"/>
              </w:rPr>
              <w:t>Represented by:</w:t>
            </w:r>
          </w:p>
        </w:tc>
        <w:tc>
          <w:tcPr>
            <w:tcW w:w="916" w:type="dxa"/>
            <w:tcBorders>
              <w:top w:val="single" w:sz="4" w:space="0" w:color="auto"/>
            </w:tcBorders>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916" w:type="dxa"/>
            <w:tcBorders>
              <w:top w:val="single" w:sz="4" w:space="0" w:color="auto"/>
            </w:tcBorders>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39663C" w:rsidRPr="00892DE3" w:rsidTr="0044350A">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39663C" w:rsidRPr="00892DE3" w:rsidRDefault="0039663C" w:rsidP="0039663C">
            <w:pPr>
              <w:rPr>
                <w:rStyle w:val="SourceReference"/>
              </w:rPr>
            </w:pPr>
            <w:r w:rsidRPr="00892DE3">
              <w:rPr>
                <w:rStyle w:val="SourceReference"/>
              </w:rPr>
              <w:t>AASB 101.61</w:t>
            </w:r>
          </w:p>
        </w:tc>
        <w:tc>
          <w:tcPr>
            <w:tcW w:w="6475" w:type="dxa"/>
          </w:tcPr>
          <w:p w:rsidR="0039663C" w:rsidRPr="00892DE3" w:rsidRDefault="0039663C" w:rsidP="0039663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892DE3">
              <w:rPr>
                <w:rFonts w:asciiTheme="majorHAnsi" w:hAnsiTheme="majorHAnsi" w:cstheme="majorHAnsi"/>
                <w:color w:val="000000"/>
              </w:rPr>
              <w:t>Current payables</w:t>
            </w:r>
          </w:p>
        </w:tc>
        <w:tc>
          <w:tcPr>
            <w:tcW w:w="916" w:type="dxa"/>
            <w:shd w:val="clear" w:color="auto" w:fill="EBEBEB" w:themeFill="background2"/>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14 686</w:t>
            </w:r>
          </w:p>
        </w:tc>
        <w:tc>
          <w:tcPr>
            <w:tcW w:w="916" w:type="dxa"/>
            <w:noWrap/>
          </w:tcPr>
          <w:p w:rsidR="0039663C" w:rsidRPr="00892DE3" w:rsidRDefault="0039663C" w:rsidP="00A137C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14 647</w:t>
            </w:r>
          </w:p>
        </w:tc>
      </w:tr>
      <w:tr w:rsidR="0039663C" w:rsidRPr="00892DE3" w:rsidTr="0044350A">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84" w:type="dxa"/>
            <w:tcBorders>
              <w:top w:val="none" w:sz="0" w:space="0" w:color="auto"/>
              <w:bottom w:val="none" w:sz="0" w:space="0" w:color="auto"/>
            </w:tcBorders>
            <w:shd w:val="clear" w:color="auto" w:fill="auto"/>
          </w:tcPr>
          <w:p w:rsidR="0039663C" w:rsidRPr="00892DE3" w:rsidRDefault="0039663C" w:rsidP="0039663C">
            <w:pPr>
              <w:rPr>
                <w:rStyle w:val="SourceReference"/>
              </w:rPr>
            </w:pPr>
            <w:r w:rsidRPr="00892DE3">
              <w:rPr>
                <w:rStyle w:val="SourceReference"/>
              </w:rPr>
              <w:t>AASB 101.61</w:t>
            </w:r>
          </w:p>
        </w:tc>
        <w:tc>
          <w:tcPr>
            <w:tcW w:w="6475" w:type="dxa"/>
            <w:tcBorders>
              <w:top w:val="none" w:sz="0" w:space="0" w:color="auto"/>
            </w:tcBorders>
          </w:tcPr>
          <w:p w:rsidR="0039663C" w:rsidRPr="00892DE3" w:rsidRDefault="0039663C" w:rsidP="0039663C">
            <w:pPr>
              <w:jc w:val="lef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color w:val="000000"/>
              </w:rPr>
            </w:pPr>
            <w:r w:rsidRPr="00892DE3">
              <w:rPr>
                <w:rFonts w:asciiTheme="majorHAnsi" w:hAnsiTheme="majorHAnsi" w:cstheme="majorHAnsi"/>
                <w:b w:val="0"/>
                <w:color w:val="000000"/>
              </w:rPr>
              <w:t>Non-current payables</w:t>
            </w:r>
          </w:p>
        </w:tc>
        <w:tc>
          <w:tcPr>
            <w:tcW w:w="916" w:type="dxa"/>
            <w:tcBorders>
              <w:top w:val="none" w:sz="0" w:space="0" w:color="auto"/>
            </w:tcBorders>
            <w:shd w:val="clear" w:color="auto" w:fill="EBEBEB" w:themeFill="background2"/>
            <w:noWrap/>
          </w:tcPr>
          <w:p w:rsidR="0039663C" w:rsidRPr="00892DE3" w:rsidRDefault="0039663C" w:rsidP="00A137C6">
            <w:pPr>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rPr>
            </w:pPr>
            <w:r w:rsidRPr="00892DE3">
              <w:rPr>
                <w:rFonts w:asciiTheme="majorHAnsi" w:eastAsia="Times New Roman" w:hAnsiTheme="majorHAnsi" w:cstheme="majorHAnsi"/>
                <w:b w:val="0"/>
                <w:color w:val="000000"/>
              </w:rPr>
              <w:t>2 905</w:t>
            </w:r>
          </w:p>
        </w:tc>
        <w:tc>
          <w:tcPr>
            <w:tcW w:w="916" w:type="dxa"/>
            <w:tcBorders>
              <w:top w:val="none" w:sz="0" w:space="0" w:color="auto"/>
            </w:tcBorders>
            <w:noWrap/>
          </w:tcPr>
          <w:p w:rsidR="0039663C" w:rsidRPr="00892DE3" w:rsidRDefault="0039663C" w:rsidP="00A137C6">
            <w:pPr>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rPr>
            </w:pPr>
            <w:r w:rsidRPr="00892DE3">
              <w:rPr>
                <w:rFonts w:asciiTheme="majorHAnsi" w:eastAsia="Times New Roman" w:hAnsiTheme="majorHAnsi" w:cstheme="majorHAnsi"/>
                <w:b w:val="0"/>
                <w:color w:val="000000"/>
              </w:rPr>
              <w:t>2 057</w:t>
            </w:r>
          </w:p>
        </w:tc>
      </w:tr>
    </w:tbl>
    <w:p w:rsidR="0039663C" w:rsidRPr="00892DE3" w:rsidRDefault="0039663C" w:rsidP="0039663C">
      <w:r w:rsidRPr="00892DE3">
        <w:t>Payables consist of:</w:t>
      </w:r>
    </w:p>
    <w:p w:rsidR="0039663C" w:rsidRPr="00892DE3" w:rsidRDefault="0039663C" w:rsidP="0039663C">
      <w:pPr>
        <w:pStyle w:val="ListBullet"/>
      </w:pPr>
      <w:r w:rsidRPr="00892DE3">
        <w:rPr>
          <w:b/>
        </w:rPr>
        <w:t>contractual payables</w:t>
      </w:r>
      <w:r w:rsidRPr="00892DE3">
        <w:t xml:space="preserve">, classified as financial instruments and measured at amortised cost. Accounts payable represent liabilities for goods and services provided to the Department prior to the end of the financial year that are unpaid; and </w:t>
      </w:r>
    </w:p>
    <w:p w:rsidR="0039663C" w:rsidRPr="00892DE3" w:rsidRDefault="0039663C" w:rsidP="0039663C">
      <w:pPr>
        <w:pStyle w:val="ListBullet"/>
      </w:pPr>
      <w:r w:rsidRPr="00892DE3">
        <w:rPr>
          <w:b/>
        </w:rPr>
        <w:t>statutory payables</w:t>
      </w:r>
      <w:r w:rsidRPr="00892DE3">
        <w:t xml:space="preserve">, that are recognised and measured similarly to contractual payables, but are not classified as financial instruments and not included in the category of financial liabilities at amortised cost, because they do not arise from contracts. </w:t>
      </w:r>
      <w:r w:rsidRPr="00892DE3">
        <w:rPr>
          <w:rStyle w:val="SourceReference"/>
        </w:rPr>
        <w:t>[AASB 7.21, AASB 139.43 and 139.47]</w:t>
      </w:r>
    </w:p>
    <w:p w:rsidR="0039663C" w:rsidRPr="00892DE3" w:rsidRDefault="0039663C" w:rsidP="0039663C">
      <w:r w:rsidRPr="00892DE3">
        <w:t>Payables for supplies and services have an average credit period of 30 days. No interest is charged on the ‘other payables’ for the first 30 days from the date of the invoice. Thereafter, interest is charged at 2 per cent per year on the outstanding balance.</w:t>
      </w:r>
    </w:p>
    <w:p w:rsidR="0039663C" w:rsidRPr="00892DE3" w:rsidRDefault="0039663C" w:rsidP="0039663C">
      <w:r w:rsidRPr="00892DE3">
        <w:t>The terms and conditions of amounts payable to the government and agencies vary according to the particular agreements and as they are not legislative payables, they are not classified as financial instruments.</w:t>
      </w:r>
    </w:p>
    <w:p w:rsidR="0039663C" w:rsidRPr="00892DE3" w:rsidRDefault="0039663C" w:rsidP="0039663C">
      <w:r w:rsidRPr="00892DE3">
        <w:rPr>
          <w:b/>
        </w:rPr>
        <w:t>Financial guarantees</w:t>
      </w:r>
      <w:r w:rsidRPr="00892DE3">
        <w:t xml:space="preserve">: Payments that are contingent under financial guarantee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AASB 137 or the amount initially recognised. </w:t>
      </w:r>
      <w:r w:rsidRPr="00892DE3">
        <w:rPr>
          <w:rStyle w:val="SourceReference"/>
        </w:rPr>
        <w:t>[AASB 139.43]</w:t>
      </w:r>
    </w:p>
    <w:p w:rsidR="0039663C" w:rsidRPr="00892DE3" w:rsidRDefault="0039663C" w:rsidP="0039663C">
      <w:r w:rsidRPr="00892DE3">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rsidR="0039663C" w:rsidRPr="00892DE3" w:rsidRDefault="0039663C" w:rsidP="0039663C">
      <w:r w:rsidRPr="00892DE3">
        <w:t>The value of loans and other amounts guaranteed by the Treasurer is disclosed as contingent liabilities.</w:t>
      </w:r>
    </w:p>
    <w:p w:rsidR="0039663C" w:rsidRPr="00892DE3" w:rsidRDefault="0039663C" w:rsidP="00A137C6">
      <w:pPr>
        <w:pStyle w:val="TableHeading"/>
      </w:pPr>
      <w:r w:rsidRPr="00892DE3">
        <w:t>Maturity analysis of contractual payables</w:t>
      </w:r>
      <w:r w:rsidR="000675EA" w:rsidRPr="00892DE3">
        <w:t xml:space="preserve"> </w:t>
      </w:r>
      <w:r w:rsidRPr="00892DE3">
        <w:rPr>
          <w:vertAlign w:val="superscript"/>
        </w:rPr>
        <w:t>(</w:t>
      </w:r>
      <w:r w:rsidR="000675EA" w:rsidRPr="00892DE3">
        <w:rPr>
          <w:vertAlign w:val="superscript"/>
        </w:rPr>
        <w:t>a</w:t>
      </w:r>
      <w:r w:rsidRPr="00892DE3">
        <w:rPr>
          <w:vertAlign w:val="superscript"/>
        </w:rPr>
        <w:t>)</w:t>
      </w:r>
      <w:r w:rsidRPr="00892DE3">
        <w:t xml:space="preserve"> </w:t>
      </w:r>
      <w:r w:rsidRPr="00892DE3">
        <w:rPr>
          <w:rStyle w:val="SourceReference"/>
          <w:b w:val="0"/>
        </w:rPr>
        <w:t>[AASB 7.39(a)]</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835"/>
        <w:gridCol w:w="851"/>
        <w:gridCol w:w="850"/>
        <w:gridCol w:w="941"/>
        <w:gridCol w:w="983"/>
        <w:gridCol w:w="1429"/>
        <w:gridCol w:w="893"/>
        <w:gridCol w:w="855"/>
      </w:tblGrid>
      <w:tr w:rsidR="00A137C6" w:rsidRPr="00892DE3" w:rsidTr="000675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rsidR="00A137C6" w:rsidRPr="00892DE3" w:rsidRDefault="00A137C6" w:rsidP="00A137C6">
            <w:pPr>
              <w:ind w:left="0" w:firstLine="0"/>
              <w:rPr>
                <w:rFonts w:cstheme="majorHAnsi"/>
              </w:rPr>
            </w:pPr>
          </w:p>
        </w:tc>
        <w:tc>
          <w:tcPr>
            <w:tcW w:w="851" w:type="dxa"/>
            <w:noWrap/>
          </w:tcPr>
          <w:p w:rsidR="00A137C6" w:rsidRPr="00892DE3" w:rsidRDefault="00A137C6" w:rsidP="00A137C6">
            <w:pPr>
              <w:cnfStyle w:val="100000000000" w:firstRow="1" w:lastRow="0" w:firstColumn="0" w:lastColumn="0" w:oddVBand="0" w:evenVBand="0" w:oddHBand="0" w:evenHBand="0" w:firstRowFirstColumn="0" w:firstRowLastColumn="0" w:lastRowFirstColumn="0" w:lastRowLastColumn="0"/>
              <w:rPr>
                <w:rFonts w:cstheme="majorHAnsi"/>
              </w:rPr>
            </w:pPr>
          </w:p>
        </w:tc>
        <w:tc>
          <w:tcPr>
            <w:tcW w:w="850" w:type="dxa"/>
            <w:noWrap/>
          </w:tcPr>
          <w:p w:rsidR="00A137C6" w:rsidRPr="00892DE3" w:rsidRDefault="00A137C6" w:rsidP="00A137C6">
            <w:pPr>
              <w:cnfStyle w:val="100000000000" w:firstRow="1" w:lastRow="0" w:firstColumn="0" w:lastColumn="0" w:oddVBand="0" w:evenVBand="0" w:oddHBand="0" w:evenHBand="0" w:firstRowFirstColumn="0" w:firstRowLastColumn="0" w:lastRowFirstColumn="0" w:lastRowLastColumn="0"/>
              <w:rPr>
                <w:rFonts w:cstheme="majorHAnsi"/>
              </w:rPr>
            </w:pPr>
          </w:p>
        </w:tc>
        <w:tc>
          <w:tcPr>
            <w:tcW w:w="5101" w:type="dxa"/>
            <w:gridSpan w:val="5"/>
            <w:tcBorders>
              <w:bottom w:val="single" w:sz="6" w:space="0" w:color="FFFFFF" w:themeColor="background1"/>
            </w:tcBorders>
          </w:tcPr>
          <w:p w:rsidR="00A137C6" w:rsidRPr="00892DE3" w:rsidRDefault="00A137C6" w:rsidP="00A137C6">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Maturity dates</w:t>
            </w:r>
          </w:p>
        </w:tc>
      </w:tr>
      <w:tr w:rsidR="00A137C6" w:rsidRPr="00892DE3" w:rsidTr="000675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5" w:type="dxa"/>
          </w:tcPr>
          <w:p w:rsidR="00A137C6" w:rsidRPr="00892DE3" w:rsidRDefault="00A137C6" w:rsidP="00A137C6">
            <w:pPr>
              <w:ind w:left="0" w:firstLine="0"/>
              <w:rPr>
                <w:rFonts w:cstheme="majorHAnsi"/>
              </w:rPr>
            </w:pPr>
          </w:p>
        </w:tc>
        <w:tc>
          <w:tcPr>
            <w:tcW w:w="851" w:type="dxa"/>
            <w:shd w:val="clear" w:color="auto" w:fill="000000"/>
            <w:noWrap/>
          </w:tcPr>
          <w:p w:rsidR="00A137C6" w:rsidRPr="00892DE3" w:rsidRDefault="00A137C6" w:rsidP="00A137C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Carrying amount</w:t>
            </w:r>
          </w:p>
        </w:tc>
        <w:tc>
          <w:tcPr>
            <w:tcW w:w="850" w:type="dxa"/>
            <w:shd w:val="clear" w:color="auto" w:fill="000000"/>
            <w:noWrap/>
          </w:tcPr>
          <w:p w:rsidR="00A137C6" w:rsidRPr="00892DE3" w:rsidRDefault="00A137C6" w:rsidP="00A137C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Nominal amount</w:t>
            </w:r>
          </w:p>
        </w:tc>
        <w:tc>
          <w:tcPr>
            <w:tcW w:w="941" w:type="dxa"/>
            <w:tcBorders>
              <w:top w:val="single" w:sz="6" w:space="0" w:color="FFFFFF" w:themeColor="background1"/>
            </w:tcBorders>
          </w:tcPr>
          <w:p w:rsidR="00A137C6" w:rsidRPr="00892DE3" w:rsidRDefault="00A137C6" w:rsidP="00A137C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Less than </w:t>
            </w:r>
            <w:r w:rsidRPr="00892DE3">
              <w:rPr>
                <w:rFonts w:cstheme="majorHAnsi"/>
              </w:rPr>
              <w:br/>
              <w:t>1 month</w:t>
            </w:r>
          </w:p>
        </w:tc>
        <w:tc>
          <w:tcPr>
            <w:tcW w:w="983" w:type="dxa"/>
            <w:tcBorders>
              <w:top w:val="single" w:sz="6" w:space="0" w:color="FFFFFF" w:themeColor="background1"/>
            </w:tcBorders>
          </w:tcPr>
          <w:p w:rsidR="00A137C6" w:rsidRPr="00892DE3" w:rsidRDefault="00A137C6" w:rsidP="000675EA">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w:t>
            </w:r>
            <w:r w:rsidRPr="00892DE3">
              <w:rPr>
                <w:rFonts w:cstheme="majorHAnsi"/>
              </w:rPr>
              <w:noBreakHyphen/>
              <w:t xml:space="preserve">3 </w:t>
            </w:r>
            <w:r w:rsidR="000675EA" w:rsidRPr="00892DE3">
              <w:rPr>
                <w:rFonts w:cstheme="majorHAnsi"/>
              </w:rPr>
              <w:br/>
            </w:r>
            <w:r w:rsidRPr="00892DE3">
              <w:rPr>
                <w:rFonts w:cstheme="majorHAnsi"/>
              </w:rPr>
              <w:t>months</w:t>
            </w:r>
          </w:p>
        </w:tc>
        <w:tc>
          <w:tcPr>
            <w:tcW w:w="1429" w:type="dxa"/>
            <w:tcBorders>
              <w:top w:val="single" w:sz="6" w:space="0" w:color="FFFFFF" w:themeColor="background1"/>
            </w:tcBorders>
          </w:tcPr>
          <w:p w:rsidR="00A137C6" w:rsidRPr="00892DE3" w:rsidRDefault="000675EA" w:rsidP="00A137C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 months -</w:t>
            </w:r>
            <w:r w:rsidR="00A137C6" w:rsidRPr="00892DE3">
              <w:rPr>
                <w:rFonts w:cstheme="majorHAnsi"/>
              </w:rPr>
              <w:t xml:space="preserve"> </w:t>
            </w:r>
            <w:r w:rsidRPr="00892DE3">
              <w:rPr>
                <w:rFonts w:cstheme="majorHAnsi"/>
              </w:rPr>
              <w:br/>
            </w:r>
            <w:r w:rsidR="00A137C6" w:rsidRPr="00892DE3">
              <w:rPr>
                <w:rFonts w:cstheme="majorHAnsi"/>
              </w:rPr>
              <w:t>1 year</w:t>
            </w:r>
          </w:p>
        </w:tc>
        <w:tc>
          <w:tcPr>
            <w:tcW w:w="893" w:type="dxa"/>
            <w:tcBorders>
              <w:top w:val="single" w:sz="6" w:space="0" w:color="FFFFFF" w:themeColor="background1"/>
            </w:tcBorders>
          </w:tcPr>
          <w:p w:rsidR="00A137C6" w:rsidRPr="00892DE3" w:rsidRDefault="00A137C6" w:rsidP="00A137C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w:t>
            </w:r>
            <w:r w:rsidRPr="00892DE3">
              <w:rPr>
                <w:rFonts w:cstheme="majorHAnsi"/>
              </w:rPr>
              <w:noBreakHyphen/>
              <w:t xml:space="preserve"> 5 </w:t>
            </w:r>
            <w:r w:rsidR="000675EA" w:rsidRPr="00892DE3">
              <w:rPr>
                <w:rFonts w:cstheme="majorHAnsi"/>
              </w:rPr>
              <w:br/>
            </w:r>
            <w:r w:rsidRPr="00892DE3">
              <w:rPr>
                <w:rFonts w:cstheme="majorHAnsi"/>
              </w:rPr>
              <w:t>years</w:t>
            </w:r>
          </w:p>
        </w:tc>
        <w:tc>
          <w:tcPr>
            <w:tcW w:w="855" w:type="dxa"/>
            <w:tcBorders>
              <w:top w:val="single" w:sz="6" w:space="0" w:color="FFFFFF" w:themeColor="background1"/>
            </w:tcBorders>
          </w:tcPr>
          <w:p w:rsidR="00A137C6" w:rsidRPr="00892DE3" w:rsidRDefault="00A137C6" w:rsidP="00A137C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5+ </w:t>
            </w:r>
            <w:r w:rsidR="000675EA" w:rsidRPr="00892DE3">
              <w:rPr>
                <w:rFonts w:cstheme="majorHAnsi"/>
              </w:rPr>
              <w:br/>
            </w:r>
            <w:r w:rsidRPr="00892DE3">
              <w:rPr>
                <w:rFonts w:cstheme="majorHAnsi"/>
              </w:rPr>
              <w:t>years</w:t>
            </w:r>
          </w:p>
        </w:tc>
      </w:tr>
      <w:tr w:rsidR="00A137C6" w:rsidRPr="00892DE3" w:rsidTr="000675EA">
        <w:tc>
          <w:tcPr>
            <w:cnfStyle w:val="001000000000" w:firstRow="0" w:lastRow="0" w:firstColumn="1" w:lastColumn="0" w:oddVBand="0" w:evenVBand="0" w:oddHBand="0" w:evenHBand="0" w:firstRowFirstColumn="0" w:firstRowLastColumn="0" w:lastRowFirstColumn="0" w:lastRowLastColumn="0"/>
            <w:tcW w:w="2835" w:type="dxa"/>
          </w:tcPr>
          <w:p w:rsidR="00A137C6" w:rsidRPr="00892DE3" w:rsidRDefault="00A137C6" w:rsidP="00A137C6">
            <w:pPr>
              <w:rPr>
                <w:rFonts w:cstheme="majorHAnsi"/>
              </w:rPr>
            </w:pPr>
            <w:r w:rsidRPr="00892DE3">
              <w:rPr>
                <w:rFonts w:cstheme="majorHAnsi"/>
                <w:b/>
              </w:rPr>
              <w:t>2017</w:t>
            </w:r>
          </w:p>
        </w:tc>
        <w:tc>
          <w:tcPr>
            <w:tcW w:w="851" w:type="dxa"/>
            <w:noWrap/>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50" w:type="dxa"/>
            <w:noWrap/>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41"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83"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1429"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93"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55"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r>
      <w:tr w:rsidR="00A137C6" w:rsidRPr="00892DE3" w:rsidTr="000675EA">
        <w:tc>
          <w:tcPr>
            <w:cnfStyle w:val="001000000000" w:firstRow="0" w:lastRow="0" w:firstColumn="1" w:lastColumn="0" w:oddVBand="0" w:evenVBand="0" w:oddHBand="0" w:evenHBand="0" w:firstRowFirstColumn="0" w:firstRowLastColumn="0" w:lastRowFirstColumn="0" w:lastRowLastColumn="0"/>
            <w:tcW w:w="2835" w:type="dxa"/>
          </w:tcPr>
          <w:p w:rsidR="00A137C6" w:rsidRPr="00892DE3" w:rsidRDefault="00A137C6" w:rsidP="00A137C6">
            <w:pPr>
              <w:rPr>
                <w:rFonts w:cstheme="majorHAnsi"/>
              </w:rPr>
            </w:pPr>
            <w:r w:rsidRPr="00892DE3">
              <w:rPr>
                <w:rFonts w:cstheme="majorHAnsi"/>
              </w:rPr>
              <w:t>Supplies and services</w:t>
            </w:r>
          </w:p>
        </w:tc>
        <w:tc>
          <w:tcPr>
            <w:tcW w:w="851" w:type="dxa"/>
            <w:noWrap/>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c>
          <w:tcPr>
            <w:tcW w:w="850" w:type="dxa"/>
            <w:noWrap/>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c>
          <w:tcPr>
            <w:tcW w:w="941"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1 786</w:t>
            </w:r>
          </w:p>
        </w:tc>
        <w:tc>
          <w:tcPr>
            <w:tcW w:w="983"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2 680</w:t>
            </w:r>
          </w:p>
        </w:tc>
        <w:tc>
          <w:tcPr>
            <w:tcW w:w="1429" w:type="dxa"/>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93" w:type="dxa"/>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55" w:type="dxa"/>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137C6" w:rsidRPr="00892DE3" w:rsidTr="000675EA">
        <w:tc>
          <w:tcPr>
            <w:cnfStyle w:val="001000000000" w:firstRow="0" w:lastRow="0" w:firstColumn="1" w:lastColumn="0" w:oddVBand="0" w:evenVBand="0" w:oddHBand="0" w:evenHBand="0" w:firstRowFirstColumn="0" w:firstRowLastColumn="0" w:lastRowFirstColumn="0" w:lastRowLastColumn="0"/>
            <w:tcW w:w="2835" w:type="dxa"/>
          </w:tcPr>
          <w:p w:rsidR="00A137C6" w:rsidRPr="00892DE3" w:rsidRDefault="00A137C6" w:rsidP="00A137C6">
            <w:pPr>
              <w:rPr>
                <w:rFonts w:cstheme="majorHAnsi"/>
              </w:rPr>
            </w:pPr>
            <w:r w:rsidRPr="00892DE3">
              <w:rPr>
                <w:rFonts w:cstheme="majorHAnsi"/>
              </w:rPr>
              <w:t>Amounts payable to government and agencies</w:t>
            </w:r>
          </w:p>
        </w:tc>
        <w:tc>
          <w:tcPr>
            <w:tcW w:w="851" w:type="dxa"/>
            <w:noWrap/>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10 891</w:t>
            </w:r>
          </w:p>
        </w:tc>
        <w:tc>
          <w:tcPr>
            <w:tcW w:w="850" w:type="dxa"/>
            <w:noWrap/>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10 890</w:t>
            </w:r>
          </w:p>
        </w:tc>
        <w:tc>
          <w:tcPr>
            <w:tcW w:w="941"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5 633</w:t>
            </w:r>
          </w:p>
        </w:tc>
        <w:tc>
          <w:tcPr>
            <w:tcW w:w="983"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1 610</w:t>
            </w:r>
          </w:p>
        </w:tc>
        <w:tc>
          <w:tcPr>
            <w:tcW w:w="1429"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805</w:t>
            </w:r>
          </w:p>
        </w:tc>
        <w:tc>
          <w:tcPr>
            <w:tcW w:w="893" w:type="dxa"/>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2 843</w:t>
            </w:r>
          </w:p>
        </w:tc>
        <w:tc>
          <w:tcPr>
            <w:tcW w:w="855" w:type="dxa"/>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137C6" w:rsidRPr="00892DE3" w:rsidTr="000675EA">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tcPr>
          <w:p w:rsidR="00A137C6" w:rsidRPr="00892DE3" w:rsidRDefault="00A137C6" w:rsidP="00A137C6">
            <w:pPr>
              <w:rPr>
                <w:rFonts w:cstheme="majorHAnsi"/>
              </w:rPr>
            </w:pPr>
            <w:r w:rsidRPr="00892DE3">
              <w:rPr>
                <w:rFonts w:cstheme="majorHAnsi"/>
              </w:rPr>
              <w:t>Other payables</w:t>
            </w:r>
          </w:p>
        </w:tc>
        <w:tc>
          <w:tcPr>
            <w:tcW w:w="851" w:type="dxa"/>
            <w:tcBorders>
              <w:bottom w:val="single" w:sz="4" w:space="0" w:color="auto"/>
            </w:tcBorders>
            <w:noWrap/>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c>
          <w:tcPr>
            <w:tcW w:w="850" w:type="dxa"/>
            <w:tcBorders>
              <w:bottom w:val="single" w:sz="4" w:space="0" w:color="auto"/>
            </w:tcBorders>
            <w:noWrap/>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c>
          <w:tcPr>
            <w:tcW w:w="941" w:type="dxa"/>
            <w:tcBorders>
              <w:bottom w:val="single" w:sz="4" w:space="0" w:color="auto"/>
            </w:tcBorders>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554</w:t>
            </w:r>
          </w:p>
        </w:tc>
        <w:tc>
          <w:tcPr>
            <w:tcW w:w="983" w:type="dxa"/>
            <w:tcBorders>
              <w:bottom w:val="single" w:sz="4" w:space="0" w:color="auto"/>
            </w:tcBorders>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158</w:t>
            </w:r>
          </w:p>
        </w:tc>
        <w:tc>
          <w:tcPr>
            <w:tcW w:w="1429" w:type="dxa"/>
            <w:tcBorders>
              <w:bottom w:val="single" w:sz="4" w:space="0" w:color="auto"/>
            </w:tcBorders>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79</w:t>
            </w:r>
          </w:p>
        </w:tc>
        <w:tc>
          <w:tcPr>
            <w:tcW w:w="893" w:type="dxa"/>
            <w:tcBorders>
              <w:bottom w:val="single" w:sz="4" w:space="0" w:color="auto"/>
            </w:tcBorders>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w:t>
            </w:r>
          </w:p>
        </w:tc>
        <w:tc>
          <w:tcPr>
            <w:tcW w:w="855" w:type="dxa"/>
            <w:tcBorders>
              <w:bottom w:val="single" w:sz="4" w:space="0" w:color="auto"/>
            </w:tcBorders>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137C6" w:rsidRPr="00892DE3" w:rsidTr="000675EA">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rsidR="00A137C6" w:rsidRPr="00892DE3" w:rsidRDefault="00A137C6" w:rsidP="00A137C6">
            <w:pPr>
              <w:rPr>
                <w:rFonts w:cstheme="majorHAnsi"/>
                <w:b/>
              </w:rPr>
            </w:pPr>
            <w:r w:rsidRPr="00892DE3">
              <w:rPr>
                <w:rFonts w:cstheme="majorHAnsi"/>
                <w:b/>
              </w:rPr>
              <w:t xml:space="preserve">Total </w:t>
            </w:r>
          </w:p>
        </w:tc>
        <w:tc>
          <w:tcPr>
            <w:tcW w:w="851" w:type="dxa"/>
            <w:tcBorders>
              <w:top w:val="single" w:sz="4" w:space="0" w:color="auto"/>
              <w:bottom w:val="single" w:sz="4" w:space="0" w:color="auto"/>
            </w:tcBorders>
            <w:noWrap/>
          </w:tcPr>
          <w:p w:rsidR="00A137C6" w:rsidRPr="00892DE3" w:rsidRDefault="003C3C62"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eastAsia="Times New Roman" w:cstheme="majorHAnsi"/>
                <w:b/>
                <w:color w:val="000000"/>
              </w:rPr>
              <w:t>16 174</w:t>
            </w:r>
          </w:p>
        </w:tc>
        <w:tc>
          <w:tcPr>
            <w:tcW w:w="850" w:type="dxa"/>
            <w:tcBorders>
              <w:top w:val="single" w:sz="4" w:space="0" w:color="auto"/>
              <w:bottom w:val="single" w:sz="4" w:space="0" w:color="auto"/>
            </w:tcBorders>
            <w:noWrap/>
          </w:tcPr>
          <w:p w:rsidR="00A137C6" w:rsidRPr="00892DE3" w:rsidRDefault="003C3C62"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eastAsia="Times New Roman" w:cstheme="majorHAnsi"/>
                <w:b/>
                <w:color w:val="000000"/>
              </w:rPr>
              <w:t>16 173</w:t>
            </w:r>
          </w:p>
        </w:tc>
        <w:tc>
          <w:tcPr>
            <w:tcW w:w="941" w:type="dxa"/>
            <w:tcBorders>
              <w:top w:val="single" w:sz="4" w:space="0" w:color="auto"/>
              <w:bottom w:val="single" w:sz="4" w:space="0" w:color="auto"/>
            </w:tcBorders>
          </w:tcPr>
          <w:p w:rsidR="00A137C6" w:rsidRPr="00892DE3" w:rsidRDefault="003C3C62" w:rsidP="00A137C6">
            <w:pPr>
              <w:ind w:left="170" w:hanging="170"/>
              <w:cnfStyle w:val="000000000000" w:firstRow="0" w:lastRow="0" w:firstColumn="0" w:lastColumn="0" w:oddVBand="0" w:evenVBand="0" w:oddHBand="0" w:evenHBand="0" w:firstRowFirstColumn="0" w:firstRowLastColumn="0" w:lastRowFirstColumn="0" w:lastRowLastColumn="0"/>
              <w:rPr>
                <w:rFonts w:eastAsia="Times New Roman" w:cstheme="majorHAnsi"/>
                <w:b/>
                <w:color w:val="000000"/>
              </w:rPr>
            </w:pPr>
            <w:r w:rsidRPr="00892DE3">
              <w:rPr>
                <w:rFonts w:eastAsia="Times New Roman" w:cstheme="majorHAnsi"/>
                <w:b/>
                <w:color w:val="000000"/>
              </w:rPr>
              <w:t>7 973</w:t>
            </w:r>
          </w:p>
        </w:tc>
        <w:tc>
          <w:tcPr>
            <w:tcW w:w="983" w:type="dxa"/>
            <w:tcBorders>
              <w:top w:val="single" w:sz="4" w:space="0" w:color="auto"/>
              <w:bottom w:val="single" w:sz="4" w:space="0" w:color="auto"/>
            </w:tcBorders>
          </w:tcPr>
          <w:p w:rsidR="00A137C6" w:rsidRPr="00892DE3" w:rsidRDefault="003C3C62" w:rsidP="00A137C6">
            <w:pPr>
              <w:ind w:left="170" w:hanging="170"/>
              <w:cnfStyle w:val="000000000000" w:firstRow="0" w:lastRow="0" w:firstColumn="0" w:lastColumn="0" w:oddVBand="0" w:evenVBand="0" w:oddHBand="0" w:evenHBand="0" w:firstRowFirstColumn="0" w:firstRowLastColumn="0" w:lastRowFirstColumn="0" w:lastRowLastColumn="0"/>
              <w:rPr>
                <w:rFonts w:eastAsia="Times New Roman" w:cstheme="majorHAnsi"/>
                <w:b/>
                <w:color w:val="000000"/>
              </w:rPr>
            </w:pPr>
            <w:r w:rsidRPr="00892DE3">
              <w:rPr>
                <w:rFonts w:eastAsia="Times New Roman" w:cstheme="majorHAnsi"/>
                <w:b/>
                <w:color w:val="000000"/>
              </w:rPr>
              <w:t>4 448</w:t>
            </w:r>
          </w:p>
        </w:tc>
        <w:tc>
          <w:tcPr>
            <w:tcW w:w="1429" w:type="dxa"/>
            <w:tcBorders>
              <w:top w:val="single" w:sz="4" w:space="0" w:color="auto"/>
              <w:bottom w:val="single" w:sz="4" w:space="0" w:color="auto"/>
            </w:tcBorders>
          </w:tcPr>
          <w:p w:rsidR="00A137C6" w:rsidRPr="00892DE3" w:rsidRDefault="003C3C62" w:rsidP="00A137C6">
            <w:pPr>
              <w:ind w:left="170" w:hanging="170"/>
              <w:cnfStyle w:val="000000000000" w:firstRow="0" w:lastRow="0" w:firstColumn="0" w:lastColumn="0" w:oddVBand="0" w:evenVBand="0" w:oddHBand="0" w:evenHBand="0" w:firstRowFirstColumn="0" w:firstRowLastColumn="0" w:lastRowFirstColumn="0" w:lastRowLastColumn="0"/>
              <w:rPr>
                <w:rFonts w:eastAsia="Times New Roman" w:cstheme="majorHAnsi"/>
                <w:b/>
                <w:color w:val="000000"/>
              </w:rPr>
            </w:pPr>
            <w:r w:rsidRPr="00892DE3">
              <w:rPr>
                <w:rFonts w:eastAsia="Times New Roman" w:cstheme="majorHAnsi"/>
                <w:b/>
                <w:color w:val="000000"/>
              </w:rPr>
              <w:t>884</w:t>
            </w:r>
          </w:p>
        </w:tc>
        <w:tc>
          <w:tcPr>
            <w:tcW w:w="893" w:type="dxa"/>
            <w:tcBorders>
              <w:top w:val="single" w:sz="4" w:space="0" w:color="auto"/>
              <w:bottom w:val="single" w:sz="4" w:space="0" w:color="auto"/>
            </w:tcBorders>
          </w:tcPr>
          <w:p w:rsidR="00A137C6" w:rsidRPr="00892DE3" w:rsidRDefault="003C3C62" w:rsidP="00A137C6">
            <w:pPr>
              <w:ind w:left="170" w:hanging="170"/>
              <w:cnfStyle w:val="000000000000" w:firstRow="0" w:lastRow="0" w:firstColumn="0" w:lastColumn="0" w:oddVBand="0" w:evenVBand="0" w:oddHBand="0" w:evenHBand="0" w:firstRowFirstColumn="0" w:firstRowLastColumn="0" w:lastRowFirstColumn="0" w:lastRowLastColumn="0"/>
              <w:rPr>
                <w:rFonts w:eastAsia="Times New Roman" w:cstheme="majorHAnsi"/>
                <w:b/>
                <w:color w:val="000000"/>
              </w:rPr>
            </w:pPr>
            <w:r w:rsidRPr="00892DE3">
              <w:rPr>
                <w:rFonts w:eastAsia="Times New Roman" w:cstheme="majorHAnsi"/>
                <w:b/>
                <w:color w:val="000000"/>
              </w:rPr>
              <w:t>2 869</w:t>
            </w:r>
          </w:p>
        </w:tc>
        <w:tc>
          <w:tcPr>
            <w:tcW w:w="855" w:type="dxa"/>
            <w:tcBorders>
              <w:top w:val="single" w:sz="4" w:space="0" w:color="auto"/>
              <w:bottom w:val="single" w:sz="4" w:space="0" w:color="auto"/>
            </w:tcBorders>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eastAsia="Times New Roman" w:cstheme="majorHAnsi"/>
                <w:b/>
                <w:color w:val="000000"/>
              </w:rPr>
            </w:pPr>
            <w:r w:rsidRPr="00892DE3">
              <w:rPr>
                <w:rFonts w:eastAsia="Times New Roman" w:cstheme="majorHAnsi"/>
                <w:b/>
                <w:color w:val="000000"/>
              </w:rPr>
              <w:t>..</w:t>
            </w:r>
          </w:p>
        </w:tc>
      </w:tr>
      <w:tr w:rsidR="00A137C6" w:rsidRPr="00892DE3" w:rsidTr="000675EA">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tcPr>
          <w:p w:rsidR="00A137C6" w:rsidRPr="00892DE3" w:rsidRDefault="00A137C6" w:rsidP="00A137C6">
            <w:pPr>
              <w:rPr>
                <w:rFonts w:cstheme="majorHAnsi"/>
                <w:b/>
              </w:rPr>
            </w:pPr>
            <w:r w:rsidRPr="00892DE3">
              <w:rPr>
                <w:rFonts w:cstheme="majorHAnsi"/>
                <w:b/>
              </w:rPr>
              <w:t>2016</w:t>
            </w:r>
          </w:p>
        </w:tc>
        <w:tc>
          <w:tcPr>
            <w:tcW w:w="851" w:type="dxa"/>
            <w:tcBorders>
              <w:top w:val="single" w:sz="4" w:space="0" w:color="auto"/>
            </w:tcBorders>
            <w:noWrap/>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50" w:type="dxa"/>
            <w:tcBorders>
              <w:top w:val="single" w:sz="4" w:space="0" w:color="auto"/>
            </w:tcBorders>
            <w:noWrap/>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41" w:type="dxa"/>
            <w:tcBorders>
              <w:top w:val="single" w:sz="4" w:space="0" w:color="auto"/>
            </w:tcBorders>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83" w:type="dxa"/>
            <w:tcBorders>
              <w:top w:val="single" w:sz="4" w:space="0" w:color="auto"/>
            </w:tcBorders>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1429" w:type="dxa"/>
            <w:tcBorders>
              <w:top w:val="single" w:sz="4" w:space="0" w:color="auto"/>
            </w:tcBorders>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93" w:type="dxa"/>
            <w:tcBorders>
              <w:top w:val="single" w:sz="4" w:space="0" w:color="auto"/>
            </w:tcBorders>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55" w:type="dxa"/>
            <w:tcBorders>
              <w:top w:val="single" w:sz="4" w:space="0" w:color="auto"/>
            </w:tcBorders>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r>
      <w:tr w:rsidR="00A137C6" w:rsidRPr="00892DE3" w:rsidTr="000675EA">
        <w:tc>
          <w:tcPr>
            <w:cnfStyle w:val="001000000000" w:firstRow="0" w:lastRow="0" w:firstColumn="1" w:lastColumn="0" w:oddVBand="0" w:evenVBand="0" w:oddHBand="0" w:evenHBand="0" w:firstRowFirstColumn="0" w:firstRowLastColumn="0" w:lastRowFirstColumn="0" w:lastRowLastColumn="0"/>
            <w:tcW w:w="2835" w:type="dxa"/>
          </w:tcPr>
          <w:p w:rsidR="00A137C6" w:rsidRPr="00892DE3" w:rsidRDefault="00A137C6" w:rsidP="00A137C6">
            <w:pPr>
              <w:rPr>
                <w:rFonts w:cstheme="majorHAnsi"/>
              </w:rPr>
            </w:pPr>
            <w:r w:rsidRPr="00892DE3">
              <w:rPr>
                <w:rFonts w:cstheme="majorHAnsi"/>
              </w:rPr>
              <w:t>Supplies and services</w:t>
            </w:r>
          </w:p>
        </w:tc>
        <w:tc>
          <w:tcPr>
            <w:tcW w:w="851" w:type="dxa"/>
            <w:noWrap/>
          </w:tcPr>
          <w:p w:rsidR="00A137C6" w:rsidRPr="00892DE3" w:rsidRDefault="003C3C62"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3 430</w:t>
            </w:r>
          </w:p>
        </w:tc>
        <w:tc>
          <w:tcPr>
            <w:tcW w:w="850" w:type="dxa"/>
            <w:noWrap/>
          </w:tcPr>
          <w:p w:rsidR="00A137C6" w:rsidRPr="00892DE3" w:rsidRDefault="003C3C62"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3 430</w:t>
            </w:r>
          </w:p>
        </w:tc>
        <w:tc>
          <w:tcPr>
            <w:tcW w:w="941" w:type="dxa"/>
          </w:tcPr>
          <w:p w:rsidR="00A137C6" w:rsidRPr="00892DE3" w:rsidRDefault="00035FCE"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1 030</w:t>
            </w:r>
          </w:p>
        </w:tc>
        <w:tc>
          <w:tcPr>
            <w:tcW w:w="983" w:type="dxa"/>
          </w:tcPr>
          <w:p w:rsidR="00A137C6" w:rsidRPr="00892DE3" w:rsidRDefault="00035FCE"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2 400</w:t>
            </w:r>
          </w:p>
        </w:tc>
        <w:tc>
          <w:tcPr>
            <w:tcW w:w="1429" w:type="dxa"/>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93" w:type="dxa"/>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55" w:type="dxa"/>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137C6" w:rsidRPr="00892DE3" w:rsidTr="000675EA">
        <w:tc>
          <w:tcPr>
            <w:cnfStyle w:val="001000000000" w:firstRow="0" w:lastRow="0" w:firstColumn="1" w:lastColumn="0" w:oddVBand="0" w:evenVBand="0" w:oddHBand="0" w:evenHBand="0" w:firstRowFirstColumn="0" w:firstRowLastColumn="0" w:lastRowFirstColumn="0" w:lastRowLastColumn="0"/>
            <w:tcW w:w="2835" w:type="dxa"/>
          </w:tcPr>
          <w:p w:rsidR="00A137C6" w:rsidRPr="00892DE3" w:rsidRDefault="00A137C6" w:rsidP="00A137C6">
            <w:pPr>
              <w:rPr>
                <w:rFonts w:cstheme="majorHAnsi"/>
              </w:rPr>
            </w:pPr>
            <w:r w:rsidRPr="00892DE3">
              <w:rPr>
                <w:rFonts w:cstheme="majorHAnsi"/>
              </w:rPr>
              <w:t>Amounts payable to government and agencies</w:t>
            </w:r>
          </w:p>
        </w:tc>
        <w:tc>
          <w:tcPr>
            <w:tcW w:w="851" w:type="dxa"/>
            <w:noWrap/>
          </w:tcPr>
          <w:p w:rsidR="00A137C6" w:rsidRPr="00892DE3" w:rsidRDefault="003C3C62"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1 796</w:t>
            </w:r>
          </w:p>
        </w:tc>
        <w:tc>
          <w:tcPr>
            <w:tcW w:w="850" w:type="dxa"/>
            <w:noWrap/>
          </w:tcPr>
          <w:p w:rsidR="00A137C6" w:rsidRPr="00892DE3" w:rsidRDefault="003C3C62"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1 796</w:t>
            </w:r>
          </w:p>
        </w:tc>
        <w:tc>
          <w:tcPr>
            <w:tcW w:w="941" w:type="dxa"/>
          </w:tcPr>
          <w:p w:rsidR="00A137C6" w:rsidRPr="00892DE3" w:rsidRDefault="00035FCE"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841</w:t>
            </w:r>
          </w:p>
        </w:tc>
        <w:tc>
          <w:tcPr>
            <w:tcW w:w="983" w:type="dxa"/>
          </w:tcPr>
          <w:p w:rsidR="00A137C6" w:rsidRPr="00892DE3" w:rsidRDefault="00F30F05" w:rsidP="00F30F0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272</w:t>
            </w:r>
          </w:p>
        </w:tc>
        <w:tc>
          <w:tcPr>
            <w:tcW w:w="1429" w:type="dxa"/>
          </w:tcPr>
          <w:p w:rsidR="00A137C6" w:rsidRPr="00892DE3" w:rsidRDefault="00035FCE"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101</w:t>
            </w:r>
          </w:p>
        </w:tc>
        <w:tc>
          <w:tcPr>
            <w:tcW w:w="893" w:type="dxa"/>
          </w:tcPr>
          <w:p w:rsidR="00A137C6" w:rsidRPr="00892DE3" w:rsidRDefault="00035FCE"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582</w:t>
            </w:r>
          </w:p>
        </w:tc>
        <w:tc>
          <w:tcPr>
            <w:tcW w:w="855" w:type="dxa"/>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137C6" w:rsidRPr="00892DE3" w:rsidTr="000675EA">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tcPr>
          <w:p w:rsidR="00A137C6" w:rsidRPr="00892DE3" w:rsidRDefault="00A137C6" w:rsidP="00A137C6">
            <w:pPr>
              <w:rPr>
                <w:rFonts w:cstheme="majorHAnsi"/>
              </w:rPr>
            </w:pPr>
            <w:r w:rsidRPr="00892DE3">
              <w:rPr>
                <w:rFonts w:cstheme="majorHAnsi"/>
              </w:rPr>
              <w:t>Other payables</w:t>
            </w:r>
          </w:p>
        </w:tc>
        <w:tc>
          <w:tcPr>
            <w:tcW w:w="851" w:type="dxa"/>
            <w:tcBorders>
              <w:bottom w:val="single" w:sz="4" w:space="0" w:color="auto"/>
            </w:tcBorders>
            <w:noWrap/>
          </w:tcPr>
          <w:p w:rsidR="00A137C6" w:rsidRPr="00892DE3" w:rsidRDefault="003C3C62"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8 925</w:t>
            </w:r>
          </w:p>
        </w:tc>
        <w:tc>
          <w:tcPr>
            <w:tcW w:w="850" w:type="dxa"/>
            <w:tcBorders>
              <w:bottom w:val="single" w:sz="4" w:space="0" w:color="auto"/>
            </w:tcBorders>
            <w:noWrap/>
          </w:tcPr>
          <w:p w:rsidR="00A137C6" w:rsidRPr="00892DE3" w:rsidRDefault="00035FCE"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8 925</w:t>
            </w:r>
          </w:p>
        </w:tc>
        <w:tc>
          <w:tcPr>
            <w:tcW w:w="941" w:type="dxa"/>
            <w:tcBorders>
              <w:bottom w:val="single" w:sz="4" w:space="0" w:color="auto"/>
            </w:tcBorders>
          </w:tcPr>
          <w:p w:rsidR="00A137C6" w:rsidRPr="00892DE3" w:rsidRDefault="00035FCE"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5 355</w:t>
            </w:r>
          </w:p>
        </w:tc>
        <w:tc>
          <w:tcPr>
            <w:tcW w:w="983" w:type="dxa"/>
            <w:tcBorders>
              <w:bottom w:val="single" w:sz="4" w:space="0" w:color="auto"/>
            </w:tcBorders>
          </w:tcPr>
          <w:p w:rsidR="00A137C6" w:rsidRPr="00892DE3" w:rsidRDefault="00A137C6"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183</w:t>
            </w:r>
          </w:p>
        </w:tc>
        <w:tc>
          <w:tcPr>
            <w:tcW w:w="1429" w:type="dxa"/>
            <w:tcBorders>
              <w:bottom w:val="single" w:sz="4" w:space="0" w:color="auto"/>
            </w:tcBorders>
          </w:tcPr>
          <w:p w:rsidR="00A137C6" w:rsidRPr="00892DE3" w:rsidRDefault="00035FCE"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627</w:t>
            </w:r>
          </w:p>
        </w:tc>
        <w:tc>
          <w:tcPr>
            <w:tcW w:w="893" w:type="dxa"/>
            <w:tcBorders>
              <w:bottom w:val="single" w:sz="4" w:space="0" w:color="auto"/>
            </w:tcBorders>
          </w:tcPr>
          <w:p w:rsidR="00A137C6" w:rsidRPr="00892DE3" w:rsidRDefault="00035FCE" w:rsidP="006568E5">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962</w:t>
            </w:r>
          </w:p>
        </w:tc>
        <w:tc>
          <w:tcPr>
            <w:tcW w:w="855" w:type="dxa"/>
            <w:tcBorders>
              <w:bottom w:val="single" w:sz="4" w:space="0" w:color="auto"/>
            </w:tcBorders>
          </w:tcPr>
          <w:p w:rsidR="00A137C6" w:rsidRPr="00892DE3" w:rsidRDefault="000675EA" w:rsidP="00A137C6">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137C6" w:rsidRPr="00892DE3" w:rsidTr="000675E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12" w:space="0" w:color="auto"/>
            </w:tcBorders>
          </w:tcPr>
          <w:p w:rsidR="00A137C6" w:rsidRPr="00892DE3" w:rsidRDefault="00A137C6" w:rsidP="00A137C6">
            <w:pPr>
              <w:rPr>
                <w:rFonts w:cstheme="majorHAnsi"/>
                <w:b w:val="0"/>
              </w:rPr>
            </w:pPr>
            <w:r w:rsidRPr="00892DE3">
              <w:rPr>
                <w:rFonts w:cstheme="majorHAnsi"/>
              </w:rPr>
              <w:t>Total</w:t>
            </w:r>
          </w:p>
        </w:tc>
        <w:tc>
          <w:tcPr>
            <w:tcW w:w="851" w:type="dxa"/>
            <w:tcBorders>
              <w:top w:val="single" w:sz="4" w:space="0" w:color="auto"/>
              <w:bottom w:val="single" w:sz="12" w:space="0" w:color="auto"/>
            </w:tcBorders>
            <w:noWrap/>
          </w:tcPr>
          <w:p w:rsidR="00A137C6" w:rsidRPr="00892DE3" w:rsidRDefault="00035FCE" w:rsidP="006568E5">
            <w:pPr>
              <w:ind w:left="170" w:hanging="17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eastAsia="Times New Roman" w:cstheme="majorHAnsi"/>
                <w:bCs/>
                <w:color w:val="000000"/>
              </w:rPr>
              <w:t>14 151</w:t>
            </w:r>
          </w:p>
        </w:tc>
        <w:tc>
          <w:tcPr>
            <w:tcW w:w="850" w:type="dxa"/>
            <w:tcBorders>
              <w:top w:val="single" w:sz="4" w:space="0" w:color="auto"/>
              <w:bottom w:val="single" w:sz="12" w:space="0" w:color="auto"/>
            </w:tcBorders>
            <w:noWrap/>
          </w:tcPr>
          <w:p w:rsidR="00A137C6" w:rsidRPr="00892DE3" w:rsidRDefault="00035FCE" w:rsidP="006568E5">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sidRPr="00892DE3">
              <w:rPr>
                <w:rFonts w:eastAsia="Times New Roman" w:cstheme="majorHAnsi"/>
                <w:bCs/>
                <w:color w:val="000000"/>
              </w:rPr>
              <w:t>14 151</w:t>
            </w:r>
          </w:p>
        </w:tc>
        <w:tc>
          <w:tcPr>
            <w:tcW w:w="941" w:type="dxa"/>
            <w:tcBorders>
              <w:top w:val="single" w:sz="4" w:space="0" w:color="auto"/>
              <w:bottom w:val="single" w:sz="12" w:space="0" w:color="auto"/>
            </w:tcBorders>
          </w:tcPr>
          <w:p w:rsidR="00A137C6" w:rsidRPr="00892DE3" w:rsidRDefault="00035FCE" w:rsidP="006568E5">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sidRPr="00892DE3">
              <w:rPr>
                <w:rFonts w:eastAsia="Times New Roman" w:cstheme="majorHAnsi"/>
                <w:bCs/>
                <w:color w:val="000000"/>
              </w:rPr>
              <w:t>7 226</w:t>
            </w:r>
          </w:p>
        </w:tc>
        <w:tc>
          <w:tcPr>
            <w:tcW w:w="983" w:type="dxa"/>
            <w:tcBorders>
              <w:top w:val="single" w:sz="4" w:space="0" w:color="auto"/>
              <w:bottom w:val="single" w:sz="12" w:space="0" w:color="auto"/>
            </w:tcBorders>
          </w:tcPr>
          <w:p w:rsidR="00A137C6" w:rsidRPr="00892DE3" w:rsidRDefault="00035FCE" w:rsidP="006568E5">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sidRPr="00892DE3">
              <w:rPr>
                <w:rFonts w:eastAsia="Times New Roman" w:cstheme="majorHAnsi"/>
                <w:bCs/>
                <w:color w:val="000000"/>
              </w:rPr>
              <w:t>4 653</w:t>
            </w:r>
          </w:p>
        </w:tc>
        <w:tc>
          <w:tcPr>
            <w:tcW w:w="1429" w:type="dxa"/>
            <w:tcBorders>
              <w:top w:val="single" w:sz="4" w:space="0" w:color="auto"/>
              <w:bottom w:val="single" w:sz="12" w:space="0" w:color="auto"/>
            </w:tcBorders>
          </w:tcPr>
          <w:p w:rsidR="00A137C6" w:rsidRPr="00892DE3" w:rsidRDefault="00035FCE" w:rsidP="006568E5">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sidRPr="00892DE3">
              <w:rPr>
                <w:rFonts w:eastAsia="Times New Roman" w:cstheme="majorHAnsi"/>
                <w:bCs/>
                <w:color w:val="000000"/>
              </w:rPr>
              <w:t>728</w:t>
            </w:r>
          </w:p>
        </w:tc>
        <w:tc>
          <w:tcPr>
            <w:tcW w:w="893" w:type="dxa"/>
            <w:tcBorders>
              <w:top w:val="single" w:sz="4" w:space="0" w:color="auto"/>
              <w:bottom w:val="single" w:sz="12" w:space="0" w:color="auto"/>
            </w:tcBorders>
          </w:tcPr>
          <w:p w:rsidR="00A137C6" w:rsidRPr="00892DE3" w:rsidRDefault="00035FCE" w:rsidP="006568E5">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sidRPr="00892DE3">
              <w:rPr>
                <w:rFonts w:eastAsia="Times New Roman" w:cstheme="majorHAnsi"/>
                <w:bCs/>
                <w:color w:val="000000"/>
              </w:rPr>
              <w:t>1 544</w:t>
            </w:r>
          </w:p>
        </w:tc>
        <w:tc>
          <w:tcPr>
            <w:tcW w:w="855" w:type="dxa"/>
            <w:tcBorders>
              <w:top w:val="single" w:sz="4" w:space="0" w:color="auto"/>
              <w:bottom w:val="single" w:sz="12" w:space="0" w:color="auto"/>
            </w:tcBorders>
          </w:tcPr>
          <w:p w:rsidR="00A137C6" w:rsidRPr="00892DE3" w:rsidRDefault="000675EA" w:rsidP="00A137C6">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sidRPr="00892DE3">
              <w:rPr>
                <w:rFonts w:eastAsia="Times New Roman" w:cstheme="majorHAnsi"/>
                <w:bCs/>
                <w:color w:val="000000"/>
              </w:rPr>
              <w:t>..</w:t>
            </w:r>
          </w:p>
        </w:tc>
      </w:tr>
    </w:tbl>
    <w:p w:rsidR="00A137C6" w:rsidRPr="00892DE3" w:rsidRDefault="00A137C6" w:rsidP="00A137C6">
      <w:pPr>
        <w:pStyle w:val="Note"/>
      </w:pPr>
      <w:r w:rsidRPr="00892DE3">
        <w:t>Note:</w:t>
      </w:r>
    </w:p>
    <w:p w:rsidR="00A137C6" w:rsidRPr="00892DE3" w:rsidRDefault="00A137C6" w:rsidP="00A137C6">
      <w:pPr>
        <w:pStyle w:val="Note"/>
      </w:pPr>
      <w:r w:rsidRPr="00892DE3">
        <w:t>(</w:t>
      </w:r>
      <w:r w:rsidR="000675EA" w:rsidRPr="00892DE3">
        <w:t>a</w:t>
      </w:r>
      <w:r w:rsidRPr="00892DE3">
        <w:t>)</w:t>
      </w:r>
      <w:r w:rsidRPr="00892DE3">
        <w:tab/>
        <w:t>Maturity analysis is presented using the contractual undiscounted cash flows.</w:t>
      </w:r>
    </w:p>
    <w:p w:rsidR="00A137C6" w:rsidRPr="00892DE3" w:rsidRDefault="00A137C6">
      <w:pPr>
        <w:keepLines w:val="0"/>
      </w:pPr>
    </w:p>
    <w:p w:rsidR="00EA1814" w:rsidRPr="00892DE3" w:rsidRDefault="00EA1814">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A137C6" w:rsidRPr="00892DE3" w:rsidTr="00EA1814">
        <w:trPr>
          <w:cnfStyle w:val="100000000000" w:firstRow="1" w:lastRow="0" w:firstColumn="0" w:lastColumn="0" w:oddVBand="0" w:evenVBand="0" w:oddHBand="0" w:evenHBand="0" w:firstRowFirstColumn="0" w:firstRowLastColumn="0" w:lastRowFirstColumn="0" w:lastRowLastColumn="0"/>
        </w:trPr>
        <w:tc>
          <w:tcPr>
            <w:tcW w:w="9854" w:type="dxa"/>
          </w:tcPr>
          <w:p w:rsidR="00A137C6" w:rsidRPr="00892DE3" w:rsidRDefault="00A137C6" w:rsidP="00A137C6">
            <w:r w:rsidRPr="00892DE3">
              <w:t>Guidance – Payables and other financial liabilities</w:t>
            </w:r>
          </w:p>
        </w:tc>
      </w:tr>
      <w:tr w:rsidR="00A137C6" w:rsidRPr="00892DE3" w:rsidTr="00EA1814">
        <w:tc>
          <w:tcPr>
            <w:tcW w:w="9854" w:type="dxa"/>
          </w:tcPr>
          <w:p w:rsidR="00A137C6" w:rsidRPr="00892DE3" w:rsidRDefault="00A137C6" w:rsidP="00A137C6">
            <w:r w:rsidRPr="00892DE3">
              <w:rPr>
                <w:b/>
              </w:rPr>
              <w:t>Statutory payables</w:t>
            </w:r>
            <w:r w:rsidRPr="00892DE3">
              <w:t xml:space="preserve">: Liabilities that are not contractual (such as liabilities that arise as a result of statutory requirements), are not financial liabilities as defined. Therefore, although these liabilities are similar to financial instruments, they are in fact not in the scope of AASB 7. However, entities may wish to apply disclosure requirements similar to those from AASB 7 to such liabilities at their own discretion. </w:t>
            </w:r>
            <w:r w:rsidRPr="00892DE3">
              <w:rPr>
                <w:rStyle w:val="SourceReference"/>
              </w:rPr>
              <w:t>[AASB 132.AG12]</w:t>
            </w:r>
          </w:p>
          <w:p w:rsidR="00A137C6" w:rsidRPr="00892DE3" w:rsidRDefault="00A137C6" w:rsidP="00A137C6">
            <w:r w:rsidRPr="00892DE3">
              <w:rPr>
                <w:b/>
              </w:rPr>
              <w:t>Financial guarantees</w:t>
            </w:r>
            <w:r w:rsidRPr="00892DE3">
              <w:t xml:space="preserve">: An entity shall disclose the fair value of any financial guarantee that it provides to third parties, should the fair value of the liability become greater than zero, either as part of this note for payables or in the note for other payables. </w:t>
            </w:r>
            <w:r w:rsidRPr="00892DE3">
              <w:rPr>
                <w:rStyle w:val="SourceReference"/>
              </w:rPr>
              <w:t>[AASB 139.9]</w:t>
            </w:r>
          </w:p>
          <w:p w:rsidR="00A137C6" w:rsidRPr="00892DE3" w:rsidRDefault="00A137C6" w:rsidP="00A137C6">
            <w:r w:rsidRPr="00892DE3">
              <w:t>A financial guarantee contract is a contract that requires the issuer to make specified payments to reimburse the holder for a loss it incurs because a specified debtor fails to make payment when due. Financial guarantee contracts may have various forms, and may arise under legislation. Departments should undertake a comprehensive review to identify whether any financial guarantee contracts exist.</w:t>
            </w:r>
          </w:p>
          <w:p w:rsidR="00A137C6" w:rsidRPr="00892DE3" w:rsidRDefault="00A137C6" w:rsidP="00A137C6">
            <w:r w:rsidRPr="00892DE3">
              <w:t>It is highly unlikely financial guarantees would be issued other than under legislation that is administered by DTF, although it is possible. In the rare instance where a financial guarantee has been issued under legislation administered by another department, the department concerned would need to disclose this in a separate note and it is recommended the department seeks separate advice regarding this matter.</w:t>
            </w:r>
          </w:p>
          <w:p w:rsidR="00A137C6" w:rsidRPr="00892DE3" w:rsidRDefault="00A137C6" w:rsidP="00A137C6">
            <w:r w:rsidRPr="00892DE3">
              <w:t>Financial guarantee contracts are recognised as a financial liability at the time the guarantee is issued. The liability is initially measured at fair value and subsequently at the higher of the amount and the amount initially recognised less cumulative amortisation, where appropriate.</w:t>
            </w:r>
          </w:p>
          <w:p w:rsidR="00A137C6" w:rsidRPr="00892DE3" w:rsidRDefault="00A137C6" w:rsidP="00A137C6">
            <w:r w:rsidRPr="00892DE3">
              <w:t xml:space="preserve">The fair value of financial guarantees is determined as the present value of the difference in net cash flows between the contractual payments under the debt instrument and the payments that would be required without the guarantee. </w:t>
            </w:r>
            <w:r w:rsidRPr="00892DE3">
              <w:rPr>
                <w:rStyle w:val="SourceReference"/>
              </w:rPr>
              <w:t>[AASB 139.47(c)]</w:t>
            </w:r>
          </w:p>
          <w:p w:rsidR="00A137C6" w:rsidRPr="00892DE3" w:rsidRDefault="00A137C6" w:rsidP="00A137C6">
            <w:r w:rsidRPr="00892DE3">
              <w:rPr>
                <w:b/>
              </w:rPr>
              <w:t>Significance of financial instruments</w:t>
            </w:r>
            <w:r w:rsidRPr="00892DE3">
              <w:t xml:space="preserve">: AASB 7 requires an entity to disclose information that enables users of financial statements to evaluate the significance of financial instruments for its financial position and performance. </w:t>
            </w:r>
            <w:r w:rsidRPr="00892DE3">
              <w:rPr>
                <w:rStyle w:val="SourceReference"/>
              </w:rPr>
              <w:t>[AASB 7.7]</w:t>
            </w:r>
          </w:p>
          <w:p w:rsidR="00A137C6" w:rsidRPr="00892DE3" w:rsidRDefault="00A137C6" w:rsidP="00A137C6">
            <w:r w:rsidRPr="00892DE3">
              <w:rPr>
                <w:b/>
              </w:rPr>
              <w:t>Nature and extent of risks arising from financial instruments</w:t>
            </w:r>
            <w:r w:rsidRPr="00892DE3">
              <w:t xml:space="preserve">: An entity shall also disclose information that enables users of its financial statements to evaluate the nature and extent of risks arising from financial instruments to which the entity is exposed at the end of the reporting period. </w:t>
            </w:r>
            <w:r w:rsidRPr="00892DE3">
              <w:rPr>
                <w:rStyle w:val="SourceReference"/>
              </w:rPr>
              <w:t>[AASB 7.31]</w:t>
            </w:r>
          </w:p>
        </w:tc>
      </w:tr>
    </w:tbl>
    <w:p w:rsidR="00A137C6" w:rsidRPr="00892DE3" w:rsidRDefault="00A137C6" w:rsidP="0019303F">
      <w:pPr>
        <w:pStyle w:val="Heading2"/>
      </w:pPr>
      <w:bookmarkStart w:id="132" w:name="_Toc474337013"/>
      <w:bookmarkStart w:id="133" w:name="_Toc478055756"/>
      <w:r w:rsidRPr="00892DE3">
        <w:t>Inventories</w:t>
      </w:r>
      <w:bookmarkEnd w:id="132"/>
      <w:bookmarkEnd w:id="133"/>
    </w:p>
    <w:p w:rsidR="00A137C6" w:rsidRPr="00892DE3" w:rsidRDefault="00A137C6" w:rsidP="00A137C6">
      <w:pPr>
        <w:pStyle w:val="TableUnits"/>
      </w:pPr>
      <w:r w:rsidRPr="00892DE3">
        <w:t>($ thousand)</w:t>
      </w:r>
    </w:p>
    <w:tbl>
      <w:tblPr>
        <w:tblStyle w:val="ModelReportFinancialTable"/>
        <w:tblW w:w="9691" w:type="dxa"/>
        <w:tblLayout w:type="fixed"/>
        <w:tblLook w:val="06A0" w:firstRow="1" w:lastRow="0" w:firstColumn="1" w:lastColumn="0" w:noHBand="1" w:noVBand="1"/>
      </w:tblPr>
      <w:tblGrid>
        <w:gridCol w:w="1668"/>
        <w:gridCol w:w="6191"/>
        <w:gridCol w:w="916"/>
        <w:gridCol w:w="916"/>
      </w:tblGrid>
      <w:tr w:rsidR="00A137C6" w:rsidRPr="00892DE3" w:rsidTr="004435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Borders>
              <w:bottom w:val="nil"/>
            </w:tcBorders>
            <w:shd w:val="clear" w:color="auto" w:fill="auto"/>
          </w:tcPr>
          <w:p w:rsidR="00A137C6" w:rsidRPr="00892DE3" w:rsidRDefault="00A137C6" w:rsidP="0044350A">
            <w:r w:rsidRPr="00892DE3">
              <w:t>Source reference</w:t>
            </w:r>
          </w:p>
        </w:tc>
        <w:tc>
          <w:tcPr>
            <w:tcW w:w="6191" w:type="dxa"/>
            <w:hideMark/>
          </w:tcPr>
          <w:p w:rsidR="00A137C6" w:rsidRPr="00892DE3" w:rsidRDefault="00A137C6" w:rsidP="0044350A">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A137C6" w:rsidRPr="00892DE3" w:rsidRDefault="00A137C6" w:rsidP="00A137C6">
            <w:pPr>
              <w:cnfStyle w:val="100000000000" w:firstRow="1" w:lastRow="0" w:firstColumn="0" w:lastColumn="0" w:oddVBand="0" w:evenVBand="0" w:oddHBand="0" w:evenHBand="0" w:firstRowFirstColumn="0" w:firstRowLastColumn="0" w:lastRowFirstColumn="0" w:lastRowLastColumn="0"/>
            </w:pPr>
            <w:r w:rsidRPr="00892DE3">
              <w:t>2017</w:t>
            </w:r>
          </w:p>
        </w:tc>
        <w:tc>
          <w:tcPr>
            <w:tcW w:w="916" w:type="dxa"/>
            <w:noWrap/>
            <w:hideMark/>
          </w:tcPr>
          <w:p w:rsidR="00A137C6" w:rsidRPr="00892DE3" w:rsidRDefault="00A137C6" w:rsidP="00A137C6">
            <w:pPr>
              <w:cnfStyle w:val="100000000000" w:firstRow="1" w:lastRow="0" w:firstColumn="0" w:lastColumn="0" w:oddVBand="0" w:evenVBand="0" w:oddHBand="0" w:evenHBand="0" w:firstRowFirstColumn="0" w:firstRowLastColumn="0" w:lastRowFirstColumn="0" w:lastRowLastColumn="0"/>
            </w:pPr>
            <w:r w:rsidRPr="00892DE3">
              <w:t>2016</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tc>
        <w:tc>
          <w:tcPr>
            <w:tcW w:w="6191" w:type="dxa"/>
            <w:hideMark/>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inventories</w:t>
            </w:r>
          </w:p>
        </w:tc>
        <w:tc>
          <w:tcPr>
            <w:tcW w:w="916" w:type="dxa"/>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6" w:type="dxa"/>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tc>
        <w:tc>
          <w:tcPr>
            <w:tcW w:w="6191" w:type="dxa"/>
            <w:hideMark/>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color w:val="201547" w:themeColor="text2"/>
              </w:rPr>
              <w:t>Supplies and consumables:</w:t>
            </w:r>
          </w:p>
        </w:tc>
        <w:tc>
          <w:tcPr>
            <w:tcW w:w="916" w:type="dxa"/>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r w:rsidRPr="00892DE3">
              <w:t>AASB 102.36(b)</w:t>
            </w:r>
          </w:p>
        </w:tc>
        <w:tc>
          <w:tcPr>
            <w:tcW w:w="6191" w:type="dxa"/>
            <w:hideMark/>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pPr>
            <w:r w:rsidRPr="00892DE3">
              <w:t>At cost</w:t>
            </w:r>
          </w:p>
        </w:tc>
        <w:tc>
          <w:tcPr>
            <w:tcW w:w="916" w:type="dxa"/>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7 299</w:t>
            </w:r>
          </w:p>
        </w:tc>
        <w:tc>
          <w:tcPr>
            <w:tcW w:w="916" w:type="dxa"/>
            <w:noWrap/>
            <w:hideMark/>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9 404</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tc>
        <w:tc>
          <w:tcPr>
            <w:tcW w:w="6191" w:type="dxa"/>
            <w:hideMark/>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color w:val="201547" w:themeColor="text2"/>
              </w:rPr>
              <w:t>Work in progress:</w:t>
            </w:r>
          </w:p>
        </w:tc>
        <w:tc>
          <w:tcPr>
            <w:tcW w:w="916" w:type="dxa"/>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r w:rsidRPr="00892DE3">
              <w:t>AASB 102.36(b)</w:t>
            </w:r>
          </w:p>
        </w:tc>
        <w:tc>
          <w:tcPr>
            <w:tcW w:w="6191" w:type="dxa"/>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pPr>
            <w:r w:rsidRPr="00892DE3">
              <w:t>At cost</w:t>
            </w:r>
          </w:p>
        </w:tc>
        <w:tc>
          <w:tcPr>
            <w:tcW w:w="916" w:type="dxa"/>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1 931</w:t>
            </w:r>
          </w:p>
        </w:tc>
        <w:tc>
          <w:tcPr>
            <w:tcW w:w="916" w:type="dxa"/>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1 515</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tc>
        <w:tc>
          <w:tcPr>
            <w:tcW w:w="6191" w:type="dxa"/>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color w:val="201547" w:themeColor="text2"/>
              </w:rPr>
              <w:t>Inventories held for sale:</w:t>
            </w:r>
          </w:p>
        </w:tc>
        <w:tc>
          <w:tcPr>
            <w:tcW w:w="916" w:type="dxa"/>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6" w:type="dxa"/>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tc>
        <w:tc>
          <w:tcPr>
            <w:tcW w:w="6191" w:type="dxa"/>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pPr>
            <w:r w:rsidRPr="00892DE3">
              <w:t>At cost</w:t>
            </w:r>
          </w:p>
        </w:tc>
        <w:tc>
          <w:tcPr>
            <w:tcW w:w="916" w:type="dxa"/>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2 523</w:t>
            </w:r>
          </w:p>
        </w:tc>
        <w:tc>
          <w:tcPr>
            <w:tcW w:w="916" w:type="dxa"/>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8 594</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tc>
        <w:tc>
          <w:tcPr>
            <w:tcW w:w="6191" w:type="dxa"/>
            <w:tcBorders>
              <w:bottom w:val="single" w:sz="4" w:space="0" w:color="auto"/>
            </w:tcBorders>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pPr>
            <w:r w:rsidRPr="00892DE3">
              <w:t>At net realisable value</w:t>
            </w:r>
          </w:p>
        </w:tc>
        <w:tc>
          <w:tcPr>
            <w:tcW w:w="916" w:type="dxa"/>
            <w:tcBorders>
              <w:bottom w:val="single" w:sz="4" w:space="0" w:color="auto"/>
            </w:tcBorders>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91</w:t>
            </w:r>
          </w:p>
        </w:tc>
        <w:tc>
          <w:tcPr>
            <w:tcW w:w="916" w:type="dxa"/>
            <w:tcBorders>
              <w:bottom w:val="single" w:sz="4" w:space="0" w:color="auto"/>
            </w:tcBorders>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99</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tc>
        <w:tc>
          <w:tcPr>
            <w:tcW w:w="6191" w:type="dxa"/>
            <w:tcBorders>
              <w:top w:val="single" w:sz="4" w:space="0" w:color="auto"/>
              <w:bottom w:val="single" w:sz="4" w:space="0" w:color="auto"/>
            </w:tcBorders>
          </w:tcPr>
          <w:p w:rsidR="00A137C6" w:rsidRPr="00892DE3" w:rsidRDefault="00A137C6" w:rsidP="0044350A">
            <w:pPr>
              <w:tabs>
                <w:tab w:val="left" w:pos="2370"/>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current inventories</w:t>
            </w:r>
          </w:p>
        </w:tc>
        <w:tc>
          <w:tcPr>
            <w:tcW w:w="916" w:type="dxa"/>
            <w:tcBorders>
              <w:top w:val="single" w:sz="4" w:space="0" w:color="auto"/>
              <w:bottom w:val="single" w:sz="4" w:space="0" w:color="auto"/>
            </w:tcBorders>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rPr>
                <w:b/>
              </w:rPr>
            </w:pPr>
            <w:r w:rsidRPr="00892DE3">
              <w:rPr>
                <w:b/>
              </w:rPr>
              <w:t>11 845</w:t>
            </w:r>
          </w:p>
        </w:tc>
        <w:tc>
          <w:tcPr>
            <w:tcW w:w="916" w:type="dxa"/>
            <w:tcBorders>
              <w:top w:val="single" w:sz="4" w:space="0" w:color="auto"/>
              <w:bottom w:val="single" w:sz="4" w:space="0" w:color="auto"/>
            </w:tcBorders>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rPr>
                <w:b/>
              </w:rPr>
            </w:pPr>
            <w:r w:rsidRPr="00892DE3">
              <w:rPr>
                <w:b/>
              </w:rPr>
              <w:t>19 612</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tc>
        <w:tc>
          <w:tcPr>
            <w:tcW w:w="6191" w:type="dxa"/>
            <w:tcBorders>
              <w:top w:val="single" w:sz="4" w:space="0" w:color="auto"/>
            </w:tcBorders>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color w:val="201547" w:themeColor="text2"/>
              </w:rPr>
              <w:t>Inventories held for distribution:</w:t>
            </w:r>
          </w:p>
        </w:tc>
        <w:tc>
          <w:tcPr>
            <w:tcW w:w="916" w:type="dxa"/>
            <w:tcBorders>
              <w:top w:val="single" w:sz="4" w:space="0" w:color="auto"/>
            </w:tcBorders>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6" w:type="dxa"/>
            <w:tcBorders>
              <w:top w:val="single" w:sz="4" w:space="0" w:color="auto"/>
            </w:tcBorders>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r w:rsidRPr="00892DE3">
              <w:t>AASB 102.Aus 36.1(b)</w:t>
            </w:r>
          </w:p>
        </w:tc>
        <w:tc>
          <w:tcPr>
            <w:tcW w:w="6191" w:type="dxa"/>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pPr>
            <w:r w:rsidRPr="00892DE3">
              <w:t>At cost</w:t>
            </w:r>
          </w:p>
        </w:tc>
        <w:tc>
          <w:tcPr>
            <w:tcW w:w="916" w:type="dxa"/>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308</w:t>
            </w:r>
          </w:p>
        </w:tc>
        <w:tc>
          <w:tcPr>
            <w:tcW w:w="916" w:type="dxa"/>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 xml:space="preserve"> 144</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tc>
        <w:tc>
          <w:tcPr>
            <w:tcW w:w="6191" w:type="dxa"/>
            <w:tcBorders>
              <w:bottom w:val="single" w:sz="4" w:space="0" w:color="auto"/>
            </w:tcBorders>
          </w:tcPr>
          <w:p w:rsidR="00A137C6" w:rsidRPr="00892DE3" w:rsidRDefault="00A137C6" w:rsidP="0044350A">
            <w:pPr>
              <w:jc w:val="left"/>
              <w:cnfStyle w:val="000000000000" w:firstRow="0" w:lastRow="0" w:firstColumn="0" w:lastColumn="0" w:oddVBand="0" w:evenVBand="0" w:oddHBand="0" w:evenHBand="0" w:firstRowFirstColumn="0" w:firstRowLastColumn="0" w:lastRowFirstColumn="0" w:lastRowLastColumn="0"/>
            </w:pPr>
            <w:r w:rsidRPr="00892DE3">
              <w:t>Loss of service potential</w:t>
            </w:r>
          </w:p>
        </w:tc>
        <w:tc>
          <w:tcPr>
            <w:tcW w:w="916" w:type="dxa"/>
            <w:tcBorders>
              <w:bottom w:val="single" w:sz="4" w:space="0" w:color="auto"/>
            </w:tcBorders>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(97)</w:t>
            </w:r>
          </w:p>
        </w:tc>
        <w:tc>
          <w:tcPr>
            <w:tcW w:w="916" w:type="dxa"/>
            <w:tcBorders>
              <w:bottom w:val="single" w:sz="4" w:space="0" w:color="auto"/>
            </w:tcBorders>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pPr>
            <w:r w:rsidRPr="00892DE3">
              <w:t>(24)</w:t>
            </w:r>
          </w:p>
        </w:tc>
      </w:tr>
      <w:tr w:rsidR="00A137C6" w:rsidRPr="00892DE3" w:rsidTr="0044350A">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A137C6" w:rsidRPr="00892DE3" w:rsidRDefault="00A137C6" w:rsidP="0044350A">
            <w:r w:rsidRPr="00892DE3">
              <w:t>AASB 101.61</w:t>
            </w:r>
          </w:p>
        </w:tc>
        <w:tc>
          <w:tcPr>
            <w:tcW w:w="6191" w:type="dxa"/>
            <w:tcBorders>
              <w:top w:val="single" w:sz="4" w:space="0" w:color="auto"/>
              <w:bottom w:val="single" w:sz="12" w:space="0" w:color="auto"/>
            </w:tcBorders>
          </w:tcPr>
          <w:p w:rsidR="00A137C6" w:rsidRPr="00892DE3" w:rsidRDefault="00A137C6" w:rsidP="0044350A">
            <w:pPr>
              <w:tabs>
                <w:tab w:val="left" w:pos="1635"/>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inventories</w:t>
            </w:r>
          </w:p>
        </w:tc>
        <w:tc>
          <w:tcPr>
            <w:tcW w:w="916" w:type="dxa"/>
            <w:tcBorders>
              <w:top w:val="single" w:sz="4" w:space="0" w:color="auto"/>
              <w:bottom w:val="single" w:sz="12" w:space="0" w:color="auto"/>
            </w:tcBorders>
            <w:shd w:val="clear" w:color="auto" w:fill="EBEBEB" w:themeFill="background2"/>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rPr>
                <w:b/>
              </w:rPr>
            </w:pPr>
            <w:r w:rsidRPr="00892DE3">
              <w:rPr>
                <w:b/>
              </w:rPr>
              <w:t>12 056</w:t>
            </w:r>
          </w:p>
        </w:tc>
        <w:tc>
          <w:tcPr>
            <w:tcW w:w="916" w:type="dxa"/>
            <w:tcBorders>
              <w:top w:val="single" w:sz="4" w:space="0" w:color="auto"/>
              <w:bottom w:val="single" w:sz="12" w:space="0" w:color="auto"/>
            </w:tcBorders>
            <w:noWrap/>
          </w:tcPr>
          <w:p w:rsidR="00A137C6" w:rsidRPr="00892DE3" w:rsidRDefault="00A137C6" w:rsidP="00A137C6">
            <w:pPr>
              <w:cnfStyle w:val="000000000000" w:firstRow="0" w:lastRow="0" w:firstColumn="0" w:lastColumn="0" w:oddVBand="0" w:evenVBand="0" w:oddHBand="0" w:evenHBand="0" w:firstRowFirstColumn="0" w:firstRowLastColumn="0" w:lastRowFirstColumn="0" w:lastRowLastColumn="0"/>
              <w:rPr>
                <w:b/>
              </w:rPr>
            </w:pPr>
            <w:r w:rsidRPr="00892DE3">
              <w:rPr>
                <w:b/>
              </w:rPr>
              <w:t>19 733</w:t>
            </w:r>
          </w:p>
        </w:tc>
      </w:tr>
    </w:tbl>
    <w:p w:rsidR="000675EA" w:rsidRPr="00892DE3" w:rsidRDefault="000675EA" w:rsidP="0044350A"/>
    <w:p w:rsidR="0044350A" w:rsidRPr="00892DE3" w:rsidRDefault="0044350A" w:rsidP="0044350A">
      <w:r w:rsidRPr="00892DE3">
        <w:t>Inventories include property held either for sale, or for distribution at zero or nominal cost, or for consumption in the ordinary course of business operations.</w:t>
      </w:r>
    </w:p>
    <w:p w:rsidR="0044350A" w:rsidRPr="00892DE3" w:rsidRDefault="0044350A" w:rsidP="0044350A">
      <w:r w:rsidRPr="00892DE3">
        <w:t>Inventories held for distribution are measured at cost, adjusted for any loss of service potential. All other inventories, including land held for sale, are measured at the lower of cost and net realisable value.</w:t>
      </w:r>
    </w:p>
    <w:p w:rsidR="0044350A" w:rsidRPr="00892DE3" w:rsidRDefault="0044350A" w:rsidP="0044350A">
      <w:r w:rsidRPr="00892DE3">
        <w:t xml:space="preserve">Where inventories are acquired for no cost or nominal consideration, they are measured at current replacement cost at the date of acquisition. </w:t>
      </w:r>
      <w:r w:rsidRPr="00892DE3">
        <w:rPr>
          <w:rStyle w:val="SourceReference"/>
        </w:rPr>
        <w:t>[AASB 102.9, 102.36]</w:t>
      </w:r>
    </w:p>
    <w:p w:rsidR="0044350A" w:rsidRPr="00892DE3" w:rsidRDefault="0044350A" w:rsidP="0044350A">
      <w:r w:rsidRPr="00892DE3">
        <w:t xml:space="preserve">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 </w:t>
      </w:r>
    </w:p>
    <w:p w:rsidR="0044350A" w:rsidRPr="00892DE3" w:rsidRDefault="0044350A" w:rsidP="0044350A">
      <w:r w:rsidRPr="00892DE3">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r w:rsidRPr="00892DE3">
        <w:rPr>
          <w:rStyle w:val="SourceReference"/>
        </w:rPr>
        <w:t>[AASB 102.Aus 9.1]</w:t>
      </w:r>
    </w:p>
    <w:tbl>
      <w:tblPr>
        <w:tblStyle w:val="ModelReportGuidanceTable"/>
        <w:tblW w:w="9854" w:type="dxa"/>
        <w:tblLayout w:type="fixed"/>
        <w:tblLook w:val="04A0" w:firstRow="1" w:lastRow="0" w:firstColumn="1" w:lastColumn="0" w:noHBand="0" w:noVBand="1"/>
      </w:tblPr>
      <w:tblGrid>
        <w:gridCol w:w="9854"/>
      </w:tblGrid>
      <w:tr w:rsidR="0044350A" w:rsidRPr="00892DE3" w:rsidTr="000675EA">
        <w:trPr>
          <w:cnfStyle w:val="100000000000" w:firstRow="1" w:lastRow="0" w:firstColumn="0" w:lastColumn="0" w:oddVBand="0" w:evenVBand="0" w:oddHBand="0" w:evenHBand="0" w:firstRowFirstColumn="0" w:firstRowLastColumn="0" w:lastRowFirstColumn="0" w:lastRowLastColumn="0"/>
        </w:trPr>
        <w:tc>
          <w:tcPr>
            <w:tcW w:w="9854" w:type="dxa"/>
          </w:tcPr>
          <w:p w:rsidR="0044350A" w:rsidRPr="00892DE3" w:rsidRDefault="0044350A" w:rsidP="000675EA">
            <w:r w:rsidRPr="00892DE3">
              <w:t>Guidance – Inventories</w:t>
            </w:r>
            <w:r w:rsidR="006D3597" w:rsidRPr="00892DE3">
              <w:t xml:space="preserve"> </w:t>
            </w:r>
            <w:r w:rsidR="006D3597" w:rsidRPr="00892DE3">
              <w:rPr>
                <w:rStyle w:val="SourceReference"/>
                <w:b w:val="0"/>
                <w:color w:val="FFFFFF" w:themeColor="background1"/>
              </w:rPr>
              <w:t>[AASB 102.36]</w:t>
            </w:r>
          </w:p>
        </w:tc>
      </w:tr>
      <w:tr w:rsidR="0044350A" w:rsidRPr="00892DE3" w:rsidTr="000675EA">
        <w:tc>
          <w:tcPr>
            <w:tcW w:w="9854" w:type="dxa"/>
          </w:tcPr>
          <w:p w:rsidR="0044350A" w:rsidRPr="00892DE3" w:rsidRDefault="0044350A" w:rsidP="0044350A">
            <w:pPr>
              <w:rPr>
                <w:b/>
              </w:rPr>
            </w:pPr>
            <w:r w:rsidRPr="00892DE3">
              <w:rPr>
                <w:b/>
              </w:rPr>
              <w:t xml:space="preserve">The financial statements shall disclose: </w:t>
            </w:r>
          </w:p>
          <w:p w:rsidR="0044350A" w:rsidRPr="00892DE3" w:rsidRDefault="0044350A" w:rsidP="0044350A">
            <w:pPr>
              <w:pStyle w:val="List"/>
            </w:pPr>
            <w:r w:rsidRPr="00892DE3">
              <w:t>(a)</w:t>
            </w:r>
            <w:r w:rsidRPr="00892DE3">
              <w:tab/>
              <w:t>the accounting policies adopted in measuring inventories, including the cost formula used;</w:t>
            </w:r>
          </w:p>
          <w:p w:rsidR="0044350A" w:rsidRPr="00892DE3" w:rsidRDefault="0044350A" w:rsidP="0044350A">
            <w:pPr>
              <w:pStyle w:val="List"/>
            </w:pPr>
            <w:r w:rsidRPr="00892DE3">
              <w:t>(b)</w:t>
            </w:r>
            <w:r w:rsidRPr="00892DE3">
              <w:tab/>
              <w:t>the total carrying amount of inventories and the carrying amount in classifications appropriate to the entity;</w:t>
            </w:r>
          </w:p>
          <w:p w:rsidR="0044350A" w:rsidRPr="00892DE3" w:rsidRDefault="0044350A" w:rsidP="0044350A">
            <w:pPr>
              <w:pStyle w:val="List"/>
            </w:pPr>
            <w:r w:rsidRPr="00892DE3">
              <w:t>(c)</w:t>
            </w:r>
            <w:r w:rsidRPr="00892DE3">
              <w:tab/>
              <w:t>the carrying amount of inventories carried at fair value less costs to sell;</w:t>
            </w:r>
          </w:p>
          <w:p w:rsidR="0044350A" w:rsidRPr="00892DE3" w:rsidRDefault="0044350A" w:rsidP="0044350A">
            <w:pPr>
              <w:pStyle w:val="List"/>
            </w:pPr>
            <w:r w:rsidRPr="00892DE3">
              <w:t>(d)</w:t>
            </w:r>
            <w:r w:rsidRPr="00892DE3">
              <w:tab/>
              <w:t>the amount of inventories recognised as an expense during the period;</w:t>
            </w:r>
          </w:p>
          <w:p w:rsidR="0044350A" w:rsidRPr="00892DE3" w:rsidRDefault="0044350A" w:rsidP="0044350A">
            <w:pPr>
              <w:pStyle w:val="List"/>
            </w:pPr>
            <w:r w:rsidRPr="00892DE3">
              <w:t>(e)</w:t>
            </w:r>
            <w:r w:rsidRPr="00892DE3">
              <w:tab/>
              <w:t>the amount of any write down of inventories recognised as an expense in the period;</w:t>
            </w:r>
          </w:p>
          <w:p w:rsidR="0044350A" w:rsidRPr="00892DE3" w:rsidRDefault="0044350A" w:rsidP="0044350A">
            <w:pPr>
              <w:pStyle w:val="List"/>
            </w:pPr>
            <w:r w:rsidRPr="00892DE3">
              <w:t>(f)</w:t>
            </w:r>
            <w:r w:rsidRPr="00892DE3">
              <w:tab/>
              <w:t>the amount of any reversal of any write down that is recognised as a reduction in the amount of inventories recognised as expense in the period;</w:t>
            </w:r>
          </w:p>
          <w:p w:rsidR="0044350A" w:rsidRPr="00892DE3" w:rsidRDefault="0044350A" w:rsidP="0044350A">
            <w:pPr>
              <w:pStyle w:val="List"/>
            </w:pPr>
            <w:r w:rsidRPr="00892DE3">
              <w:t>(g)</w:t>
            </w:r>
            <w:r w:rsidRPr="00892DE3">
              <w:tab/>
              <w:t>the circumstances or events that led to the reversal of a write down of inventories; and</w:t>
            </w:r>
          </w:p>
          <w:p w:rsidR="0044350A" w:rsidRPr="00892DE3" w:rsidRDefault="0044350A" w:rsidP="0044350A">
            <w:pPr>
              <w:pStyle w:val="List"/>
            </w:pPr>
            <w:r w:rsidRPr="00892DE3">
              <w:t>(h)</w:t>
            </w:r>
            <w:r w:rsidRPr="00892DE3">
              <w:tab/>
              <w:t>the carrying amount of inventories pledged as security for liabilities.</w:t>
            </w:r>
          </w:p>
          <w:p w:rsidR="0044350A" w:rsidRPr="00892DE3" w:rsidRDefault="0044350A" w:rsidP="0044350A">
            <w:pPr>
              <w:rPr>
                <w:b/>
              </w:rPr>
            </w:pPr>
            <w:r w:rsidRPr="00892DE3">
              <w:rPr>
                <w:b/>
              </w:rPr>
              <w:t>Not-for-profit entities shall disclose:</w:t>
            </w:r>
          </w:p>
          <w:p w:rsidR="0044350A" w:rsidRPr="00892DE3" w:rsidRDefault="0044350A" w:rsidP="0044350A">
            <w:pPr>
              <w:pStyle w:val="List"/>
            </w:pPr>
            <w:r w:rsidRPr="00892DE3">
              <w:t>(a)</w:t>
            </w:r>
            <w:r w:rsidRPr="00892DE3">
              <w:tab/>
              <w:t>the accounting policies adopted in measuring inventories held for distribution, including the cost formula used;</w:t>
            </w:r>
          </w:p>
          <w:p w:rsidR="0044350A" w:rsidRPr="00892DE3" w:rsidRDefault="0044350A" w:rsidP="0044350A">
            <w:pPr>
              <w:pStyle w:val="List"/>
            </w:pPr>
            <w:r w:rsidRPr="00892DE3">
              <w:t>(b)</w:t>
            </w:r>
            <w:r w:rsidRPr="00892DE3">
              <w:tab/>
              <w:t>the total carrying amount of inventories held for distribution and the carrying amount in classifications appropriate to the entity;</w:t>
            </w:r>
          </w:p>
          <w:p w:rsidR="0044350A" w:rsidRPr="00892DE3" w:rsidRDefault="0044350A" w:rsidP="0044350A">
            <w:pPr>
              <w:pStyle w:val="List"/>
            </w:pPr>
            <w:r w:rsidRPr="00892DE3">
              <w:t>(c)</w:t>
            </w:r>
            <w:r w:rsidRPr="00892DE3">
              <w:tab/>
              <w:t>the amount of inventories held for distribution recognised as an expense during the period;</w:t>
            </w:r>
          </w:p>
          <w:p w:rsidR="0044350A" w:rsidRPr="00892DE3" w:rsidRDefault="0044350A" w:rsidP="0044350A">
            <w:pPr>
              <w:pStyle w:val="List"/>
            </w:pPr>
            <w:r w:rsidRPr="00892DE3">
              <w:t>(d)</w:t>
            </w:r>
            <w:r w:rsidRPr="00892DE3">
              <w:tab/>
              <w:t>the amount of any write down of inventories held for distribution recognised as an expense during the period;</w:t>
            </w:r>
          </w:p>
          <w:p w:rsidR="0044350A" w:rsidRPr="00892DE3" w:rsidRDefault="0044350A" w:rsidP="0044350A">
            <w:pPr>
              <w:pStyle w:val="List"/>
            </w:pPr>
            <w:r w:rsidRPr="00892DE3">
              <w:t>(e)</w:t>
            </w:r>
            <w:r w:rsidRPr="00892DE3">
              <w:tab/>
              <w:t>the amount of any reversal of any write down that is recognised as a reduction in the amount of inventories held for distribution recognised as an expense in the period;</w:t>
            </w:r>
          </w:p>
          <w:p w:rsidR="0044350A" w:rsidRPr="00892DE3" w:rsidRDefault="0044350A" w:rsidP="0044350A">
            <w:pPr>
              <w:pStyle w:val="List"/>
            </w:pPr>
            <w:r w:rsidRPr="00892DE3">
              <w:t>(f)</w:t>
            </w:r>
            <w:r w:rsidRPr="00892DE3">
              <w:tab/>
              <w:t>the circumstances or event that led to the reversal of a write down of inventories held for distribution;</w:t>
            </w:r>
          </w:p>
          <w:p w:rsidR="0044350A" w:rsidRPr="00892DE3" w:rsidRDefault="0044350A" w:rsidP="0044350A">
            <w:pPr>
              <w:pStyle w:val="List"/>
            </w:pPr>
            <w:r w:rsidRPr="00892DE3">
              <w:t>(g)</w:t>
            </w:r>
            <w:r w:rsidRPr="00892DE3">
              <w:tab/>
              <w:t>the carrying amount of inventories held for distribution pledged as security for liabilities; and</w:t>
            </w:r>
          </w:p>
          <w:p w:rsidR="0044350A" w:rsidRPr="00892DE3" w:rsidRDefault="0044350A" w:rsidP="0044350A">
            <w:pPr>
              <w:pStyle w:val="List"/>
            </w:pPr>
            <w:r w:rsidRPr="00892DE3">
              <w:t>(h)</w:t>
            </w:r>
            <w:r w:rsidRPr="00892DE3">
              <w:tab/>
              <w:t>the basis on which any loss of service potential of inventories held for distribution is assessed, or the bases when more than one basis is used.</w:t>
            </w:r>
          </w:p>
        </w:tc>
      </w:tr>
    </w:tbl>
    <w:p w:rsidR="0044350A" w:rsidRPr="00892DE3" w:rsidRDefault="0044350A" w:rsidP="0019303F">
      <w:pPr>
        <w:pStyle w:val="Heading2"/>
      </w:pPr>
      <w:bookmarkStart w:id="134" w:name="_Toc474337014"/>
      <w:bookmarkStart w:id="135" w:name="_Toc478055757"/>
      <w:r w:rsidRPr="00892DE3">
        <w:t>Other non-financial assets</w:t>
      </w:r>
      <w:bookmarkEnd w:id="134"/>
      <w:r w:rsidR="000675EA" w:rsidRPr="00892DE3">
        <w:t xml:space="preserve"> </w:t>
      </w:r>
      <w:r w:rsidR="000675EA" w:rsidRPr="00892DE3">
        <w:rPr>
          <w:rStyle w:val="SourceReference"/>
          <w:b w:val="0"/>
        </w:rPr>
        <w:t>[AASB 101.61]</w:t>
      </w:r>
      <w:bookmarkEnd w:id="135"/>
    </w:p>
    <w:p w:rsidR="0044350A" w:rsidRPr="00892DE3" w:rsidRDefault="0044350A" w:rsidP="0044350A">
      <w:pPr>
        <w:pStyle w:val="TableUnits"/>
      </w:pPr>
      <w:r w:rsidRPr="00892DE3">
        <w:t>($ thousand)</w:t>
      </w:r>
    </w:p>
    <w:tbl>
      <w:tblPr>
        <w:tblStyle w:val="ModelReportFinancialTable"/>
        <w:tblW w:w="9691" w:type="dxa"/>
        <w:tblLayout w:type="fixed"/>
        <w:tblLook w:val="06A0" w:firstRow="1" w:lastRow="0" w:firstColumn="1" w:lastColumn="0" w:noHBand="1" w:noVBand="1"/>
      </w:tblPr>
      <w:tblGrid>
        <w:gridCol w:w="1384"/>
        <w:gridCol w:w="6475"/>
        <w:gridCol w:w="916"/>
        <w:gridCol w:w="916"/>
      </w:tblGrid>
      <w:tr w:rsidR="0044350A" w:rsidRPr="00892DE3" w:rsidTr="004435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Borders>
              <w:bottom w:val="nil"/>
            </w:tcBorders>
            <w:shd w:val="clear" w:color="auto" w:fill="auto"/>
          </w:tcPr>
          <w:p w:rsidR="0044350A" w:rsidRPr="00892DE3" w:rsidRDefault="0044350A" w:rsidP="0044350A">
            <w:r w:rsidRPr="00892DE3">
              <w:t>Source reference</w:t>
            </w:r>
          </w:p>
        </w:tc>
        <w:tc>
          <w:tcPr>
            <w:tcW w:w="6475" w:type="dxa"/>
            <w:hideMark/>
          </w:tcPr>
          <w:p w:rsidR="0044350A" w:rsidRPr="00892DE3" w:rsidRDefault="0044350A" w:rsidP="0044350A">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44350A" w:rsidRPr="00892DE3" w:rsidRDefault="0044350A" w:rsidP="00AE3727">
            <w:pPr>
              <w:cnfStyle w:val="100000000000" w:firstRow="1" w:lastRow="0" w:firstColumn="0" w:lastColumn="0" w:oddVBand="0" w:evenVBand="0" w:oddHBand="0" w:evenHBand="0" w:firstRowFirstColumn="0" w:firstRowLastColumn="0" w:lastRowFirstColumn="0" w:lastRowLastColumn="0"/>
            </w:pPr>
            <w:r w:rsidRPr="00892DE3">
              <w:t>2017</w:t>
            </w:r>
          </w:p>
        </w:tc>
        <w:tc>
          <w:tcPr>
            <w:tcW w:w="916" w:type="dxa"/>
            <w:noWrap/>
            <w:hideMark/>
          </w:tcPr>
          <w:p w:rsidR="0044350A" w:rsidRPr="00892DE3" w:rsidRDefault="0044350A" w:rsidP="00AE3727">
            <w:pPr>
              <w:cnfStyle w:val="100000000000" w:firstRow="1" w:lastRow="0" w:firstColumn="0" w:lastColumn="0" w:oddVBand="0" w:evenVBand="0" w:oddHBand="0" w:evenHBand="0" w:firstRowFirstColumn="0" w:firstRowLastColumn="0" w:lastRowFirstColumn="0" w:lastRowLastColumn="0"/>
            </w:pPr>
            <w:r w:rsidRPr="00892DE3">
              <w:t>2016</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hideMark/>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other assets</w:t>
            </w:r>
          </w:p>
        </w:tc>
        <w:tc>
          <w:tcPr>
            <w:tcW w:w="916" w:type="dxa"/>
            <w:shd w:val="clear" w:color="auto" w:fill="EBEBEB" w:themeFill="background2"/>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p>
        </w:tc>
        <w:tc>
          <w:tcPr>
            <w:tcW w:w="916" w:type="dxa"/>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tcBorders>
              <w:bottom w:val="single" w:sz="4" w:space="0" w:color="auto"/>
            </w:tcBorders>
            <w:hideMark/>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Prepayments</w:t>
            </w:r>
          </w:p>
        </w:tc>
        <w:tc>
          <w:tcPr>
            <w:tcW w:w="916" w:type="dxa"/>
            <w:tcBorders>
              <w:bottom w:val="single" w:sz="4" w:space="0" w:color="auto"/>
            </w:tcBorders>
            <w:shd w:val="clear" w:color="auto" w:fill="EBEBEB" w:themeFill="background2"/>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1 483</w:t>
            </w:r>
          </w:p>
        </w:tc>
        <w:tc>
          <w:tcPr>
            <w:tcW w:w="916" w:type="dxa"/>
            <w:tcBorders>
              <w:bottom w:val="single" w:sz="4" w:space="0" w:color="auto"/>
            </w:tcBorders>
            <w:noWrap/>
            <w:hideMark/>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 xml:space="preserve"> 380</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r w:rsidRPr="00892DE3">
              <w:t>AASB 101.61</w:t>
            </w:r>
          </w:p>
        </w:tc>
        <w:tc>
          <w:tcPr>
            <w:tcW w:w="6475" w:type="dxa"/>
            <w:tcBorders>
              <w:top w:val="single" w:sz="4" w:space="0" w:color="auto"/>
              <w:bottom w:val="single" w:sz="4" w:space="0" w:color="auto"/>
            </w:tcBorders>
            <w:hideMark/>
          </w:tcPr>
          <w:p w:rsidR="0044350A" w:rsidRPr="00892DE3" w:rsidRDefault="0044350A" w:rsidP="0044350A">
            <w:pPr>
              <w:tabs>
                <w:tab w:val="left" w:pos="2670"/>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current other assets</w:t>
            </w:r>
          </w:p>
        </w:tc>
        <w:tc>
          <w:tcPr>
            <w:tcW w:w="916" w:type="dxa"/>
            <w:tcBorders>
              <w:top w:val="single" w:sz="4" w:space="0" w:color="auto"/>
              <w:bottom w:val="single" w:sz="4" w:space="0" w:color="auto"/>
            </w:tcBorders>
            <w:shd w:val="clear" w:color="auto" w:fill="EBEBEB" w:themeFill="background2"/>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rPr>
            </w:pPr>
            <w:r w:rsidRPr="00892DE3">
              <w:rPr>
                <w:b/>
              </w:rPr>
              <w:t>1 483</w:t>
            </w:r>
          </w:p>
        </w:tc>
        <w:tc>
          <w:tcPr>
            <w:tcW w:w="916" w:type="dxa"/>
            <w:tcBorders>
              <w:top w:val="single" w:sz="4" w:space="0" w:color="auto"/>
              <w:bottom w:val="single" w:sz="4" w:space="0" w:color="auto"/>
            </w:tcBorders>
            <w:noWrap/>
            <w:hideMark/>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380</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tcBorders>
              <w:top w:val="single" w:sz="4" w:space="0" w:color="auto"/>
            </w:tcBorders>
            <w:hideMark/>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Non-current other assets</w:t>
            </w:r>
          </w:p>
        </w:tc>
        <w:tc>
          <w:tcPr>
            <w:tcW w:w="916" w:type="dxa"/>
            <w:tcBorders>
              <w:top w:val="single" w:sz="4" w:space="0" w:color="auto"/>
            </w:tcBorders>
            <w:shd w:val="clear" w:color="auto" w:fill="EBEBEB" w:themeFill="background2"/>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p>
        </w:tc>
        <w:tc>
          <w:tcPr>
            <w:tcW w:w="916" w:type="dxa"/>
            <w:tcBorders>
              <w:top w:val="single" w:sz="4" w:space="0" w:color="auto"/>
            </w:tcBorders>
            <w:noWrap/>
            <w:hideMark/>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r w:rsidRPr="00892DE3">
              <w:t>AASB 101.61</w:t>
            </w:r>
          </w:p>
        </w:tc>
        <w:tc>
          <w:tcPr>
            <w:tcW w:w="6475" w:type="dxa"/>
            <w:tcBorders>
              <w:bottom w:val="single" w:sz="4" w:space="0" w:color="auto"/>
            </w:tcBorders>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Other</w:t>
            </w:r>
          </w:p>
        </w:tc>
        <w:tc>
          <w:tcPr>
            <w:tcW w:w="916" w:type="dxa"/>
            <w:tcBorders>
              <w:bottom w:val="single" w:sz="4" w:space="0" w:color="auto"/>
            </w:tcBorders>
            <w:shd w:val="clear" w:color="auto" w:fill="EBEBEB" w:themeFill="background2"/>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916" w:type="dxa"/>
            <w:tcBorders>
              <w:bottom w:val="single" w:sz="4" w:space="0" w:color="auto"/>
            </w:tcBorders>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tcBorders>
              <w:top w:val="single" w:sz="4" w:space="0" w:color="auto"/>
              <w:bottom w:val="single" w:sz="4" w:space="0" w:color="auto"/>
            </w:tcBorders>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non</w:t>
            </w:r>
            <w:r w:rsidRPr="00892DE3">
              <w:rPr>
                <w:b/>
              </w:rPr>
              <w:noBreakHyphen/>
              <w:t>current other assets</w:t>
            </w:r>
          </w:p>
        </w:tc>
        <w:tc>
          <w:tcPr>
            <w:tcW w:w="916" w:type="dxa"/>
            <w:tcBorders>
              <w:top w:val="single" w:sz="4" w:space="0" w:color="auto"/>
              <w:bottom w:val="single" w:sz="4" w:space="0" w:color="auto"/>
            </w:tcBorders>
            <w:shd w:val="clear" w:color="auto" w:fill="EBEBEB" w:themeFill="background2"/>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rPr>
              <w:t>..</w:t>
            </w:r>
          </w:p>
        </w:tc>
        <w:tc>
          <w:tcPr>
            <w:tcW w:w="916" w:type="dxa"/>
            <w:tcBorders>
              <w:top w:val="single" w:sz="4" w:space="0" w:color="auto"/>
              <w:bottom w:val="single" w:sz="4" w:space="0" w:color="auto"/>
            </w:tcBorders>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rPr>
              <w:t>..</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tcBorders>
              <w:top w:val="single" w:sz="4" w:space="0" w:color="auto"/>
              <w:bottom w:val="single" w:sz="12" w:space="0" w:color="auto"/>
            </w:tcBorders>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assets</w:t>
            </w:r>
          </w:p>
        </w:tc>
        <w:tc>
          <w:tcPr>
            <w:tcW w:w="916" w:type="dxa"/>
            <w:tcBorders>
              <w:top w:val="single" w:sz="4" w:space="0" w:color="auto"/>
              <w:bottom w:val="single" w:sz="12" w:space="0" w:color="auto"/>
            </w:tcBorders>
            <w:shd w:val="clear" w:color="auto" w:fill="EBEBEB" w:themeFill="background2"/>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rPr>
              <w:t>1 483</w:t>
            </w:r>
          </w:p>
        </w:tc>
        <w:tc>
          <w:tcPr>
            <w:tcW w:w="916" w:type="dxa"/>
            <w:tcBorders>
              <w:top w:val="single" w:sz="4" w:space="0" w:color="auto"/>
              <w:bottom w:val="single" w:sz="12" w:space="0" w:color="auto"/>
            </w:tcBorders>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rPr>
              <w:t xml:space="preserve"> 380</w:t>
            </w:r>
          </w:p>
        </w:tc>
      </w:tr>
    </w:tbl>
    <w:p w:rsidR="0044350A" w:rsidRPr="00892DE3" w:rsidRDefault="0044350A" w:rsidP="0044350A"/>
    <w:p w:rsidR="0044350A" w:rsidRPr="00892DE3" w:rsidRDefault="0044350A" w:rsidP="0044350A">
      <w:r w:rsidRPr="00892DE3">
        <w:t>Other non-financial assets include prepayments, which represent payments in advance of receipt of goods or services or that part of expenditure made in one accounting period covering a term extending beyond that period.</w:t>
      </w:r>
    </w:p>
    <w:p w:rsidR="0044350A" w:rsidRPr="00892DE3" w:rsidRDefault="0044350A" w:rsidP="0044350A"/>
    <w:tbl>
      <w:tblPr>
        <w:tblStyle w:val="ModelReportGuidanceTable"/>
        <w:tblW w:w="0" w:type="auto"/>
        <w:tblLayout w:type="fixed"/>
        <w:tblLook w:val="04A0" w:firstRow="1" w:lastRow="0" w:firstColumn="1" w:lastColumn="0" w:noHBand="0" w:noVBand="1"/>
      </w:tblPr>
      <w:tblGrid>
        <w:gridCol w:w="9854"/>
      </w:tblGrid>
      <w:tr w:rsidR="0044350A" w:rsidRPr="00892DE3" w:rsidTr="0044350A">
        <w:trPr>
          <w:cnfStyle w:val="100000000000" w:firstRow="1" w:lastRow="0" w:firstColumn="0" w:lastColumn="0" w:oddVBand="0" w:evenVBand="0" w:oddHBand="0" w:evenHBand="0" w:firstRowFirstColumn="0" w:firstRowLastColumn="0" w:lastRowFirstColumn="0" w:lastRowLastColumn="0"/>
        </w:trPr>
        <w:tc>
          <w:tcPr>
            <w:tcW w:w="9854" w:type="dxa"/>
          </w:tcPr>
          <w:p w:rsidR="0044350A" w:rsidRPr="00892DE3" w:rsidRDefault="0044350A" w:rsidP="0044350A">
            <w:r w:rsidRPr="00892DE3">
              <w:t>Guidance – Other non-financial assets</w:t>
            </w:r>
          </w:p>
        </w:tc>
      </w:tr>
      <w:tr w:rsidR="0044350A" w:rsidRPr="00892DE3" w:rsidTr="0044350A">
        <w:tc>
          <w:tcPr>
            <w:tcW w:w="9854" w:type="dxa"/>
          </w:tcPr>
          <w:p w:rsidR="0044350A" w:rsidRPr="00892DE3" w:rsidRDefault="0044350A" w:rsidP="0044350A">
            <w:r w:rsidRPr="00892DE3">
              <w:t>The assets above should only include assets that are non-financial in nature.</w:t>
            </w:r>
          </w:p>
        </w:tc>
      </w:tr>
    </w:tbl>
    <w:p w:rsidR="0044350A" w:rsidRPr="00892DE3" w:rsidRDefault="0044350A" w:rsidP="0044350A"/>
    <w:p w:rsidR="000675EA" w:rsidRPr="00892DE3" w:rsidRDefault="000675EA">
      <w:pPr>
        <w:keepLines w:val="0"/>
        <w:rPr>
          <w:rFonts w:asciiTheme="majorHAnsi" w:eastAsiaTheme="majorEastAsia" w:hAnsiTheme="majorHAnsi" w:cstheme="majorBidi"/>
          <w:b/>
          <w:spacing w:val="-2"/>
          <w:sz w:val="24"/>
          <w:szCs w:val="26"/>
        </w:rPr>
      </w:pPr>
      <w:bookmarkStart w:id="136" w:name="_Toc474337015"/>
      <w:r w:rsidRPr="00892DE3">
        <w:br w:type="page"/>
      </w:r>
    </w:p>
    <w:p w:rsidR="0044350A" w:rsidRPr="00892DE3" w:rsidRDefault="0044350A" w:rsidP="0019303F">
      <w:pPr>
        <w:pStyle w:val="Heading2"/>
      </w:pPr>
      <w:bookmarkStart w:id="137" w:name="_Toc478055758"/>
      <w:r w:rsidRPr="00892DE3">
        <w:t>Other provisions</w:t>
      </w:r>
      <w:bookmarkEnd w:id="136"/>
      <w:r w:rsidR="000675EA" w:rsidRPr="00892DE3">
        <w:t xml:space="preserve"> </w:t>
      </w:r>
      <w:r w:rsidR="000675EA" w:rsidRPr="00892DE3">
        <w:rPr>
          <w:rStyle w:val="SourceReference"/>
          <w:b w:val="0"/>
        </w:rPr>
        <w:t>[AASB 137.14, 137.36, 137.45, 137.47, 137.60]</w:t>
      </w:r>
      <w:bookmarkEnd w:id="137"/>
    </w:p>
    <w:p w:rsidR="0044350A" w:rsidRPr="00892DE3" w:rsidRDefault="0044350A" w:rsidP="0044350A">
      <w:pPr>
        <w:pStyle w:val="TableUnits"/>
      </w:pPr>
      <w:r w:rsidRPr="00892DE3">
        <w:t>($ thousand)</w:t>
      </w:r>
    </w:p>
    <w:tbl>
      <w:tblPr>
        <w:tblStyle w:val="ModelReportFinancialTable"/>
        <w:tblW w:w="9691" w:type="dxa"/>
        <w:tblLayout w:type="fixed"/>
        <w:tblLook w:val="06A0" w:firstRow="1" w:lastRow="0" w:firstColumn="1" w:lastColumn="0" w:noHBand="1" w:noVBand="1"/>
      </w:tblPr>
      <w:tblGrid>
        <w:gridCol w:w="1384"/>
        <w:gridCol w:w="6475"/>
        <w:gridCol w:w="916"/>
        <w:gridCol w:w="916"/>
      </w:tblGrid>
      <w:tr w:rsidR="0044350A" w:rsidRPr="00892DE3" w:rsidTr="004435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Borders>
              <w:bottom w:val="nil"/>
            </w:tcBorders>
            <w:shd w:val="clear" w:color="auto" w:fill="auto"/>
          </w:tcPr>
          <w:p w:rsidR="0044350A" w:rsidRPr="00892DE3" w:rsidRDefault="0044350A" w:rsidP="0044350A">
            <w:r w:rsidRPr="00892DE3">
              <w:t>Source reference</w:t>
            </w:r>
          </w:p>
        </w:tc>
        <w:tc>
          <w:tcPr>
            <w:tcW w:w="6475" w:type="dxa"/>
            <w:hideMark/>
          </w:tcPr>
          <w:p w:rsidR="0044350A" w:rsidRPr="00892DE3" w:rsidRDefault="0044350A" w:rsidP="0044350A">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44350A" w:rsidRPr="00892DE3" w:rsidRDefault="0044350A" w:rsidP="00AE3727">
            <w:pPr>
              <w:cnfStyle w:val="100000000000" w:firstRow="1" w:lastRow="0" w:firstColumn="0" w:lastColumn="0" w:oddVBand="0" w:evenVBand="0" w:oddHBand="0" w:evenHBand="0" w:firstRowFirstColumn="0" w:firstRowLastColumn="0" w:lastRowFirstColumn="0" w:lastRowLastColumn="0"/>
            </w:pPr>
            <w:r w:rsidRPr="00892DE3">
              <w:t>2017</w:t>
            </w:r>
          </w:p>
        </w:tc>
        <w:tc>
          <w:tcPr>
            <w:tcW w:w="916" w:type="dxa"/>
            <w:noWrap/>
            <w:hideMark/>
          </w:tcPr>
          <w:p w:rsidR="0044350A" w:rsidRPr="00892DE3" w:rsidRDefault="0044350A" w:rsidP="00AE3727">
            <w:pPr>
              <w:cnfStyle w:val="100000000000" w:firstRow="1" w:lastRow="0" w:firstColumn="0" w:lastColumn="0" w:oddVBand="0" w:evenVBand="0" w:oddHBand="0" w:evenHBand="0" w:firstRowFirstColumn="0" w:firstRowLastColumn="0" w:lastRowFirstColumn="0" w:lastRowLastColumn="0"/>
            </w:pPr>
            <w:r w:rsidRPr="00892DE3">
              <w:t>2016</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hideMark/>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provisions</w:t>
            </w:r>
          </w:p>
        </w:tc>
        <w:tc>
          <w:tcPr>
            <w:tcW w:w="916" w:type="dxa"/>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p>
        </w:tc>
        <w:tc>
          <w:tcPr>
            <w:tcW w:w="916" w:type="dxa"/>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hideMark/>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Onerous lease contracts</w:t>
            </w:r>
          </w:p>
        </w:tc>
        <w:tc>
          <w:tcPr>
            <w:tcW w:w="916" w:type="dxa"/>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r w:rsidRPr="00892DE3">
              <w:t xml:space="preserve"> 993</w:t>
            </w:r>
          </w:p>
        </w:tc>
        <w:tc>
          <w:tcPr>
            <w:tcW w:w="916" w:type="dxa"/>
            <w:noWrap/>
            <w:hideMark/>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r w:rsidRPr="00892DE3">
              <w:t>2 290</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r w:rsidRPr="00892DE3">
              <w:t>AASB 101.61</w:t>
            </w:r>
          </w:p>
        </w:tc>
        <w:tc>
          <w:tcPr>
            <w:tcW w:w="6475" w:type="dxa"/>
            <w:hideMark/>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Total current provisions</w:t>
            </w:r>
          </w:p>
        </w:tc>
        <w:tc>
          <w:tcPr>
            <w:tcW w:w="916" w:type="dxa"/>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r w:rsidRPr="00892DE3">
              <w:t>993</w:t>
            </w:r>
          </w:p>
        </w:tc>
        <w:tc>
          <w:tcPr>
            <w:tcW w:w="916" w:type="dxa"/>
            <w:noWrap/>
            <w:hideMark/>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r w:rsidRPr="00892DE3">
              <w:t>2 290</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hideMark/>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rPr>
              <w:t>Non-current provisions</w:t>
            </w:r>
          </w:p>
        </w:tc>
        <w:tc>
          <w:tcPr>
            <w:tcW w:w="916" w:type="dxa"/>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p>
        </w:tc>
        <w:tc>
          <w:tcPr>
            <w:tcW w:w="916" w:type="dxa"/>
            <w:noWrap/>
            <w:hideMark/>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r w:rsidRPr="00892DE3">
              <w:t>AASB 101.61</w:t>
            </w:r>
          </w:p>
        </w:tc>
        <w:tc>
          <w:tcPr>
            <w:tcW w:w="6475" w:type="dxa"/>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Onerous lease contracts</w:t>
            </w:r>
          </w:p>
        </w:tc>
        <w:tc>
          <w:tcPr>
            <w:tcW w:w="916" w:type="dxa"/>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r w:rsidRPr="00892DE3">
              <w:t xml:space="preserve"> 710</w:t>
            </w:r>
          </w:p>
        </w:tc>
        <w:tc>
          <w:tcPr>
            <w:tcW w:w="916" w:type="dxa"/>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r w:rsidRPr="00892DE3">
              <w:t>1 273</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tcBorders>
              <w:bottom w:val="single" w:sz="4" w:space="0" w:color="auto"/>
            </w:tcBorders>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Make</w:t>
            </w:r>
            <w:r w:rsidRPr="00892DE3">
              <w:noBreakHyphen/>
              <w:t>good provision</w:t>
            </w:r>
          </w:p>
        </w:tc>
        <w:tc>
          <w:tcPr>
            <w:tcW w:w="916" w:type="dxa"/>
            <w:tcBorders>
              <w:bottom w:val="single" w:sz="4" w:space="0" w:color="auto"/>
            </w:tcBorders>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r w:rsidRPr="00892DE3">
              <w:t xml:space="preserve"> 450</w:t>
            </w:r>
          </w:p>
        </w:tc>
        <w:tc>
          <w:tcPr>
            <w:tcW w:w="916" w:type="dxa"/>
            <w:tcBorders>
              <w:bottom w:val="single" w:sz="4" w:space="0" w:color="auto"/>
            </w:tcBorders>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pPr>
            <w:r w:rsidRPr="00892DE3">
              <w:t xml:space="preserve"> 375</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tcBorders>
              <w:top w:val="single" w:sz="4" w:space="0" w:color="auto"/>
              <w:bottom w:val="single" w:sz="4" w:space="0" w:color="auto"/>
            </w:tcBorders>
          </w:tcPr>
          <w:p w:rsidR="0044350A" w:rsidRPr="00892DE3" w:rsidRDefault="0044350A" w:rsidP="0044350A">
            <w:pPr>
              <w:tabs>
                <w:tab w:val="left" w:pos="2700"/>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non</w:t>
            </w:r>
            <w:r w:rsidRPr="00892DE3">
              <w:rPr>
                <w:b/>
              </w:rPr>
              <w:noBreakHyphen/>
              <w:t>current provisions</w:t>
            </w:r>
          </w:p>
        </w:tc>
        <w:tc>
          <w:tcPr>
            <w:tcW w:w="916" w:type="dxa"/>
            <w:tcBorders>
              <w:top w:val="single" w:sz="4" w:space="0" w:color="auto"/>
              <w:bottom w:val="single" w:sz="4" w:space="0" w:color="auto"/>
            </w:tcBorders>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rPr>
                <w:b/>
              </w:rPr>
            </w:pPr>
            <w:r w:rsidRPr="00892DE3">
              <w:rPr>
                <w:b/>
              </w:rPr>
              <w:t>1 160</w:t>
            </w:r>
          </w:p>
        </w:tc>
        <w:tc>
          <w:tcPr>
            <w:tcW w:w="916" w:type="dxa"/>
            <w:tcBorders>
              <w:top w:val="single" w:sz="4" w:space="0" w:color="auto"/>
              <w:bottom w:val="single" w:sz="4" w:space="0" w:color="auto"/>
            </w:tcBorders>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rPr>
                <w:b/>
              </w:rPr>
            </w:pPr>
            <w:r w:rsidRPr="00892DE3">
              <w:rPr>
                <w:b/>
              </w:rPr>
              <w:t>1 648</w:t>
            </w:r>
          </w:p>
        </w:tc>
      </w:tr>
      <w:tr w:rsidR="0044350A" w:rsidRPr="00892DE3" w:rsidTr="0044350A">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44350A" w:rsidRPr="00892DE3" w:rsidRDefault="0044350A" w:rsidP="0044350A"/>
        </w:tc>
        <w:tc>
          <w:tcPr>
            <w:tcW w:w="6475" w:type="dxa"/>
            <w:tcBorders>
              <w:top w:val="single" w:sz="4" w:space="0" w:color="auto"/>
              <w:bottom w:val="single" w:sz="12" w:space="0" w:color="auto"/>
            </w:tcBorders>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provisions</w:t>
            </w:r>
          </w:p>
        </w:tc>
        <w:tc>
          <w:tcPr>
            <w:tcW w:w="916" w:type="dxa"/>
            <w:tcBorders>
              <w:top w:val="single" w:sz="4" w:space="0" w:color="auto"/>
              <w:bottom w:val="single" w:sz="12" w:space="0" w:color="auto"/>
            </w:tcBorders>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rPr>
                <w:b/>
              </w:rPr>
            </w:pPr>
            <w:r w:rsidRPr="00892DE3">
              <w:rPr>
                <w:b/>
              </w:rPr>
              <w:t>2 153</w:t>
            </w:r>
          </w:p>
        </w:tc>
        <w:tc>
          <w:tcPr>
            <w:tcW w:w="916" w:type="dxa"/>
            <w:tcBorders>
              <w:top w:val="single" w:sz="4" w:space="0" w:color="auto"/>
              <w:bottom w:val="single" w:sz="12" w:space="0" w:color="auto"/>
            </w:tcBorders>
            <w:noWrap/>
          </w:tcPr>
          <w:p w:rsidR="0044350A" w:rsidRPr="00892DE3" w:rsidRDefault="0044350A" w:rsidP="0044350A">
            <w:pPr>
              <w:cnfStyle w:val="000000000000" w:firstRow="0" w:lastRow="0" w:firstColumn="0" w:lastColumn="0" w:oddVBand="0" w:evenVBand="0" w:oddHBand="0" w:evenHBand="0" w:firstRowFirstColumn="0" w:firstRowLastColumn="0" w:lastRowFirstColumn="0" w:lastRowLastColumn="0"/>
              <w:rPr>
                <w:b/>
              </w:rPr>
            </w:pPr>
            <w:r w:rsidRPr="00892DE3">
              <w:rPr>
                <w:b/>
              </w:rPr>
              <w:t>3 938</w:t>
            </w:r>
          </w:p>
        </w:tc>
      </w:tr>
    </w:tbl>
    <w:p w:rsidR="0044350A" w:rsidRPr="00892DE3" w:rsidRDefault="0044350A" w:rsidP="0044350A"/>
    <w:p w:rsidR="0044350A" w:rsidRPr="00892DE3" w:rsidRDefault="0044350A" w:rsidP="0044350A">
      <w:r w:rsidRPr="00892DE3">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rsidR="0044350A" w:rsidRPr="00892DE3" w:rsidRDefault="0044350A" w:rsidP="0044350A">
      <w:r w:rsidRPr="00892DE3">
        <w:t>Where a provision is measured using the cash flows estimated to settle the present obligation, its carrying amount is the present value of those cash flows, using a discount rate that reflects the time, value of money and risks specific to the provision.</w:t>
      </w:r>
    </w:p>
    <w:p w:rsidR="0044350A" w:rsidRPr="00892DE3" w:rsidRDefault="0044350A" w:rsidP="0044350A">
      <w:pPr>
        <w:pStyle w:val="TableHeading"/>
      </w:pPr>
      <w:r w:rsidRPr="00892DE3">
        <w:t xml:space="preserve">Reconciliation of movements in other provisions </w:t>
      </w:r>
      <w:r w:rsidRPr="00892DE3">
        <w:tab/>
        <w:t>($ thousand)</w:t>
      </w:r>
    </w:p>
    <w:tbl>
      <w:tblPr>
        <w:tblStyle w:val="ModelReportFinancialTable"/>
        <w:tblW w:w="0" w:type="auto"/>
        <w:tblLayout w:type="fixed"/>
        <w:tblLook w:val="06A0" w:firstRow="1" w:lastRow="0" w:firstColumn="1" w:lastColumn="0" w:noHBand="1" w:noVBand="1"/>
      </w:tblPr>
      <w:tblGrid>
        <w:gridCol w:w="1526"/>
        <w:gridCol w:w="5821"/>
        <w:gridCol w:w="810"/>
        <w:gridCol w:w="810"/>
        <w:gridCol w:w="749"/>
      </w:tblGrid>
      <w:tr w:rsidR="0044350A" w:rsidRPr="00892DE3" w:rsidTr="002551C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526" w:type="dxa"/>
            <w:tcBorders>
              <w:bottom w:val="nil"/>
            </w:tcBorders>
            <w:shd w:val="clear" w:color="auto" w:fill="auto"/>
          </w:tcPr>
          <w:p w:rsidR="0044350A" w:rsidRPr="00892DE3" w:rsidRDefault="0044350A" w:rsidP="0044350A">
            <w:r w:rsidRPr="00892DE3">
              <w:t>Source reference</w:t>
            </w:r>
          </w:p>
        </w:tc>
        <w:tc>
          <w:tcPr>
            <w:tcW w:w="5821" w:type="dxa"/>
            <w:tcBorders>
              <w:bottom w:val="nil"/>
            </w:tcBorders>
          </w:tcPr>
          <w:p w:rsidR="0044350A" w:rsidRPr="00892DE3" w:rsidRDefault="0044350A" w:rsidP="0044350A">
            <w:pPr>
              <w:cnfStyle w:val="100000000000" w:firstRow="1" w:lastRow="0" w:firstColumn="0" w:lastColumn="0" w:oddVBand="0" w:evenVBand="0" w:oddHBand="0" w:evenHBand="0" w:firstRowFirstColumn="0" w:firstRowLastColumn="0" w:lastRowFirstColumn="0" w:lastRowLastColumn="0"/>
            </w:pPr>
          </w:p>
        </w:tc>
        <w:tc>
          <w:tcPr>
            <w:tcW w:w="810" w:type="dxa"/>
            <w:vMerge w:val="restart"/>
            <w:tcBorders>
              <w:bottom w:val="nil"/>
            </w:tcBorders>
          </w:tcPr>
          <w:p w:rsidR="0044350A" w:rsidRPr="00892DE3" w:rsidRDefault="0044350A" w:rsidP="0044350A">
            <w:pPr>
              <w:cnfStyle w:val="100000000000" w:firstRow="1" w:lastRow="0" w:firstColumn="0" w:lastColumn="0" w:oddVBand="0" w:evenVBand="0" w:oddHBand="0" w:evenHBand="0" w:firstRowFirstColumn="0" w:firstRowLastColumn="0" w:lastRowFirstColumn="0" w:lastRowLastColumn="0"/>
            </w:pPr>
            <w:r w:rsidRPr="00892DE3">
              <w:t>Onerous contracts</w:t>
            </w:r>
          </w:p>
        </w:tc>
        <w:tc>
          <w:tcPr>
            <w:tcW w:w="810" w:type="dxa"/>
            <w:vMerge w:val="restart"/>
            <w:tcBorders>
              <w:bottom w:val="nil"/>
            </w:tcBorders>
            <w:noWrap/>
          </w:tcPr>
          <w:p w:rsidR="0044350A" w:rsidRPr="00892DE3" w:rsidRDefault="0044350A" w:rsidP="0044350A">
            <w:pPr>
              <w:cnfStyle w:val="100000000000" w:firstRow="1" w:lastRow="0" w:firstColumn="0" w:lastColumn="0" w:oddVBand="0" w:evenVBand="0" w:oddHBand="0" w:evenHBand="0" w:firstRowFirstColumn="0" w:firstRowLastColumn="0" w:lastRowFirstColumn="0" w:lastRowLastColumn="0"/>
            </w:pPr>
            <w:r w:rsidRPr="00892DE3">
              <w:t>Make-good</w:t>
            </w:r>
          </w:p>
        </w:tc>
        <w:tc>
          <w:tcPr>
            <w:tcW w:w="749" w:type="dxa"/>
            <w:tcBorders>
              <w:bottom w:val="nil"/>
            </w:tcBorders>
          </w:tcPr>
          <w:p w:rsidR="0044350A" w:rsidRPr="00892DE3" w:rsidRDefault="0044350A" w:rsidP="0044350A">
            <w:pPr>
              <w:cnfStyle w:val="100000000000" w:firstRow="1" w:lastRow="0" w:firstColumn="0" w:lastColumn="0" w:oddVBand="0" w:evenVBand="0" w:oddHBand="0" w:evenHBand="0" w:firstRowFirstColumn="0" w:firstRowLastColumn="0" w:lastRowFirstColumn="0" w:lastRowLastColumn="0"/>
            </w:pPr>
            <w:r w:rsidRPr="00892DE3">
              <w:t>Total</w:t>
            </w:r>
          </w:p>
        </w:tc>
      </w:tr>
      <w:tr w:rsidR="0044350A" w:rsidRPr="00892DE3" w:rsidTr="002551C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526" w:type="dxa"/>
            <w:tcBorders>
              <w:bottom w:val="nil"/>
            </w:tcBorders>
            <w:shd w:val="clear" w:color="auto" w:fill="auto"/>
          </w:tcPr>
          <w:p w:rsidR="0044350A" w:rsidRPr="00892DE3" w:rsidRDefault="0044350A" w:rsidP="0044350A"/>
        </w:tc>
        <w:tc>
          <w:tcPr>
            <w:tcW w:w="5821" w:type="dxa"/>
            <w:tcBorders>
              <w:bottom w:val="nil"/>
            </w:tcBorders>
            <w:hideMark/>
          </w:tcPr>
          <w:p w:rsidR="0044350A" w:rsidRPr="00892DE3" w:rsidRDefault="0044350A" w:rsidP="0044350A">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10" w:type="dxa"/>
            <w:vMerge/>
            <w:tcBorders>
              <w:bottom w:val="nil"/>
            </w:tcBorders>
          </w:tcPr>
          <w:p w:rsidR="0044350A" w:rsidRPr="00892DE3" w:rsidRDefault="0044350A" w:rsidP="0044350A">
            <w:pPr>
              <w:cnfStyle w:val="100000000000" w:firstRow="1" w:lastRow="0" w:firstColumn="0" w:lastColumn="0" w:oddVBand="0" w:evenVBand="0" w:oddHBand="0" w:evenHBand="0" w:firstRowFirstColumn="0" w:firstRowLastColumn="0" w:lastRowFirstColumn="0" w:lastRowLastColumn="0"/>
            </w:pPr>
          </w:p>
        </w:tc>
        <w:tc>
          <w:tcPr>
            <w:tcW w:w="810" w:type="dxa"/>
            <w:vMerge/>
            <w:tcBorders>
              <w:bottom w:val="nil"/>
            </w:tcBorders>
            <w:noWrap/>
            <w:hideMark/>
          </w:tcPr>
          <w:p w:rsidR="0044350A" w:rsidRPr="00892DE3" w:rsidRDefault="0044350A" w:rsidP="0044350A">
            <w:pPr>
              <w:cnfStyle w:val="100000000000" w:firstRow="1" w:lastRow="0" w:firstColumn="0" w:lastColumn="0" w:oddVBand="0" w:evenVBand="0" w:oddHBand="0" w:evenHBand="0" w:firstRowFirstColumn="0" w:firstRowLastColumn="0" w:lastRowFirstColumn="0" w:lastRowLastColumn="0"/>
            </w:pPr>
          </w:p>
        </w:tc>
        <w:tc>
          <w:tcPr>
            <w:tcW w:w="749" w:type="dxa"/>
            <w:tcBorders>
              <w:bottom w:val="nil"/>
            </w:tcBorders>
            <w:noWrap/>
            <w:hideMark/>
          </w:tcPr>
          <w:p w:rsidR="0044350A" w:rsidRPr="00892DE3" w:rsidRDefault="0044350A" w:rsidP="0044350A">
            <w:pPr>
              <w:cnfStyle w:val="100000000000" w:firstRow="1" w:lastRow="0" w:firstColumn="0" w:lastColumn="0" w:oddVBand="0" w:evenVBand="0" w:oddHBand="0" w:evenHBand="0" w:firstRowFirstColumn="0" w:firstRowLastColumn="0" w:lastRowFirstColumn="0" w:lastRowLastColumn="0"/>
            </w:pPr>
            <w:r w:rsidRPr="00892DE3">
              <w:t>2017</w:t>
            </w:r>
          </w:p>
        </w:tc>
      </w:tr>
      <w:tr w:rsidR="0044350A" w:rsidRPr="00892DE3" w:rsidTr="002551CA">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44350A" w:rsidRPr="00892DE3" w:rsidRDefault="0044350A" w:rsidP="0044350A">
            <w:r w:rsidRPr="00892DE3">
              <w:t>AASB 137.84(a)</w:t>
            </w:r>
          </w:p>
        </w:tc>
        <w:tc>
          <w:tcPr>
            <w:tcW w:w="5821" w:type="dxa"/>
            <w:tcBorders>
              <w:top w:val="nil"/>
            </w:tcBorders>
          </w:tcPr>
          <w:p w:rsidR="0044350A" w:rsidRPr="00892DE3" w:rsidRDefault="0044350A" w:rsidP="0044350A">
            <w:pPr>
              <w:tabs>
                <w:tab w:val="left" w:pos="1950"/>
              </w:tabs>
              <w:jc w:val="left"/>
              <w:cnfStyle w:val="000000000000" w:firstRow="0" w:lastRow="0" w:firstColumn="0" w:lastColumn="0" w:oddVBand="0" w:evenVBand="0" w:oddHBand="0" w:evenHBand="0" w:firstRowFirstColumn="0" w:firstRowLastColumn="0" w:lastRowFirstColumn="0" w:lastRowLastColumn="0"/>
              <w:rPr>
                <w:b/>
              </w:rPr>
            </w:pPr>
            <w:r w:rsidRPr="00892DE3">
              <w:rPr>
                <w:b/>
              </w:rPr>
              <w:t>Opening balance</w:t>
            </w:r>
          </w:p>
        </w:tc>
        <w:tc>
          <w:tcPr>
            <w:tcW w:w="810" w:type="dxa"/>
            <w:tcBorders>
              <w:top w:val="nil"/>
            </w:tcBorders>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rPr>
            </w:pPr>
            <w:r w:rsidRPr="00892DE3">
              <w:rPr>
                <w:b/>
              </w:rPr>
              <w:t>3 563</w:t>
            </w:r>
          </w:p>
        </w:tc>
        <w:tc>
          <w:tcPr>
            <w:tcW w:w="810" w:type="dxa"/>
            <w:tcBorders>
              <w:top w:val="nil"/>
            </w:tcBorders>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375</w:t>
            </w:r>
          </w:p>
        </w:tc>
        <w:tc>
          <w:tcPr>
            <w:tcW w:w="749" w:type="dxa"/>
            <w:tcBorders>
              <w:top w:val="nil"/>
            </w:tcBorders>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rPr>
            </w:pPr>
            <w:r w:rsidRPr="00892DE3">
              <w:rPr>
                <w:b/>
              </w:rPr>
              <w:t>3 938</w:t>
            </w:r>
          </w:p>
        </w:tc>
      </w:tr>
      <w:tr w:rsidR="0044350A" w:rsidRPr="00892DE3" w:rsidTr="002551CA">
        <w:trPr>
          <w:trHeight w:val="311"/>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44350A" w:rsidRPr="00892DE3" w:rsidRDefault="0044350A" w:rsidP="0044350A">
            <w:r w:rsidRPr="00892DE3">
              <w:t>AASB 137.84(b)</w:t>
            </w:r>
          </w:p>
        </w:tc>
        <w:tc>
          <w:tcPr>
            <w:tcW w:w="5821" w:type="dxa"/>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Additional provisions recognised</w:t>
            </w:r>
          </w:p>
        </w:tc>
        <w:tc>
          <w:tcPr>
            <w:tcW w:w="810" w:type="dxa"/>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 xml:space="preserve"> 426</w:t>
            </w:r>
          </w:p>
        </w:tc>
        <w:tc>
          <w:tcPr>
            <w:tcW w:w="810" w:type="dxa"/>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 xml:space="preserve"> 50</w:t>
            </w:r>
          </w:p>
        </w:tc>
        <w:tc>
          <w:tcPr>
            <w:tcW w:w="749" w:type="dxa"/>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476</w:t>
            </w:r>
          </w:p>
        </w:tc>
      </w:tr>
      <w:tr w:rsidR="0044350A" w:rsidRPr="00892DE3" w:rsidTr="002551CA">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44350A" w:rsidRPr="00892DE3" w:rsidRDefault="0044350A" w:rsidP="0044350A">
            <w:r w:rsidRPr="00892DE3">
              <w:t>AASB 137.84(b)</w:t>
            </w:r>
          </w:p>
        </w:tc>
        <w:tc>
          <w:tcPr>
            <w:tcW w:w="5821" w:type="dxa"/>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Additions due to transfer in</w:t>
            </w:r>
          </w:p>
        </w:tc>
        <w:tc>
          <w:tcPr>
            <w:tcW w:w="810" w:type="dxa"/>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noWrap/>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noWrap/>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r>
      <w:tr w:rsidR="0044350A" w:rsidRPr="00892DE3" w:rsidTr="002551CA">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44350A" w:rsidRPr="00892DE3" w:rsidRDefault="0044350A" w:rsidP="0044350A">
            <w:r w:rsidRPr="00892DE3">
              <w:t>AASB 137.84(b)</w:t>
            </w:r>
          </w:p>
        </w:tc>
        <w:tc>
          <w:tcPr>
            <w:tcW w:w="5821" w:type="dxa"/>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Additions due to acquisitions</w:t>
            </w:r>
          </w:p>
        </w:tc>
        <w:tc>
          <w:tcPr>
            <w:tcW w:w="810" w:type="dxa"/>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noWrap/>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noWrap/>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r>
      <w:tr w:rsidR="0044350A" w:rsidRPr="00892DE3" w:rsidTr="002551CA">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44350A" w:rsidRPr="00892DE3" w:rsidRDefault="0044350A" w:rsidP="0044350A">
            <w:r w:rsidRPr="00892DE3">
              <w:t>AASB 137.84(c)</w:t>
            </w:r>
          </w:p>
        </w:tc>
        <w:tc>
          <w:tcPr>
            <w:tcW w:w="5821" w:type="dxa"/>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Reductions arising from payments/other sacrifices of future economic benefits</w:t>
            </w:r>
          </w:p>
        </w:tc>
        <w:tc>
          <w:tcPr>
            <w:tcW w:w="810" w:type="dxa"/>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(105)</w:t>
            </w:r>
          </w:p>
        </w:tc>
        <w:tc>
          <w:tcPr>
            <w:tcW w:w="810" w:type="dxa"/>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(105)</w:t>
            </w:r>
          </w:p>
        </w:tc>
      </w:tr>
      <w:tr w:rsidR="0044350A" w:rsidRPr="00892DE3" w:rsidTr="002551CA">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44350A" w:rsidRPr="00892DE3" w:rsidRDefault="0044350A" w:rsidP="0044350A">
            <w:r w:rsidRPr="00892DE3">
              <w:t>AASB 137.84(d)</w:t>
            </w:r>
          </w:p>
        </w:tc>
        <w:tc>
          <w:tcPr>
            <w:tcW w:w="5821" w:type="dxa"/>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Reductions resulting from re</w:t>
            </w:r>
            <w:r w:rsidRPr="00892DE3">
              <w:noBreakHyphen/>
              <w:t>measurement or settlement without cost</w:t>
            </w:r>
          </w:p>
        </w:tc>
        <w:tc>
          <w:tcPr>
            <w:tcW w:w="810" w:type="dxa"/>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noWrap/>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noWrap/>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r>
      <w:tr w:rsidR="0044350A" w:rsidRPr="00892DE3" w:rsidTr="002551CA">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44350A" w:rsidRPr="00892DE3" w:rsidRDefault="0044350A" w:rsidP="0044350A">
            <w:r w:rsidRPr="00892DE3">
              <w:t>AASB 137.60, 84(e)</w:t>
            </w:r>
          </w:p>
        </w:tc>
        <w:tc>
          <w:tcPr>
            <w:tcW w:w="5821" w:type="dxa"/>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Unwind of discount and effect of changes in the discount rate</w:t>
            </w:r>
          </w:p>
        </w:tc>
        <w:tc>
          <w:tcPr>
            <w:tcW w:w="810" w:type="dxa"/>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 xml:space="preserve"> 25</w:t>
            </w:r>
          </w:p>
        </w:tc>
        <w:tc>
          <w:tcPr>
            <w:tcW w:w="749" w:type="dxa"/>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25</w:t>
            </w:r>
          </w:p>
        </w:tc>
      </w:tr>
      <w:tr w:rsidR="0044350A" w:rsidRPr="00892DE3" w:rsidTr="002551CA">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44350A" w:rsidRPr="00892DE3" w:rsidRDefault="0044350A" w:rsidP="0044350A">
            <w:r w:rsidRPr="00892DE3">
              <w:t>AASB 137.84(c)</w:t>
            </w:r>
          </w:p>
        </w:tc>
        <w:tc>
          <w:tcPr>
            <w:tcW w:w="5821" w:type="dxa"/>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Reduction due to held for sale</w:t>
            </w:r>
          </w:p>
        </w:tc>
        <w:tc>
          <w:tcPr>
            <w:tcW w:w="810" w:type="dxa"/>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(1 042)</w:t>
            </w:r>
          </w:p>
        </w:tc>
        <w:tc>
          <w:tcPr>
            <w:tcW w:w="810" w:type="dxa"/>
            <w:noWrap/>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(1 042)</w:t>
            </w:r>
          </w:p>
        </w:tc>
      </w:tr>
      <w:tr w:rsidR="0044350A" w:rsidRPr="00892DE3" w:rsidTr="002551CA">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44350A" w:rsidRPr="00892DE3" w:rsidRDefault="0044350A" w:rsidP="0044350A">
            <w:r w:rsidRPr="00892DE3">
              <w:t>AASB 137.84(c)</w:t>
            </w:r>
          </w:p>
        </w:tc>
        <w:tc>
          <w:tcPr>
            <w:tcW w:w="5821" w:type="dxa"/>
            <w:tcBorders>
              <w:bottom w:val="single" w:sz="4" w:space="0" w:color="auto"/>
            </w:tcBorders>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pPr>
            <w:r w:rsidRPr="00892DE3">
              <w:t>Reduction due to transfer out</w:t>
            </w:r>
          </w:p>
        </w:tc>
        <w:tc>
          <w:tcPr>
            <w:tcW w:w="810" w:type="dxa"/>
            <w:tcBorders>
              <w:bottom w:val="single" w:sz="4" w:space="0" w:color="auto"/>
            </w:tcBorders>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(1 139)</w:t>
            </w:r>
          </w:p>
        </w:tc>
        <w:tc>
          <w:tcPr>
            <w:tcW w:w="810" w:type="dxa"/>
            <w:tcBorders>
              <w:bottom w:val="single" w:sz="4" w:space="0" w:color="auto"/>
            </w:tcBorders>
            <w:noWrap/>
          </w:tcPr>
          <w:p w:rsidR="0044350A" w:rsidRPr="00892DE3" w:rsidRDefault="000675EA" w:rsidP="00AE3727">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tcBorders>
              <w:bottom w:val="single" w:sz="4" w:space="0" w:color="auto"/>
            </w:tcBorders>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pPr>
            <w:r w:rsidRPr="00892DE3">
              <w:t>(1 139)</w:t>
            </w:r>
          </w:p>
        </w:tc>
      </w:tr>
      <w:tr w:rsidR="0044350A" w:rsidRPr="00892DE3" w:rsidTr="002551CA">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44350A" w:rsidRPr="00892DE3" w:rsidRDefault="0044350A" w:rsidP="0044350A">
            <w:r w:rsidRPr="00892DE3">
              <w:t>AASB 137.84(a)</w:t>
            </w:r>
          </w:p>
        </w:tc>
        <w:tc>
          <w:tcPr>
            <w:tcW w:w="5821" w:type="dxa"/>
            <w:tcBorders>
              <w:top w:val="single" w:sz="4" w:space="0" w:color="auto"/>
              <w:bottom w:val="single" w:sz="12" w:space="0" w:color="auto"/>
            </w:tcBorders>
          </w:tcPr>
          <w:p w:rsidR="0044350A" w:rsidRPr="00892DE3" w:rsidRDefault="0044350A" w:rsidP="0044350A">
            <w:pPr>
              <w:jc w:val="left"/>
              <w:cnfStyle w:val="000000000000" w:firstRow="0" w:lastRow="0" w:firstColumn="0" w:lastColumn="0" w:oddVBand="0" w:evenVBand="0" w:oddHBand="0" w:evenHBand="0" w:firstRowFirstColumn="0" w:firstRowLastColumn="0" w:lastRowFirstColumn="0" w:lastRowLastColumn="0"/>
              <w:rPr>
                <w:b/>
              </w:rPr>
            </w:pPr>
            <w:r w:rsidRPr="00892DE3">
              <w:rPr>
                <w:b/>
              </w:rPr>
              <w:t>Closing balance</w:t>
            </w:r>
          </w:p>
        </w:tc>
        <w:tc>
          <w:tcPr>
            <w:tcW w:w="810" w:type="dxa"/>
            <w:tcBorders>
              <w:top w:val="single" w:sz="4" w:space="0" w:color="auto"/>
              <w:bottom w:val="single" w:sz="12" w:space="0" w:color="auto"/>
            </w:tcBorders>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rPr>
            </w:pPr>
            <w:r w:rsidRPr="00892DE3">
              <w:rPr>
                <w:b/>
              </w:rPr>
              <w:t>1 703</w:t>
            </w:r>
          </w:p>
        </w:tc>
        <w:tc>
          <w:tcPr>
            <w:tcW w:w="810" w:type="dxa"/>
            <w:tcBorders>
              <w:top w:val="single" w:sz="4" w:space="0" w:color="auto"/>
              <w:bottom w:val="single" w:sz="12" w:space="0" w:color="auto"/>
            </w:tcBorders>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450</w:t>
            </w:r>
          </w:p>
        </w:tc>
        <w:tc>
          <w:tcPr>
            <w:tcW w:w="749" w:type="dxa"/>
            <w:tcBorders>
              <w:top w:val="single" w:sz="4" w:space="0" w:color="auto"/>
              <w:bottom w:val="single" w:sz="12" w:space="0" w:color="auto"/>
            </w:tcBorders>
            <w:noWrap/>
          </w:tcPr>
          <w:p w:rsidR="0044350A" w:rsidRPr="00892DE3" w:rsidRDefault="0044350A" w:rsidP="00AE3727">
            <w:pPr>
              <w:cnfStyle w:val="000000000000" w:firstRow="0" w:lastRow="0" w:firstColumn="0" w:lastColumn="0" w:oddVBand="0" w:evenVBand="0" w:oddHBand="0" w:evenHBand="0" w:firstRowFirstColumn="0" w:firstRowLastColumn="0" w:lastRowFirstColumn="0" w:lastRowLastColumn="0"/>
              <w:rPr>
                <w:b/>
              </w:rPr>
            </w:pPr>
            <w:r w:rsidRPr="00892DE3">
              <w:rPr>
                <w:b/>
              </w:rPr>
              <w:t>2 153</w:t>
            </w:r>
          </w:p>
        </w:tc>
      </w:tr>
    </w:tbl>
    <w:p w:rsidR="0044350A" w:rsidRPr="00892DE3" w:rsidRDefault="0044350A" w:rsidP="0044350A"/>
    <w:p w:rsidR="0044350A" w:rsidRPr="00892DE3" w:rsidRDefault="0044350A" w:rsidP="0044350A">
      <w:r w:rsidRPr="00892DE3">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rsidR="0044350A" w:rsidRPr="00892DE3" w:rsidRDefault="0044350A" w:rsidP="0044350A">
      <w:r w:rsidRPr="00892DE3">
        <w:t xml:space="preserve">The make-good provision is recognised in accordance with the lease agreement over the warehouse facilities. The Department must remove any leasehold improvements from the leased warehouse and restore the premises to its original condition at the end of the lease term. </w:t>
      </w:r>
    </w:p>
    <w:p w:rsidR="0044350A" w:rsidRPr="00892DE3" w:rsidRDefault="0044350A" w:rsidP="0044350A">
      <w:r w:rsidRPr="00892DE3">
        <w:t xml:space="preserve">Onerous contracts: An onerous contract is considered to exist when the unavoidable cost of meeting the contractual obligations exceeds the estimated economic benefits to be received. </w:t>
      </w:r>
      <w:r w:rsidRPr="00892DE3">
        <w:rPr>
          <w:rStyle w:val="SourceReference"/>
        </w:rPr>
        <w:t>[AASB 137.66]</w:t>
      </w:r>
    </w:p>
    <w:p w:rsidR="0044350A" w:rsidRPr="00892DE3" w:rsidRDefault="0044350A" w:rsidP="0044350A">
      <w:r w:rsidRPr="00892DE3">
        <w:t>Present obligations arising under onerous contracts are recognised as a provision to the extent that the present obligation exceeds the estimated economic benefits to be received. This provision represents the present value of the future lease payments that the Department is presently obligated to make in respect of onerous lease contracts under non-cancellable operating lease agreements, less income expected to be earned on the lease including estimated future sublease income. The estimate may vary as a result of changes in utilisation of the leased premises and sublease arrangements where applicable. The unexpired term of the leases range from three to five years.</w:t>
      </w:r>
    </w:p>
    <w:p w:rsidR="00C0656E" w:rsidRPr="00892DE3" w:rsidRDefault="00C0656E" w:rsidP="00C0656E"/>
    <w:p w:rsidR="000675EA" w:rsidRPr="00892DE3" w:rsidRDefault="000675EA">
      <w:r w:rsidRPr="00892DE3">
        <w:rPr>
          <w:b/>
        </w:rPr>
        <w:br w:type="page"/>
      </w:r>
    </w:p>
    <w:tbl>
      <w:tblPr>
        <w:tblStyle w:val="ModelReportGuidanceTable"/>
        <w:tblW w:w="0" w:type="auto"/>
        <w:tblLook w:val="04A0" w:firstRow="1" w:lastRow="0" w:firstColumn="1" w:lastColumn="0" w:noHBand="0" w:noVBand="1"/>
      </w:tblPr>
      <w:tblGrid>
        <w:gridCol w:w="9752"/>
      </w:tblGrid>
      <w:tr w:rsidR="00C0656E" w:rsidRPr="00892DE3" w:rsidTr="000675EA">
        <w:trPr>
          <w:cnfStyle w:val="100000000000" w:firstRow="1" w:lastRow="0" w:firstColumn="0" w:lastColumn="0" w:oddVBand="0" w:evenVBand="0" w:oddHBand="0" w:evenHBand="0" w:firstRowFirstColumn="0" w:firstRowLastColumn="0" w:lastRowFirstColumn="0" w:lastRowLastColumn="0"/>
        </w:trPr>
        <w:tc>
          <w:tcPr>
            <w:tcW w:w="9752" w:type="dxa"/>
          </w:tcPr>
          <w:p w:rsidR="00C0656E" w:rsidRPr="00892DE3" w:rsidRDefault="00C0656E" w:rsidP="005870B1">
            <w:r w:rsidRPr="00892DE3">
              <w:t>Guidance – Provisions</w:t>
            </w:r>
          </w:p>
        </w:tc>
      </w:tr>
      <w:tr w:rsidR="00C0656E" w:rsidRPr="00892DE3" w:rsidTr="000675EA">
        <w:tc>
          <w:tcPr>
            <w:tcW w:w="9752" w:type="dxa"/>
          </w:tcPr>
          <w:p w:rsidR="00C0656E" w:rsidRPr="00892DE3" w:rsidRDefault="00C0656E" w:rsidP="00C0656E">
            <w:pPr>
              <w:rPr>
                <w:b/>
              </w:rPr>
            </w:pPr>
            <w:r w:rsidRPr="00892DE3">
              <w:rPr>
                <w:b/>
              </w:rPr>
              <w:t>Recognition of provisions</w:t>
            </w:r>
          </w:p>
          <w:p w:rsidR="00C0656E" w:rsidRPr="00892DE3" w:rsidRDefault="00C0656E" w:rsidP="00C0656E">
            <w:r w:rsidRPr="00892DE3">
              <w:t>A provision shall be recognised when:</w:t>
            </w:r>
          </w:p>
          <w:p w:rsidR="00C0656E" w:rsidRPr="00892DE3" w:rsidRDefault="00C0656E" w:rsidP="00C0656E">
            <w:pPr>
              <w:pStyle w:val="List"/>
            </w:pPr>
            <w:r w:rsidRPr="00892DE3">
              <w:t>(a)</w:t>
            </w:r>
            <w:r w:rsidRPr="00892DE3">
              <w:tab/>
              <w:t>an entity has a present obligation (legal or constructive) as a result of a past event;</w:t>
            </w:r>
          </w:p>
          <w:p w:rsidR="00C0656E" w:rsidRPr="00892DE3" w:rsidRDefault="00C0656E" w:rsidP="00C0656E">
            <w:pPr>
              <w:pStyle w:val="List"/>
            </w:pPr>
            <w:r w:rsidRPr="00892DE3">
              <w:t>(b)</w:t>
            </w:r>
            <w:r w:rsidRPr="00892DE3">
              <w:tab/>
              <w:t>it is probable that an outflow of resources embodying economic benefits will be required to settle the obligation; and</w:t>
            </w:r>
          </w:p>
          <w:p w:rsidR="00C0656E" w:rsidRPr="00892DE3" w:rsidRDefault="00C0656E" w:rsidP="00C0656E">
            <w:pPr>
              <w:pStyle w:val="List"/>
            </w:pPr>
            <w:r w:rsidRPr="00892DE3">
              <w:t>(c)</w:t>
            </w:r>
            <w:r w:rsidRPr="00892DE3">
              <w:tab/>
              <w:t>a reliable estimate can be made of the amount of the obligation.</w:t>
            </w:r>
          </w:p>
          <w:p w:rsidR="00C0656E" w:rsidRPr="00892DE3" w:rsidRDefault="00C0656E" w:rsidP="00C0656E">
            <w:r w:rsidRPr="00892DE3">
              <w:t xml:space="preserve">If these conditions are not met, no provision shall be recognised. </w:t>
            </w:r>
            <w:r w:rsidRPr="00892DE3">
              <w:rPr>
                <w:rStyle w:val="SourceReference"/>
              </w:rPr>
              <w:t>[AASB 137.14-15, 137.23]</w:t>
            </w:r>
          </w:p>
          <w:p w:rsidR="00C0656E" w:rsidRPr="00892DE3" w:rsidRDefault="00C0656E" w:rsidP="00C0656E">
            <w:r w:rsidRPr="00892DE3">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rsidR="00C0656E" w:rsidRPr="00892DE3" w:rsidRDefault="00C0656E" w:rsidP="00C0656E">
            <w:r w:rsidRPr="00892DE3">
              <w:t>For a liability to qualify for recognition there must be not only a present obligation but also the probability of an outflow of resources embodying economic benefits to settle that obligation. For the purpose of AASB 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rsidR="000675EA" w:rsidRPr="00892DE3" w:rsidRDefault="00C0656E" w:rsidP="00C0656E">
            <w:pPr>
              <w:rPr>
                <w:rStyle w:val="SourceReference"/>
              </w:rPr>
            </w:pPr>
            <w:r w:rsidRPr="00892DE3">
              <w:rPr>
                <w:b/>
              </w:rPr>
              <w:t>Disclosure</w:t>
            </w:r>
            <w:r w:rsidRPr="00892DE3">
              <w:t xml:space="preserve"> </w:t>
            </w:r>
            <w:r w:rsidRPr="00892DE3">
              <w:rPr>
                <w:rStyle w:val="SourceReference"/>
              </w:rPr>
              <w:t>[AASB 137.84-85]</w:t>
            </w:r>
          </w:p>
          <w:p w:rsidR="00C0656E" w:rsidRPr="00892DE3" w:rsidRDefault="00C0656E" w:rsidP="00C0656E">
            <w:r w:rsidRPr="00892DE3">
              <w:t>For each class of provision, an entity shall disclose:</w:t>
            </w:r>
          </w:p>
          <w:p w:rsidR="00C0656E" w:rsidRPr="00892DE3" w:rsidRDefault="00C0656E" w:rsidP="00C0656E">
            <w:pPr>
              <w:pStyle w:val="List"/>
            </w:pPr>
            <w:r w:rsidRPr="00892DE3">
              <w:t>(a)</w:t>
            </w:r>
            <w:r w:rsidRPr="00892DE3">
              <w:tab/>
              <w:t xml:space="preserve">the carrying amount at the beginning and end of the period; </w:t>
            </w:r>
          </w:p>
          <w:p w:rsidR="00C0656E" w:rsidRPr="00892DE3" w:rsidRDefault="00C0656E" w:rsidP="00C0656E">
            <w:pPr>
              <w:pStyle w:val="List"/>
            </w:pPr>
            <w:r w:rsidRPr="00892DE3">
              <w:t>(b)</w:t>
            </w:r>
            <w:r w:rsidRPr="00892DE3">
              <w:tab/>
              <w:t>additional provisions made in the period, including increases to existing provisions;</w:t>
            </w:r>
          </w:p>
          <w:p w:rsidR="00C0656E" w:rsidRPr="00892DE3" w:rsidRDefault="00C0656E" w:rsidP="00C0656E">
            <w:pPr>
              <w:pStyle w:val="List"/>
            </w:pPr>
            <w:r w:rsidRPr="00892DE3">
              <w:t>(c)</w:t>
            </w:r>
            <w:r w:rsidRPr="00892DE3">
              <w:tab/>
              <w:t>amounts used (that is, incurred and charged against the provision) during the period;</w:t>
            </w:r>
          </w:p>
          <w:p w:rsidR="00C0656E" w:rsidRPr="00892DE3" w:rsidRDefault="00C0656E" w:rsidP="00C0656E">
            <w:pPr>
              <w:pStyle w:val="List"/>
            </w:pPr>
            <w:r w:rsidRPr="00892DE3">
              <w:t>(d)</w:t>
            </w:r>
            <w:r w:rsidRPr="00892DE3">
              <w:tab/>
              <w:t>unused amounts reversed during the period; and</w:t>
            </w:r>
          </w:p>
          <w:p w:rsidR="00C0656E" w:rsidRPr="00892DE3" w:rsidRDefault="00C0656E" w:rsidP="00C0656E">
            <w:pPr>
              <w:pStyle w:val="List"/>
            </w:pPr>
            <w:r w:rsidRPr="00892DE3">
              <w:t>(e)</w:t>
            </w:r>
            <w:r w:rsidRPr="00892DE3">
              <w:tab/>
              <w:t>the increase during the period in the discounted amount arising from the passage of time and the effect of any change in the discount rate.</w:t>
            </w:r>
          </w:p>
          <w:p w:rsidR="00C0656E" w:rsidRPr="00892DE3" w:rsidRDefault="00C0656E" w:rsidP="00C0656E">
            <w:r w:rsidRPr="00892DE3">
              <w:t>Comparative information is not required.</w:t>
            </w:r>
          </w:p>
          <w:p w:rsidR="00C0656E" w:rsidRPr="00892DE3" w:rsidRDefault="00C0656E" w:rsidP="00C0656E">
            <w:r w:rsidRPr="00892DE3">
              <w:t>An entity shall disclose the following for each class of provision:</w:t>
            </w:r>
          </w:p>
          <w:p w:rsidR="00C0656E" w:rsidRPr="00892DE3" w:rsidRDefault="00C0656E" w:rsidP="00C0656E">
            <w:pPr>
              <w:pStyle w:val="List"/>
            </w:pPr>
            <w:r w:rsidRPr="00892DE3">
              <w:t>(a)</w:t>
            </w:r>
            <w:r w:rsidRPr="00892DE3">
              <w:tab/>
              <w:t>a brief description of the nature of the obligation and the expected timing of any resulting outflows of economic benefits; and</w:t>
            </w:r>
          </w:p>
          <w:p w:rsidR="00C0656E" w:rsidRPr="00892DE3" w:rsidRDefault="00C0656E" w:rsidP="00C0656E">
            <w:pPr>
              <w:pStyle w:val="List"/>
            </w:pPr>
            <w:r w:rsidRPr="00892DE3">
              <w:t>(b)</w:t>
            </w:r>
            <w:r w:rsidRPr="00892DE3">
              <w:tab/>
              <w:t xml:space="preserve">an indication of the uncertainties about the amount or timing of those outflows. Where necessary to provide adequate information, an entity shall disclose the major assumptions made concerning future events. </w:t>
            </w:r>
          </w:p>
          <w:p w:rsidR="00C0656E" w:rsidRPr="00892DE3" w:rsidRDefault="00C0656E" w:rsidP="00C0656E">
            <w:r w:rsidRPr="00892DE3">
              <w:rPr>
                <w:b/>
              </w:rPr>
              <w:t>Reimbursements</w:t>
            </w:r>
            <w:r w:rsidRPr="00892DE3">
              <w:t xml:space="preserve">: In respect of each class of provision the financial statements must disclose the amount of any related reimbursement, stating the amount of any asset recognised for that expected reimbursement. </w:t>
            </w:r>
            <w:r w:rsidRPr="00892DE3">
              <w:rPr>
                <w:rStyle w:val="SourceReference"/>
              </w:rPr>
              <w:t>[AASB 137.85(c)]</w:t>
            </w:r>
          </w:p>
          <w:p w:rsidR="00C0656E" w:rsidRPr="00892DE3" w:rsidRDefault="00C0656E" w:rsidP="00C0656E">
            <w:r w:rsidRPr="00892DE3">
              <w:rPr>
                <w:b/>
              </w:rPr>
              <w:t>Exemptions</w:t>
            </w:r>
            <w:r w:rsidRPr="00892DE3">
              <w:t>: In extremely rare cases, disclosure of some or all of the information required by AASB 137 can be expected to prejudice seriously the position of the entity in a dispute with other parties on the subject matter of the provision. In such cases, an entity need not disclose the information, but shall disclose the general nature of the dispute, together with the fact that, and reason why, the information has not been disclosed.</w:t>
            </w:r>
          </w:p>
          <w:p w:rsidR="00C0656E" w:rsidRPr="00892DE3" w:rsidRDefault="00C0656E" w:rsidP="00C0656E">
            <w:r w:rsidRPr="00892DE3">
              <w:t xml:space="preserve">Regardless of how sensitive certain information about provisions may be, this exemption from disclosure does not affect the requirement to recognise provisions that satisfy the criteria for recognition set out in AASB 137. </w:t>
            </w:r>
            <w:r w:rsidRPr="00892DE3">
              <w:rPr>
                <w:rStyle w:val="SourceReference"/>
              </w:rPr>
              <w:t>[AASB 137.92]</w:t>
            </w:r>
          </w:p>
          <w:p w:rsidR="00C0656E" w:rsidRPr="00892DE3" w:rsidRDefault="00C0656E" w:rsidP="00C0656E">
            <w:r w:rsidRPr="00892DE3">
              <w:rPr>
                <w:b/>
              </w:rPr>
              <w:t>Contingent liabilities</w:t>
            </w:r>
            <w:r w:rsidRPr="00892DE3">
              <w:t xml:space="preserve"> </w:t>
            </w:r>
            <w:r w:rsidRPr="00892DE3">
              <w:rPr>
                <w:rStyle w:val="SourceReference"/>
              </w:rPr>
              <w:t>[AASB 137.88]</w:t>
            </w:r>
            <w:r w:rsidRPr="00892DE3">
              <w:t>: Where a provision and a contingent liability arise from the same set of circumstances, the disclosures in the financial statements should be made in a way that shows the link between the provision and the contingent liability.</w:t>
            </w:r>
          </w:p>
        </w:tc>
      </w:tr>
    </w:tbl>
    <w:p w:rsidR="00C0656E" w:rsidRPr="00892DE3" w:rsidRDefault="00C0656E" w:rsidP="005870B1"/>
    <w:bookmarkEnd w:id="127"/>
    <w:p w:rsidR="008129E8" w:rsidRPr="00892DE3" w:rsidRDefault="008129E8" w:rsidP="00C0656E"/>
    <w:p w:rsidR="008129E8" w:rsidRPr="00892DE3" w:rsidRDefault="008129E8" w:rsidP="00C0656E">
      <w:pPr>
        <w:sectPr w:rsidR="008129E8" w:rsidRPr="00892DE3" w:rsidSect="00D8218E">
          <w:headerReference w:type="even" r:id="rId146"/>
          <w:headerReference w:type="default" r:id="rId147"/>
          <w:type w:val="continuous"/>
          <w:pgSz w:w="11906" w:h="16838" w:code="9"/>
          <w:pgMar w:top="1134" w:right="1134" w:bottom="1134" w:left="1134" w:header="624" w:footer="567" w:gutter="0"/>
          <w:cols w:sep="1" w:space="567"/>
          <w:docGrid w:linePitch="360"/>
        </w:sectPr>
      </w:pPr>
    </w:p>
    <w:p w:rsidR="00C0656E" w:rsidRPr="00892DE3" w:rsidRDefault="00C0656E" w:rsidP="00C0656E">
      <w:pPr>
        <w:pStyle w:val="Heading1"/>
      </w:pPr>
      <w:bookmarkStart w:id="138" w:name="Section7"/>
      <w:r w:rsidRPr="00892DE3">
        <w:t>HOW WE FINANCED OUR OPERATIONS</w:t>
      </w:r>
    </w:p>
    <w:p w:rsidR="008129E8" w:rsidRPr="00892DE3" w:rsidRDefault="008129E8" w:rsidP="008129E8">
      <w:pPr>
        <w:pStyle w:val="Heading30"/>
        <w:sectPr w:rsidR="008129E8" w:rsidRPr="00892DE3" w:rsidSect="008129E8">
          <w:footerReference w:type="first" r:id="rId148"/>
          <w:pgSz w:w="11906" w:h="16838" w:code="9"/>
          <w:pgMar w:top="1134" w:right="1134" w:bottom="1134" w:left="1134" w:header="624" w:footer="567" w:gutter="0"/>
          <w:cols w:sep="1" w:space="567"/>
          <w:titlePg/>
          <w:docGrid w:linePitch="360"/>
        </w:sectPr>
      </w:pPr>
    </w:p>
    <w:p w:rsidR="00C0656E" w:rsidRPr="00892DE3" w:rsidRDefault="00C0656E" w:rsidP="008129E8">
      <w:pPr>
        <w:pStyle w:val="Heading30"/>
      </w:pPr>
      <w:r w:rsidRPr="00892DE3">
        <w:t>Introduction</w:t>
      </w:r>
    </w:p>
    <w:p w:rsidR="00C0656E" w:rsidRPr="00892DE3" w:rsidRDefault="00C0656E" w:rsidP="00BF77B6">
      <w:r w:rsidRPr="00892DE3">
        <w:t xml:space="preserve">This section provides information on the sources of finance utilised by the Department during its operations, along with interest expenses (the cost of borrowings) and other information related to financing activities of the Department. </w:t>
      </w:r>
    </w:p>
    <w:p w:rsidR="00420768" w:rsidRPr="00892DE3" w:rsidRDefault="00420768" w:rsidP="00BF77B6">
      <w:pPr>
        <w:rPr>
          <w:b/>
          <w:bCs/>
        </w:rPr>
      </w:pPr>
      <w:r w:rsidRPr="00892DE3">
        <w:t>This section includes disclosures of balances that are financial instruments (such as borrowings and cash balances). Notes 8.</w:t>
      </w:r>
      <w:r w:rsidR="007A1CF4" w:rsidRPr="00892DE3">
        <w:t xml:space="preserve">1 </w:t>
      </w:r>
      <w:r w:rsidRPr="00892DE3">
        <w:t>and 8.3 provide additional, specific financial instrument disclosures.</w:t>
      </w:r>
    </w:p>
    <w:p w:rsidR="005870B1" w:rsidRPr="00892DE3" w:rsidRDefault="008129E8" w:rsidP="008129E8">
      <w:pPr>
        <w:pStyle w:val="Heading30"/>
      </w:pPr>
      <w:r w:rsidRPr="00892DE3">
        <w:br w:type="column"/>
      </w:r>
      <w:r w:rsidR="00C0656E" w:rsidRPr="00892DE3">
        <w:t>Structure</w:t>
      </w:r>
    </w:p>
    <w:p w:rsidR="00BF77B6" w:rsidRDefault="008129E8">
      <w:pPr>
        <w:pStyle w:val="TOC9"/>
        <w:rPr>
          <w:rFonts w:eastAsiaTheme="minorEastAsia"/>
          <w:spacing w:val="0"/>
          <w:sz w:val="22"/>
          <w:szCs w:val="22"/>
          <w:lang w:eastAsia="en-AU"/>
        </w:rPr>
      </w:pPr>
      <w:r w:rsidRPr="00892DE3">
        <w:fldChar w:fldCharType="begin"/>
      </w:r>
      <w:r w:rsidRPr="00892DE3">
        <w:instrText xml:space="preserve"> TOC \h \z \t "Heading 2 (#),9" \b Section7 \* MERGEFORMAT </w:instrText>
      </w:r>
      <w:r w:rsidRPr="00892DE3">
        <w:fldChar w:fldCharType="separate"/>
      </w:r>
      <w:hyperlink w:anchor="_Toc489535464" w:history="1">
        <w:r w:rsidR="00BF77B6" w:rsidRPr="006B5F9C">
          <w:rPr>
            <w:rStyle w:val="Hyperlink"/>
          </w:rPr>
          <w:t>7.1</w:t>
        </w:r>
        <w:r w:rsidR="00BF77B6">
          <w:rPr>
            <w:rFonts w:eastAsiaTheme="minorEastAsia"/>
            <w:spacing w:val="0"/>
            <w:sz w:val="22"/>
            <w:szCs w:val="22"/>
            <w:lang w:eastAsia="en-AU"/>
          </w:rPr>
          <w:tab/>
        </w:r>
        <w:r w:rsidR="00BF77B6" w:rsidRPr="006B5F9C">
          <w:rPr>
            <w:rStyle w:val="Hyperlink"/>
          </w:rPr>
          <w:t>Borrowings</w:t>
        </w:r>
        <w:r w:rsidR="00BF77B6">
          <w:rPr>
            <w:webHidden/>
          </w:rPr>
          <w:tab/>
        </w:r>
        <w:r w:rsidR="00BF77B6">
          <w:rPr>
            <w:webHidden/>
          </w:rPr>
          <w:fldChar w:fldCharType="begin"/>
        </w:r>
        <w:r w:rsidR="00BF77B6">
          <w:rPr>
            <w:webHidden/>
          </w:rPr>
          <w:instrText xml:space="preserve"> PAGEREF _Toc489535464 \h </w:instrText>
        </w:r>
        <w:r w:rsidR="00BF77B6">
          <w:rPr>
            <w:webHidden/>
          </w:rPr>
        </w:r>
        <w:r w:rsidR="00BF77B6">
          <w:rPr>
            <w:webHidden/>
          </w:rPr>
          <w:fldChar w:fldCharType="separate"/>
        </w:r>
        <w:r w:rsidR="00BF77B6">
          <w:rPr>
            <w:webHidden/>
          </w:rPr>
          <w:t>143</w:t>
        </w:r>
        <w:r w:rsidR="00BF77B6">
          <w:rPr>
            <w:webHidden/>
          </w:rPr>
          <w:fldChar w:fldCharType="end"/>
        </w:r>
      </w:hyperlink>
    </w:p>
    <w:p w:rsidR="00BF77B6" w:rsidRDefault="003C212D">
      <w:pPr>
        <w:pStyle w:val="TOC9"/>
        <w:rPr>
          <w:rFonts w:eastAsiaTheme="minorEastAsia"/>
          <w:spacing w:val="0"/>
          <w:sz w:val="22"/>
          <w:szCs w:val="22"/>
          <w:lang w:eastAsia="en-AU"/>
        </w:rPr>
      </w:pPr>
      <w:hyperlink w:anchor="_Toc489535465" w:history="1">
        <w:r w:rsidR="00BF77B6" w:rsidRPr="006B5F9C">
          <w:rPr>
            <w:rStyle w:val="Hyperlink"/>
          </w:rPr>
          <w:t>7.2</w:t>
        </w:r>
        <w:r w:rsidR="00BF77B6">
          <w:rPr>
            <w:rFonts w:eastAsiaTheme="minorEastAsia"/>
            <w:spacing w:val="0"/>
            <w:sz w:val="22"/>
            <w:szCs w:val="22"/>
            <w:lang w:eastAsia="en-AU"/>
          </w:rPr>
          <w:tab/>
        </w:r>
        <w:r w:rsidR="00BF77B6" w:rsidRPr="006B5F9C">
          <w:rPr>
            <w:rStyle w:val="Hyperlink"/>
          </w:rPr>
          <w:t>Leases</w:t>
        </w:r>
        <w:r w:rsidR="00BF77B6">
          <w:rPr>
            <w:webHidden/>
          </w:rPr>
          <w:tab/>
        </w:r>
        <w:r w:rsidR="00BF77B6">
          <w:rPr>
            <w:webHidden/>
          </w:rPr>
          <w:fldChar w:fldCharType="begin"/>
        </w:r>
        <w:r w:rsidR="00BF77B6">
          <w:rPr>
            <w:webHidden/>
          </w:rPr>
          <w:instrText xml:space="preserve"> PAGEREF _Toc489535465 \h </w:instrText>
        </w:r>
        <w:r w:rsidR="00BF77B6">
          <w:rPr>
            <w:webHidden/>
          </w:rPr>
        </w:r>
        <w:r w:rsidR="00BF77B6">
          <w:rPr>
            <w:webHidden/>
          </w:rPr>
          <w:fldChar w:fldCharType="separate"/>
        </w:r>
        <w:r w:rsidR="00BF77B6">
          <w:rPr>
            <w:webHidden/>
          </w:rPr>
          <w:t>145</w:t>
        </w:r>
        <w:r w:rsidR="00BF77B6">
          <w:rPr>
            <w:webHidden/>
          </w:rPr>
          <w:fldChar w:fldCharType="end"/>
        </w:r>
      </w:hyperlink>
    </w:p>
    <w:p w:rsidR="00BF77B6" w:rsidRDefault="003C212D">
      <w:pPr>
        <w:pStyle w:val="TOC9"/>
        <w:rPr>
          <w:rFonts w:eastAsiaTheme="minorEastAsia"/>
          <w:spacing w:val="0"/>
          <w:sz w:val="22"/>
          <w:szCs w:val="22"/>
          <w:lang w:eastAsia="en-AU"/>
        </w:rPr>
      </w:pPr>
      <w:hyperlink w:anchor="_Toc489535466" w:history="1">
        <w:r w:rsidR="00BF77B6" w:rsidRPr="006B5F9C">
          <w:rPr>
            <w:rStyle w:val="Hyperlink"/>
          </w:rPr>
          <w:t>7.3</w:t>
        </w:r>
        <w:r w:rsidR="00BF77B6">
          <w:rPr>
            <w:rFonts w:eastAsiaTheme="minorEastAsia"/>
            <w:spacing w:val="0"/>
            <w:sz w:val="22"/>
            <w:szCs w:val="22"/>
            <w:lang w:eastAsia="en-AU"/>
          </w:rPr>
          <w:tab/>
        </w:r>
        <w:r w:rsidR="00BF77B6" w:rsidRPr="006B5F9C">
          <w:rPr>
            <w:rStyle w:val="Hyperlink"/>
          </w:rPr>
          <w:t>Cash flow information and balances</w:t>
        </w:r>
        <w:r w:rsidR="00BF77B6">
          <w:rPr>
            <w:webHidden/>
          </w:rPr>
          <w:tab/>
        </w:r>
        <w:r w:rsidR="00BF77B6">
          <w:rPr>
            <w:webHidden/>
          </w:rPr>
          <w:fldChar w:fldCharType="begin"/>
        </w:r>
        <w:r w:rsidR="00BF77B6">
          <w:rPr>
            <w:webHidden/>
          </w:rPr>
          <w:instrText xml:space="preserve"> PAGEREF _Toc489535466 \h </w:instrText>
        </w:r>
        <w:r w:rsidR="00BF77B6">
          <w:rPr>
            <w:webHidden/>
          </w:rPr>
        </w:r>
        <w:r w:rsidR="00BF77B6">
          <w:rPr>
            <w:webHidden/>
          </w:rPr>
          <w:fldChar w:fldCharType="separate"/>
        </w:r>
        <w:r w:rsidR="00BF77B6">
          <w:rPr>
            <w:webHidden/>
          </w:rPr>
          <w:t>147</w:t>
        </w:r>
        <w:r w:rsidR="00BF77B6">
          <w:rPr>
            <w:webHidden/>
          </w:rPr>
          <w:fldChar w:fldCharType="end"/>
        </w:r>
      </w:hyperlink>
    </w:p>
    <w:p w:rsidR="00BF77B6" w:rsidRDefault="003C212D">
      <w:pPr>
        <w:pStyle w:val="TOC9"/>
        <w:rPr>
          <w:rFonts w:eastAsiaTheme="minorEastAsia"/>
          <w:spacing w:val="0"/>
          <w:sz w:val="22"/>
          <w:szCs w:val="22"/>
          <w:lang w:eastAsia="en-AU"/>
        </w:rPr>
      </w:pPr>
      <w:hyperlink w:anchor="_Toc489535467" w:history="1">
        <w:r w:rsidR="00BF77B6" w:rsidRPr="006B5F9C">
          <w:rPr>
            <w:rStyle w:val="Hyperlink"/>
          </w:rPr>
          <w:t>7.4</w:t>
        </w:r>
        <w:r w:rsidR="00BF77B6">
          <w:rPr>
            <w:rFonts w:eastAsiaTheme="minorEastAsia"/>
            <w:spacing w:val="0"/>
            <w:sz w:val="22"/>
            <w:szCs w:val="22"/>
            <w:lang w:eastAsia="en-AU"/>
          </w:rPr>
          <w:tab/>
        </w:r>
        <w:r w:rsidR="00BF77B6" w:rsidRPr="006B5F9C">
          <w:rPr>
            <w:rStyle w:val="Hyperlink"/>
          </w:rPr>
          <w:t>Trust account balances</w:t>
        </w:r>
        <w:r w:rsidR="00BF77B6">
          <w:rPr>
            <w:webHidden/>
          </w:rPr>
          <w:tab/>
        </w:r>
        <w:r w:rsidR="00BF77B6">
          <w:rPr>
            <w:webHidden/>
          </w:rPr>
          <w:fldChar w:fldCharType="begin"/>
        </w:r>
        <w:r w:rsidR="00BF77B6">
          <w:rPr>
            <w:webHidden/>
          </w:rPr>
          <w:instrText xml:space="preserve"> PAGEREF _Toc489535467 \h </w:instrText>
        </w:r>
        <w:r w:rsidR="00BF77B6">
          <w:rPr>
            <w:webHidden/>
          </w:rPr>
        </w:r>
        <w:r w:rsidR="00BF77B6">
          <w:rPr>
            <w:webHidden/>
          </w:rPr>
          <w:fldChar w:fldCharType="separate"/>
        </w:r>
        <w:r w:rsidR="00BF77B6">
          <w:rPr>
            <w:webHidden/>
          </w:rPr>
          <w:t>149</w:t>
        </w:r>
        <w:r w:rsidR="00BF77B6">
          <w:rPr>
            <w:webHidden/>
          </w:rPr>
          <w:fldChar w:fldCharType="end"/>
        </w:r>
      </w:hyperlink>
    </w:p>
    <w:p w:rsidR="00BF77B6" w:rsidRDefault="003C212D">
      <w:pPr>
        <w:pStyle w:val="TOC9"/>
        <w:rPr>
          <w:rFonts w:eastAsiaTheme="minorEastAsia"/>
          <w:spacing w:val="0"/>
          <w:sz w:val="22"/>
          <w:szCs w:val="22"/>
          <w:lang w:eastAsia="en-AU"/>
        </w:rPr>
      </w:pPr>
      <w:hyperlink w:anchor="_Toc489535468" w:history="1">
        <w:r w:rsidR="00BF77B6" w:rsidRPr="006B5F9C">
          <w:rPr>
            <w:rStyle w:val="Hyperlink"/>
          </w:rPr>
          <w:t>7.5</w:t>
        </w:r>
        <w:r w:rsidR="00BF77B6">
          <w:rPr>
            <w:rFonts w:eastAsiaTheme="minorEastAsia"/>
            <w:spacing w:val="0"/>
            <w:sz w:val="22"/>
            <w:szCs w:val="22"/>
            <w:lang w:eastAsia="en-AU"/>
          </w:rPr>
          <w:tab/>
        </w:r>
        <w:r w:rsidR="00BF77B6" w:rsidRPr="006B5F9C">
          <w:rPr>
            <w:rStyle w:val="Hyperlink"/>
          </w:rPr>
          <w:t>Commitments for expenditure</w:t>
        </w:r>
        <w:r w:rsidR="00BF77B6">
          <w:rPr>
            <w:webHidden/>
          </w:rPr>
          <w:tab/>
        </w:r>
        <w:r w:rsidR="00BF77B6">
          <w:rPr>
            <w:webHidden/>
          </w:rPr>
          <w:fldChar w:fldCharType="begin"/>
        </w:r>
        <w:r w:rsidR="00BF77B6">
          <w:rPr>
            <w:webHidden/>
          </w:rPr>
          <w:instrText xml:space="preserve"> PAGEREF _Toc489535468 \h </w:instrText>
        </w:r>
        <w:r w:rsidR="00BF77B6">
          <w:rPr>
            <w:webHidden/>
          </w:rPr>
        </w:r>
        <w:r w:rsidR="00BF77B6">
          <w:rPr>
            <w:webHidden/>
          </w:rPr>
          <w:fldChar w:fldCharType="separate"/>
        </w:r>
        <w:r w:rsidR="00BF77B6">
          <w:rPr>
            <w:webHidden/>
          </w:rPr>
          <w:t>151</w:t>
        </w:r>
        <w:r w:rsidR="00BF77B6">
          <w:rPr>
            <w:webHidden/>
          </w:rPr>
          <w:fldChar w:fldCharType="end"/>
        </w:r>
      </w:hyperlink>
    </w:p>
    <w:p w:rsidR="00BF77B6" w:rsidRDefault="003C212D">
      <w:pPr>
        <w:pStyle w:val="TOC9"/>
        <w:rPr>
          <w:rFonts w:eastAsiaTheme="minorEastAsia"/>
          <w:spacing w:val="0"/>
          <w:sz w:val="22"/>
          <w:szCs w:val="22"/>
          <w:lang w:eastAsia="en-AU"/>
        </w:rPr>
      </w:pPr>
      <w:hyperlink w:anchor="_Toc489535469" w:history="1">
        <w:r w:rsidR="00BF77B6" w:rsidRPr="006B5F9C">
          <w:rPr>
            <w:rStyle w:val="Hyperlink"/>
          </w:rPr>
          <w:t>7.6</w:t>
        </w:r>
        <w:r w:rsidR="00BF77B6">
          <w:rPr>
            <w:rFonts w:eastAsiaTheme="minorEastAsia"/>
            <w:spacing w:val="0"/>
            <w:sz w:val="22"/>
            <w:szCs w:val="22"/>
            <w:lang w:eastAsia="en-AU"/>
          </w:rPr>
          <w:tab/>
        </w:r>
        <w:r w:rsidR="00BF77B6" w:rsidRPr="006B5F9C">
          <w:rPr>
            <w:rStyle w:val="Hyperlink"/>
          </w:rPr>
          <w:t>Assets pledged as security</w:t>
        </w:r>
        <w:r w:rsidR="00BF77B6">
          <w:rPr>
            <w:webHidden/>
          </w:rPr>
          <w:tab/>
        </w:r>
        <w:r w:rsidR="00BF77B6">
          <w:rPr>
            <w:webHidden/>
          </w:rPr>
          <w:fldChar w:fldCharType="begin"/>
        </w:r>
        <w:r w:rsidR="00BF77B6">
          <w:rPr>
            <w:webHidden/>
          </w:rPr>
          <w:instrText xml:space="preserve"> PAGEREF _Toc489535469 \h </w:instrText>
        </w:r>
        <w:r w:rsidR="00BF77B6">
          <w:rPr>
            <w:webHidden/>
          </w:rPr>
        </w:r>
        <w:r w:rsidR="00BF77B6">
          <w:rPr>
            <w:webHidden/>
          </w:rPr>
          <w:fldChar w:fldCharType="separate"/>
        </w:r>
        <w:r w:rsidR="00BF77B6">
          <w:rPr>
            <w:webHidden/>
          </w:rPr>
          <w:t>155</w:t>
        </w:r>
        <w:r w:rsidR="00BF77B6">
          <w:rPr>
            <w:webHidden/>
          </w:rPr>
          <w:fldChar w:fldCharType="end"/>
        </w:r>
      </w:hyperlink>
    </w:p>
    <w:p w:rsidR="00C0656E" w:rsidRPr="00892DE3" w:rsidRDefault="008129E8" w:rsidP="00B05757">
      <w:pPr>
        <w:pStyle w:val="TOC9"/>
      </w:pPr>
      <w:r w:rsidRPr="00892DE3">
        <w:fldChar w:fldCharType="end"/>
      </w:r>
    </w:p>
    <w:p w:rsidR="008129E8" w:rsidRPr="00892DE3" w:rsidRDefault="008129E8" w:rsidP="008129E8">
      <w:pPr>
        <w:sectPr w:rsidR="008129E8" w:rsidRPr="00892DE3" w:rsidSect="008129E8">
          <w:type w:val="continuous"/>
          <w:pgSz w:w="11906" w:h="16838" w:code="9"/>
          <w:pgMar w:top="1134" w:right="1134" w:bottom="1134" w:left="1134" w:header="624" w:footer="567" w:gutter="0"/>
          <w:cols w:num="2" w:space="567"/>
          <w:docGrid w:linePitch="360"/>
        </w:sectPr>
      </w:pPr>
    </w:p>
    <w:p w:rsidR="00C0656E" w:rsidRPr="00892DE3" w:rsidRDefault="00C0656E" w:rsidP="0019303F">
      <w:pPr>
        <w:pStyle w:val="Heading2"/>
      </w:pPr>
      <w:bookmarkStart w:id="139" w:name="_Toc489535457"/>
      <w:bookmarkStart w:id="140" w:name="_Toc489535464"/>
      <w:r w:rsidRPr="00892DE3">
        <w:t>Borrowings</w:t>
      </w:r>
      <w:bookmarkEnd w:id="139"/>
      <w:bookmarkEnd w:id="140"/>
    </w:p>
    <w:p w:rsidR="00C0656E" w:rsidRPr="00892DE3" w:rsidRDefault="00C0656E" w:rsidP="00C0656E">
      <w:pPr>
        <w:pStyle w:val="TableUnits"/>
      </w:pPr>
      <w:r w:rsidRPr="00892DE3">
        <w:t>($ thousand)</w:t>
      </w:r>
    </w:p>
    <w:tbl>
      <w:tblPr>
        <w:tblStyle w:val="ModelReportFinancialTable"/>
        <w:tblW w:w="9639" w:type="dxa"/>
        <w:tblLayout w:type="fixed"/>
        <w:tblLook w:val="06A0" w:firstRow="1" w:lastRow="0" w:firstColumn="1" w:lastColumn="0" w:noHBand="1" w:noVBand="1"/>
      </w:tblPr>
      <w:tblGrid>
        <w:gridCol w:w="1598"/>
        <w:gridCol w:w="6277"/>
        <w:gridCol w:w="881"/>
        <w:gridCol w:w="883"/>
      </w:tblGrid>
      <w:tr w:rsidR="00C0656E" w:rsidRPr="00892DE3" w:rsidTr="008129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9" w:type="pct"/>
            <w:tcBorders>
              <w:bottom w:val="nil"/>
            </w:tcBorders>
            <w:shd w:val="clear" w:color="auto" w:fill="auto"/>
          </w:tcPr>
          <w:p w:rsidR="00C0656E" w:rsidRPr="00892DE3" w:rsidRDefault="00C0656E" w:rsidP="00C0656E">
            <w:r w:rsidRPr="00892DE3">
              <w:t>Source reference</w:t>
            </w:r>
          </w:p>
        </w:tc>
        <w:tc>
          <w:tcPr>
            <w:tcW w:w="3256" w:type="pct"/>
            <w:hideMark/>
          </w:tcPr>
          <w:p w:rsidR="00C0656E" w:rsidRPr="00892DE3" w:rsidRDefault="00C0656E" w:rsidP="00C0656E">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457" w:type="pct"/>
            <w:noWrap/>
            <w:hideMark/>
          </w:tcPr>
          <w:p w:rsidR="00C0656E" w:rsidRPr="00892DE3" w:rsidRDefault="00C0656E" w:rsidP="00C76064">
            <w:pPr>
              <w:cnfStyle w:val="100000000000" w:firstRow="1" w:lastRow="0" w:firstColumn="0" w:lastColumn="0" w:oddVBand="0" w:evenVBand="0" w:oddHBand="0" w:evenHBand="0" w:firstRowFirstColumn="0" w:firstRowLastColumn="0" w:lastRowFirstColumn="0" w:lastRowLastColumn="0"/>
            </w:pPr>
            <w:r w:rsidRPr="00892DE3">
              <w:t>2017</w:t>
            </w:r>
          </w:p>
        </w:tc>
        <w:tc>
          <w:tcPr>
            <w:tcW w:w="458" w:type="pct"/>
            <w:noWrap/>
            <w:hideMark/>
          </w:tcPr>
          <w:p w:rsidR="00C0656E" w:rsidRPr="00892DE3" w:rsidRDefault="00C0656E" w:rsidP="00C76064">
            <w:pPr>
              <w:cnfStyle w:val="100000000000" w:firstRow="1" w:lastRow="0" w:firstColumn="0" w:lastColumn="0" w:oddVBand="0" w:evenVBand="0" w:oddHBand="0" w:evenHBand="0" w:firstRowFirstColumn="0" w:firstRowLastColumn="0" w:lastRowFirstColumn="0" w:lastRowLastColumn="0"/>
            </w:pPr>
            <w:r w:rsidRPr="00892DE3">
              <w:t>2016</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r w:rsidRPr="00892DE3">
              <w:t>AASB 101.61</w:t>
            </w:r>
          </w:p>
        </w:tc>
        <w:tc>
          <w:tcPr>
            <w:tcW w:w="3256" w:type="pct"/>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borrowings</w:t>
            </w:r>
          </w:p>
        </w:tc>
        <w:tc>
          <w:tcPr>
            <w:tcW w:w="457" w:type="pct"/>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p>
        </w:tc>
        <w:tc>
          <w:tcPr>
            <w:tcW w:w="458" w:type="pct"/>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pPr>
            <w:r w:rsidRPr="00892DE3">
              <w:t>Bank overdrafts</w:t>
            </w:r>
          </w:p>
        </w:tc>
        <w:tc>
          <w:tcPr>
            <w:tcW w:w="457" w:type="pct"/>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w:t>
            </w:r>
          </w:p>
        </w:tc>
        <w:tc>
          <w:tcPr>
            <w:tcW w:w="458" w:type="pct"/>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5 437</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pPr>
            <w:r w:rsidRPr="00892DE3">
              <w:t xml:space="preserve">Finance lease liabilities </w:t>
            </w:r>
            <w:r w:rsidR="008129E8" w:rsidRPr="00892DE3">
              <w:rPr>
                <w:vertAlign w:val="superscript"/>
              </w:rPr>
              <w:t>(a</w:t>
            </w:r>
            <w:r w:rsidRPr="00892DE3">
              <w:rPr>
                <w:vertAlign w:val="superscript"/>
              </w:rPr>
              <w:t>)</w:t>
            </w:r>
          </w:p>
        </w:tc>
        <w:tc>
          <w:tcPr>
            <w:tcW w:w="457" w:type="pct"/>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p>
        </w:tc>
        <w:tc>
          <w:tcPr>
            <w:tcW w:w="458" w:type="pct"/>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p>
        </w:tc>
      </w:tr>
      <w:tr w:rsidR="008129E8" w:rsidRPr="00892DE3" w:rsidTr="00C01D21">
        <w:tc>
          <w:tcPr>
            <w:cnfStyle w:val="001000000000" w:firstRow="0" w:lastRow="0" w:firstColumn="1" w:lastColumn="0" w:oddVBand="0" w:evenVBand="0" w:oddHBand="0" w:evenHBand="0" w:firstRowFirstColumn="0" w:firstRowLastColumn="0" w:lastRowFirstColumn="0" w:lastRowLastColumn="0"/>
            <w:tcW w:w="829" w:type="pct"/>
            <w:vMerge w:val="restart"/>
            <w:shd w:val="clear" w:color="auto" w:fill="auto"/>
          </w:tcPr>
          <w:p w:rsidR="008129E8" w:rsidRPr="00892DE3" w:rsidRDefault="008129E8" w:rsidP="00C0656E">
            <w:r w:rsidRPr="00892DE3">
              <w:t>Recommendation 12, PAEC Report 115</w:t>
            </w:r>
          </w:p>
        </w:tc>
        <w:tc>
          <w:tcPr>
            <w:tcW w:w="3256" w:type="pct"/>
          </w:tcPr>
          <w:p w:rsidR="008129E8" w:rsidRPr="00892DE3" w:rsidRDefault="007E6CE1" w:rsidP="008129E8">
            <w:pPr>
              <w:ind w:left="170"/>
              <w:jc w:val="left"/>
              <w:cnfStyle w:val="000000000000" w:firstRow="0" w:lastRow="0" w:firstColumn="0" w:lastColumn="0" w:oddVBand="0" w:evenVBand="0" w:oddHBand="0" w:evenHBand="0" w:firstRowFirstColumn="0" w:firstRowLastColumn="0" w:lastRowFirstColumn="0" w:lastRowLastColumn="0"/>
            </w:pPr>
            <w:r w:rsidRPr="00892DE3">
              <w:t>Public private partnership (</w:t>
            </w:r>
            <w:r w:rsidR="008129E8" w:rsidRPr="00892DE3">
              <w:t>PPP</w:t>
            </w:r>
            <w:r w:rsidRPr="00892DE3">
              <w:t>)</w:t>
            </w:r>
            <w:r w:rsidR="008129E8" w:rsidRPr="00892DE3">
              <w:t xml:space="preserve"> related finance lease liabilities</w:t>
            </w:r>
          </w:p>
        </w:tc>
        <w:tc>
          <w:tcPr>
            <w:tcW w:w="457" w:type="pct"/>
            <w:shd w:val="clear" w:color="auto" w:fill="EBEBEB" w:themeFill="background2"/>
            <w:noWrap/>
          </w:tcPr>
          <w:p w:rsidR="008129E8" w:rsidRPr="00892DE3" w:rsidRDefault="008129E8" w:rsidP="00C76064">
            <w:pPr>
              <w:cnfStyle w:val="000000000000" w:firstRow="0" w:lastRow="0" w:firstColumn="0" w:lastColumn="0" w:oddVBand="0" w:evenVBand="0" w:oddHBand="0" w:evenHBand="0" w:firstRowFirstColumn="0" w:firstRowLastColumn="0" w:lastRowFirstColumn="0" w:lastRowLastColumn="0"/>
            </w:pPr>
            <w:r w:rsidRPr="00892DE3">
              <w:t>2 643</w:t>
            </w:r>
          </w:p>
        </w:tc>
        <w:tc>
          <w:tcPr>
            <w:tcW w:w="458" w:type="pct"/>
            <w:noWrap/>
          </w:tcPr>
          <w:p w:rsidR="008129E8" w:rsidRPr="00892DE3" w:rsidRDefault="008129E8" w:rsidP="00C76064">
            <w:pPr>
              <w:cnfStyle w:val="000000000000" w:firstRow="0" w:lastRow="0" w:firstColumn="0" w:lastColumn="0" w:oddVBand="0" w:evenVBand="0" w:oddHBand="0" w:evenHBand="0" w:firstRowFirstColumn="0" w:firstRowLastColumn="0" w:lastRowFirstColumn="0" w:lastRowLastColumn="0"/>
            </w:pPr>
            <w:r w:rsidRPr="00892DE3">
              <w:t>6 670</w:t>
            </w:r>
          </w:p>
        </w:tc>
      </w:tr>
      <w:tr w:rsidR="008129E8" w:rsidRPr="00892DE3" w:rsidTr="008129E8">
        <w:tc>
          <w:tcPr>
            <w:cnfStyle w:val="001000000000" w:firstRow="0" w:lastRow="0" w:firstColumn="1" w:lastColumn="0" w:oddVBand="0" w:evenVBand="0" w:oddHBand="0" w:evenHBand="0" w:firstRowFirstColumn="0" w:firstRowLastColumn="0" w:lastRowFirstColumn="0" w:lastRowLastColumn="0"/>
            <w:tcW w:w="829" w:type="pct"/>
            <w:vMerge/>
            <w:tcBorders>
              <w:bottom w:val="nil"/>
            </w:tcBorders>
            <w:shd w:val="clear" w:color="auto" w:fill="auto"/>
          </w:tcPr>
          <w:p w:rsidR="008129E8" w:rsidRPr="00892DE3" w:rsidRDefault="008129E8" w:rsidP="00C0656E"/>
        </w:tc>
        <w:tc>
          <w:tcPr>
            <w:tcW w:w="3256" w:type="pct"/>
          </w:tcPr>
          <w:p w:rsidR="008129E8" w:rsidRPr="00892DE3" w:rsidRDefault="008129E8" w:rsidP="008129E8">
            <w:pPr>
              <w:spacing w:before="100" w:beforeAutospacing="1" w:after="100" w:afterAutospacing="1"/>
              <w:ind w:left="170"/>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PPP related finance lease liabilities</w:t>
            </w:r>
          </w:p>
        </w:tc>
        <w:tc>
          <w:tcPr>
            <w:tcW w:w="457" w:type="pct"/>
            <w:shd w:val="clear" w:color="auto" w:fill="EBEBEB" w:themeFill="background2"/>
            <w:noWrap/>
          </w:tcPr>
          <w:p w:rsidR="008129E8" w:rsidRPr="00892DE3" w:rsidRDefault="008129E8" w:rsidP="00C76064">
            <w:pPr>
              <w:cnfStyle w:val="000000000000" w:firstRow="0" w:lastRow="0" w:firstColumn="0" w:lastColumn="0" w:oddVBand="0" w:evenVBand="0" w:oddHBand="0" w:evenHBand="0" w:firstRowFirstColumn="0" w:firstRowLastColumn="0" w:lastRowFirstColumn="0" w:lastRowLastColumn="0"/>
            </w:pPr>
            <w:r w:rsidRPr="00892DE3">
              <w:t>1 422</w:t>
            </w:r>
          </w:p>
        </w:tc>
        <w:tc>
          <w:tcPr>
            <w:tcW w:w="458" w:type="pct"/>
            <w:noWrap/>
          </w:tcPr>
          <w:p w:rsidR="008129E8" w:rsidRPr="00892DE3" w:rsidRDefault="008129E8" w:rsidP="00C76064">
            <w:pPr>
              <w:cnfStyle w:val="000000000000" w:firstRow="0" w:lastRow="0" w:firstColumn="0" w:lastColumn="0" w:oddVBand="0" w:evenVBand="0" w:oddHBand="0" w:evenHBand="0" w:firstRowFirstColumn="0" w:firstRowLastColumn="0" w:lastRowFirstColumn="0" w:lastRowLastColumn="0"/>
            </w:pPr>
            <w:r w:rsidRPr="00892DE3">
              <w:t>3 576</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Borders>
              <w:bottom w:val="single" w:sz="4" w:space="0" w:color="auto"/>
            </w:tcBorders>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pPr>
            <w:r w:rsidRPr="00892DE3">
              <w:t xml:space="preserve">Advances from government </w:t>
            </w:r>
            <w:r w:rsidR="008129E8" w:rsidRPr="00892DE3">
              <w:rPr>
                <w:vertAlign w:val="superscript"/>
              </w:rPr>
              <w:t>(b</w:t>
            </w:r>
            <w:r w:rsidRPr="00892DE3">
              <w:rPr>
                <w:vertAlign w:val="superscript"/>
              </w:rPr>
              <w:t>)</w:t>
            </w:r>
          </w:p>
        </w:tc>
        <w:tc>
          <w:tcPr>
            <w:tcW w:w="457" w:type="pct"/>
            <w:tcBorders>
              <w:bottom w:val="single" w:sz="4" w:space="0" w:color="auto"/>
            </w:tcBorders>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5 118</w:t>
            </w:r>
          </w:p>
        </w:tc>
        <w:tc>
          <w:tcPr>
            <w:tcW w:w="458" w:type="pct"/>
            <w:tcBorders>
              <w:bottom w:val="single" w:sz="4" w:space="0" w:color="auto"/>
            </w:tcBorders>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10 287</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Borders>
              <w:top w:val="single" w:sz="4" w:space="0" w:color="auto"/>
              <w:bottom w:val="single" w:sz="4" w:space="0" w:color="auto"/>
            </w:tcBorders>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current borrowings</w:t>
            </w:r>
          </w:p>
        </w:tc>
        <w:tc>
          <w:tcPr>
            <w:tcW w:w="457" w:type="pct"/>
            <w:tcBorders>
              <w:top w:val="single" w:sz="4" w:space="0" w:color="auto"/>
              <w:bottom w:val="single" w:sz="4" w:space="0" w:color="auto"/>
            </w:tcBorders>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rPr>
                <w:b/>
              </w:rPr>
            </w:pPr>
            <w:r w:rsidRPr="00892DE3">
              <w:rPr>
                <w:b/>
              </w:rPr>
              <w:t>9 184</w:t>
            </w:r>
          </w:p>
        </w:tc>
        <w:tc>
          <w:tcPr>
            <w:tcW w:w="458" w:type="pct"/>
            <w:tcBorders>
              <w:top w:val="single" w:sz="4" w:space="0" w:color="auto"/>
              <w:bottom w:val="single" w:sz="4" w:space="0" w:color="auto"/>
            </w:tcBorders>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rPr>
                <w:b/>
              </w:rPr>
            </w:pPr>
            <w:r w:rsidRPr="00892DE3">
              <w:rPr>
                <w:b/>
              </w:rPr>
              <w:t>25 969</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r w:rsidRPr="00892DE3">
              <w:t>AASB 101.61</w:t>
            </w:r>
          </w:p>
        </w:tc>
        <w:tc>
          <w:tcPr>
            <w:tcW w:w="3256" w:type="pct"/>
            <w:tcBorders>
              <w:top w:val="single" w:sz="4" w:space="0" w:color="auto"/>
            </w:tcBorders>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current borrowings</w:t>
            </w:r>
          </w:p>
        </w:tc>
        <w:tc>
          <w:tcPr>
            <w:tcW w:w="457" w:type="pct"/>
            <w:tcBorders>
              <w:top w:val="single" w:sz="4" w:space="0" w:color="auto"/>
            </w:tcBorders>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58" w:type="pct"/>
            <w:tcBorders>
              <w:top w:val="single" w:sz="4" w:space="0" w:color="auto"/>
            </w:tcBorders>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pPr>
            <w:r w:rsidRPr="00892DE3">
              <w:t>Finance lease liabilities</w:t>
            </w:r>
          </w:p>
        </w:tc>
        <w:tc>
          <w:tcPr>
            <w:tcW w:w="457" w:type="pct"/>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p>
        </w:tc>
        <w:tc>
          <w:tcPr>
            <w:tcW w:w="458" w:type="pct"/>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Pr>
          <w:p w:rsidR="00C0656E" w:rsidRPr="00892DE3" w:rsidRDefault="008129E8" w:rsidP="008129E8">
            <w:pPr>
              <w:ind w:left="170"/>
              <w:jc w:val="left"/>
              <w:cnfStyle w:val="000000000000" w:firstRow="0" w:lastRow="0" w:firstColumn="0" w:lastColumn="0" w:oddVBand="0" w:evenVBand="0" w:oddHBand="0" w:evenHBand="0" w:firstRowFirstColumn="0" w:firstRowLastColumn="0" w:lastRowFirstColumn="0" w:lastRowLastColumn="0"/>
            </w:pPr>
            <w:r w:rsidRPr="00892DE3">
              <w:t>P</w:t>
            </w:r>
            <w:r w:rsidR="00C0656E" w:rsidRPr="00892DE3">
              <w:t>PP related finance lease liabilities</w:t>
            </w:r>
          </w:p>
        </w:tc>
        <w:tc>
          <w:tcPr>
            <w:tcW w:w="457" w:type="pct"/>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2 551</w:t>
            </w:r>
          </w:p>
        </w:tc>
        <w:tc>
          <w:tcPr>
            <w:tcW w:w="458" w:type="pct"/>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6 391</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Pr>
          <w:p w:rsidR="00C0656E" w:rsidRPr="00892DE3" w:rsidRDefault="00C0656E" w:rsidP="008129E8">
            <w:pPr>
              <w:ind w:left="170"/>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PPP related finance lease liabilities</w:t>
            </w:r>
          </w:p>
        </w:tc>
        <w:tc>
          <w:tcPr>
            <w:tcW w:w="457" w:type="pct"/>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1 448</w:t>
            </w:r>
          </w:p>
        </w:tc>
        <w:tc>
          <w:tcPr>
            <w:tcW w:w="458" w:type="pct"/>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3 425</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pPr>
            <w:r w:rsidRPr="00892DE3">
              <w:t>Advances from government</w:t>
            </w:r>
          </w:p>
        </w:tc>
        <w:tc>
          <w:tcPr>
            <w:tcW w:w="457" w:type="pct"/>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 xml:space="preserve"> 195</w:t>
            </w:r>
          </w:p>
        </w:tc>
        <w:tc>
          <w:tcPr>
            <w:tcW w:w="458" w:type="pct"/>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2 057</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pPr>
            <w:r w:rsidRPr="00892DE3">
              <w:t xml:space="preserve">Loans from TCV </w:t>
            </w:r>
            <w:r w:rsidRPr="00892DE3">
              <w:rPr>
                <w:vertAlign w:val="superscript"/>
              </w:rPr>
              <w:t>(</w:t>
            </w:r>
            <w:r w:rsidR="008129E8" w:rsidRPr="00892DE3">
              <w:rPr>
                <w:vertAlign w:val="superscript"/>
              </w:rPr>
              <w:t>c)</w:t>
            </w:r>
          </w:p>
        </w:tc>
        <w:tc>
          <w:tcPr>
            <w:tcW w:w="457" w:type="pct"/>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48 696</w:t>
            </w:r>
          </w:p>
        </w:tc>
        <w:tc>
          <w:tcPr>
            <w:tcW w:w="458" w:type="pct"/>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27 705</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Borders>
              <w:bottom w:val="single" w:sz="4" w:space="0" w:color="auto"/>
            </w:tcBorders>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pPr>
            <w:r w:rsidRPr="00892DE3">
              <w:t>Total non</w:t>
            </w:r>
            <w:r w:rsidRPr="00892DE3">
              <w:noBreakHyphen/>
              <w:t>current borrowings</w:t>
            </w:r>
          </w:p>
        </w:tc>
        <w:tc>
          <w:tcPr>
            <w:tcW w:w="457" w:type="pct"/>
            <w:tcBorders>
              <w:bottom w:val="single" w:sz="4" w:space="0" w:color="auto"/>
            </w:tcBorders>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52 890</w:t>
            </w:r>
          </w:p>
        </w:tc>
        <w:tc>
          <w:tcPr>
            <w:tcW w:w="458" w:type="pct"/>
            <w:tcBorders>
              <w:bottom w:val="single" w:sz="4" w:space="0" w:color="auto"/>
            </w:tcBorders>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39 578</w:t>
            </w:r>
          </w:p>
        </w:tc>
      </w:tr>
      <w:tr w:rsidR="00C0656E" w:rsidRPr="00892DE3" w:rsidTr="008129E8">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C0656E" w:rsidRPr="00892DE3" w:rsidRDefault="00C0656E" w:rsidP="00C0656E"/>
        </w:tc>
        <w:tc>
          <w:tcPr>
            <w:tcW w:w="3256" w:type="pct"/>
            <w:tcBorders>
              <w:top w:val="single" w:sz="4" w:space="0" w:color="auto"/>
              <w:bottom w:val="single" w:sz="12" w:space="0" w:color="auto"/>
            </w:tcBorders>
          </w:tcPr>
          <w:p w:rsidR="00C0656E" w:rsidRPr="00892DE3" w:rsidRDefault="00C0656E" w:rsidP="00C0656E">
            <w:pPr>
              <w:tabs>
                <w:tab w:val="left" w:pos="1665"/>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borrowings</w:t>
            </w:r>
          </w:p>
        </w:tc>
        <w:tc>
          <w:tcPr>
            <w:tcW w:w="457" w:type="pct"/>
            <w:tcBorders>
              <w:top w:val="single" w:sz="4" w:space="0" w:color="auto"/>
              <w:bottom w:val="single" w:sz="12" w:space="0" w:color="auto"/>
            </w:tcBorders>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rPr>
                <w:b/>
              </w:rPr>
            </w:pPr>
            <w:r w:rsidRPr="00892DE3">
              <w:rPr>
                <w:b/>
              </w:rPr>
              <w:t>62 074</w:t>
            </w:r>
          </w:p>
        </w:tc>
        <w:tc>
          <w:tcPr>
            <w:tcW w:w="458" w:type="pct"/>
            <w:tcBorders>
              <w:top w:val="single" w:sz="4" w:space="0" w:color="auto"/>
              <w:bottom w:val="single" w:sz="12" w:space="0" w:color="auto"/>
            </w:tcBorders>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rPr>
                <w:b/>
              </w:rPr>
            </w:pPr>
            <w:r w:rsidRPr="00892DE3">
              <w:rPr>
                <w:b/>
              </w:rPr>
              <w:t>65 548</w:t>
            </w:r>
          </w:p>
        </w:tc>
      </w:tr>
    </w:tbl>
    <w:p w:rsidR="00C0656E" w:rsidRPr="00892DE3" w:rsidRDefault="00C0656E" w:rsidP="00C0656E">
      <w:pPr>
        <w:pStyle w:val="Note"/>
      </w:pPr>
      <w:r w:rsidRPr="00892DE3">
        <w:t>Notes:</w:t>
      </w:r>
    </w:p>
    <w:p w:rsidR="00C0656E" w:rsidRPr="00892DE3" w:rsidRDefault="00C0656E" w:rsidP="00C0656E">
      <w:pPr>
        <w:pStyle w:val="Note"/>
      </w:pPr>
      <w:r w:rsidRPr="00892DE3">
        <w:t>(</w:t>
      </w:r>
      <w:r w:rsidR="008129E8" w:rsidRPr="00892DE3">
        <w:t>a</w:t>
      </w:r>
      <w:r w:rsidRPr="00892DE3">
        <w:t>)</w:t>
      </w:r>
      <w:r w:rsidRPr="00892DE3">
        <w:tab/>
        <w:t xml:space="preserve">Secured by the assets leased. Finance leases are effectively secured as the rights to the leased assets revert to the lessor in the event of default. </w:t>
      </w:r>
    </w:p>
    <w:p w:rsidR="00C0656E" w:rsidRPr="00892DE3" w:rsidRDefault="00C0656E" w:rsidP="00C0656E">
      <w:pPr>
        <w:pStyle w:val="Note"/>
      </w:pPr>
      <w:r w:rsidRPr="00892DE3">
        <w:t>(</w:t>
      </w:r>
      <w:r w:rsidR="008129E8" w:rsidRPr="00892DE3">
        <w:t>b</w:t>
      </w:r>
      <w:r w:rsidRPr="00892DE3">
        <w:t>)</w:t>
      </w:r>
      <w:r w:rsidRPr="00892DE3">
        <w:tab/>
        <w:t>These are unsecured loans which bear no interest. The term of a loan is generally agreed by the Minister at the time the advance was provided.</w:t>
      </w:r>
    </w:p>
    <w:p w:rsidR="00C0656E" w:rsidRPr="00892DE3" w:rsidRDefault="00C0656E" w:rsidP="00C0656E">
      <w:pPr>
        <w:pStyle w:val="Note"/>
      </w:pPr>
      <w:r w:rsidRPr="00892DE3">
        <w:t>(</w:t>
      </w:r>
      <w:r w:rsidR="008129E8" w:rsidRPr="00892DE3">
        <w:t>c</w:t>
      </w:r>
      <w:r w:rsidRPr="00892DE3">
        <w:t>)</w:t>
      </w:r>
      <w:r w:rsidRPr="00892DE3">
        <w:tab/>
        <w:t>These are unsecured loans with a weighted average interest rate of 3.55 per cent (2015: 5 per cent)</w:t>
      </w:r>
    </w:p>
    <w:p w:rsidR="00C0656E" w:rsidRPr="00892DE3" w:rsidRDefault="00C0656E" w:rsidP="00C0656E"/>
    <w:p w:rsidR="00C0656E" w:rsidRPr="00892DE3" w:rsidRDefault="00C0656E" w:rsidP="00C0656E">
      <w:r w:rsidRPr="00892DE3">
        <w:t>‘Borrowings’ refer to interest bearing liabilities mainly raised from public borrowings raised through the Treasury Corporation of Victoria, finance leases and other interest bearing arrangements.</w:t>
      </w:r>
    </w:p>
    <w:p w:rsidR="00C0656E" w:rsidRPr="00892DE3" w:rsidRDefault="00C0656E" w:rsidP="00C0656E">
      <w:r w:rsidRPr="00892DE3">
        <w:t xml:space="preserve">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Department has categorised its interest bearing liabilities as either ‘financial liabilities designated at fair value through profit or loss’, or financial liabilities at ‘amortised cost’. The classification depends on the nature and purpose of the interest bearing liabilities. The Department determines the classification of its interest bearing liabilities at initial recognition. </w:t>
      </w:r>
      <w:r w:rsidRPr="00892DE3">
        <w:rPr>
          <w:rStyle w:val="SourceReference"/>
        </w:rPr>
        <w:t>[AASB 7.21, 139.43, 139.47; FRD 114A]</w:t>
      </w:r>
    </w:p>
    <w:p w:rsidR="00C0656E" w:rsidRPr="00892DE3" w:rsidRDefault="00C0656E" w:rsidP="00C0656E">
      <w:r w:rsidRPr="00892DE3">
        <w:rPr>
          <w:b/>
        </w:rPr>
        <w:t>Defaults and breaches</w:t>
      </w:r>
      <w:r w:rsidRPr="00892DE3">
        <w:t xml:space="preserve">: During the current and prior year, there were no defaults and breaches of any of the loans. </w:t>
      </w:r>
      <w:r w:rsidRPr="00892DE3">
        <w:rPr>
          <w:rStyle w:val="SourceReference"/>
        </w:rPr>
        <w:t>[AASB 7.18]</w:t>
      </w:r>
    </w:p>
    <w:p w:rsidR="00C0656E" w:rsidRPr="00892DE3" w:rsidRDefault="00C0656E">
      <w:pPr>
        <w:keepLines w:val="0"/>
        <w:rPr>
          <w:rFonts w:asciiTheme="majorHAnsi" w:hAnsiTheme="majorHAnsi"/>
          <w:b/>
          <w:szCs w:val="20"/>
        </w:rPr>
      </w:pPr>
      <w:r w:rsidRPr="00892DE3">
        <w:br w:type="page"/>
      </w:r>
    </w:p>
    <w:p w:rsidR="00C0656E" w:rsidRPr="00892DE3" w:rsidRDefault="00C0656E" w:rsidP="00C0656E">
      <w:pPr>
        <w:pStyle w:val="TableHeading"/>
      </w:pPr>
      <w:r w:rsidRPr="00892DE3">
        <w:t xml:space="preserve">Maturity analysis of borrowings </w:t>
      </w:r>
      <w:r w:rsidRPr="00892DE3">
        <w:rPr>
          <w:rStyle w:val="SourceReference"/>
          <w:b w:val="0"/>
        </w:rPr>
        <w:t>[AASB 7.39(a)]</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528"/>
        <w:gridCol w:w="983"/>
        <w:gridCol w:w="983"/>
        <w:gridCol w:w="983"/>
        <w:gridCol w:w="983"/>
        <w:gridCol w:w="1429"/>
        <w:gridCol w:w="893"/>
        <w:gridCol w:w="855"/>
      </w:tblGrid>
      <w:tr w:rsidR="00C0656E" w:rsidRPr="00892DE3" w:rsidTr="008129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9" w:type="dxa"/>
          </w:tcPr>
          <w:p w:rsidR="00C0656E" w:rsidRPr="00892DE3" w:rsidRDefault="00C0656E" w:rsidP="00C0656E">
            <w:pPr>
              <w:ind w:left="0" w:firstLine="0"/>
            </w:pPr>
          </w:p>
        </w:tc>
        <w:tc>
          <w:tcPr>
            <w:tcW w:w="990" w:type="dxa"/>
            <w:noWrap/>
          </w:tcPr>
          <w:p w:rsidR="00C0656E" w:rsidRPr="00892DE3" w:rsidRDefault="00C0656E" w:rsidP="00C0656E">
            <w:pPr>
              <w:cnfStyle w:val="100000000000" w:firstRow="1" w:lastRow="0" w:firstColumn="0" w:lastColumn="0" w:oddVBand="0" w:evenVBand="0" w:oddHBand="0" w:evenHBand="0" w:firstRowFirstColumn="0" w:firstRowLastColumn="0" w:lastRowFirstColumn="0" w:lastRowLastColumn="0"/>
            </w:pPr>
          </w:p>
        </w:tc>
        <w:tc>
          <w:tcPr>
            <w:tcW w:w="990" w:type="dxa"/>
            <w:noWrap/>
          </w:tcPr>
          <w:p w:rsidR="00C0656E" w:rsidRPr="00892DE3" w:rsidRDefault="00C0656E" w:rsidP="00C0656E">
            <w:pPr>
              <w:cnfStyle w:val="100000000000" w:firstRow="1" w:lastRow="0" w:firstColumn="0" w:lastColumn="0" w:oddVBand="0" w:evenVBand="0" w:oddHBand="0" w:evenHBand="0" w:firstRowFirstColumn="0" w:firstRowLastColumn="0" w:lastRowFirstColumn="0" w:lastRowLastColumn="0"/>
            </w:pPr>
          </w:p>
        </w:tc>
        <w:tc>
          <w:tcPr>
            <w:tcW w:w="5181" w:type="dxa"/>
            <w:gridSpan w:val="5"/>
            <w:tcBorders>
              <w:bottom w:val="single" w:sz="6" w:space="0" w:color="FFFFFF" w:themeColor="background1"/>
            </w:tcBorders>
          </w:tcPr>
          <w:p w:rsidR="00C0656E" w:rsidRPr="00892DE3" w:rsidRDefault="00C0656E" w:rsidP="00C0656E">
            <w:pPr>
              <w:jc w:val="center"/>
              <w:cnfStyle w:val="100000000000" w:firstRow="1" w:lastRow="0" w:firstColumn="0" w:lastColumn="0" w:oddVBand="0" w:evenVBand="0" w:oddHBand="0" w:evenHBand="0" w:firstRowFirstColumn="0" w:firstRowLastColumn="0" w:lastRowFirstColumn="0" w:lastRowLastColumn="0"/>
            </w:pPr>
            <w:r w:rsidRPr="00892DE3">
              <w:t>Maturity dates</w:t>
            </w:r>
          </w:p>
        </w:tc>
      </w:tr>
      <w:tr w:rsidR="00C0656E" w:rsidRPr="00892DE3" w:rsidTr="008129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9" w:type="dxa"/>
          </w:tcPr>
          <w:p w:rsidR="00C0656E" w:rsidRPr="00892DE3" w:rsidRDefault="00C0656E" w:rsidP="00C0656E">
            <w:pPr>
              <w:ind w:left="0" w:firstLine="0"/>
            </w:pPr>
          </w:p>
        </w:tc>
        <w:tc>
          <w:tcPr>
            <w:tcW w:w="990" w:type="dxa"/>
            <w:noWrap/>
          </w:tcPr>
          <w:p w:rsidR="00C0656E" w:rsidRPr="00892DE3" w:rsidRDefault="00C0656E" w:rsidP="00C0656E">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990" w:type="dxa"/>
            <w:noWrap/>
          </w:tcPr>
          <w:p w:rsidR="00C0656E" w:rsidRPr="00892DE3" w:rsidRDefault="00C0656E" w:rsidP="00C0656E">
            <w:pPr>
              <w:cnfStyle w:val="100000000000" w:firstRow="1" w:lastRow="0" w:firstColumn="0" w:lastColumn="0" w:oddVBand="0" w:evenVBand="0" w:oddHBand="0" w:evenHBand="0" w:firstRowFirstColumn="0" w:firstRowLastColumn="0" w:lastRowFirstColumn="0" w:lastRowLastColumn="0"/>
            </w:pPr>
            <w:r w:rsidRPr="00892DE3">
              <w:t>Nominal amount</w:t>
            </w:r>
          </w:p>
        </w:tc>
        <w:tc>
          <w:tcPr>
            <w:tcW w:w="990" w:type="dxa"/>
            <w:tcBorders>
              <w:top w:val="single" w:sz="6" w:space="0" w:color="FFFFFF" w:themeColor="background1"/>
            </w:tcBorders>
          </w:tcPr>
          <w:p w:rsidR="00C0656E" w:rsidRPr="00892DE3" w:rsidRDefault="00C0656E" w:rsidP="00C0656E">
            <w:pPr>
              <w:cnfStyle w:val="100000000000" w:firstRow="1" w:lastRow="0" w:firstColumn="0" w:lastColumn="0" w:oddVBand="0" w:evenVBand="0" w:oddHBand="0" w:evenHBand="0" w:firstRowFirstColumn="0" w:firstRowLastColumn="0" w:lastRowFirstColumn="0" w:lastRowLastColumn="0"/>
            </w:pPr>
            <w:r w:rsidRPr="00892DE3">
              <w:t xml:space="preserve">Less than </w:t>
            </w:r>
            <w:r w:rsidRPr="00892DE3">
              <w:br/>
              <w:t>1 month</w:t>
            </w:r>
          </w:p>
        </w:tc>
        <w:tc>
          <w:tcPr>
            <w:tcW w:w="990" w:type="dxa"/>
            <w:tcBorders>
              <w:top w:val="single" w:sz="6" w:space="0" w:color="FFFFFF" w:themeColor="background1"/>
            </w:tcBorders>
          </w:tcPr>
          <w:p w:rsidR="00C0656E" w:rsidRPr="00892DE3" w:rsidRDefault="00C0656E" w:rsidP="00C0656E">
            <w:pPr>
              <w:cnfStyle w:val="100000000000" w:firstRow="1" w:lastRow="0" w:firstColumn="0" w:lastColumn="0" w:oddVBand="0" w:evenVBand="0" w:oddHBand="0" w:evenHBand="0" w:firstRowFirstColumn="0" w:firstRowLastColumn="0" w:lastRowFirstColumn="0" w:lastRowLastColumn="0"/>
            </w:pPr>
            <w:r w:rsidRPr="00892DE3">
              <w:t>1</w:t>
            </w:r>
            <w:r w:rsidRPr="00892DE3">
              <w:noBreakHyphen/>
              <w:t xml:space="preserve">3 </w:t>
            </w:r>
            <w:r w:rsidR="008129E8" w:rsidRPr="00892DE3">
              <w:br/>
            </w:r>
            <w:r w:rsidRPr="00892DE3">
              <w:t>months</w:t>
            </w:r>
          </w:p>
        </w:tc>
        <w:tc>
          <w:tcPr>
            <w:tcW w:w="1440" w:type="dxa"/>
            <w:tcBorders>
              <w:top w:val="single" w:sz="6" w:space="0" w:color="FFFFFF" w:themeColor="background1"/>
            </w:tcBorders>
          </w:tcPr>
          <w:p w:rsidR="00C0656E" w:rsidRPr="00892DE3" w:rsidRDefault="00C0656E" w:rsidP="008129E8">
            <w:pPr>
              <w:cnfStyle w:val="100000000000" w:firstRow="1" w:lastRow="0" w:firstColumn="0" w:lastColumn="0" w:oddVBand="0" w:evenVBand="0" w:oddHBand="0" w:evenHBand="0" w:firstRowFirstColumn="0" w:firstRowLastColumn="0" w:lastRowFirstColumn="0" w:lastRowLastColumn="0"/>
            </w:pPr>
            <w:r w:rsidRPr="00892DE3">
              <w:t xml:space="preserve">3 months </w:t>
            </w:r>
            <w:r w:rsidR="008129E8" w:rsidRPr="00892DE3">
              <w:t>-</w:t>
            </w:r>
            <w:r w:rsidRPr="00892DE3">
              <w:t xml:space="preserve"> </w:t>
            </w:r>
            <w:r w:rsidRPr="00892DE3">
              <w:br/>
              <w:t>1 year</w:t>
            </w:r>
          </w:p>
        </w:tc>
        <w:tc>
          <w:tcPr>
            <w:tcW w:w="900" w:type="dxa"/>
            <w:tcBorders>
              <w:top w:val="single" w:sz="6" w:space="0" w:color="FFFFFF" w:themeColor="background1"/>
            </w:tcBorders>
          </w:tcPr>
          <w:p w:rsidR="00C0656E" w:rsidRPr="00892DE3" w:rsidRDefault="00C0656E" w:rsidP="00C0656E">
            <w:pPr>
              <w:cnfStyle w:val="100000000000" w:firstRow="1" w:lastRow="0" w:firstColumn="0" w:lastColumn="0" w:oddVBand="0" w:evenVBand="0" w:oddHBand="0" w:evenHBand="0" w:firstRowFirstColumn="0" w:firstRowLastColumn="0" w:lastRowFirstColumn="0" w:lastRowLastColumn="0"/>
            </w:pPr>
            <w:r w:rsidRPr="00892DE3">
              <w:t>1</w:t>
            </w:r>
            <w:r w:rsidRPr="00892DE3">
              <w:noBreakHyphen/>
              <w:t xml:space="preserve"> 5 </w:t>
            </w:r>
            <w:r w:rsidR="008129E8" w:rsidRPr="00892DE3">
              <w:br/>
            </w:r>
            <w:r w:rsidRPr="00892DE3">
              <w:t>years</w:t>
            </w:r>
          </w:p>
        </w:tc>
        <w:tc>
          <w:tcPr>
            <w:tcW w:w="861" w:type="dxa"/>
            <w:tcBorders>
              <w:top w:val="single" w:sz="6" w:space="0" w:color="FFFFFF" w:themeColor="background1"/>
            </w:tcBorders>
          </w:tcPr>
          <w:p w:rsidR="00C0656E" w:rsidRPr="00892DE3" w:rsidRDefault="00C0656E" w:rsidP="00C0656E">
            <w:pPr>
              <w:cnfStyle w:val="100000000000" w:firstRow="1" w:lastRow="0" w:firstColumn="0" w:lastColumn="0" w:oddVBand="0" w:evenVBand="0" w:oddHBand="0" w:evenHBand="0" w:firstRowFirstColumn="0" w:firstRowLastColumn="0" w:lastRowFirstColumn="0" w:lastRowLastColumn="0"/>
            </w:pPr>
            <w:r w:rsidRPr="00892DE3">
              <w:t xml:space="preserve">5+ </w:t>
            </w:r>
            <w:r w:rsidR="008129E8" w:rsidRPr="00892DE3">
              <w:br/>
            </w:r>
            <w:r w:rsidRPr="00892DE3">
              <w:t>years</w:t>
            </w: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Pr>
          <w:p w:rsidR="00C0656E" w:rsidRPr="00892DE3" w:rsidRDefault="00C0656E" w:rsidP="00C0656E">
            <w:pPr>
              <w:rPr>
                <w:rFonts w:cstheme="majorHAnsi"/>
                <w:b/>
              </w:rPr>
            </w:pPr>
            <w:r w:rsidRPr="00892DE3">
              <w:rPr>
                <w:rFonts w:cstheme="majorHAnsi"/>
                <w:b/>
              </w:rPr>
              <w:t>2017</w:t>
            </w:r>
          </w:p>
        </w:tc>
        <w:tc>
          <w:tcPr>
            <w:tcW w:w="990" w:type="dxa"/>
            <w:shd w:val="clear" w:color="auto" w:fill="EBEBEB" w:themeFill="background2"/>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90" w:type="dxa"/>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44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0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61"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rPr>
            </w:pP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Pr>
          <w:p w:rsidR="00C0656E" w:rsidRPr="00892DE3" w:rsidRDefault="00C0656E" w:rsidP="00C0656E">
            <w:pPr>
              <w:rPr>
                <w:rFonts w:cstheme="majorHAnsi"/>
              </w:rPr>
            </w:pPr>
            <w:r w:rsidRPr="00892DE3">
              <w:rPr>
                <w:rFonts w:cstheme="majorHAnsi"/>
              </w:rPr>
              <w:t>Bank overdrafts</w:t>
            </w:r>
          </w:p>
        </w:tc>
        <w:tc>
          <w:tcPr>
            <w:tcW w:w="990" w:type="dxa"/>
            <w:shd w:val="clear" w:color="auto" w:fill="EBEBEB" w:themeFill="background2"/>
            <w:noWrap/>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0" w:type="dxa"/>
            <w:noWrap/>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0"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0"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0"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C0656E" w:rsidRPr="00892DE3">
              <w:rPr>
                <w:rFonts w:cstheme="majorHAnsi"/>
              </w:rPr>
              <w:t> </w:t>
            </w:r>
          </w:p>
        </w:tc>
        <w:tc>
          <w:tcPr>
            <w:tcW w:w="900"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61"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C0656E" w:rsidRPr="00892DE3">
              <w:rPr>
                <w:rFonts w:cstheme="majorHAnsi"/>
              </w:rPr>
              <w:t> </w:t>
            </w: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Pr>
          <w:p w:rsidR="00C0656E" w:rsidRPr="00892DE3" w:rsidRDefault="00C0656E" w:rsidP="00C0656E">
            <w:pPr>
              <w:rPr>
                <w:rFonts w:cstheme="majorHAnsi"/>
              </w:rPr>
            </w:pPr>
            <w:r w:rsidRPr="00892DE3">
              <w:rPr>
                <w:rFonts w:cstheme="majorHAnsi"/>
              </w:rPr>
              <w:t>Finance lease liabilities</w:t>
            </w:r>
          </w:p>
        </w:tc>
        <w:tc>
          <w:tcPr>
            <w:tcW w:w="990" w:type="dxa"/>
            <w:shd w:val="clear" w:color="auto" w:fill="EBEBEB" w:themeFill="background2"/>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8 064</w:t>
            </w:r>
          </w:p>
        </w:tc>
        <w:tc>
          <w:tcPr>
            <w:tcW w:w="990" w:type="dxa"/>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9 677</w:t>
            </w: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3 252</w:t>
            </w: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1 220</w:t>
            </w:r>
          </w:p>
        </w:tc>
        <w:tc>
          <w:tcPr>
            <w:tcW w:w="144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407</w:t>
            </w:r>
          </w:p>
        </w:tc>
        <w:tc>
          <w:tcPr>
            <w:tcW w:w="90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2 399</w:t>
            </w:r>
          </w:p>
        </w:tc>
        <w:tc>
          <w:tcPr>
            <w:tcW w:w="861"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2 399</w:t>
            </w: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Pr>
          <w:p w:rsidR="00C0656E" w:rsidRPr="00892DE3" w:rsidRDefault="00C0656E" w:rsidP="00C0656E">
            <w:pPr>
              <w:rPr>
                <w:rFonts w:cstheme="majorHAnsi"/>
              </w:rPr>
            </w:pPr>
            <w:r w:rsidRPr="00892DE3">
              <w:rPr>
                <w:rFonts w:cstheme="majorHAnsi"/>
              </w:rPr>
              <w:t>Advances from government</w:t>
            </w:r>
          </w:p>
        </w:tc>
        <w:tc>
          <w:tcPr>
            <w:tcW w:w="990" w:type="dxa"/>
            <w:shd w:val="clear" w:color="auto" w:fill="EBEBEB" w:themeFill="background2"/>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5 314</w:t>
            </w:r>
          </w:p>
        </w:tc>
        <w:tc>
          <w:tcPr>
            <w:tcW w:w="990" w:type="dxa"/>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5 630</w:t>
            </w: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512</w:t>
            </w: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768</w:t>
            </w:r>
          </w:p>
        </w:tc>
        <w:tc>
          <w:tcPr>
            <w:tcW w:w="144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4 351</w:t>
            </w:r>
          </w:p>
        </w:tc>
        <w:tc>
          <w:tcPr>
            <w:tcW w:w="90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p>
        </w:tc>
        <w:tc>
          <w:tcPr>
            <w:tcW w:w="861"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Borders>
              <w:bottom w:val="single" w:sz="4" w:space="0" w:color="auto"/>
            </w:tcBorders>
          </w:tcPr>
          <w:p w:rsidR="00C0656E" w:rsidRPr="00892DE3" w:rsidRDefault="00C0656E" w:rsidP="00C0656E">
            <w:pPr>
              <w:rPr>
                <w:rFonts w:cstheme="majorHAnsi"/>
              </w:rPr>
            </w:pPr>
            <w:r w:rsidRPr="00892DE3">
              <w:rPr>
                <w:rFonts w:cstheme="majorHAnsi"/>
              </w:rPr>
              <w:t>Loans from TCV</w:t>
            </w:r>
          </w:p>
        </w:tc>
        <w:tc>
          <w:tcPr>
            <w:tcW w:w="990" w:type="dxa"/>
            <w:tcBorders>
              <w:bottom w:val="single" w:sz="4" w:space="0" w:color="auto"/>
            </w:tcBorders>
            <w:shd w:val="clear" w:color="auto" w:fill="EBEBEB" w:themeFill="background2"/>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c>
          <w:tcPr>
            <w:tcW w:w="990" w:type="dxa"/>
            <w:tcBorders>
              <w:bottom w:val="single" w:sz="4" w:space="0" w:color="auto"/>
            </w:tcBorders>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c>
          <w:tcPr>
            <w:tcW w:w="990" w:type="dxa"/>
            <w:tcBorders>
              <w:bottom w:val="single" w:sz="4" w:space="0" w:color="auto"/>
            </w:tcBorders>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0" w:type="dxa"/>
            <w:tcBorders>
              <w:bottom w:val="single" w:sz="4" w:space="0" w:color="auto"/>
            </w:tcBorders>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C0656E" w:rsidRPr="00892DE3">
              <w:rPr>
                <w:rFonts w:cstheme="majorHAnsi"/>
              </w:rPr>
              <w:t> </w:t>
            </w:r>
          </w:p>
        </w:tc>
        <w:tc>
          <w:tcPr>
            <w:tcW w:w="1440" w:type="dxa"/>
            <w:tcBorders>
              <w:bottom w:val="single" w:sz="4" w:space="0" w:color="auto"/>
            </w:tcBorders>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C0656E" w:rsidRPr="00892DE3">
              <w:rPr>
                <w:rFonts w:cstheme="majorHAnsi"/>
              </w:rPr>
              <w:t> </w:t>
            </w:r>
          </w:p>
        </w:tc>
        <w:tc>
          <w:tcPr>
            <w:tcW w:w="900" w:type="dxa"/>
            <w:tcBorders>
              <w:bottom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19 478</w:t>
            </w:r>
          </w:p>
        </w:tc>
        <w:tc>
          <w:tcPr>
            <w:tcW w:w="861" w:type="dxa"/>
            <w:tcBorders>
              <w:bottom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29 218</w:t>
            </w: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Borders>
              <w:top w:val="single" w:sz="4" w:space="0" w:color="auto"/>
              <w:bottom w:val="single" w:sz="4" w:space="0" w:color="auto"/>
            </w:tcBorders>
          </w:tcPr>
          <w:p w:rsidR="00C0656E" w:rsidRPr="00892DE3" w:rsidRDefault="00C0656E" w:rsidP="00C0656E">
            <w:pPr>
              <w:rPr>
                <w:rFonts w:cstheme="majorHAnsi"/>
                <w:b/>
              </w:rPr>
            </w:pPr>
            <w:r w:rsidRPr="00892DE3">
              <w:rPr>
                <w:rFonts w:cstheme="majorHAnsi"/>
                <w:b/>
              </w:rPr>
              <w:t xml:space="preserve">Total </w:t>
            </w:r>
          </w:p>
        </w:tc>
        <w:tc>
          <w:tcPr>
            <w:tcW w:w="990" w:type="dxa"/>
            <w:tcBorders>
              <w:top w:val="single" w:sz="4" w:space="0" w:color="auto"/>
              <w:bottom w:val="single" w:sz="4" w:space="0" w:color="auto"/>
            </w:tcBorders>
            <w:shd w:val="clear" w:color="auto" w:fill="EBEBEB" w:themeFill="background2"/>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62 074</w:t>
            </w:r>
          </w:p>
        </w:tc>
        <w:tc>
          <w:tcPr>
            <w:tcW w:w="990" w:type="dxa"/>
            <w:tcBorders>
              <w:top w:val="single" w:sz="4" w:space="0" w:color="auto"/>
              <w:bottom w:val="single" w:sz="4" w:space="0" w:color="auto"/>
            </w:tcBorders>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64 003</w:t>
            </w:r>
          </w:p>
        </w:tc>
        <w:tc>
          <w:tcPr>
            <w:tcW w:w="990" w:type="dxa"/>
            <w:tcBorders>
              <w:top w:val="single" w:sz="4" w:space="0" w:color="auto"/>
              <w:bottom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3 764</w:t>
            </w:r>
          </w:p>
        </w:tc>
        <w:tc>
          <w:tcPr>
            <w:tcW w:w="990" w:type="dxa"/>
            <w:tcBorders>
              <w:top w:val="single" w:sz="4" w:space="0" w:color="auto"/>
              <w:bottom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1 988</w:t>
            </w:r>
          </w:p>
        </w:tc>
        <w:tc>
          <w:tcPr>
            <w:tcW w:w="1440" w:type="dxa"/>
            <w:tcBorders>
              <w:top w:val="single" w:sz="4" w:space="0" w:color="auto"/>
              <w:bottom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4 758</w:t>
            </w:r>
          </w:p>
        </w:tc>
        <w:tc>
          <w:tcPr>
            <w:tcW w:w="900" w:type="dxa"/>
            <w:tcBorders>
              <w:top w:val="single" w:sz="4" w:space="0" w:color="auto"/>
              <w:bottom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21 877</w:t>
            </w:r>
          </w:p>
        </w:tc>
        <w:tc>
          <w:tcPr>
            <w:tcW w:w="861" w:type="dxa"/>
            <w:tcBorders>
              <w:top w:val="single" w:sz="4" w:space="0" w:color="auto"/>
              <w:bottom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31 617</w:t>
            </w: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Borders>
              <w:top w:val="single" w:sz="4" w:space="0" w:color="auto"/>
            </w:tcBorders>
          </w:tcPr>
          <w:p w:rsidR="00C0656E" w:rsidRPr="00892DE3" w:rsidRDefault="00C0656E" w:rsidP="00C0656E">
            <w:pPr>
              <w:rPr>
                <w:rFonts w:cstheme="majorHAnsi"/>
                <w:b/>
              </w:rPr>
            </w:pPr>
            <w:r w:rsidRPr="00892DE3">
              <w:rPr>
                <w:rFonts w:cstheme="majorHAnsi"/>
                <w:b/>
              </w:rPr>
              <w:t>2016</w:t>
            </w:r>
          </w:p>
        </w:tc>
        <w:tc>
          <w:tcPr>
            <w:tcW w:w="990" w:type="dxa"/>
            <w:tcBorders>
              <w:top w:val="single" w:sz="4" w:space="0" w:color="auto"/>
            </w:tcBorders>
            <w:shd w:val="clear" w:color="auto" w:fill="EBEBEB" w:themeFill="background2"/>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p>
        </w:tc>
        <w:tc>
          <w:tcPr>
            <w:tcW w:w="990" w:type="dxa"/>
            <w:tcBorders>
              <w:top w:val="single" w:sz="4" w:space="0" w:color="auto"/>
            </w:tcBorders>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p>
        </w:tc>
        <w:tc>
          <w:tcPr>
            <w:tcW w:w="990" w:type="dxa"/>
            <w:tcBorders>
              <w:top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p>
        </w:tc>
        <w:tc>
          <w:tcPr>
            <w:tcW w:w="990" w:type="dxa"/>
            <w:tcBorders>
              <w:top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p>
        </w:tc>
        <w:tc>
          <w:tcPr>
            <w:tcW w:w="1440" w:type="dxa"/>
            <w:tcBorders>
              <w:top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p>
        </w:tc>
        <w:tc>
          <w:tcPr>
            <w:tcW w:w="900" w:type="dxa"/>
            <w:tcBorders>
              <w:top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p>
        </w:tc>
        <w:tc>
          <w:tcPr>
            <w:tcW w:w="861" w:type="dxa"/>
            <w:tcBorders>
              <w:top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Pr>
          <w:p w:rsidR="00C0656E" w:rsidRPr="00892DE3" w:rsidRDefault="00C0656E" w:rsidP="00C0656E">
            <w:pPr>
              <w:rPr>
                <w:rFonts w:cstheme="majorHAnsi"/>
              </w:rPr>
            </w:pPr>
            <w:r w:rsidRPr="00892DE3">
              <w:rPr>
                <w:rFonts w:cstheme="majorHAnsi"/>
              </w:rPr>
              <w:t>Bank overdrafts</w:t>
            </w:r>
          </w:p>
        </w:tc>
        <w:tc>
          <w:tcPr>
            <w:tcW w:w="990" w:type="dxa"/>
            <w:shd w:val="clear" w:color="auto" w:fill="EBEBEB" w:themeFill="background2"/>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c>
          <w:tcPr>
            <w:tcW w:w="990" w:type="dxa"/>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c>
          <w:tcPr>
            <w:tcW w:w="990"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0"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00"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61"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C0656E" w:rsidRPr="00892DE3">
              <w:rPr>
                <w:rFonts w:cstheme="majorHAnsi"/>
              </w:rPr>
              <w:t> </w:t>
            </w: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Pr>
          <w:p w:rsidR="00C0656E" w:rsidRPr="00892DE3" w:rsidRDefault="00C0656E" w:rsidP="00C0656E">
            <w:pPr>
              <w:rPr>
                <w:rFonts w:cstheme="majorHAnsi"/>
              </w:rPr>
            </w:pPr>
            <w:r w:rsidRPr="00892DE3">
              <w:rPr>
                <w:rFonts w:cstheme="majorHAnsi"/>
              </w:rPr>
              <w:t>Finance lease liabilities</w:t>
            </w:r>
          </w:p>
        </w:tc>
        <w:tc>
          <w:tcPr>
            <w:tcW w:w="990" w:type="dxa"/>
            <w:shd w:val="clear" w:color="auto" w:fill="EBEBEB" w:themeFill="background2"/>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20 062</w:t>
            </w:r>
          </w:p>
        </w:tc>
        <w:tc>
          <w:tcPr>
            <w:tcW w:w="990" w:type="dxa"/>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24 074</w:t>
            </w: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8 197</w:t>
            </w: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3 074</w:t>
            </w:r>
          </w:p>
        </w:tc>
        <w:tc>
          <w:tcPr>
            <w:tcW w:w="144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1 025</w:t>
            </w:r>
          </w:p>
        </w:tc>
        <w:tc>
          <w:tcPr>
            <w:tcW w:w="90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5 890</w:t>
            </w:r>
          </w:p>
        </w:tc>
        <w:tc>
          <w:tcPr>
            <w:tcW w:w="861"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5 890</w:t>
            </w: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Pr>
          <w:p w:rsidR="00C0656E" w:rsidRPr="00892DE3" w:rsidRDefault="00C0656E" w:rsidP="00C0656E">
            <w:pPr>
              <w:rPr>
                <w:rFonts w:cstheme="majorHAnsi"/>
              </w:rPr>
            </w:pPr>
            <w:r w:rsidRPr="00892DE3">
              <w:rPr>
                <w:rFonts w:cstheme="majorHAnsi"/>
              </w:rPr>
              <w:t>Advances from government</w:t>
            </w:r>
          </w:p>
        </w:tc>
        <w:tc>
          <w:tcPr>
            <w:tcW w:w="990" w:type="dxa"/>
            <w:shd w:val="clear" w:color="auto" w:fill="EBEBEB" w:themeFill="background2"/>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12 344</w:t>
            </w:r>
          </w:p>
        </w:tc>
        <w:tc>
          <w:tcPr>
            <w:tcW w:w="990" w:type="dxa"/>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11 315</w:t>
            </w: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1 029</w:t>
            </w:r>
          </w:p>
        </w:tc>
        <w:tc>
          <w:tcPr>
            <w:tcW w:w="99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1 543</w:t>
            </w:r>
          </w:p>
        </w:tc>
        <w:tc>
          <w:tcPr>
            <w:tcW w:w="1440" w:type="dxa"/>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8 744</w:t>
            </w:r>
          </w:p>
        </w:tc>
        <w:tc>
          <w:tcPr>
            <w:tcW w:w="900"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61" w:type="dxa"/>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sidR="00C0656E" w:rsidRPr="00892DE3">
              <w:rPr>
                <w:rFonts w:cstheme="majorHAnsi"/>
              </w:rPr>
              <w:t> </w:t>
            </w:r>
          </w:p>
        </w:tc>
      </w:tr>
      <w:tr w:rsidR="00C0656E" w:rsidRPr="00892DE3" w:rsidTr="00C0656E">
        <w:tc>
          <w:tcPr>
            <w:cnfStyle w:val="001000000000" w:firstRow="0" w:lastRow="0" w:firstColumn="1" w:lastColumn="0" w:oddVBand="0" w:evenVBand="0" w:oddHBand="0" w:evenHBand="0" w:firstRowFirstColumn="0" w:firstRowLastColumn="0" w:lastRowFirstColumn="0" w:lastRowLastColumn="0"/>
            <w:tcW w:w="2549" w:type="dxa"/>
            <w:tcBorders>
              <w:bottom w:val="single" w:sz="4" w:space="0" w:color="auto"/>
            </w:tcBorders>
          </w:tcPr>
          <w:p w:rsidR="00C0656E" w:rsidRPr="00892DE3" w:rsidRDefault="00C0656E" w:rsidP="00C0656E">
            <w:pPr>
              <w:rPr>
                <w:rFonts w:cstheme="majorHAnsi"/>
              </w:rPr>
            </w:pPr>
            <w:r w:rsidRPr="00892DE3">
              <w:rPr>
                <w:rFonts w:cstheme="majorHAnsi"/>
              </w:rPr>
              <w:t>Loans from TCV</w:t>
            </w:r>
          </w:p>
        </w:tc>
        <w:tc>
          <w:tcPr>
            <w:tcW w:w="990" w:type="dxa"/>
            <w:tcBorders>
              <w:bottom w:val="single" w:sz="4" w:space="0" w:color="auto"/>
            </w:tcBorders>
            <w:shd w:val="clear" w:color="auto" w:fill="EBEBEB" w:themeFill="background2"/>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27 705</w:t>
            </w:r>
          </w:p>
        </w:tc>
        <w:tc>
          <w:tcPr>
            <w:tcW w:w="990" w:type="dxa"/>
            <w:tcBorders>
              <w:bottom w:val="single" w:sz="4" w:space="0" w:color="auto"/>
            </w:tcBorders>
            <w:noWrap/>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27 705</w:t>
            </w:r>
          </w:p>
        </w:tc>
        <w:tc>
          <w:tcPr>
            <w:tcW w:w="990" w:type="dxa"/>
            <w:tcBorders>
              <w:bottom w:val="single" w:sz="4" w:space="0" w:color="auto"/>
            </w:tcBorders>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0" w:type="dxa"/>
            <w:tcBorders>
              <w:bottom w:val="single" w:sz="4" w:space="0" w:color="auto"/>
            </w:tcBorders>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0" w:type="dxa"/>
            <w:tcBorders>
              <w:bottom w:val="single" w:sz="4" w:space="0" w:color="auto"/>
            </w:tcBorders>
          </w:tcPr>
          <w:p w:rsidR="00C0656E" w:rsidRPr="00892DE3" w:rsidRDefault="008129E8"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00" w:type="dxa"/>
            <w:tcBorders>
              <w:bottom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11 082</w:t>
            </w:r>
          </w:p>
        </w:tc>
        <w:tc>
          <w:tcPr>
            <w:tcW w:w="861" w:type="dxa"/>
            <w:tcBorders>
              <w:bottom w:val="single" w:sz="4" w:space="0" w:color="auto"/>
            </w:tcBorders>
          </w:tcPr>
          <w:p w:rsidR="00C0656E" w:rsidRPr="00892DE3" w:rsidRDefault="00C0656E" w:rsidP="00C0656E">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16 623</w:t>
            </w:r>
          </w:p>
        </w:tc>
      </w:tr>
      <w:tr w:rsidR="00C0656E" w:rsidRPr="00892DE3" w:rsidTr="00C0656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Borders>
              <w:top w:val="single" w:sz="4" w:space="0" w:color="auto"/>
              <w:bottom w:val="single" w:sz="12" w:space="0" w:color="auto"/>
            </w:tcBorders>
          </w:tcPr>
          <w:p w:rsidR="00C0656E" w:rsidRPr="00892DE3" w:rsidRDefault="00C0656E" w:rsidP="00C0656E">
            <w:pPr>
              <w:rPr>
                <w:rFonts w:cstheme="majorHAnsi"/>
                <w:b w:val="0"/>
              </w:rPr>
            </w:pPr>
            <w:r w:rsidRPr="00892DE3">
              <w:rPr>
                <w:rFonts w:cstheme="majorHAnsi"/>
              </w:rPr>
              <w:t>Total</w:t>
            </w:r>
          </w:p>
        </w:tc>
        <w:tc>
          <w:tcPr>
            <w:tcW w:w="990" w:type="dxa"/>
            <w:tcBorders>
              <w:top w:val="single" w:sz="4" w:space="0" w:color="auto"/>
              <w:bottom w:val="single" w:sz="12" w:space="0" w:color="auto"/>
            </w:tcBorders>
            <w:shd w:val="clear" w:color="auto" w:fill="EBEBEB" w:themeFill="background2"/>
            <w:noWrap/>
          </w:tcPr>
          <w:p w:rsidR="00C0656E" w:rsidRPr="00892DE3" w:rsidRDefault="00C0656E" w:rsidP="00C0656E">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65 548</w:t>
            </w:r>
          </w:p>
        </w:tc>
        <w:tc>
          <w:tcPr>
            <w:tcW w:w="990" w:type="dxa"/>
            <w:tcBorders>
              <w:top w:val="single" w:sz="4" w:space="0" w:color="auto"/>
              <w:bottom w:val="single" w:sz="12" w:space="0" w:color="auto"/>
            </w:tcBorders>
            <w:noWrap/>
          </w:tcPr>
          <w:p w:rsidR="00C0656E" w:rsidRPr="00892DE3" w:rsidRDefault="00C0656E" w:rsidP="00C0656E">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68 531</w:t>
            </w:r>
          </w:p>
        </w:tc>
        <w:tc>
          <w:tcPr>
            <w:tcW w:w="990" w:type="dxa"/>
            <w:tcBorders>
              <w:top w:val="single" w:sz="4" w:space="0" w:color="auto"/>
              <w:bottom w:val="single" w:sz="12" w:space="0" w:color="auto"/>
            </w:tcBorders>
          </w:tcPr>
          <w:p w:rsidR="00C0656E" w:rsidRPr="00892DE3" w:rsidRDefault="00C0656E" w:rsidP="00C0656E">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14 663</w:t>
            </w:r>
          </w:p>
        </w:tc>
        <w:tc>
          <w:tcPr>
            <w:tcW w:w="990" w:type="dxa"/>
            <w:tcBorders>
              <w:top w:val="single" w:sz="4" w:space="0" w:color="auto"/>
              <w:bottom w:val="single" w:sz="12" w:space="0" w:color="auto"/>
            </w:tcBorders>
          </w:tcPr>
          <w:p w:rsidR="00C0656E" w:rsidRPr="00892DE3" w:rsidRDefault="00C0656E" w:rsidP="00C0656E">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4 617</w:t>
            </w:r>
          </w:p>
        </w:tc>
        <w:tc>
          <w:tcPr>
            <w:tcW w:w="1440" w:type="dxa"/>
            <w:tcBorders>
              <w:top w:val="single" w:sz="4" w:space="0" w:color="auto"/>
              <w:bottom w:val="single" w:sz="12" w:space="0" w:color="auto"/>
            </w:tcBorders>
          </w:tcPr>
          <w:p w:rsidR="00C0656E" w:rsidRPr="00892DE3" w:rsidRDefault="00C0656E" w:rsidP="00C0656E">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9 769</w:t>
            </w:r>
          </w:p>
        </w:tc>
        <w:tc>
          <w:tcPr>
            <w:tcW w:w="900" w:type="dxa"/>
            <w:tcBorders>
              <w:top w:val="single" w:sz="4" w:space="0" w:color="auto"/>
              <w:bottom w:val="single" w:sz="12" w:space="0" w:color="auto"/>
            </w:tcBorders>
          </w:tcPr>
          <w:p w:rsidR="00C0656E" w:rsidRPr="00892DE3" w:rsidRDefault="00C0656E" w:rsidP="00C0656E">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16 972</w:t>
            </w:r>
          </w:p>
        </w:tc>
        <w:tc>
          <w:tcPr>
            <w:tcW w:w="861" w:type="dxa"/>
            <w:tcBorders>
              <w:top w:val="single" w:sz="4" w:space="0" w:color="auto"/>
              <w:bottom w:val="single" w:sz="12" w:space="0" w:color="auto"/>
            </w:tcBorders>
          </w:tcPr>
          <w:p w:rsidR="00C0656E" w:rsidRPr="00892DE3" w:rsidRDefault="00C0656E" w:rsidP="00C0656E">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22 513</w:t>
            </w:r>
          </w:p>
        </w:tc>
      </w:tr>
    </w:tbl>
    <w:p w:rsidR="00C0656E" w:rsidRPr="00892DE3" w:rsidRDefault="00C0656E" w:rsidP="00C0656E"/>
    <w:tbl>
      <w:tblPr>
        <w:tblStyle w:val="ModelReportGuidanceTable"/>
        <w:tblW w:w="0" w:type="auto"/>
        <w:tblLook w:val="04A0" w:firstRow="1" w:lastRow="0" w:firstColumn="1" w:lastColumn="0" w:noHBand="0" w:noVBand="1"/>
      </w:tblPr>
      <w:tblGrid>
        <w:gridCol w:w="9752"/>
      </w:tblGrid>
      <w:tr w:rsidR="00C0656E" w:rsidRPr="00892DE3" w:rsidTr="00C0656E">
        <w:trPr>
          <w:cnfStyle w:val="100000000000" w:firstRow="1" w:lastRow="0" w:firstColumn="0" w:lastColumn="0" w:oddVBand="0" w:evenVBand="0" w:oddHBand="0" w:evenHBand="0" w:firstRowFirstColumn="0" w:firstRowLastColumn="0" w:lastRowFirstColumn="0" w:lastRowLastColumn="0"/>
        </w:trPr>
        <w:tc>
          <w:tcPr>
            <w:tcW w:w="9854" w:type="dxa"/>
          </w:tcPr>
          <w:p w:rsidR="00C0656E" w:rsidRPr="00892DE3" w:rsidRDefault="00C0656E" w:rsidP="00C0656E">
            <w:r w:rsidRPr="00892DE3">
              <w:t>Guidance – Borrowings</w:t>
            </w:r>
          </w:p>
        </w:tc>
      </w:tr>
      <w:tr w:rsidR="00C0656E" w:rsidRPr="00892DE3" w:rsidTr="00C0656E">
        <w:tc>
          <w:tcPr>
            <w:tcW w:w="9854" w:type="dxa"/>
          </w:tcPr>
          <w:p w:rsidR="00C0656E" w:rsidRPr="00892DE3" w:rsidRDefault="00C0656E" w:rsidP="00C0656E">
            <w:r w:rsidRPr="00892DE3">
              <w:rPr>
                <w:b/>
              </w:rPr>
              <w:t>Defaults and breaches</w:t>
            </w:r>
            <w:r w:rsidRPr="00892DE3">
              <w:t xml:space="preserve">: For loans payable recognised at the end of the reporting period, an entity shall disclose: </w:t>
            </w:r>
          </w:p>
          <w:p w:rsidR="00C0656E" w:rsidRPr="00892DE3" w:rsidRDefault="00C0656E" w:rsidP="00C0656E">
            <w:pPr>
              <w:pStyle w:val="List"/>
            </w:pPr>
            <w:r w:rsidRPr="00892DE3">
              <w:t>(i)</w:t>
            </w:r>
            <w:r w:rsidRPr="00892DE3">
              <w:tab/>
              <w:t>details of any defaults during the period of principal, interest, sinking fund, or redemption terms of those loans payable;</w:t>
            </w:r>
          </w:p>
          <w:p w:rsidR="00C0656E" w:rsidRPr="00892DE3" w:rsidRDefault="00C0656E" w:rsidP="00C0656E">
            <w:pPr>
              <w:pStyle w:val="List"/>
            </w:pPr>
            <w:r w:rsidRPr="00892DE3">
              <w:t>(ii)</w:t>
            </w:r>
            <w:r w:rsidRPr="00892DE3">
              <w:tab/>
              <w:t>the carrying amount of the loans payable in default at the end of the reporting period; and</w:t>
            </w:r>
          </w:p>
          <w:p w:rsidR="00C0656E" w:rsidRPr="00892DE3" w:rsidRDefault="00C0656E" w:rsidP="00C0656E">
            <w:pPr>
              <w:pStyle w:val="List"/>
            </w:pPr>
            <w:r w:rsidRPr="00892DE3">
              <w:t>(iii)</w:t>
            </w:r>
            <w:r w:rsidRPr="00892DE3">
              <w:tab/>
              <w:t xml:space="preserve">whether the default was remedied, or the terms of the loans payable was renegotiated, before the financial statements was authorised for issue. </w:t>
            </w:r>
            <w:r w:rsidRPr="00892DE3">
              <w:rPr>
                <w:rStyle w:val="SourceReference"/>
              </w:rPr>
              <w:t>[AASB 7.18-19]</w:t>
            </w:r>
            <w:r w:rsidRPr="00892DE3">
              <w:t xml:space="preserve"> </w:t>
            </w:r>
          </w:p>
          <w:p w:rsidR="00C0656E" w:rsidRPr="00892DE3" w:rsidRDefault="00C0656E" w:rsidP="00C0656E">
            <w:r w:rsidRPr="00892DE3">
              <w:t>If, during the period, there were breaches of loan agreement terms other than those described in paragraph 18 of AASB 7, an entity shall disclose the same information as required by paragraph 18 if those breaches permitted the lender to demand accelerated repayment (unless the breaches were remedied, or the terms of the loan were renegotiated, on or before the end of the reporting period).</w:t>
            </w:r>
          </w:p>
          <w:p w:rsidR="00C0656E" w:rsidRPr="00892DE3" w:rsidRDefault="00C0656E" w:rsidP="00C0656E">
            <w:r w:rsidRPr="00892DE3">
              <w:rPr>
                <w:b/>
              </w:rPr>
              <w:t>Statutory borrowings</w:t>
            </w:r>
            <w:r w:rsidRPr="00892DE3">
              <w:t xml:space="preserve">: Liabilities that are not contractual (such as liabilities that arise as a result of statutory requirements), are not financial instruments. Therefore, although these liabilities are similar to financial instruments, they are in fact not in the scope of AASB 7. However, entities who wish to apply disclosure requirements similar to those from AASB 7 to such liabilities may do so at their own discretion. </w:t>
            </w:r>
            <w:r w:rsidRPr="00892DE3">
              <w:rPr>
                <w:rStyle w:val="SourceReference"/>
              </w:rPr>
              <w:t>[AASB 132.AG12]</w:t>
            </w:r>
          </w:p>
          <w:p w:rsidR="00C0656E" w:rsidRPr="00892DE3" w:rsidRDefault="00C0656E" w:rsidP="00C0656E">
            <w:r w:rsidRPr="00892DE3">
              <w:rPr>
                <w:b/>
              </w:rPr>
              <w:t>Classification of financial instruments</w:t>
            </w:r>
            <w:r w:rsidRPr="00892DE3">
              <w:t>: When the balance sheet presentation of a financial instrument differs from the instrument’s legal form, it is desirable for an entity to explain in the notes the nature of the financial instrument.</w:t>
            </w:r>
          </w:p>
        </w:tc>
      </w:tr>
    </w:tbl>
    <w:p w:rsidR="00C0656E" w:rsidRPr="00892DE3" w:rsidRDefault="00C0656E" w:rsidP="00C0656E"/>
    <w:p w:rsidR="00C0656E" w:rsidRPr="00892DE3" w:rsidRDefault="00C0656E" w:rsidP="00C0656E">
      <w:pPr>
        <w:pStyle w:val="TableHeading"/>
      </w:pPr>
      <w:r w:rsidRPr="00892DE3">
        <w:t>Interest expense</w:t>
      </w:r>
      <w:r w:rsidRPr="00892DE3">
        <w:tab/>
        <w:t>($ thousand)</w:t>
      </w:r>
    </w:p>
    <w:tbl>
      <w:tblPr>
        <w:tblStyle w:val="ModelReportFinancialTable"/>
        <w:tblW w:w="0" w:type="auto"/>
        <w:tblLayout w:type="fixed"/>
        <w:tblLook w:val="06A0" w:firstRow="1" w:lastRow="0" w:firstColumn="1" w:lastColumn="0" w:noHBand="1" w:noVBand="1"/>
      </w:tblPr>
      <w:tblGrid>
        <w:gridCol w:w="1289"/>
        <w:gridCol w:w="6467"/>
        <w:gridCol w:w="980"/>
        <w:gridCol w:w="980"/>
      </w:tblGrid>
      <w:tr w:rsidR="00C0656E" w:rsidRPr="00892DE3" w:rsidTr="00C0656E">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289" w:type="dxa"/>
            <w:tcBorders>
              <w:bottom w:val="nil"/>
            </w:tcBorders>
            <w:shd w:val="clear" w:color="auto" w:fill="auto"/>
          </w:tcPr>
          <w:p w:rsidR="00C0656E" w:rsidRPr="00892DE3" w:rsidRDefault="00C0656E" w:rsidP="00C0656E">
            <w:r w:rsidRPr="00892DE3">
              <w:t>Source reference</w:t>
            </w:r>
          </w:p>
        </w:tc>
        <w:tc>
          <w:tcPr>
            <w:tcW w:w="6467" w:type="dxa"/>
            <w:hideMark/>
          </w:tcPr>
          <w:p w:rsidR="00C0656E" w:rsidRPr="00892DE3" w:rsidRDefault="00C0656E" w:rsidP="00C0656E">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80" w:type="dxa"/>
            <w:noWrap/>
            <w:hideMark/>
          </w:tcPr>
          <w:p w:rsidR="00C0656E" w:rsidRPr="00892DE3" w:rsidRDefault="00C0656E" w:rsidP="00C76064">
            <w:pPr>
              <w:cnfStyle w:val="100000000000" w:firstRow="1" w:lastRow="0" w:firstColumn="0" w:lastColumn="0" w:oddVBand="0" w:evenVBand="0" w:oddHBand="0" w:evenHBand="0" w:firstRowFirstColumn="0" w:firstRowLastColumn="0" w:lastRowFirstColumn="0" w:lastRowLastColumn="0"/>
            </w:pPr>
            <w:r w:rsidRPr="00892DE3">
              <w:t>2017</w:t>
            </w:r>
          </w:p>
        </w:tc>
        <w:tc>
          <w:tcPr>
            <w:tcW w:w="980" w:type="dxa"/>
            <w:noWrap/>
            <w:hideMark/>
          </w:tcPr>
          <w:p w:rsidR="00C0656E" w:rsidRPr="00892DE3" w:rsidRDefault="00C0656E" w:rsidP="00C76064">
            <w:pPr>
              <w:cnfStyle w:val="100000000000" w:firstRow="1" w:lastRow="0" w:firstColumn="0" w:lastColumn="0" w:oddVBand="0" w:evenVBand="0" w:oddHBand="0" w:evenHBand="0" w:firstRowFirstColumn="0" w:firstRowLastColumn="0" w:lastRowFirstColumn="0" w:lastRowLastColumn="0"/>
            </w:pPr>
            <w:r w:rsidRPr="00892DE3">
              <w:t>2016</w:t>
            </w:r>
          </w:p>
        </w:tc>
      </w:tr>
      <w:tr w:rsidR="00C0656E" w:rsidRPr="00892DE3" w:rsidTr="00C0656E">
        <w:trPr>
          <w:trHeight w:val="255"/>
        </w:trPr>
        <w:tc>
          <w:tcPr>
            <w:cnfStyle w:val="001000000000" w:firstRow="0" w:lastRow="0" w:firstColumn="1" w:lastColumn="0" w:oddVBand="0" w:evenVBand="0" w:oddHBand="0" w:evenHBand="0" w:firstRowFirstColumn="0" w:firstRowLastColumn="0" w:lastRowFirstColumn="0" w:lastRowLastColumn="0"/>
            <w:tcW w:w="1289" w:type="dxa"/>
            <w:tcBorders>
              <w:bottom w:val="nil"/>
            </w:tcBorders>
            <w:shd w:val="clear" w:color="auto" w:fill="auto"/>
          </w:tcPr>
          <w:p w:rsidR="00C0656E" w:rsidRPr="00892DE3" w:rsidRDefault="00C0656E" w:rsidP="00C0656E"/>
        </w:tc>
        <w:tc>
          <w:tcPr>
            <w:tcW w:w="6467" w:type="dxa"/>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pPr>
            <w:r w:rsidRPr="00892DE3">
              <w:t>Interest on government loans</w:t>
            </w:r>
          </w:p>
        </w:tc>
        <w:tc>
          <w:tcPr>
            <w:tcW w:w="980" w:type="dxa"/>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 xml:space="preserve"> 172</w:t>
            </w:r>
          </w:p>
        </w:tc>
        <w:tc>
          <w:tcPr>
            <w:tcW w:w="980" w:type="dxa"/>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 xml:space="preserve"> 390</w:t>
            </w:r>
          </w:p>
        </w:tc>
      </w:tr>
      <w:tr w:rsidR="00C0656E" w:rsidRPr="00892DE3" w:rsidTr="00C0656E">
        <w:trPr>
          <w:trHeight w:val="255"/>
        </w:trPr>
        <w:tc>
          <w:tcPr>
            <w:cnfStyle w:val="001000000000" w:firstRow="0" w:lastRow="0" w:firstColumn="1" w:lastColumn="0" w:oddVBand="0" w:evenVBand="0" w:oddHBand="0" w:evenHBand="0" w:firstRowFirstColumn="0" w:firstRowLastColumn="0" w:lastRowFirstColumn="0" w:lastRowLastColumn="0"/>
            <w:tcW w:w="1289" w:type="dxa"/>
            <w:tcBorders>
              <w:bottom w:val="nil"/>
            </w:tcBorders>
            <w:shd w:val="clear" w:color="auto" w:fill="auto"/>
          </w:tcPr>
          <w:p w:rsidR="00C0656E" w:rsidRPr="00892DE3" w:rsidRDefault="00C0656E" w:rsidP="00C0656E"/>
        </w:tc>
        <w:tc>
          <w:tcPr>
            <w:tcW w:w="6467" w:type="dxa"/>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pPr>
            <w:r w:rsidRPr="00892DE3">
              <w:t>Interest on finance leases</w:t>
            </w:r>
            <w:r w:rsidR="008129E8" w:rsidRPr="00892DE3">
              <w:rPr>
                <w:vertAlign w:val="superscript"/>
              </w:rPr>
              <w:t xml:space="preserve"> (a</w:t>
            </w:r>
            <w:r w:rsidRPr="00892DE3">
              <w:rPr>
                <w:vertAlign w:val="superscript"/>
              </w:rPr>
              <w:t>)</w:t>
            </w:r>
          </w:p>
        </w:tc>
        <w:tc>
          <w:tcPr>
            <w:tcW w:w="980" w:type="dxa"/>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1 139</w:t>
            </w:r>
          </w:p>
        </w:tc>
        <w:tc>
          <w:tcPr>
            <w:tcW w:w="980" w:type="dxa"/>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1 195</w:t>
            </w:r>
          </w:p>
        </w:tc>
      </w:tr>
      <w:tr w:rsidR="00C0656E" w:rsidRPr="00892DE3" w:rsidTr="00C0656E">
        <w:trPr>
          <w:trHeight w:val="255"/>
        </w:trPr>
        <w:tc>
          <w:tcPr>
            <w:cnfStyle w:val="001000000000" w:firstRow="0" w:lastRow="0" w:firstColumn="1" w:lastColumn="0" w:oddVBand="0" w:evenVBand="0" w:oddHBand="0" w:evenHBand="0" w:firstRowFirstColumn="0" w:firstRowLastColumn="0" w:lastRowFirstColumn="0" w:lastRowLastColumn="0"/>
            <w:tcW w:w="1289" w:type="dxa"/>
            <w:tcBorders>
              <w:bottom w:val="nil"/>
            </w:tcBorders>
            <w:shd w:val="clear" w:color="auto" w:fill="auto"/>
          </w:tcPr>
          <w:p w:rsidR="00C0656E" w:rsidRPr="00892DE3" w:rsidRDefault="00C0656E" w:rsidP="00C0656E"/>
        </w:tc>
        <w:tc>
          <w:tcPr>
            <w:tcW w:w="6467" w:type="dxa"/>
            <w:tcBorders>
              <w:bottom w:val="single" w:sz="4" w:space="0" w:color="auto"/>
            </w:tcBorders>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pPr>
            <w:r w:rsidRPr="00892DE3">
              <w:t>Other interest expense</w:t>
            </w:r>
          </w:p>
        </w:tc>
        <w:tc>
          <w:tcPr>
            <w:tcW w:w="980" w:type="dxa"/>
            <w:tcBorders>
              <w:bottom w:val="single" w:sz="4" w:space="0" w:color="auto"/>
            </w:tcBorders>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1 055</w:t>
            </w:r>
          </w:p>
        </w:tc>
        <w:tc>
          <w:tcPr>
            <w:tcW w:w="980" w:type="dxa"/>
            <w:tcBorders>
              <w:bottom w:val="single" w:sz="4" w:space="0" w:color="auto"/>
            </w:tcBorders>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pPr>
            <w:r w:rsidRPr="00892DE3">
              <w:t xml:space="preserve"> 750</w:t>
            </w:r>
          </w:p>
        </w:tc>
      </w:tr>
      <w:tr w:rsidR="00C0656E" w:rsidRPr="00892DE3" w:rsidTr="00C0656E">
        <w:trPr>
          <w:trHeight w:val="255"/>
        </w:trPr>
        <w:tc>
          <w:tcPr>
            <w:cnfStyle w:val="001000000000" w:firstRow="0" w:lastRow="0" w:firstColumn="1" w:lastColumn="0" w:oddVBand="0" w:evenVBand="0" w:oddHBand="0" w:evenHBand="0" w:firstRowFirstColumn="0" w:firstRowLastColumn="0" w:lastRowFirstColumn="0" w:lastRowLastColumn="0"/>
            <w:tcW w:w="1289" w:type="dxa"/>
            <w:tcBorders>
              <w:bottom w:val="nil"/>
            </w:tcBorders>
            <w:shd w:val="clear" w:color="auto" w:fill="auto"/>
          </w:tcPr>
          <w:p w:rsidR="00C0656E" w:rsidRPr="00892DE3" w:rsidRDefault="00C0656E" w:rsidP="00C0656E">
            <w:r w:rsidRPr="00892DE3">
              <w:t>AASB 7.20(b)</w:t>
            </w:r>
          </w:p>
        </w:tc>
        <w:tc>
          <w:tcPr>
            <w:tcW w:w="6467" w:type="dxa"/>
            <w:tcBorders>
              <w:top w:val="single" w:sz="4" w:space="0" w:color="auto"/>
              <w:bottom w:val="single" w:sz="12" w:space="0" w:color="auto"/>
            </w:tcBorders>
          </w:tcPr>
          <w:p w:rsidR="00C0656E" w:rsidRPr="00892DE3" w:rsidRDefault="00C0656E" w:rsidP="00C0656E">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interest expense</w:t>
            </w:r>
          </w:p>
        </w:tc>
        <w:tc>
          <w:tcPr>
            <w:tcW w:w="980" w:type="dxa"/>
            <w:tcBorders>
              <w:top w:val="single" w:sz="4" w:space="0" w:color="auto"/>
              <w:bottom w:val="single" w:sz="12" w:space="0" w:color="auto"/>
            </w:tcBorders>
            <w:shd w:val="clear" w:color="auto" w:fill="EBEBEB" w:themeFill="background2"/>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rPr>
                <w:b/>
              </w:rPr>
            </w:pPr>
            <w:r w:rsidRPr="00892DE3">
              <w:rPr>
                <w:b/>
              </w:rPr>
              <w:t>2 366</w:t>
            </w:r>
          </w:p>
        </w:tc>
        <w:tc>
          <w:tcPr>
            <w:tcW w:w="980" w:type="dxa"/>
            <w:tcBorders>
              <w:top w:val="single" w:sz="4" w:space="0" w:color="auto"/>
              <w:bottom w:val="single" w:sz="12" w:space="0" w:color="auto"/>
            </w:tcBorders>
            <w:noWrap/>
          </w:tcPr>
          <w:p w:rsidR="00C0656E" w:rsidRPr="00892DE3" w:rsidRDefault="00C0656E" w:rsidP="00C76064">
            <w:pPr>
              <w:cnfStyle w:val="000000000000" w:firstRow="0" w:lastRow="0" w:firstColumn="0" w:lastColumn="0" w:oddVBand="0" w:evenVBand="0" w:oddHBand="0" w:evenHBand="0" w:firstRowFirstColumn="0" w:firstRowLastColumn="0" w:lastRowFirstColumn="0" w:lastRowLastColumn="0"/>
              <w:rPr>
                <w:b/>
              </w:rPr>
            </w:pPr>
            <w:r w:rsidRPr="00892DE3">
              <w:rPr>
                <w:b/>
              </w:rPr>
              <w:t>2 336</w:t>
            </w:r>
          </w:p>
        </w:tc>
      </w:tr>
    </w:tbl>
    <w:p w:rsidR="00C0656E" w:rsidRPr="00892DE3" w:rsidRDefault="00C0656E" w:rsidP="00C0656E">
      <w:pPr>
        <w:pStyle w:val="Note"/>
      </w:pPr>
      <w:r w:rsidRPr="00892DE3">
        <w:t xml:space="preserve">Note: </w:t>
      </w:r>
    </w:p>
    <w:p w:rsidR="00C0656E" w:rsidRPr="00892DE3" w:rsidRDefault="00C0656E" w:rsidP="00C0656E">
      <w:pPr>
        <w:pStyle w:val="Note"/>
      </w:pPr>
      <w:r w:rsidRPr="00892DE3">
        <w:t>(</w:t>
      </w:r>
      <w:r w:rsidR="008129E8" w:rsidRPr="00892DE3">
        <w:t>a</w:t>
      </w:r>
      <w:r w:rsidRPr="00892DE3">
        <w:t>)</w:t>
      </w:r>
      <w:r w:rsidRPr="00892DE3">
        <w:tab/>
        <w:t>Of the balance in ‘interest on finance leases’, $XXX [$xxx in 2016] related to assets contracted under the PPP arrangements.</w:t>
      </w:r>
    </w:p>
    <w:p w:rsidR="00C0656E" w:rsidRPr="00892DE3" w:rsidRDefault="00C0656E" w:rsidP="00C0656E">
      <w:r w:rsidRPr="00892DE3">
        <w:t>‘Interest expense’ includes costs incurred in connection with the borrowing of funds and includes interest on bank overdrafts and short term and long term borrowings, amortisation of discounts or premiums relating to borrowings, interest component of finance leases repayments, and the increase in financial liabilities and non-employee provisions due to the unwinding of discounts to reflect the passage of time.</w:t>
      </w:r>
    </w:p>
    <w:p w:rsidR="00C0656E" w:rsidRPr="00892DE3" w:rsidRDefault="00C0656E" w:rsidP="00C0656E">
      <w:r w:rsidRPr="00892DE3">
        <w:t xml:space="preserve">Interest expense is recognised in the period in which it is incurred. </w:t>
      </w:r>
      <w:r w:rsidRPr="00892DE3">
        <w:rPr>
          <w:rStyle w:val="SourceReference"/>
        </w:rPr>
        <w:t>[AASB 123.8 and 123.9; FRD 105A]</w:t>
      </w:r>
    </w:p>
    <w:p w:rsidR="00C0656E" w:rsidRPr="00892DE3" w:rsidRDefault="00C0656E" w:rsidP="00C0656E">
      <w:r w:rsidRPr="00892DE3">
        <w:t xml:space="preserve">The Department recognises borrowing costs immediately as an expense, even where they are directly attributable to the acquisition, construction or production of a qualifying asset. </w:t>
      </w:r>
      <w:r w:rsidRPr="00892DE3">
        <w:rPr>
          <w:rStyle w:val="SourceReference"/>
        </w:rPr>
        <w:t>[AASB 123.Aus1.0, Aus8.1]</w:t>
      </w:r>
    </w:p>
    <w:p w:rsidR="00C0656E" w:rsidRPr="00892DE3" w:rsidRDefault="00C0656E" w:rsidP="00C0656E"/>
    <w:p w:rsidR="00C0656E" w:rsidRPr="00892DE3" w:rsidRDefault="00C0656E">
      <w:r w:rsidRPr="00892DE3">
        <w:rPr>
          <w:b/>
        </w:rPr>
        <w:br w:type="page"/>
      </w:r>
    </w:p>
    <w:tbl>
      <w:tblPr>
        <w:tblStyle w:val="ModelReportGuidanceTable"/>
        <w:tblW w:w="0" w:type="auto"/>
        <w:tblLook w:val="04A0" w:firstRow="1" w:lastRow="0" w:firstColumn="1" w:lastColumn="0" w:noHBand="0" w:noVBand="1"/>
      </w:tblPr>
      <w:tblGrid>
        <w:gridCol w:w="9752"/>
      </w:tblGrid>
      <w:tr w:rsidR="00C0656E" w:rsidRPr="00892DE3" w:rsidTr="00420768">
        <w:trPr>
          <w:cnfStyle w:val="100000000000" w:firstRow="1" w:lastRow="0" w:firstColumn="0" w:lastColumn="0" w:oddVBand="0" w:evenVBand="0" w:oddHBand="0" w:evenHBand="0" w:firstRowFirstColumn="0" w:firstRowLastColumn="0" w:lastRowFirstColumn="0" w:lastRowLastColumn="0"/>
        </w:trPr>
        <w:tc>
          <w:tcPr>
            <w:tcW w:w="9752" w:type="dxa"/>
          </w:tcPr>
          <w:p w:rsidR="00C0656E" w:rsidRPr="00892DE3" w:rsidRDefault="00C0656E" w:rsidP="00C0656E">
            <w:r w:rsidRPr="00892DE3">
              <w:t>Guidance – Borrowing costs</w:t>
            </w:r>
          </w:p>
        </w:tc>
      </w:tr>
      <w:tr w:rsidR="00C0656E" w:rsidRPr="00892DE3" w:rsidTr="00420768">
        <w:tc>
          <w:tcPr>
            <w:tcW w:w="9752" w:type="dxa"/>
          </w:tcPr>
          <w:p w:rsidR="00C0656E" w:rsidRPr="00892DE3" w:rsidRDefault="00C0656E" w:rsidP="00C0656E">
            <w:r w:rsidRPr="00892DE3">
              <w:t>Borrowing costs are interest and other costs incurred by an entity in connection with the borrowing of funds and may include:</w:t>
            </w:r>
          </w:p>
          <w:p w:rsidR="00C0656E" w:rsidRPr="00892DE3" w:rsidRDefault="00C0656E" w:rsidP="00C0656E">
            <w:pPr>
              <w:pStyle w:val="List"/>
            </w:pPr>
            <w:r w:rsidRPr="00892DE3">
              <w:t>(a)</w:t>
            </w:r>
            <w:r w:rsidRPr="00892DE3">
              <w:tab/>
              <w:t>interest expense calculated using the effective interest method as described in AASB 139 Financial Instruments: Recognition and Measurement;</w:t>
            </w:r>
          </w:p>
          <w:p w:rsidR="00C0656E" w:rsidRPr="00892DE3" w:rsidRDefault="00C0656E" w:rsidP="00C0656E">
            <w:pPr>
              <w:pStyle w:val="List"/>
            </w:pPr>
            <w:r w:rsidRPr="00892DE3">
              <w:t>(b)</w:t>
            </w:r>
            <w:r w:rsidRPr="00892DE3">
              <w:tab/>
              <w:t>finance charges in respect of finance leases recognised in accordance with AASB 117 Leases; and</w:t>
            </w:r>
          </w:p>
          <w:p w:rsidR="00C0656E" w:rsidRPr="00892DE3" w:rsidRDefault="00C0656E" w:rsidP="00C0656E">
            <w:pPr>
              <w:pStyle w:val="List"/>
            </w:pPr>
            <w:r w:rsidRPr="00892DE3">
              <w:t>(c)</w:t>
            </w:r>
            <w:r w:rsidRPr="00892DE3">
              <w:tab/>
              <w:t xml:space="preserve">exchange differences arising from foreign currency borrowings to the extent that they are regarded as an adjustment to interest costs. </w:t>
            </w:r>
            <w:r w:rsidRPr="00892DE3">
              <w:rPr>
                <w:rStyle w:val="SourceReference"/>
              </w:rPr>
              <w:t>[AASB 123.5 and 123.6]</w:t>
            </w:r>
          </w:p>
        </w:tc>
      </w:tr>
    </w:tbl>
    <w:p w:rsidR="00420768" w:rsidRPr="00892DE3" w:rsidRDefault="00420768" w:rsidP="006422A1">
      <w:pPr>
        <w:pStyle w:val="Heading2"/>
      </w:pPr>
      <w:bookmarkStart w:id="141" w:name="_Toc489535458"/>
      <w:bookmarkStart w:id="142" w:name="_Toc489535465"/>
      <w:r w:rsidRPr="00892DE3">
        <w:t>Leases</w:t>
      </w:r>
      <w:bookmarkEnd w:id="141"/>
      <w:bookmarkEnd w:id="142"/>
    </w:p>
    <w:p w:rsidR="00420768" w:rsidRPr="00892DE3" w:rsidRDefault="00420768" w:rsidP="0019303F">
      <w:pPr>
        <w:pStyle w:val="Heading3"/>
      </w:pPr>
      <w:r w:rsidRPr="00892DE3">
        <w:t xml:space="preserve">Finance lease liabilities (Department as lessee) </w:t>
      </w:r>
      <w:r w:rsidRPr="00892DE3">
        <w:rPr>
          <w:rStyle w:val="SourceReference"/>
          <w:b w:val="0"/>
        </w:rPr>
        <w:t>[AASB 117.27]</w:t>
      </w:r>
    </w:p>
    <w:p w:rsidR="00420768" w:rsidRPr="00892DE3" w:rsidRDefault="007A326D" w:rsidP="00420768">
      <w:pPr>
        <w:pStyle w:val="TableUnits"/>
      </w:pPr>
      <w:r w:rsidRPr="00892DE3">
        <w:t xml:space="preserve"> </w:t>
      </w:r>
      <w:r w:rsidR="00420768"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308"/>
        <w:gridCol w:w="1074"/>
        <w:gridCol w:w="1076"/>
        <w:gridCol w:w="1165"/>
        <w:gridCol w:w="1014"/>
      </w:tblGrid>
      <w:tr w:rsidR="00420768" w:rsidRPr="00892DE3" w:rsidTr="00C85A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C85AA1">
            <w:pPr>
              <w:ind w:left="0" w:firstLine="0"/>
            </w:pPr>
          </w:p>
        </w:tc>
        <w:tc>
          <w:tcPr>
            <w:tcW w:w="2150" w:type="dxa"/>
            <w:gridSpan w:val="2"/>
            <w:noWrap/>
            <w:hideMark/>
          </w:tcPr>
          <w:p w:rsidR="00420768" w:rsidRPr="00892DE3" w:rsidRDefault="00420768" w:rsidP="00C85AA1">
            <w:pPr>
              <w:jc w:val="center"/>
              <w:cnfStyle w:val="100000000000" w:firstRow="1" w:lastRow="0" w:firstColumn="0" w:lastColumn="0" w:oddVBand="0" w:evenVBand="0" w:oddHBand="0" w:evenHBand="0" w:firstRowFirstColumn="0" w:firstRowLastColumn="0" w:lastRowFirstColumn="0" w:lastRowLastColumn="0"/>
            </w:pPr>
            <w:r w:rsidRPr="00892DE3">
              <w:t xml:space="preserve">Minimum future lease payments </w:t>
            </w:r>
            <w:r w:rsidRPr="00892DE3">
              <w:rPr>
                <w:vertAlign w:val="superscript"/>
              </w:rPr>
              <w:t>(a)</w:t>
            </w:r>
          </w:p>
        </w:tc>
        <w:tc>
          <w:tcPr>
            <w:tcW w:w="2179" w:type="dxa"/>
            <w:gridSpan w:val="2"/>
            <w:noWrap/>
            <w:hideMark/>
          </w:tcPr>
          <w:p w:rsidR="00420768" w:rsidRPr="00892DE3" w:rsidRDefault="00420768" w:rsidP="00C85AA1">
            <w:pPr>
              <w:jc w:val="center"/>
              <w:cnfStyle w:val="100000000000" w:firstRow="1" w:lastRow="0" w:firstColumn="0" w:lastColumn="0" w:oddVBand="0" w:evenVBand="0" w:oddHBand="0" w:evenHBand="0" w:firstRowFirstColumn="0" w:firstRowLastColumn="0" w:lastRowFirstColumn="0" w:lastRowLastColumn="0"/>
            </w:pPr>
            <w:r w:rsidRPr="00892DE3">
              <w:t>Present value of minimum future lease payments</w:t>
            </w:r>
          </w:p>
        </w:tc>
      </w:tr>
      <w:tr w:rsidR="00420768" w:rsidRPr="00892DE3" w:rsidTr="00C85A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C85AA1">
            <w:pPr>
              <w:ind w:left="0" w:firstLine="0"/>
            </w:pPr>
            <w:r w:rsidRPr="00892DE3">
              <w:t xml:space="preserve"> </w:t>
            </w:r>
          </w:p>
        </w:tc>
        <w:tc>
          <w:tcPr>
            <w:tcW w:w="1074" w:type="dxa"/>
            <w:noWrap/>
            <w:hideMark/>
          </w:tcPr>
          <w:p w:rsidR="00420768" w:rsidRPr="00892DE3" w:rsidRDefault="00420768" w:rsidP="00C85AA1">
            <w:pPr>
              <w:cnfStyle w:val="100000000000" w:firstRow="1" w:lastRow="0" w:firstColumn="0" w:lastColumn="0" w:oddVBand="0" w:evenVBand="0" w:oddHBand="0" w:evenHBand="0" w:firstRowFirstColumn="0" w:firstRowLastColumn="0" w:lastRowFirstColumn="0" w:lastRowLastColumn="0"/>
            </w:pPr>
            <w:r w:rsidRPr="00892DE3">
              <w:t>2017</w:t>
            </w:r>
          </w:p>
        </w:tc>
        <w:tc>
          <w:tcPr>
            <w:tcW w:w="1076" w:type="dxa"/>
            <w:noWrap/>
            <w:hideMark/>
          </w:tcPr>
          <w:p w:rsidR="00420768" w:rsidRPr="00892DE3" w:rsidRDefault="00420768" w:rsidP="00C85AA1">
            <w:pPr>
              <w:cnfStyle w:val="100000000000" w:firstRow="1" w:lastRow="0" w:firstColumn="0" w:lastColumn="0" w:oddVBand="0" w:evenVBand="0" w:oddHBand="0" w:evenHBand="0" w:firstRowFirstColumn="0" w:firstRowLastColumn="0" w:lastRowFirstColumn="0" w:lastRowLastColumn="0"/>
            </w:pPr>
            <w:r w:rsidRPr="00892DE3">
              <w:t>2016</w:t>
            </w:r>
          </w:p>
        </w:tc>
        <w:tc>
          <w:tcPr>
            <w:tcW w:w="1165" w:type="dxa"/>
            <w:noWrap/>
            <w:hideMark/>
          </w:tcPr>
          <w:p w:rsidR="00420768" w:rsidRPr="00892DE3" w:rsidRDefault="00420768" w:rsidP="00C85AA1">
            <w:pPr>
              <w:cnfStyle w:val="100000000000" w:firstRow="1" w:lastRow="0" w:firstColumn="0" w:lastColumn="0" w:oddVBand="0" w:evenVBand="0" w:oddHBand="0" w:evenHBand="0" w:firstRowFirstColumn="0" w:firstRowLastColumn="0" w:lastRowFirstColumn="0" w:lastRowLastColumn="0"/>
            </w:pPr>
            <w:r w:rsidRPr="00892DE3">
              <w:t>2017</w:t>
            </w:r>
          </w:p>
        </w:tc>
        <w:tc>
          <w:tcPr>
            <w:tcW w:w="1014" w:type="dxa"/>
            <w:noWrap/>
            <w:hideMark/>
          </w:tcPr>
          <w:p w:rsidR="00420768" w:rsidRPr="00892DE3" w:rsidRDefault="00420768" w:rsidP="00C85AA1">
            <w:pPr>
              <w:cnfStyle w:val="100000000000" w:firstRow="1" w:lastRow="0" w:firstColumn="0" w:lastColumn="0" w:oddVBand="0" w:evenVBand="0" w:oddHBand="0" w:evenHBand="0" w:firstRowFirstColumn="0" w:firstRowLastColumn="0" w:lastRowFirstColumn="0" w:lastRowLastColumn="0"/>
            </w:pPr>
            <w:r w:rsidRPr="00892DE3">
              <w:t>2016</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C85AA1">
            <w:pPr>
              <w:rPr>
                <w:rFonts w:cstheme="majorHAnsi"/>
                <w:b/>
              </w:rPr>
            </w:pPr>
            <w:r w:rsidRPr="00892DE3">
              <w:rPr>
                <w:rFonts w:cstheme="majorHAnsi"/>
                <w:b/>
              </w:rPr>
              <w:t>Commissioned PPP related finance lease liabilities payable</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7E6CE1">
            <w:pPr>
              <w:rPr>
                <w:rFonts w:cstheme="majorHAnsi"/>
              </w:rPr>
            </w:pPr>
            <w:r w:rsidRPr="00892DE3">
              <w:rPr>
                <w:rFonts w:cstheme="majorHAnsi"/>
              </w:rPr>
              <w:t xml:space="preserve">Not longer than </w:t>
            </w:r>
            <w:r w:rsidR="007E6CE1" w:rsidRPr="00892DE3">
              <w:rPr>
                <w:rFonts w:cstheme="majorHAnsi"/>
              </w:rPr>
              <w:t>1</w:t>
            </w:r>
            <w:r w:rsidRPr="00892DE3">
              <w:rPr>
                <w:rFonts w:cstheme="majorHAnsi"/>
              </w:rPr>
              <w:t xml:space="preserve"> year</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3 415</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8 606</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2 845</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7 172</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7E6CE1">
            <w:pPr>
              <w:rPr>
                <w:rFonts w:cstheme="majorHAnsi"/>
              </w:rPr>
            </w:pPr>
            <w:r w:rsidRPr="00892DE3">
              <w:rPr>
                <w:rFonts w:cstheme="majorHAnsi"/>
              </w:rPr>
              <w:t xml:space="preserve">Longer than </w:t>
            </w:r>
            <w:r w:rsidR="007E6CE1" w:rsidRPr="00892DE3">
              <w:rPr>
                <w:rFonts w:cstheme="majorHAnsi"/>
              </w:rPr>
              <w:t>1</w:t>
            </w:r>
            <w:r w:rsidRPr="00892DE3">
              <w:rPr>
                <w:rFonts w:cstheme="majorHAnsi"/>
              </w:rPr>
              <w:t xml:space="preserve"> year but not longer than </w:t>
            </w:r>
            <w:r w:rsidR="007E6CE1" w:rsidRPr="00892DE3">
              <w:rPr>
                <w:rFonts w:cstheme="majorHAnsi"/>
              </w:rPr>
              <w:t>5</w:t>
            </w:r>
            <w:r w:rsidRPr="00892DE3">
              <w:rPr>
                <w:rFonts w:cstheme="majorHAnsi"/>
              </w:rPr>
              <w:t xml:space="preserve"> years</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960</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2 356</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800</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1 963</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7E6CE1">
            <w:pPr>
              <w:rPr>
                <w:rFonts w:cstheme="majorHAnsi"/>
              </w:rPr>
            </w:pPr>
            <w:r w:rsidRPr="00892DE3">
              <w:rPr>
                <w:rFonts w:cstheme="majorHAnsi"/>
              </w:rPr>
              <w:t xml:space="preserve">Longer than </w:t>
            </w:r>
            <w:r w:rsidR="007E6CE1" w:rsidRPr="00892DE3">
              <w:rPr>
                <w:rFonts w:cstheme="majorHAnsi"/>
              </w:rPr>
              <w:t>5</w:t>
            </w:r>
            <w:r w:rsidRPr="00892DE3">
              <w:rPr>
                <w:rFonts w:cstheme="majorHAnsi"/>
              </w:rPr>
              <w:t xml:space="preserve"> years</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1 919</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4 712</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1 599</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3 926</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C85AA1">
            <w:pPr>
              <w:rPr>
                <w:rFonts w:cstheme="majorHAnsi"/>
                <w:b/>
              </w:rPr>
            </w:pPr>
            <w:r w:rsidRPr="00892DE3">
              <w:rPr>
                <w:rFonts w:cstheme="majorHAnsi"/>
                <w:b/>
              </w:rPr>
              <w:t xml:space="preserve">Other finance lease liabilities payable </w:t>
            </w:r>
            <w:r w:rsidRPr="00892DE3">
              <w:rPr>
                <w:rFonts w:cstheme="majorHAnsi"/>
                <w:b/>
                <w:vertAlign w:val="superscript"/>
              </w:rPr>
              <w:t>(b)</w:t>
            </w:r>
          </w:p>
        </w:tc>
        <w:tc>
          <w:tcPr>
            <w:tcW w:w="1074" w:type="dxa"/>
            <w:noWrap/>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076" w:type="dxa"/>
            <w:noWrap/>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65" w:type="dxa"/>
            <w:noWrap/>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014" w:type="dxa"/>
            <w:noWrap/>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7E6CE1">
            <w:pPr>
              <w:rPr>
                <w:rFonts w:cstheme="majorHAnsi"/>
              </w:rPr>
            </w:pPr>
            <w:r w:rsidRPr="00892DE3">
              <w:rPr>
                <w:rFonts w:cstheme="majorHAnsi"/>
              </w:rPr>
              <w:t xml:space="preserve">Not longer than </w:t>
            </w:r>
            <w:r w:rsidR="007E6CE1" w:rsidRPr="00892DE3">
              <w:rPr>
                <w:rFonts w:cstheme="majorHAnsi"/>
              </w:rPr>
              <w:t>1</w:t>
            </w:r>
            <w:r w:rsidRPr="00892DE3">
              <w:rPr>
                <w:rFonts w:cstheme="majorHAnsi"/>
              </w:rPr>
              <w:t xml:space="preserve"> year</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1 463</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3 688</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1 220</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3 074</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7E6CE1">
            <w:pPr>
              <w:rPr>
                <w:rFonts w:cstheme="majorHAnsi"/>
              </w:rPr>
            </w:pPr>
            <w:r w:rsidRPr="00892DE3">
              <w:rPr>
                <w:rFonts w:cstheme="majorHAnsi"/>
              </w:rPr>
              <w:t xml:space="preserve">Longer than </w:t>
            </w:r>
            <w:r w:rsidR="007E6CE1" w:rsidRPr="00892DE3">
              <w:rPr>
                <w:rFonts w:cstheme="majorHAnsi"/>
              </w:rPr>
              <w:t>1</w:t>
            </w:r>
            <w:r w:rsidRPr="00892DE3">
              <w:rPr>
                <w:rFonts w:cstheme="majorHAnsi"/>
              </w:rPr>
              <w:t xml:space="preserve"> year but not longer than </w:t>
            </w:r>
            <w:r w:rsidR="007E6CE1" w:rsidRPr="00892DE3">
              <w:rPr>
                <w:rFonts w:cstheme="majorHAnsi"/>
              </w:rPr>
              <w:t>5</w:t>
            </w:r>
            <w:r w:rsidRPr="00892DE3">
              <w:rPr>
                <w:rFonts w:cstheme="majorHAnsi"/>
              </w:rPr>
              <w:t xml:space="preserve"> years</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1 440</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3 534</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1 200</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2 945</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7E6CE1">
            <w:pPr>
              <w:rPr>
                <w:rFonts w:cstheme="majorHAnsi"/>
              </w:rPr>
            </w:pPr>
            <w:r w:rsidRPr="00892DE3">
              <w:rPr>
                <w:rFonts w:cstheme="majorHAnsi"/>
              </w:rPr>
              <w:t xml:space="preserve">Longer than </w:t>
            </w:r>
            <w:r w:rsidR="007E6CE1" w:rsidRPr="00892DE3">
              <w:rPr>
                <w:rFonts w:cstheme="majorHAnsi"/>
              </w:rPr>
              <w:t>5</w:t>
            </w:r>
            <w:r w:rsidRPr="00892DE3">
              <w:rPr>
                <w:rFonts w:cstheme="majorHAnsi"/>
              </w:rPr>
              <w:t xml:space="preserve"> years</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480</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1 178</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400</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982</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C85AA1">
            <w:pPr>
              <w:rPr>
                <w:rFonts w:cstheme="majorHAnsi"/>
                <w:b/>
              </w:rPr>
            </w:pPr>
            <w:r w:rsidRPr="00892DE3">
              <w:rPr>
                <w:rFonts w:cstheme="majorHAnsi"/>
                <w:b/>
              </w:rPr>
              <w:t>Minimum future lease payments</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9 677</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24 074</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8 064</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20 062</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C85AA1">
            <w:pPr>
              <w:rPr>
                <w:rFonts w:cstheme="majorHAnsi"/>
              </w:rPr>
            </w:pPr>
            <w:r w:rsidRPr="00892DE3">
              <w:rPr>
                <w:rFonts w:cstheme="majorHAnsi"/>
              </w:rPr>
              <w:t>Less future finance charges</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(1 613)</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(4 012)</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C85AA1">
            <w:pPr>
              <w:rPr>
                <w:rFonts w:cstheme="majorHAnsi"/>
                <w:b/>
              </w:rPr>
            </w:pPr>
            <w:r w:rsidRPr="00892DE3">
              <w:rPr>
                <w:rFonts w:cstheme="majorHAnsi"/>
                <w:b/>
              </w:rPr>
              <w:t>Present value of minimum lease payments</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8 064</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20 062</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8 064</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20 062</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C85AA1">
            <w:pPr>
              <w:rPr>
                <w:rFonts w:cstheme="majorHAnsi"/>
              </w:rPr>
            </w:pPr>
            <w:r w:rsidRPr="00892DE3">
              <w:rPr>
                <w:rFonts w:cstheme="majorHAnsi"/>
              </w:rPr>
              <w:t>Included in the financial statements as:</w:t>
            </w:r>
          </w:p>
        </w:tc>
        <w:tc>
          <w:tcPr>
            <w:tcW w:w="1074" w:type="dxa"/>
            <w:noWrap/>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p>
        </w:tc>
        <w:tc>
          <w:tcPr>
            <w:tcW w:w="1076" w:type="dxa"/>
            <w:noWrap/>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p>
        </w:tc>
        <w:tc>
          <w:tcPr>
            <w:tcW w:w="1165" w:type="dxa"/>
            <w:noWrap/>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p>
        </w:tc>
        <w:tc>
          <w:tcPr>
            <w:tcW w:w="1014" w:type="dxa"/>
            <w:noWrap/>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hideMark/>
          </w:tcPr>
          <w:p w:rsidR="00420768" w:rsidRPr="00892DE3" w:rsidRDefault="00420768" w:rsidP="00C85AA1">
            <w:pPr>
              <w:rPr>
                <w:rFonts w:cstheme="majorHAnsi"/>
              </w:rPr>
            </w:pPr>
            <w:r w:rsidRPr="00892DE3">
              <w:rPr>
                <w:rFonts w:cstheme="majorHAnsi"/>
              </w:rPr>
              <w:t>Current borrowings lease liabilities (Note 7.1)</w:t>
            </w:r>
          </w:p>
        </w:tc>
        <w:tc>
          <w:tcPr>
            <w:tcW w:w="107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76"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65"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4 065</w:t>
            </w:r>
          </w:p>
        </w:tc>
        <w:tc>
          <w:tcPr>
            <w:tcW w:w="1014" w:type="dxa"/>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10 246</w:t>
            </w:r>
          </w:p>
        </w:tc>
      </w:tr>
      <w:tr w:rsidR="00420768" w:rsidRPr="00892DE3" w:rsidTr="00C85AA1">
        <w:tc>
          <w:tcPr>
            <w:cnfStyle w:val="001000000000" w:firstRow="0" w:lastRow="0" w:firstColumn="1" w:lastColumn="0" w:oddVBand="0" w:evenVBand="0" w:oddHBand="0" w:evenHBand="0" w:firstRowFirstColumn="0" w:firstRowLastColumn="0" w:lastRowFirstColumn="0" w:lastRowLastColumn="0"/>
            <w:tcW w:w="5308" w:type="dxa"/>
            <w:tcBorders>
              <w:bottom w:val="single" w:sz="4" w:space="0" w:color="auto"/>
            </w:tcBorders>
            <w:hideMark/>
          </w:tcPr>
          <w:p w:rsidR="00420768" w:rsidRPr="00892DE3" w:rsidRDefault="00420768" w:rsidP="00C85AA1">
            <w:pPr>
              <w:rPr>
                <w:rFonts w:cstheme="majorHAnsi"/>
              </w:rPr>
            </w:pPr>
            <w:r w:rsidRPr="00892DE3">
              <w:rPr>
                <w:rFonts w:cstheme="majorHAnsi"/>
              </w:rPr>
              <w:t>Non</w:t>
            </w:r>
            <w:r w:rsidRPr="00892DE3">
              <w:rPr>
                <w:rFonts w:cstheme="majorHAnsi"/>
              </w:rPr>
              <w:noBreakHyphen/>
              <w:t>current borrowings lease liabilities (Note 7.1)</w:t>
            </w:r>
          </w:p>
        </w:tc>
        <w:tc>
          <w:tcPr>
            <w:tcW w:w="1074" w:type="dxa"/>
            <w:tcBorders>
              <w:bottom w:val="single" w:sz="4" w:space="0" w:color="auto"/>
            </w:tcBorders>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76" w:type="dxa"/>
            <w:tcBorders>
              <w:bottom w:val="single" w:sz="4" w:space="0" w:color="auto"/>
            </w:tcBorders>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65" w:type="dxa"/>
            <w:tcBorders>
              <w:bottom w:val="single" w:sz="4" w:space="0" w:color="auto"/>
            </w:tcBorders>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3 999</w:t>
            </w:r>
          </w:p>
        </w:tc>
        <w:tc>
          <w:tcPr>
            <w:tcW w:w="1014" w:type="dxa"/>
            <w:tcBorders>
              <w:bottom w:val="single" w:sz="4" w:space="0" w:color="auto"/>
            </w:tcBorders>
            <w:noWrap/>
            <w:hideMark/>
          </w:tcPr>
          <w:p w:rsidR="00420768" w:rsidRPr="00892DE3" w:rsidRDefault="00420768" w:rsidP="00C85AA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9 816</w:t>
            </w:r>
          </w:p>
        </w:tc>
      </w:tr>
      <w:tr w:rsidR="00420768" w:rsidRPr="00892DE3" w:rsidTr="00C85AA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8" w:type="dxa"/>
            <w:tcBorders>
              <w:top w:val="single" w:sz="4" w:space="0" w:color="auto"/>
              <w:bottom w:val="single" w:sz="12" w:space="0" w:color="auto"/>
            </w:tcBorders>
            <w:hideMark/>
          </w:tcPr>
          <w:p w:rsidR="00420768" w:rsidRPr="00892DE3" w:rsidRDefault="00420768" w:rsidP="00C85AA1">
            <w:pPr>
              <w:rPr>
                <w:rFonts w:cstheme="majorHAnsi"/>
              </w:rPr>
            </w:pPr>
            <w:r w:rsidRPr="00892DE3">
              <w:rPr>
                <w:rFonts w:cstheme="majorHAnsi"/>
              </w:rPr>
              <w:t>Total</w:t>
            </w:r>
          </w:p>
        </w:tc>
        <w:tc>
          <w:tcPr>
            <w:tcW w:w="1074" w:type="dxa"/>
            <w:tcBorders>
              <w:top w:val="single" w:sz="4" w:space="0" w:color="auto"/>
              <w:bottom w:val="single" w:sz="12" w:space="0" w:color="auto"/>
            </w:tcBorders>
            <w:noWrap/>
            <w:hideMark/>
          </w:tcPr>
          <w:p w:rsidR="00420768" w:rsidRPr="00892DE3" w:rsidRDefault="00420768" w:rsidP="00C85AA1">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76" w:type="dxa"/>
            <w:tcBorders>
              <w:top w:val="single" w:sz="4" w:space="0" w:color="auto"/>
              <w:bottom w:val="single" w:sz="12" w:space="0" w:color="auto"/>
            </w:tcBorders>
            <w:noWrap/>
            <w:hideMark/>
          </w:tcPr>
          <w:p w:rsidR="00420768" w:rsidRPr="00892DE3" w:rsidRDefault="00420768" w:rsidP="00C85AA1">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65" w:type="dxa"/>
            <w:tcBorders>
              <w:top w:val="single" w:sz="4" w:space="0" w:color="auto"/>
              <w:bottom w:val="single" w:sz="12" w:space="0" w:color="auto"/>
            </w:tcBorders>
            <w:noWrap/>
            <w:hideMark/>
          </w:tcPr>
          <w:p w:rsidR="00420768" w:rsidRPr="00892DE3" w:rsidRDefault="00420768" w:rsidP="00C85AA1">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8 064</w:t>
            </w:r>
          </w:p>
        </w:tc>
        <w:tc>
          <w:tcPr>
            <w:tcW w:w="1014" w:type="dxa"/>
            <w:tcBorders>
              <w:top w:val="single" w:sz="4" w:space="0" w:color="auto"/>
              <w:bottom w:val="single" w:sz="12" w:space="0" w:color="auto"/>
            </w:tcBorders>
            <w:noWrap/>
            <w:hideMark/>
          </w:tcPr>
          <w:p w:rsidR="00420768" w:rsidRPr="00892DE3" w:rsidRDefault="00420768" w:rsidP="00C85AA1">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20 062</w:t>
            </w:r>
          </w:p>
        </w:tc>
      </w:tr>
    </w:tbl>
    <w:p w:rsidR="00420768" w:rsidRPr="00892DE3" w:rsidRDefault="00420768" w:rsidP="00420768">
      <w:pPr>
        <w:pStyle w:val="Note"/>
      </w:pPr>
      <w:r w:rsidRPr="00892DE3">
        <w:t>Notes:</w:t>
      </w:r>
    </w:p>
    <w:p w:rsidR="00420768" w:rsidRPr="00892DE3" w:rsidRDefault="00420768" w:rsidP="00420768">
      <w:pPr>
        <w:pStyle w:val="Note"/>
      </w:pPr>
      <w:r w:rsidRPr="00892DE3">
        <w:t>(a)</w:t>
      </w:r>
      <w:r w:rsidRPr="00892DE3">
        <w:tab/>
        <w:t>Minimum future lease payments include the aggregate of all base payments and any guaranteed residual.</w:t>
      </w:r>
    </w:p>
    <w:p w:rsidR="00420768" w:rsidRPr="00892DE3" w:rsidRDefault="00420768" w:rsidP="00420768">
      <w:pPr>
        <w:pStyle w:val="Note"/>
      </w:pPr>
      <w:r w:rsidRPr="00892DE3">
        <w:t>(b)</w:t>
      </w:r>
      <w:r w:rsidRPr="00892DE3">
        <w:tab/>
        <w:t>Other finance lease liabilities include obligations that are recognised on the balance sheet; the future payments related to operating and lease commitments are disclosed in Note 7.5.</w:t>
      </w:r>
    </w:p>
    <w:p w:rsidR="0019303F" w:rsidRPr="00892DE3" w:rsidRDefault="0019303F" w:rsidP="00420768">
      <w:pPr>
        <w:pStyle w:val="Note"/>
      </w:pPr>
    </w:p>
    <w:p w:rsidR="007A326D" w:rsidRPr="00892DE3" w:rsidRDefault="007A326D" w:rsidP="007A326D">
      <w:pPr>
        <w:keepLines w:val="0"/>
      </w:pPr>
      <w:r w:rsidRPr="00892DE3">
        <w:t>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are apportioned between the reduction of the outstanding lease liability and the periodic finance expense which is calculated using the interest rate implicit in the lease and charged directly to the consolidated comprehensive operating statement.</w:t>
      </w:r>
    </w:p>
    <w:p w:rsidR="007A326D" w:rsidRPr="00892DE3" w:rsidRDefault="007A326D" w:rsidP="007A326D">
      <w:pPr>
        <w:keepLines w:val="0"/>
      </w:pPr>
      <w:r w:rsidRPr="00892DE3">
        <w:t>Contingent rentals associated with finance leases are recognised as an expense in the period in which they are incurred.</w:t>
      </w:r>
    </w:p>
    <w:p w:rsidR="007A326D" w:rsidRPr="00892DE3" w:rsidRDefault="007A326D" w:rsidP="007A326D">
      <w:pPr>
        <w:keepLines w:val="0"/>
      </w:pPr>
      <w:r w:rsidRPr="00892DE3">
        <w:rPr>
          <w:b/>
        </w:rPr>
        <w:t>Commissioned public private partnerships</w:t>
      </w:r>
      <w:r w:rsidR="007E6CE1" w:rsidRPr="00892DE3">
        <w:rPr>
          <w:b/>
        </w:rPr>
        <w:t xml:space="preserve"> (PPP)</w:t>
      </w:r>
      <w:r w:rsidRPr="00892DE3">
        <w:t xml:space="preserve">: The Department entered into a 20-year PPP arrangement with Project Co Pty Ltd on 21 December 2007. The project was initiated to develop a new </w:t>
      </w:r>
      <w:r w:rsidR="007E6CE1" w:rsidRPr="00892DE3">
        <w:t xml:space="preserve">information technology and telecommunication </w:t>
      </w:r>
      <w:r w:rsidRPr="00892DE3">
        <w:t>system that increases the speed of internet connections in the State of Victoria. Upon completion of construction, the system commenced operation on 1 July 2010. Under the arrangement, the portion of total payments to Project Co Pty Ltd that relates to the Department’s right to use the assets is accounted for as a finance lease liability, as disclosed in the table on the next page. In addition, until the end of this PPP arrangement, the Department pays Project Co Pty Ltd for ongoing operation and maintenance of the system (refer to ‘public private partnerships’ of Note 7.5: ‘Commitments for expenditure’).</w:t>
      </w:r>
    </w:p>
    <w:p w:rsidR="00420768" w:rsidRPr="00892DE3" w:rsidRDefault="007A326D" w:rsidP="007A326D">
      <w:pPr>
        <w:keepLines w:val="0"/>
        <w:rPr>
          <w:rStyle w:val="SourceReference"/>
          <w:rFonts w:asciiTheme="majorHAnsi" w:eastAsiaTheme="majorEastAsia" w:hAnsiTheme="majorHAnsi" w:cstheme="majorBidi"/>
          <w:bCs/>
          <w:spacing w:val="-2"/>
          <w:szCs w:val="26"/>
        </w:rPr>
      </w:pPr>
      <w:r w:rsidRPr="00892DE3">
        <w:t xml:space="preserve">The business unit of the Department, Gene Sciences </w:t>
      </w:r>
      <w:r w:rsidR="007E6CE1" w:rsidRPr="00892DE3">
        <w:t>Victoria also entered into a 30-</w:t>
      </w:r>
      <w:r w:rsidRPr="00892DE3">
        <w:t>year</w:t>
      </w:r>
      <w:r w:rsidR="007E6CE1" w:rsidRPr="00892DE3">
        <w:t xml:space="preserve"> </w:t>
      </w:r>
      <w:r w:rsidRPr="00892DE3">
        <w:t xml:space="preserve">PPP with Rapid Processing Ltd on 15 May 2007 to develop a Biotech Research Centre. Upon completion of the construction, the research centre commenced operation on 15 July 2011. Under the arrangement, the portion of the payments to Rapid Processing Ltd that relates to Department’s right to use the assets are accounted for as finance leases liabilities, which are disclosed in the following table. In addition, until the end of this PPP arrangement, the Department pays Rapid Processing Ltd for a standard level of service as part of the ongoing operation and maintenance of the centre. </w:t>
      </w:r>
      <w:r w:rsidRPr="00892DE3">
        <w:rPr>
          <w:rStyle w:val="SourceReference"/>
          <w:rFonts w:asciiTheme="majorHAnsi" w:eastAsiaTheme="majorEastAsia" w:hAnsiTheme="majorHAnsi" w:cstheme="majorBidi"/>
          <w:bCs/>
          <w:spacing w:val="-2"/>
          <w:szCs w:val="26"/>
        </w:rPr>
        <w:t>[AASB Interpretation 129.6 and</w:t>
      </w:r>
      <w:r w:rsidR="0019303F" w:rsidRPr="00892DE3">
        <w:t> </w:t>
      </w:r>
      <w:r w:rsidRPr="00892DE3">
        <w:rPr>
          <w:rStyle w:val="SourceReference"/>
          <w:rFonts w:asciiTheme="majorHAnsi" w:eastAsiaTheme="majorEastAsia" w:hAnsiTheme="majorHAnsi" w:cstheme="majorBidi"/>
          <w:bCs/>
          <w:spacing w:val="-2"/>
          <w:szCs w:val="26"/>
        </w:rPr>
        <w:t xml:space="preserve">129.7] </w:t>
      </w:r>
      <w:r w:rsidR="00420768" w:rsidRPr="00892DE3">
        <w:rPr>
          <w:rStyle w:val="SourceReference"/>
          <w:rFonts w:asciiTheme="majorHAnsi" w:eastAsiaTheme="majorEastAsia" w:hAnsiTheme="majorHAnsi" w:cstheme="majorBidi"/>
          <w:bCs/>
          <w:spacing w:val="-2"/>
          <w:szCs w:val="26"/>
        </w:rPr>
        <w:br w:type="page"/>
      </w:r>
    </w:p>
    <w:p w:rsidR="007A326D" w:rsidRPr="00892DE3" w:rsidRDefault="007A326D" w:rsidP="0019303F">
      <w:pPr>
        <w:pStyle w:val="Heading3"/>
      </w:pPr>
      <w:r w:rsidRPr="00892DE3">
        <w:t>Finance lease liabilities (Department as lessee)</w:t>
      </w:r>
    </w:p>
    <w:p w:rsidR="00420768" w:rsidRPr="00892DE3" w:rsidRDefault="00420768" w:rsidP="00420768">
      <w:pPr>
        <w:rPr>
          <w:rStyle w:val="SourceReference"/>
          <w:rFonts w:asciiTheme="majorHAnsi" w:eastAsiaTheme="majorEastAsia" w:hAnsiTheme="majorHAnsi" w:cstheme="majorBidi"/>
          <w:bCs/>
          <w:spacing w:val="-2"/>
          <w:szCs w:val="26"/>
        </w:rPr>
      </w:pPr>
      <w:r w:rsidRPr="00892DE3">
        <w:rPr>
          <w:b/>
        </w:rPr>
        <w:t>Other leasing arrangements</w:t>
      </w:r>
      <w:r w:rsidRPr="00892DE3">
        <w:t xml:space="preserve">: </w:t>
      </w:r>
      <w:r w:rsidR="007A326D" w:rsidRPr="00892DE3">
        <w:t xml:space="preserve">The other finance leases relate to equipment with lease terms of six years. The Department has options to purchase the equipment at the conclusion of the lease agreements. Some leases provide for additional rent payments based on changes in a local price index. </w:t>
      </w:r>
      <w:r w:rsidR="007A326D" w:rsidRPr="00892DE3">
        <w:rPr>
          <w:rStyle w:val="SourceReference"/>
          <w:rFonts w:asciiTheme="majorHAnsi" w:eastAsiaTheme="majorEastAsia" w:hAnsiTheme="majorHAnsi" w:cstheme="majorBidi"/>
          <w:bCs/>
          <w:spacing w:val="-2"/>
          <w:szCs w:val="26"/>
        </w:rPr>
        <w:t>[AASB 117.31(e)(i) (iii), AASB Interpretation 4.6]</w:t>
      </w:r>
    </w:p>
    <w:p w:rsidR="007A326D" w:rsidRPr="00892DE3" w:rsidRDefault="007A326D" w:rsidP="00420768">
      <w:r w:rsidRPr="00892DE3">
        <w:t xml:space="preserve">The AASB issued the new leasing standard AASB 16 </w:t>
      </w:r>
      <w:r w:rsidRPr="00892DE3">
        <w:rPr>
          <w:i/>
        </w:rPr>
        <w:t>Leases</w:t>
      </w:r>
      <w:r w:rsidRPr="00892DE3">
        <w:t xml:space="preserve"> to supersede the existing standard AASB 117 </w:t>
      </w:r>
      <w:r w:rsidRPr="00892DE3">
        <w:rPr>
          <w:i/>
        </w:rPr>
        <w:t>Leases</w:t>
      </w:r>
      <w:r w:rsidRPr="00892DE3">
        <w:t>. The new standard will be operative from reporting periods commencing 1 January 2019. The key change introduced by AASB 16 includes the recognition of most operating leases on the balance sheet.</w:t>
      </w:r>
    </w:p>
    <w:p w:rsidR="007A326D" w:rsidRPr="00892DE3" w:rsidRDefault="007A326D" w:rsidP="00420768"/>
    <w:tbl>
      <w:tblPr>
        <w:tblStyle w:val="ModelReportGuidanceTable"/>
        <w:tblW w:w="0" w:type="auto"/>
        <w:tblLook w:val="04A0" w:firstRow="1" w:lastRow="0" w:firstColumn="1" w:lastColumn="0" w:noHBand="0" w:noVBand="1"/>
      </w:tblPr>
      <w:tblGrid>
        <w:gridCol w:w="9752"/>
      </w:tblGrid>
      <w:tr w:rsidR="00420768" w:rsidRPr="00892DE3" w:rsidTr="00404ED4">
        <w:trPr>
          <w:cnfStyle w:val="100000000000" w:firstRow="1" w:lastRow="0" w:firstColumn="0" w:lastColumn="0" w:oddVBand="0" w:evenVBand="0" w:oddHBand="0" w:evenHBand="0" w:firstRowFirstColumn="0" w:firstRowLastColumn="0" w:lastRowFirstColumn="0" w:lastRowLastColumn="0"/>
        </w:trPr>
        <w:tc>
          <w:tcPr>
            <w:tcW w:w="9752" w:type="dxa"/>
          </w:tcPr>
          <w:p w:rsidR="00420768" w:rsidRPr="00892DE3" w:rsidRDefault="00420768" w:rsidP="00C85AA1">
            <w:r w:rsidRPr="00892DE3">
              <w:t>Guidance – Leases</w:t>
            </w:r>
          </w:p>
        </w:tc>
      </w:tr>
      <w:tr w:rsidR="00420768" w:rsidRPr="00892DE3" w:rsidTr="00404ED4">
        <w:tc>
          <w:tcPr>
            <w:tcW w:w="9752" w:type="dxa"/>
          </w:tcPr>
          <w:p w:rsidR="00420768" w:rsidRPr="00892DE3" w:rsidRDefault="00420768" w:rsidP="00C85AA1">
            <w:r w:rsidRPr="00892DE3">
              <w:t>Determining whether an arrangement is, or contains, a lease shall be based on the substance of the arrangement and requires an assessment of whether:</w:t>
            </w:r>
          </w:p>
          <w:p w:rsidR="00420768" w:rsidRPr="00892DE3" w:rsidRDefault="00420768" w:rsidP="00C85AA1">
            <w:pPr>
              <w:pStyle w:val="List"/>
            </w:pPr>
            <w:r w:rsidRPr="00892DE3">
              <w:t>(a)</w:t>
            </w:r>
            <w:r w:rsidRPr="00892DE3">
              <w:tab/>
              <w:t>fulfilment of the arrangement is dependent on the use of a specific asset or assets; and</w:t>
            </w:r>
          </w:p>
          <w:p w:rsidR="00420768" w:rsidRPr="00892DE3" w:rsidRDefault="00420768" w:rsidP="00C85AA1">
            <w:pPr>
              <w:pStyle w:val="List"/>
            </w:pPr>
            <w:r w:rsidRPr="00892DE3">
              <w:t>(b)</w:t>
            </w:r>
            <w:r w:rsidRPr="00892DE3">
              <w:tab/>
              <w:t xml:space="preserve">the arrangement conveys a right to use the asset(s). </w:t>
            </w:r>
            <w:r w:rsidRPr="00892DE3">
              <w:rPr>
                <w:rStyle w:val="SourceReference"/>
              </w:rPr>
              <w:t>[AASB Interpretation 4.6]</w:t>
            </w:r>
          </w:p>
          <w:p w:rsidR="00420768" w:rsidRPr="00892DE3" w:rsidRDefault="00420768" w:rsidP="00C85AA1">
            <w:r w:rsidRPr="00892DE3">
              <w:rPr>
                <w:b/>
              </w:rPr>
              <w:t>Contingent rentals</w:t>
            </w:r>
            <w:r w:rsidRPr="00892DE3">
              <w:t>: If there are future contingent rentals or future rentals relating to executory costs to be met by the lessees that are payable over the remainder of the lease term, they shall not be included as part of the minimum lease payments.</w:t>
            </w:r>
          </w:p>
          <w:p w:rsidR="00420768" w:rsidRPr="00892DE3" w:rsidRDefault="00420768" w:rsidP="00C85AA1">
            <w:r w:rsidRPr="00892DE3">
              <w:rPr>
                <w:b/>
              </w:rPr>
              <w:t>Classification of land and buildings leases</w:t>
            </w:r>
            <w:r w:rsidRPr="00892DE3">
              <w:t xml:space="preserve">: The amendment of AASB 117 by AASB 2009 5 removes the specific guidance on classifying land as an operating lease so that only the general guidance remains. The previous specific guidance resulted in a number of land and building leases being classified as operating and finance leases respectively. The removal of the specific guidance and assessment of land leases based on the general criteria may result in more land leases being classified as finance leases. </w:t>
            </w:r>
            <w:r w:rsidRPr="00892DE3">
              <w:rPr>
                <w:rStyle w:val="SourceReference"/>
              </w:rPr>
              <w:t>[AASB 117.15A]</w:t>
            </w:r>
          </w:p>
          <w:p w:rsidR="00420768" w:rsidRPr="00892DE3" w:rsidRDefault="00420768" w:rsidP="00C85AA1">
            <w:pPr>
              <w:rPr>
                <w:rStyle w:val="SourceReference"/>
              </w:rPr>
            </w:pPr>
            <w:r w:rsidRPr="00892DE3">
              <w:rPr>
                <w:b/>
              </w:rPr>
              <w:t>Sub-leases</w:t>
            </w:r>
            <w:r w:rsidRPr="00892DE3">
              <w:t xml:space="preserve">: For non-cancellable sub-leases, the total of future minimum leases payments expected to be received shall be disclosed. </w:t>
            </w:r>
            <w:r w:rsidRPr="00892DE3">
              <w:rPr>
                <w:rStyle w:val="SourceReference"/>
              </w:rPr>
              <w:t>[AASB 117.31(d)]</w:t>
            </w:r>
          </w:p>
          <w:p w:rsidR="00420768" w:rsidRPr="00892DE3" w:rsidRDefault="00420768" w:rsidP="00C85AA1">
            <w:r w:rsidRPr="00892DE3">
              <w:rPr>
                <w:b/>
              </w:rPr>
              <w:t>Disclosure requirements</w:t>
            </w:r>
            <w:r w:rsidRPr="00892DE3">
              <w:t>: general description of the lessee’s material leasing arrangements, including:</w:t>
            </w:r>
          </w:p>
          <w:p w:rsidR="00420768" w:rsidRPr="00892DE3" w:rsidRDefault="00420768" w:rsidP="00C85AA1">
            <w:pPr>
              <w:pStyle w:val="List"/>
            </w:pPr>
            <w:r w:rsidRPr="00892DE3">
              <w:t>(a)</w:t>
            </w:r>
            <w:r w:rsidRPr="00892DE3">
              <w:tab/>
              <w:t>the basis on which contingent rent payable is determined;</w:t>
            </w:r>
          </w:p>
          <w:p w:rsidR="00420768" w:rsidRPr="00892DE3" w:rsidRDefault="00420768" w:rsidP="00C85AA1">
            <w:pPr>
              <w:pStyle w:val="List"/>
            </w:pPr>
            <w:r w:rsidRPr="00892DE3">
              <w:t>(b)</w:t>
            </w:r>
            <w:r w:rsidRPr="00892DE3">
              <w:tab/>
              <w:t>the existence and terms of renewal or purchase options and escalation clauses; and</w:t>
            </w:r>
          </w:p>
          <w:p w:rsidR="00420768" w:rsidRPr="00892DE3" w:rsidRDefault="00420768" w:rsidP="00C85AA1">
            <w:pPr>
              <w:pStyle w:val="List"/>
            </w:pPr>
            <w:r w:rsidRPr="00892DE3">
              <w:t>(c)</w:t>
            </w:r>
            <w:r w:rsidRPr="00892DE3">
              <w:tab/>
              <w:t xml:space="preserve">restrictions imposed by lease arrangements such as those concerning dividends, additional debt and further leasing. </w:t>
            </w:r>
            <w:r w:rsidRPr="00892DE3">
              <w:rPr>
                <w:rStyle w:val="SourceReference"/>
              </w:rPr>
              <w:t>[AASB 117.31(e)]</w:t>
            </w:r>
          </w:p>
          <w:p w:rsidR="00420768" w:rsidRPr="00892DE3" w:rsidRDefault="00420768" w:rsidP="00C85AA1">
            <w:r w:rsidRPr="00892DE3">
              <w:rPr>
                <w:b/>
              </w:rPr>
              <w:t>Other disclosures</w:t>
            </w:r>
            <w:r w:rsidRPr="00892DE3">
              <w:t>: disclosure requirements specified by the relevant standards in relation to property, plant and equipment, intangible assets, impairment of assets, investment property and agriculture apply to the lessor for assets provided under operating leases.</w:t>
            </w:r>
          </w:p>
          <w:p w:rsidR="00420768" w:rsidRPr="00892DE3" w:rsidRDefault="00420768" w:rsidP="00C85AA1">
            <w:r w:rsidRPr="00892DE3">
              <w:t>AASB Interpretation 4 Determining whether an Arrangement Contains a Lease requires the lessee to treat all payments under operating lease arrangement as lease payments for the purposes of complying with the disclosure requirements of AASB 117, but:</w:t>
            </w:r>
          </w:p>
          <w:p w:rsidR="00420768" w:rsidRPr="00892DE3" w:rsidRDefault="00420768" w:rsidP="00C85AA1">
            <w:pPr>
              <w:pStyle w:val="List"/>
            </w:pPr>
            <w:r w:rsidRPr="00892DE3">
              <w:t>(a)</w:t>
            </w:r>
            <w:r w:rsidRPr="00892DE3">
              <w:tab/>
              <w:t xml:space="preserve">disclose those payments separately from minimum lease payments of other arrangements that do not include payments for non-lease elements; and </w:t>
            </w:r>
          </w:p>
          <w:p w:rsidR="007A326D" w:rsidRPr="00892DE3" w:rsidRDefault="00420768" w:rsidP="007A326D">
            <w:pPr>
              <w:pStyle w:val="List"/>
              <w:rPr>
                <w:noProof/>
                <w:sz w:val="14"/>
              </w:rPr>
            </w:pPr>
            <w:r w:rsidRPr="00892DE3">
              <w:t>(b)</w:t>
            </w:r>
            <w:r w:rsidRPr="00892DE3">
              <w:tab/>
              <w:t xml:space="preserve">state that the disclosed payments also include payments for non-lease elements in the arrangement. </w:t>
            </w:r>
            <w:r w:rsidRPr="00892DE3">
              <w:br/>
            </w:r>
            <w:r w:rsidRPr="00892DE3">
              <w:rPr>
                <w:rStyle w:val="SourceReference"/>
              </w:rPr>
              <w:t>[AASB 117.57]</w:t>
            </w:r>
          </w:p>
          <w:p w:rsidR="007A326D" w:rsidRPr="00892DE3" w:rsidRDefault="007A326D" w:rsidP="007A326D">
            <w:pPr>
              <w:pStyle w:val="List"/>
              <w:tabs>
                <w:tab w:val="clear" w:pos="567"/>
                <w:tab w:val="left" w:pos="0"/>
              </w:tabs>
              <w:ind w:left="0" w:firstLine="0"/>
            </w:pPr>
            <w:r w:rsidRPr="00892DE3">
              <w:rPr>
                <w:b/>
              </w:rPr>
              <w:t>AASB 16</w:t>
            </w:r>
            <w:r w:rsidRPr="00892DE3">
              <w:t xml:space="preserve"> eliminates the differentiation between operating and finance leases from the lessee’s perspective by introducing a single lessee accounting model. </w:t>
            </w:r>
          </w:p>
          <w:p w:rsidR="00EA1814" w:rsidRPr="00892DE3" w:rsidRDefault="00EA1814" w:rsidP="00EA1814">
            <w:pPr>
              <w:pStyle w:val="List"/>
              <w:tabs>
                <w:tab w:val="clear" w:pos="567"/>
                <w:tab w:val="left" w:pos="0"/>
              </w:tabs>
              <w:ind w:left="0" w:firstLine="0"/>
            </w:pPr>
            <w:r w:rsidRPr="00892DE3">
              <w:t xml:space="preserve">Under this model, the lessee recognises most operating leases on balance sheet, with an exception of short term leases (less than 12 months) and low value leases. Lessees will be required to account for most leases in a manner similar to how finance leases are currently treated under AASB 117 by recognising a right-of-use asset and a lease liability at the lease commencement date, and depreciating the asset and amortising the liability over the lease period.  </w:t>
            </w:r>
          </w:p>
          <w:p w:rsidR="00EA1814" w:rsidRPr="00892DE3" w:rsidRDefault="00EA1814" w:rsidP="00EA1814">
            <w:pPr>
              <w:pStyle w:val="List"/>
              <w:tabs>
                <w:tab w:val="clear" w:pos="567"/>
                <w:tab w:val="left" w:pos="0"/>
              </w:tabs>
              <w:ind w:left="0" w:firstLine="0"/>
            </w:pPr>
            <w:r w:rsidRPr="00892DE3">
              <w:t xml:space="preserve">The recognition of all lease assets and liabilities on balance sheet will increase the net debt of lessees. The net impact on their operating surplus is expected to be marginal. The presentation in the cash flow statement will also be affected, with the amounts paid for the interest component being classified under operating activities. </w:t>
            </w:r>
          </w:p>
          <w:p w:rsidR="00EA1814" w:rsidRPr="00892DE3" w:rsidRDefault="00EA1814" w:rsidP="006A58CA">
            <w:r w:rsidRPr="00892DE3">
              <w:t xml:space="preserve">Refer to Appendix </w:t>
            </w:r>
            <w:r w:rsidR="006A58CA">
              <w:t>12</w:t>
            </w:r>
            <w:r w:rsidR="006A58CA" w:rsidRPr="00892DE3">
              <w:t xml:space="preserve"> </w:t>
            </w:r>
            <w:r w:rsidRPr="00892DE3">
              <w:t>and</w:t>
            </w:r>
            <w:r w:rsidR="00B03F9B">
              <w:t xml:space="preserve"> the upcoming</w:t>
            </w:r>
            <w:r w:rsidRPr="00892DE3">
              <w:t xml:space="preserve"> FRD 120K </w:t>
            </w:r>
            <w:r w:rsidRPr="00892DE3">
              <w:rPr>
                <w:i/>
              </w:rPr>
              <w:t>Accounting and Reporting Pronouncements Applicable to the 2016-17 Reporting Period</w:t>
            </w:r>
            <w:r w:rsidRPr="00892DE3">
              <w:t xml:space="preserve"> for more information.</w:t>
            </w:r>
          </w:p>
        </w:tc>
      </w:tr>
    </w:tbl>
    <w:p w:rsidR="00404ED4" w:rsidRPr="00892DE3" w:rsidRDefault="00404ED4" w:rsidP="00404ED4">
      <w:pPr>
        <w:pStyle w:val="Note"/>
      </w:pPr>
    </w:p>
    <w:p w:rsidR="00EA1814" w:rsidRPr="00892DE3" w:rsidRDefault="00EA1814">
      <w:pPr>
        <w:keepLines w:val="0"/>
        <w:rPr>
          <w:rFonts w:asciiTheme="majorHAnsi" w:eastAsiaTheme="majorEastAsia" w:hAnsiTheme="majorHAnsi" w:cstheme="majorBidi"/>
          <w:b/>
          <w:spacing w:val="-2"/>
          <w:sz w:val="24"/>
          <w:szCs w:val="26"/>
        </w:rPr>
      </w:pPr>
      <w:r w:rsidRPr="00892DE3">
        <w:br w:type="page"/>
      </w:r>
    </w:p>
    <w:p w:rsidR="00FE6218" w:rsidRPr="00892DE3" w:rsidRDefault="00FE6218" w:rsidP="0019303F">
      <w:pPr>
        <w:pStyle w:val="Heading2"/>
      </w:pPr>
      <w:bookmarkStart w:id="143" w:name="_Toc489535459"/>
      <w:bookmarkStart w:id="144" w:name="_Toc489535466"/>
      <w:r w:rsidRPr="00892DE3">
        <w:t>Cash flow information and balances</w:t>
      </w:r>
      <w:bookmarkEnd w:id="143"/>
      <w:bookmarkEnd w:id="144"/>
    </w:p>
    <w:p w:rsidR="00FE6218" w:rsidRPr="00892DE3" w:rsidRDefault="00FE6218" w:rsidP="00FE6218">
      <w:r w:rsidRPr="00892DE3">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rsidR="00FE6218" w:rsidRPr="00892DE3" w:rsidRDefault="00FE6218" w:rsidP="00FE6218">
      <w:r w:rsidRPr="00892DE3">
        <w:t>For cash flow statement presentation purposes, cash and cash equivalents include bank overdrafts, which are included as current borrowings on the balance sheet, as indicated in the reconciliation below.</w:t>
      </w:r>
    </w:p>
    <w:p w:rsidR="00C0656E" w:rsidRPr="00892DE3" w:rsidRDefault="00FE6218" w:rsidP="00FE6218">
      <w:pPr>
        <w:pStyle w:val="TableUnits"/>
      </w:pPr>
      <w:r w:rsidRPr="00892DE3">
        <w:t>($ thousand)</w:t>
      </w:r>
    </w:p>
    <w:tbl>
      <w:tblPr>
        <w:tblStyle w:val="ModelReportFinancialTable"/>
        <w:tblW w:w="4997" w:type="pct"/>
        <w:tblLayout w:type="fixed"/>
        <w:tblLook w:val="06A0" w:firstRow="1" w:lastRow="0" w:firstColumn="1" w:lastColumn="0" w:noHBand="1" w:noVBand="1"/>
      </w:tblPr>
      <w:tblGrid>
        <w:gridCol w:w="1290"/>
        <w:gridCol w:w="6618"/>
        <w:gridCol w:w="920"/>
        <w:gridCol w:w="918"/>
      </w:tblGrid>
      <w:tr w:rsidR="00FE6218" w:rsidRPr="00892DE3" w:rsidTr="00FE621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62" w:type="pct"/>
            <w:tcBorders>
              <w:bottom w:val="nil"/>
            </w:tcBorders>
            <w:shd w:val="clear" w:color="auto" w:fill="auto"/>
          </w:tcPr>
          <w:p w:rsidR="00FE6218" w:rsidRPr="00892DE3" w:rsidRDefault="00FE6218" w:rsidP="00FE6218">
            <w:r w:rsidRPr="00892DE3">
              <w:t>Source reference</w:t>
            </w:r>
          </w:p>
        </w:tc>
        <w:tc>
          <w:tcPr>
            <w:tcW w:w="3395" w:type="pct"/>
            <w:hideMark/>
          </w:tcPr>
          <w:p w:rsidR="00FE6218" w:rsidRPr="00892DE3" w:rsidRDefault="00FE6218" w:rsidP="00FE6218">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472" w:type="pct"/>
            <w:noWrap/>
            <w:hideMark/>
          </w:tcPr>
          <w:p w:rsidR="00FE6218" w:rsidRPr="00892DE3" w:rsidRDefault="00FE6218" w:rsidP="00C76064">
            <w:pPr>
              <w:cnfStyle w:val="100000000000" w:firstRow="1" w:lastRow="0" w:firstColumn="0" w:lastColumn="0" w:oddVBand="0" w:evenVBand="0" w:oddHBand="0" w:evenHBand="0" w:firstRowFirstColumn="0" w:firstRowLastColumn="0" w:lastRowFirstColumn="0" w:lastRowLastColumn="0"/>
            </w:pPr>
            <w:r w:rsidRPr="00892DE3">
              <w:t>2017</w:t>
            </w:r>
          </w:p>
        </w:tc>
        <w:tc>
          <w:tcPr>
            <w:tcW w:w="471" w:type="pct"/>
            <w:noWrap/>
            <w:hideMark/>
          </w:tcPr>
          <w:p w:rsidR="00FE6218" w:rsidRPr="00892DE3" w:rsidRDefault="00FE6218" w:rsidP="00C76064">
            <w:pPr>
              <w:cnfStyle w:val="100000000000" w:firstRow="1" w:lastRow="0" w:firstColumn="0" w:lastColumn="0" w:oddVBand="0" w:evenVBand="0" w:oddHBand="0" w:evenHBand="0" w:firstRowFirstColumn="0" w:firstRowLastColumn="0" w:lastRowFirstColumn="0" w:lastRowLastColumn="0"/>
            </w:pPr>
            <w:r w:rsidRPr="00892DE3">
              <w:t>2016</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662" w:type="pct"/>
            <w:tcBorders>
              <w:bottom w:val="nil"/>
            </w:tcBorders>
            <w:shd w:val="clear" w:color="auto" w:fill="auto"/>
          </w:tcPr>
          <w:p w:rsidR="00FE6218" w:rsidRPr="00892DE3" w:rsidRDefault="00FE6218" w:rsidP="00FE6218">
            <w:r w:rsidRPr="00892DE3">
              <w:t>AASB 107.45</w:t>
            </w:r>
          </w:p>
        </w:tc>
        <w:tc>
          <w:tcPr>
            <w:tcW w:w="3395" w:type="pct"/>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pPr>
            <w:r w:rsidRPr="00892DE3">
              <w:t>Total cash and deposits disclosed in the balance sheet</w:t>
            </w:r>
          </w:p>
        </w:tc>
        <w:tc>
          <w:tcPr>
            <w:tcW w:w="472" w:type="pct"/>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59 528</w:t>
            </w:r>
          </w:p>
        </w:tc>
        <w:tc>
          <w:tcPr>
            <w:tcW w:w="471" w:type="pct"/>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48 648</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662" w:type="pct"/>
            <w:tcBorders>
              <w:bottom w:val="nil"/>
            </w:tcBorders>
            <w:shd w:val="clear" w:color="auto" w:fill="auto"/>
          </w:tcPr>
          <w:p w:rsidR="00FE6218" w:rsidRPr="00892DE3" w:rsidRDefault="00FE6218" w:rsidP="00FE6218"/>
        </w:tc>
        <w:tc>
          <w:tcPr>
            <w:tcW w:w="3395" w:type="pct"/>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pPr>
            <w:r w:rsidRPr="00892DE3">
              <w:t>Bank overdraft</w:t>
            </w:r>
          </w:p>
        </w:tc>
        <w:tc>
          <w:tcPr>
            <w:tcW w:w="472" w:type="pct"/>
            <w:shd w:val="clear" w:color="auto" w:fill="EBEBEB" w:themeFill="background2"/>
            <w:noWrap/>
          </w:tcPr>
          <w:p w:rsidR="00FE6218" w:rsidRPr="00892DE3" w:rsidRDefault="008129E8" w:rsidP="00C76064">
            <w:pPr>
              <w:cnfStyle w:val="000000000000" w:firstRow="0" w:lastRow="0" w:firstColumn="0" w:lastColumn="0" w:oddVBand="0" w:evenVBand="0" w:oddHBand="0" w:evenHBand="0" w:firstRowFirstColumn="0" w:firstRowLastColumn="0" w:lastRowFirstColumn="0" w:lastRowLastColumn="0"/>
            </w:pPr>
            <w:r w:rsidRPr="00892DE3">
              <w:t>..</w:t>
            </w:r>
          </w:p>
        </w:tc>
        <w:tc>
          <w:tcPr>
            <w:tcW w:w="471" w:type="pct"/>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(5 437)</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662" w:type="pct"/>
            <w:tcBorders>
              <w:bottom w:val="nil"/>
            </w:tcBorders>
            <w:shd w:val="clear" w:color="auto" w:fill="auto"/>
          </w:tcPr>
          <w:p w:rsidR="00FE6218" w:rsidRPr="00892DE3" w:rsidRDefault="00FE6218" w:rsidP="00FE6218"/>
        </w:tc>
        <w:tc>
          <w:tcPr>
            <w:tcW w:w="3395" w:type="pct"/>
            <w:tcBorders>
              <w:bottom w:val="single" w:sz="4" w:space="0" w:color="auto"/>
            </w:tcBorders>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pPr>
            <w:r w:rsidRPr="00892DE3">
              <w:t>Discontinued operations</w:t>
            </w:r>
          </w:p>
        </w:tc>
        <w:tc>
          <w:tcPr>
            <w:tcW w:w="472" w:type="pct"/>
            <w:tcBorders>
              <w:bottom w:val="single" w:sz="4" w:space="0" w:color="auto"/>
            </w:tcBorders>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4 906</w:t>
            </w:r>
          </w:p>
        </w:tc>
        <w:tc>
          <w:tcPr>
            <w:tcW w:w="471" w:type="pct"/>
            <w:tcBorders>
              <w:bottom w:val="single" w:sz="4" w:space="0" w:color="auto"/>
            </w:tcBorders>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1 283</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662" w:type="pct"/>
            <w:tcBorders>
              <w:bottom w:val="nil"/>
            </w:tcBorders>
            <w:shd w:val="clear" w:color="auto" w:fill="auto"/>
          </w:tcPr>
          <w:p w:rsidR="00FE6218" w:rsidRPr="00892DE3" w:rsidRDefault="00FE6218" w:rsidP="00FE6218">
            <w:r w:rsidRPr="00892DE3">
              <w:t>AASB 107.45</w:t>
            </w:r>
          </w:p>
        </w:tc>
        <w:tc>
          <w:tcPr>
            <w:tcW w:w="3395" w:type="pct"/>
            <w:tcBorders>
              <w:top w:val="single" w:sz="4" w:space="0" w:color="auto"/>
              <w:bottom w:val="single" w:sz="12" w:space="0" w:color="auto"/>
            </w:tcBorders>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as per cash flow statement</w:t>
            </w:r>
          </w:p>
        </w:tc>
        <w:tc>
          <w:tcPr>
            <w:tcW w:w="472" w:type="pct"/>
            <w:tcBorders>
              <w:top w:val="single" w:sz="4" w:space="0" w:color="auto"/>
              <w:bottom w:val="single" w:sz="12" w:space="0" w:color="auto"/>
            </w:tcBorders>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rPr>
                <w:b/>
              </w:rPr>
            </w:pPr>
            <w:r w:rsidRPr="00892DE3">
              <w:rPr>
                <w:b/>
              </w:rPr>
              <w:t>64 434</w:t>
            </w:r>
          </w:p>
        </w:tc>
        <w:tc>
          <w:tcPr>
            <w:tcW w:w="471" w:type="pct"/>
            <w:tcBorders>
              <w:top w:val="single" w:sz="4" w:space="0" w:color="auto"/>
              <w:bottom w:val="single" w:sz="12" w:space="0" w:color="auto"/>
            </w:tcBorders>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rPr>
                <w:b/>
              </w:rPr>
            </w:pPr>
            <w:r w:rsidRPr="00892DE3">
              <w:rPr>
                <w:b/>
              </w:rPr>
              <w:t>44 494</w:t>
            </w:r>
          </w:p>
        </w:tc>
      </w:tr>
    </w:tbl>
    <w:p w:rsidR="00FE6218" w:rsidRPr="00892DE3" w:rsidRDefault="00FE6218" w:rsidP="00FE6218"/>
    <w:p w:rsidR="00FE6218" w:rsidRPr="00892DE3" w:rsidRDefault="00FE6218" w:rsidP="00FE6218">
      <w:r w:rsidRPr="00892DE3">
        <w:t xml:space="preserve">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 </w:t>
      </w:r>
      <w:r w:rsidRPr="00892DE3">
        <w:rPr>
          <w:rStyle w:val="SourceReference"/>
        </w:rPr>
        <w:t>[FMA section 13-17]</w:t>
      </w:r>
    </w:p>
    <w:p w:rsidR="00FE6218" w:rsidRPr="00892DE3" w:rsidRDefault="00FE6218" w:rsidP="00FE6218">
      <w:r w:rsidRPr="00892DE3">
        <w:t>These funding arrangements often result in the Department having a notional shortfall in the cash at bank required for payment of unpresented cheques at reporting date. At 30 June 2017, cash at bank included the amount of a notional shortfall for the payment of unpresented cheques of $10 000 (2016: $6 000).</w:t>
      </w:r>
    </w:p>
    <w:p w:rsidR="0019303F" w:rsidRPr="00892DE3" w:rsidRDefault="00FE6218" w:rsidP="0019303F">
      <w:pPr>
        <w:pStyle w:val="Heading3"/>
      </w:pPr>
      <w:r w:rsidRPr="00892DE3">
        <w:t xml:space="preserve">Reconciliation of net result for the period to cash flow from operating activities </w:t>
      </w:r>
      <w:r w:rsidRPr="00892DE3">
        <w:rPr>
          <w:rStyle w:val="SourceReference"/>
          <w:b w:val="0"/>
        </w:rPr>
        <w:t>[AASB 1054.16]</w:t>
      </w:r>
    </w:p>
    <w:p w:rsidR="00FE6218" w:rsidRPr="00892DE3" w:rsidRDefault="00FE6218" w:rsidP="0019303F">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658"/>
        <w:gridCol w:w="990"/>
        <w:gridCol w:w="989"/>
      </w:tblGrid>
      <w:tr w:rsidR="00FE6218" w:rsidRPr="00892DE3" w:rsidTr="008129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679" w:type="dxa"/>
            <w:tcBorders>
              <w:bottom w:val="nil"/>
            </w:tcBorders>
            <w:hideMark/>
          </w:tcPr>
          <w:p w:rsidR="00FE6218" w:rsidRPr="00892DE3" w:rsidRDefault="00FE6218" w:rsidP="00FE6218">
            <w:pPr>
              <w:rPr>
                <w:rFonts w:cstheme="majorHAnsi"/>
              </w:rPr>
            </w:pPr>
          </w:p>
        </w:tc>
        <w:tc>
          <w:tcPr>
            <w:tcW w:w="993" w:type="dxa"/>
            <w:tcBorders>
              <w:bottom w:val="nil"/>
            </w:tcBorders>
            <w:noWrap/>
            <w:hideMark/>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992" w:type="dxa"/>
            <w:tcBorders>
              <w:bottom w:val="nil"/>
            </w:tcBorders>
            <w:noWrap/>
            <w:hideMark/>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w:t>
            </w:r>
          </w:p>
        </w:tc>
      </w:tr>
      <w:tr w:rsidR="00FE6218" w:rsidRPr="00892DE3" w:rsidTr="008129E8">
        <w:tc>
          <w:tcPr>
            <w:cnfStyle w:val="001000000000" w:firstRow="0" w:lastRow="0" w:firstColumn="1" w:lastColumn="0" w:oddVBand="0" w:evenVBand="0" w:oddHBand="0" w:evenHBand="0" w:firstRowFirstColumn="0" w:firstRowLastColumn="0" w:lastRowFirstColumn="0" w:lastRowLastColumn="0"/>
            <w:tcW w:w="7679" w:type="dxa"/>
            <w:tcBorders>
              <w:bottom w:val="single" w:sz="6" w:space="0" w:color="auto"/>
            </w:tcBorders>
          </w:tcPr>
          <w:p w:rsidR="00FE6218" w:rsidRPr="00892DE3" w:rsidRDefault="00FE6218" w:rsidP="00FE6218">
            <w:pPr>
              <w:rPr>
                <w:rFonts w:cstheme="majorHAnsi"/>
                <w:b/>
              </w:rPr>
            </w:pPr>
            <w:r w:rsidRPr="00892DE3">
              <w:rPr>
                <w:rFonts w:cstheme="majorHAnsi"/>
                <w:b/>
              </w:rPr>
              <w:t>Net result for the period</w:t>
            </w:r>
          </w:p>
        </w:tc>
        <w:tc>
          <w:tcPr>
            <w:tcW w:w="993" w:type="dxa"/>
            <w:tcBorders>
              <w:bottom w:val="single" w:sz="6" w:space="0" w:color="auto"/>
            </w:tcBorders>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14 790</w:t>
            </w:r>
          </w:p>
        </w:tc>
        <w:tc>
          <w:tcPr>
            <w:tcW w:w="992" w:type="dxa"/>
            <w:tcBorders>
              <w:bottom w:val="single" w:sz="6" w:space="0" w:color="auto"/>
            </w:tcBorders>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9 879</w:t>
            </w:r>
          </w:p>
        </w:tc>
      </w:tr>
      <w:tr w:rsidR="00FE6218" w:rsidRPr="00892DE3" w:rsidTr="008129E8">
        <w:tc>
          <w:tcPr>
            <w:cnfStyle w:val="001000000000" w:firstRow="0" w:lastRow="0" w:firstColumn="1" w:lastColumn="0" w:oddVBand="0" w:evenVBand="0" w:oddHBand="0" w:evenHBand="0" w:firstRowFirstColumn="0" w:firstRowLastColumn="0" w:lastRowFirstColumn="0" w:lastRowLastColumn="0"/>
            <w:tcW w:w="7679" w:type="dxa"/>
            <w:tcBorders>
              <w:top w:val="single" w:sz="6" w:space="0" w:color="auto"/>
            </w:tcBorders>
          </w:tcPr>
          <w:p w:rsidR="00FE6218" w:rsidRPr="00892DE3" w:rsidRDefault="008129E8" w:rsidP="00FE6218">
            <w:pPr>
              <w:rPr>
                <w:rFonts w:cstheme="majorHAnsi"/>
                <w:b/>
              </w:rPr>
            </w:pPr>
            <w:r w:rsidRPr="00892DE3">
              <w:rPr>
                <w:rFonts w:cstheme="majorHAnsi"/>
                <w:b/>
              </w:rPr>
              <w:t>Non</w:t>
            </w:r>
            <w:r w:rsidRPr="00892DE3">
              <w:rPr>
                <w:rFonts w:cstheme="majorHAnsi"/>
                <w:b/>
              </w:rPr>
              <w:noBreakHyphen/>
              <w:t>cash movements</w:t>
            </w:r>
          </w:p>
        </w:tc>
        <w:tc>
          <w:tcPr>
            <w:tcW w:w="993" w:type="dxa"/>
            <w:tcBorders>
              <w:top w:val="single" w:sz="6" w:space="0" w:color="auto"/>
            </w:tcBorders>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6" w:space="0" w:color="auto"/>
            </w:tcBorders>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(Gain)/loss on sale or disposal of non</w:t>
            </w:r>
            <w:r w:rsidRPr="00892DE3">
              <w:rPr>
                <w:rFonts w:cstheme="majorHAnsi"/>
              </w:rPr>
              <w:noBreakHyphen/>
              <w:t>current assets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(1 527)</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(1 259)</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(Gain)/loss on revaluation of investment property</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3 485</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(450)</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Depreciation and amortisation of non</w:t>
            </w:r>
            <w:r w:rsidRPr="00892DE3">
              <w:rPr>
                <w:rFonts w:cstheme="majorHAnsi"/>
              </w:rPr>
              <w:noBreakHyphen/>
              <w:t>current assets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16 867</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14 445</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Impairment of non</w:t>
            </w:r>
            <w:r w:rsidRPr="00892DE3">
              <w:rPr>
                <w:rFonts w:cstheme="majorHAnsi"/>
              </w:rPr>
              <w:noBreakHyphen/>
              <w:t>current assets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3 203</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(96)</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Resources provided free of charge or for nominal consideration</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(103)</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(586)</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Forgiveness of liabilities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(2 395)</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(2 439)</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Net (gain)/loss on financial instruments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6 331</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4 834</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Other non</w:t>
            </w:r>
            <w:r w:rsidRPr="00892DE3">
              <w:rPr>
                <w:rFonts w:cstheme="majorHAnsi"/>
              </w:rPr>
              <w:noBreakHyphen/>
              <w:t>cash movements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41</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(893)</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b/>
              </w:rPr>
            </w:pPr>
            <w:r w:rsidRPr="00892DE3">
              <w:rPr>
                <w:rFonts w:cstheme="majorHAnsi"/>
                <w:b/>
              </w:rPr>
              <w:t>Movements included in inv</w:t>
            </w:r>
            <w:r w:rsidR="008129E8" w:rsidRPr="00892DE3">
              <w:rPr>
                <w:rFonts w:cstheme="majorHAnsi"/>
                <w:b/>
              </w:rPr>
              <w:t>esting and financing activities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81558E">
            <w:pPr>
              <w:rPr>
                <w:rFonts w:cstheme="majorHAnsi"/>
              </w:rPr>
            </w:pPr>
            <w:r w:rsidRPr="00892DE3">
              <w:rPr>
                <w:rFonts w:cstheme="majorHAnsi"/>
              </w:rPr>
              <w:t>(Gain)/loss on disposal of business (Note 9.3</w:t>
            </w:r>
            <w:r w:rsidR="0081558E" w:rsidRPr="00892DE3">
              <w:rPr>
                <w:rFonts w:cstheme="majorHAnsi"/>
              </w:rPr>
              <w:t>.3</w:t>
            </w:r>
            <w:r w:rsidRPr="00892DE3">
              <w:rPr>
                <w:rFonts w:cstheme="majorHAnsi"/>
              </w:rPr>
              <w:t xml:space="preserve"> and Note 5.7.2)</w:t>
            </w:r>
          </w:p>
        </w:tc>
        <w:tc>
          <w:tcPr>
            <w:tcW w:w="993" w:type="dxa"/>
            <w:shd w:val="clear" w:color="auto" w:fill="EBEBEB" w:themeFill="background2"/>
            <w:noWrap/>
          </w:tcPr>
          <w:p w:rsidR="00FE6218" w:rsidRPr="00892DE3" w:rsidRDefault="008129E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noWrap/>
          </w:tcPr>
          <w:p w:rsidR="00FE6218" w:rsidRPr="00892DE3" w:rsidRDefault="008129E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Share of associate’s (profits)/losses, excluding dividends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(1 055)</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(652)</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Share of joint venture entities’ (profits)/losses, excluding dividends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(231)</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(745)</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b/>
              </w:rPr>
            </w:pPr>
            <w:r w:rsidRPr="00892DE3">
              <w:rPr>
                <w:rFonts w:cstheme="majorHAnsi"/>
                <w:b/>
              </w:rPr>
              <w:t>Move</w:t>
            </w:r>
            <w:r w:rsidR="008129E8" w:rsidRPr="00892DE3">
              <w:rPr>
                <w:rFonts w:cstheme="majorHAnsi"/>
                <w:b/>
              </w:rPr>
              <w:t>ments in assets and liabilities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Increase/decrease in receivables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(28 738)</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(5 802)</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Increase/decrease in inventories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(159)</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Increase/decrease in other non</w:t>
            </w:r>
            <w:r w:rsidRPr="00892DE3">
              <w:rPr>
                <w:rFonts w:cstheme="majorHAnsi"/>
              </w:rPr>
              <w:noBreakHyphen/>
              <w:t>financial assets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(1 060)</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(285)</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Increase/decrease in payables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1 693</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(176)</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Pr>
          <w:p w:rsidR="00FE6218" w:rsidRPr="00892DE3" w:rsidRDefault="00FE6218" w:rsidP="00FE6218">
            <w:pPr>
              <w:rPr>
                <w:rFonts w:cstheme="majorHAnsi"/>
              </w:rPr>
            </w:pPr>
            <w:r w:rsidRPr="00892DE3">
              <w:rPr>
                <w:rFonts w:cstheme="majorHAnsi"/>
              </w:rPr>
              <w:t>Increase/decrease in provisions</w:t>
            </w:r>
          </w:p>
        </w:tc>
        <w:tc>
          <w:tcPr>
            <w:tcW w:w="99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3 870</w:t>
            </w:r>
          </w:p>
        </w:tc>
        <w:tc>
          <w:tcPr>
            <w:tcW w:w="992"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2 695</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679" w:type="dxa"/>
            <w:tcBorders>
              <w:bottom w:val="single" w:sz="4" w:space="0" w:color="auto"/>
            </w:tcBorders>
          </w:tcPr>
          <w:p w:rsidR="00FE6218" w:rsidRPr="00892DE3" w:rsidRDefault="00FE6218" w:rsidP="00FE6218">
            <w:pPr>
              <w:rPr>
                <w:rFonts w:cstheme="majorHAnsi"/>
              </w:rPr>
            </w:pPr>
            <w:r w:rsidRPr="00892DE3">
              <w:rPr>
                <w:rFonts w:cstheme="majorHAnsi"/>
              </w:rPr>
              <w:t>Increase/decrease in other liabilities</w:t>
            </w:r>
          </w:p>
        </w:tc>
        <w:tc>
          <w:tcPr>
            <w:tcW w:w="993" w:type="dxa"/>
            <w:tcBorders>
              <w:bottom w:val="single" w:sz="4" w:space="0" w:color="auto"/>
            </w:tcBorders>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196</w:t>
            </w:r>
          </w:p>
        </w:tc>
        <w:tc>
          <w:tcPr>
            <w:tcW w:w="992" w:type="dxa"/>
            <w:tcBorders>
              <w:bottom w:val="single" w:sz="4" w:space="0" w:color="auto"/>
            </w:tcBorders>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169</w:t>
            </w:r>
          </w:p>
        </w:tc>
      </w:tr>
      <w:tr w:rsidR="00FE6218" w:rsidRPr="00892DE3" w:rsidTr="00FE62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9" w:type="dxa"/>
            <w:tcBorders>
              <w:top w:val="single" w:sz="4" w:space="0" w:color="auto"/>
              <w:bottom w:val="single" w:sz="12" w:space="0" w:color="auto"/>
            </w:tcBorders>
          </w:tcPr>
          <w:p w:rsidR="00FE6218" w:rsidRPr="00892DE3" w:rsidRDefault="00FE6218" w:rsidP="00FE6218">
            <w:pPr>
              <w:rPr>
                <w:rFonts w:cstheme="majorHAnsi"/>
                <w:b w:val="0"/>
              </w:rPr>
            </w:pPr>
            <w:r w:rsidRPr="00892DE3">
              <w:rPr>
                <w:rFonts w:cstheme="majorHAnsi"/>
              </w:rPr>
              <w:t>Net cash flows from/(used in) operating activities</w:t>
            </w:r>
          </w:p>
        </w:tc>
        <w:tc>
          <w:tcPr>
            <w:tcW w:w="993" w:type="dxa"/>
            <w:tcBorders>
              <w:top w:val="single" w:sz="4" w:space="0" w:color="auto"/>
              <w:bottom w:val="single" w:sz="12" w:space="0" w:color="auto"/>
            </w:tcBorders>
            <w:shd w:val="clear" w:color="auto" w:fill="EBEBEB" w:themeFill="background2"/>
            <w:noWrap/>
          </w:tcPr>
          <w:p w:rsidR="00FE6218" w:rsidRPr="00892DE3" w:rsidRDefault="00FE6218" w:rsidP="00FE6218">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15 207</w:t>
            </w:r>
          </w:p>
        </w:tc>
        <w:tc>
          <w:tcPr>
            <w:tcW w:w="992" w:type="dxa"/>
            <w:tcBorders>
              <w:top w:val="single" w:sz="4" w:space="0" w:color="auto"/>
              <w:bottom w:val="single" w:sz="12" w:space="0" w:color="auto"/>
            </w:tcBorders>
            <w:noWrap/>
          </w:tcPr>
          <w:p w:rsidR="00FE6218" w:rsidRPr="00892DE3" w:rsidRDefault="00FE6218" w:rsidP="00FE6218">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18 654</w:t>
            </w:r>
          </w:p>
        </w:tc>
      </w:tr>
    </w:tbl>
    <w:p w:rsidR="00FE6218" w:rsidRPr="00892DE3" w:rsidRDefault="00FE6218" w:rsidP="0019303F">
      <w:pPr>
        <w:pStyle w:val="Heading3"/>
      </w:pPr>
      <w:r w:rsidRPr="00892DE3">
        <w:t xml:space="preserve">Non-cash financing and investing activities </w:t>
      </w:r>
      <w:r w:rsidRPr="00892DE3">
        <w:rPr>
          <w:rStyle w:val="SourceReference"/>
          <w:b w:val="0"/>
        </w:rPr>
        <w:t>[AASB 107.43]</w:t>
      </w:r>
    </w:p>
    <w:p w:rsidR="00FE6218" w:rsidRPr="00892DE3" w:rsidRDefault="00FE6218" w:rsidP="00FE6218">
      <w:r w:rsidRPr="00892DE3">
        <w:rPr>
          <w:b/>
        </w:rPr>
        <w:t>Assumption of liabilities</w:t>
      </w:r>
      <w:r w:rsidRPr="00892DE3">
        <w:t>: During the reporting period the Department assumed the liabilities of Westlake Centre for Vaccine Research amounting to $825 000 (2016: $nil). The assumption of these liabilities is not reflected in the cash flow statement.</w:t>
      </w:r>
    </w:p>
    <w:p w:rsidR="00FE6218" w:rsidRPr="00892DE3" w:rsidRDefault="00FE6218" w:rsidP="00FE6218">
      <w:r w:rsidRPr="00892DE3">
        <w:rPr>
          <w:b/>
        </w:rPr>
        <w:t>Restructuring of administrative arrangements</w:t>
      </w:r>
      <w:r w:rsidRPr="00892DE3">
        <w:t>: This administrative restructuring is not reflected in the cash flow statement.</w:t>
      </w:r>
    </w:p>
    <w:p w:rsidR="00FE6218" w:rsidRPr="00892DE3" w:rsidRDefault="00FE6218" w:rsidP="00FE6218"/>
    <w:p w:rsidR="00EA1814" w:rsidRPr="00892DE3" w:rsidRDefault="00EA1814">
      <w:r w:rsidRPr="00892DE3">
        <w:rPr>
          <w:b/>
        </w:rPr>
        <w:br w:type="page"/>
      </w:r>
    </w:p>
    <w:tbl>
      <w:tblPr>
        <w:tblStyle w:val="ModelReportGuidanceTable"/>
        <w:tblW w:w="0" w:type="auto"/>
        <w:tblLook w:val="04A0" w:firstRow="1" w:lastRow="0" w:firstColumn="1" w:lastColumn="0" w:noHBand="0" w:noVBand="1"/>
      </w:tblPr>
      <w:tblGrid>
        <w:gridCol w:w="9752"/>
      </w:tblGrid>
      <w:tr w:rsidR="00FE6218" w:rsidRPr="00892DE3" w:rsidTr="00EA1814">
        <w:trPr>
          <w:cnfStyle w:val="100000000000" w:firstRow="1" w:lastRow="0" w:firstColumn="0" w:lastColumn="0" w:oddVBand="0" w:evenVBand="0" w:oddHBand="0" w:evenHBand="0" w:firstRowFirstColumn="0" w:firstRowLastColumn="0" w:lastRowFirstColumn="0" w:lastRowLastColumn="0"/>
        </w:trPr>
        <w:tc>
          <w:tcPr>
            <w:tcW w:w="9752" w:type="dxa"/>
          </w:tcPr>
          <w:p w:rsidR="00FE6218" w:rsidRPr="00892DE3" w:rsidRDefault="00FE6218" w:rsidP="00FE6218">
            <w:r w:rsidRPr="00892DE3">
              <w:t>Guidance – Cash flow balances and information</w:t>
            </w:r>
          </w:p>
        </w:tc>
      </w:tr>
      <w:tr w:rsidR="00FE6218" w:rsidRPr="00892DE3" w:rsidTr="00EA1814">
        <w:tc>
          <w:tcPr>
            <w:tcW w:w="9752" w:type="dxa"/>
          </w:tcPr>
          <w:p w:rsidR="00FE6218" w:rsidRPr="00892DE3" w:rsidRDefault="00FE6218" w:rsidP="00FE6218">
            <w:r w:rsidRPr="00892DE3">
              <w:t xml:space="preserve">Investing and financing transactions that do not require the use of cash or cash equivalents shall be disclosed in the financial statements in a way that provides all the relevant information about these investing and financing activities. </w:t>
            </w:r>
            <w:r w:rsidRPr="00892DE3">
              <w:rPr>
                <w:rStyle w:val="SourceReference"/>
              </w:rPr>
              <w:t>[AASB 107.43]</w:t>
            </w:r>
          </w:p>
          <w:p w:rsidR="00FE6218" w:rsidRPr="00892DE3" w:rsidRDefault="00FE6218" w:rsidP="008129E8">
            <w:r w:rsidRPr="00892DE3">
              <w:t xml:space="preserve">Although not illustrated here, an entity shall disclose, together with commentary by management, the amount of significant cash and cash equivalent balances held by the entity that are not available for use by the entity, for example, cash related to trusts under management. </w:t>
            </w:r>
            <w:r w:rsidRPr="00892DE3">
              <w:rPr>
                <w:rStyle w:val="SourceReference"/>
              </w:rPr>
              <w:t>[AASB 107.48]</w:t>
            </w:r>
          </w:p>
        </w:tc>
      </w:tr>
    </w:tbl>
    <w:p w:rsidR="00FE6218" w:rsidRPr="00892DE3" w:rsidRDefault="00FE6218" w:rsidP="00FE6218"/>
    <w:p w:rsidR="00FE6218" w:rsidRPr="00892DE3" w:rsidRDefault="00FE6218" w:rsidP="00FE6218">
      <w:pPr>
        <w:pStyle w:val="TableHeading"/>
      </w:pPr>
      <w:r w:rsidRPr="00892DE3">
        <w:t xml:space="preserve">Financing facilities </w:t>
      </w:r>
      <w:r w:rsidRPr="00892DE3">
        <w:rPr>
          <w:rStyle w:val="SourceReference"/>
          <w:b w:val="0"/>
        </w:rPr>
        <w:t>[AASB 107.50]</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813"/>
        <w:gridCol w:w="912"/>
        <w:gridCol w:w="912"/>
      </w:tblGrid>
      <w:tr w:rsidR="00FE6218" w:rsidRPr="00892DE3" w:rsidTr="00FE62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47" w:type="dxa"/>
            <w:hideMark/>
          </w:tcPr>
          <w:p w:rsidR="00FE6218" w:rsidRPr="00892DE3" w:rsidRDefault="00FE6218" w:rsidP="00FE6218">
            <w:pPr>
              <w:ind w:left="0" w:firstLine="0"/>
            </w:pPr>
          </w:p>
        </w:tc>
        <w:tc>
          <w:tcPr>
            <w:tcW w:w="915" w:type="dxa"/>
            <w:noWrap/>
            <w:hideMark/>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pPr>
            <w:r w:rsidRPr="00892DE3">
              <w:t>2017</w:t>
            </w:r>
          </w:p>
        </w:tc>
        <w:tc>
          <w:tcPr>
            <w:tcW w:w="915" w:type="dxa"/>
            <w:noWrap/>
            <w:hideMark/>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pPr>
            <w:r w:rsidRPr="00892DE3">
              <w:t>2016</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847" w:type="dxa"/>
          </w:tcPr>
          <w:p w:rsidR="00FE6218" w:rsidRPr="00892DE3" w:rsidRDefault="00FE6218" w:rsidP="00FE6218">
            <w:pPr>
              <w:rPr>
                <w:rFonts w:cstheme="majorHAnsi"/>
                <w:b/>
              </w:rPr>
            </w:pPr>
            <w:r w:rsidRPr="00892DE3">
              <w:rPr>
                <w:rFonts w:cstheme="majorHAnsi"/>
                <w:b/>
              </w:rPr>
              <w:t>Unsecured bank overdraft facility, reviewed annually and payable at call</w:t>
            </w:r>
          </w:p>
        </w:tc>
        <w:tc>
          <w:tcPr>
            <w:tcW w:w="915" w:type="dxa"/>
            <w:shd w:val="clear" w:color="auto" w:fill="EBEBEB" w:themeFill="background2"/>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15" w:type="dxa"/>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847" w:type="dxa"/>
          </w:tcPr>
          <w:p w:rsidR="00FE6218" w:rsidRPr="00892DE3" w:rsidRDefault="00FE6218" w:rsidP="00FE6218">
            <w:pPr>
              <w:rPr>
                <w:rFonts w:cstheme="majorHAnsi"/>
              </w:rPr>
            </w:pPr>
            <w:r w:rsidRPr="00892DE3">
              <w:rPr>
                <w:rFonts w:cstheme="majorHAnsi"/>
              </w:rPr>
              <w:t>Amount used</w:t>
            </w:r>
          </w:p>
        </w:tc>
        <w:tc>
          <w:tcPr>
            <w:tcW w:w="915" w:type="dxa"/>
            <w:shd w:val="clear" w:color="auto" w:fill="EBEBEB" w:themeFill="background2"/>
            <w:noWrap/>
          </w:tcPr>
          <w:p w:rsidR="00FE6218" w:rsidRPr="00892DE3" w:rsidRDefault="008129E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15" w:type="dxa"/>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847" w:type="dxa"/>
            <w:tcBorders>
              <w:bottom w:val="single" w:sz="4" w:space="0" w:color="auto"/>
            </w:tcBorders>
          </w:tcPr>
          <w:p w:rsidR="00FE6218" w:rsidRPr="00892DE3" w:rsidRDefault="00FE6218" w:rsidP="00FE6218">
            <w:pPr>
              <w:rPr>
                <w:rFonts w:cstheme="majorHAnsi"/>
              </w:rPr>
            </w:pPr>
            <w:r w:rsidRPr="00892DE3">
              <w:rPr>
                <w:rFonts w:cstheme="majorHAnsi"/>
              </w:rPr>
              <w:t>Amount unused</w:t>
            </w:r>
          </w:p>
        </w:tc>
        <w:tc>
          <w:tcPr>
            <w:tcW w:w="915" w:type="dxa"/>
            <w:tcBorders>
              <w:bottom w:val="single" w:sz="4" w:space="0" w:color="auto"/>
            </w:tcBorders>
            <w:shd w:val="clear" w:color="auto" w:fill="EBEBEB" w:themeFill="background2"/>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10 000</w:t>
            </w:r>
          </w:p>
        </w:tc>
        <w:tc>
          <w:tcPr>
            <w:tcW w:w="915" w:type="dxa"/>
            <w:tcBorders>
              <w:bottom w:val="single" w:sz="4" w:space="0" w:color="auto"/>
            </w:tcBorders>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4 563</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847" w:type="dxa"/>
            <w:tcBorders>
              <w:top w:val="single" w:sz="4" w:space="0" w:color="auto"/>
              <w:bottom w:val="single" w:sz="4" w:space="0" w:color="auto"/>
            </w:tcBorders>
          </w:tcPr>
          <w:p w:rsidR="00FE6218" w:rsidRPr="00892DE3" w:rsidRDefault="00FE6218" w:rsidP="00FE6218">
            <w:pPr>
              <w:rPr>
                <w:rFonts w:cstheme="majorHAnsi"/>
                <w:b/>
              </w:rPr>
            </w:pPr>
            <w:r w:rsidRPr="00892DE3">
              <w:rPr>
                <w:rFonts w:cstheme="majorHAnsi"/>
                <w:b/>
              </w:rPr>
              <w:t>Total</w:t>
            </w:r>
          </w:p>
        </w:tc>
        <w:tc>
          <w:tcPr>
            <w:tcW w:w="915" w:type="dxa"/>
            <w:tcBorders>
              <w:top w:val="single" w:sz="4" w:space="0" w:color="auto"/>
              <w:bottom w:val="single" w:sz="4" w:space="0" w:color="auto"/>
            </w:tcBorders>
            <w:shd w:val="clear" w:color="auto" w:fill="EBEBEB" w:themeFill="background2"/>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10 000</w:t>
            </w:r>
          </w:p>
        </w:tc>
        <w:tc>
          <w:tcPr>
            <w:tcW w:w="915" w:type="dxa"/>
            <w:tcBorders>
              <w:top w:val="single" w:sz="4" w:space="0" w:color="auto"/>
              <w:bottom w:val="single" w:sz="4" w:space="0" w:color="auto"/>
            </w:tcBorders>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10 000</w:t>
            </w:r>
          </w:p>
        </w:tc>
      </w:tr>
      <w:tr w:rsidR="00FE6218" w:rsidRPr="00892DE3" w:rsidTr="00FE6218">
        <w:trPr>
          <w:trHeight w:hRule="exact" w:val="120"/>
        </w:trPr>
        <w:tc>
          <w:tcPr>
            <w:cnfStyle w:val="001000000000" w:firstRow="0" w:lastRow="0" w:firstColumn="1" w:lastColumn="0" w:oddVBand="0" w:evenVBand="0" w:oddHBand="0" w:evenHBand="0" w:firstRowFirstColumn="0" w:firstRowLastColumn="0" w:lastRowFirstColumn="0" w:lastRowLastColumn="0"/>
            <w:tcW w:w="7847" w:type="dxa"/>
            <w:tcBorders>
              <w:top w:val="single" w:sz="4" w:space="0" w:color="auto"/>
            </w:tcBorders>
          </w:tcPr>
          <w:p w:rsidR="00FE6218" w:rsidRPr="00892DE3" w:rsidRDefault="00FE6218" w:rsidP="00FE6218">
            <w:pPr>
              <w:rPr>
                <w:rFonts w:cstheme="majorHAnsi"/>
              </w:rPr>
            </w:pPr>
          </w:p>
        </w:tc>
        <w:tc>
          <w:tcPr>
            <w:tcW w:w="915" w:type="dxa"/>
            <w:tcBorders>
              <w:top w:val="single" w:sz="4" w:space="0" w:color="auto"/>
            </w:tcBorders>
            <w:shd w:val="clear" w:color="auto" w:fill="EBEBEB" w:themeFill="background2"/>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15" w:type="dxa"/>
            <w:tcBorders>
              <w:top w:val="single" w:sz="4" w:space="0" w:color="auto"/>
            </w:tcBorders>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847" w:type="dxa"/>
          </w:tcPr>
          <w:p w:rsidR="00FE6218" w:rsidRPr="00892DE3" w:rsidRDefault="00FE6218" w:rsidP="00FE6218">
            <w:pPr>
              <w:rPr>
                <w:rFonts w:cstheme="majorHAnsi"/>
                <w:b/>
              </w:rPr>
            </w:pPr>
            <w:r w:rsidRPr="00892DE3">
              <w:rPr>
                <w:rFonts w:cstheme="majorHAnsi"/>
                <w:b/>
              </w:rPr>
              <w:t>Unsecured loan facilities with various maturity dates through to 2017</w:t>
            </w:r>
            <w:r w:rsidRPr="00892DE3">
              <w:rPr>
                <w:rFonts w:cstheme="majorHAnsi"/>
                <w:b/>
              </w:rPr>
              <w:noBreakHyphen/>
              <w:t xml:space="preserve">18 </w:t>
            </w:r>
            <w:r w:rsidR="008129E8" w:rsidRPr="00892DE3">
              <w:rPr>
                <w:rFonts w:cstheme="majorHAnsi"/>
                <w:b/>
              </w:rPr>
              <w:br/>
            </w:r>
            <w:r w:rsidRPr="00892DE3">
              <w:rPr>
                <w:rFonts w:cstheme="majorHAnsi"/>
                <w:b/>
              </w:rPr>
              <w:t>and which may be extended by mutual agreement</w:t>
            </w:r>
          </w:p>
        </w:tc>
        <w:tc>
          <w:tcPr>
            <w:tcW w:w="915" w:type="dxa"/>
            <w:shd w:val="clear" w:color="auto" w:fill="EBEBEB" w:themeFill="background2"/>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15" w:type="dxa"/>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847" w:type="dxa"/>
          </w:tcPr>
          <w:p w:rsidR="00FE6218" w:rsidRPr="00892DE3" w:rsidRDefault="00FE6218" w:rsidP="00FE6218">
            <w:pPr>
              <w:rPr>
                <w:rFonts w:cstheme="majorHAnsi"/>
              </w:rPr>
            </w:pPr>
            <w:r w:rsidRPr="00892DE3">
              <w:rPr>
                <w:rFonts w:cstheme="majorHAnsi"/>
              </w:rPr>
              <w:t>Amount used</w:t>
            </w:r>
          </w:p>
        </w:tc>
        <w:tc>
          <w:tcPr>
            <w:tcW w:w="915" w:type="dxa"/>
            <w:shd w:val="clear" w:color="auto" w:fill="EBEBEB" w:themeFill="background2"/>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53 814</w:t>
            </w:r>
          </w:p>
        </w:tc>
        <w:tc>
          <w:tcPr>
            <w:tcW w:w="915" w:type="dxa"/>
            <w:noWrap/>
          </w:tcPr>
          <w:p w:rsidR="00FE6218" w:rsidRPr="00892DE3" w:rsidRDefault="00FE621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39 724</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847" w:type="dxa"/>
            <w:tcBorders>
              <w:bottom w:val="single" w:sz="4" w:space="0" w:color="auto"/>
            </w:tcBorders>
          </w:tcPr>
          <w:p w:rsidR="00FE6218" w:rsidRPr="00892DE3" w:rsidRDefault="00FE6218" w:rsidP="00FE6218">
            <w:pPr>
              <w:rPr>
                <w:rFonts w:cstheme="majorHAnsi"/>
              </w:rPr>
            </w:pPr>
            <w:r w:rsidRPr="00892DE3">
              <w:rPr>
                <w:rFonts w:cstheme="majorHAnsi"/>
              </w:rPr>
              <w:t>Amount unused</w:t>
            </w:r>
          </w:p>
        </w:tc>
        <w:tc>
          <w:tcPr>
            <w:tcW w:w="915" w:type="dxa"/>
            <w:tcBorders>
              <w:bottom w:val="single" w:sz="4" w:space="0" w:color="auto"/>
            </w:tcBorders>
            <w:shd w:val="clear" w:color="auto" w:fill="EBEBEB" w:themeFill="background2"/>
            <w:noWrap/>
          </w:tcPr>
          <w:p w:rsidR="00FE6218" w:rsidRPr="00892DE3" w:rsidRDefault="008129E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15" w:type="dxa"/>
            <w:tcBorders>
              <w:bottom w:val="single" w:sz="4" w:space="0" w:color="auto"/>
            </w:tcBorders>
            <w:noWrap/>
          </w:tcPr>
          <w:p w:rsidR="00FE6218" w:rsidRPr="00892DE3" w:rsidRDefault="008129E8" w:rsidP="00FE6218">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E6218" w:rsidRPr="00892DE3" w:rsidTr="00FE62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7" w:type="dxa"/>
            <w:tcBorders>
              <w:top w:val="single" w:sz="4" w:space="0" w:color="auto"/>
              <w:bottom w:val="single" w:sz="12" w:space="0" w:color="auto"/>
            </w:tcBorders>
          </w:tcPr>
          <w:p w:rsidR="00FE6218" w:rsidRPr="00892DE3" w:rsidRDefault="00FE6218" w:rsidP="00FE6218">
            <w:pPr>
              <w:rPr>
                <w:rFonts w:cstheme="majorHAnsi"/>
                <w:b w:val="0"/>
              </w:rPr>
            </w:pPr>
            <w:r w:rsidRPr="00892DE3">
              <w:rPr>
                <w:rFonts w:cstheme="majorHAnsi"/>
              </w:rPr>
              <w:t>Total</w:t>
            </w:r>
          </w:p>
        </w:tc>
        <w:tc>
          <w:tcPr>
            <w:tcW w:w="915" w:type="dxa"/>
            <w:tcBorders>
              <w:top w:val="single" w:sz="4" w:space="0" w:color="auto"/>
              <w:bottom w:val="single" w:sz="12" w:space="0" w:color="auto"/>
            </w:tcBorders>
            <w:shd w:val="clear" w:color="auto" w:fill="EBEBEB" w:themeFill="background2"/>
            <w:noWrap/>
          </w:tcPr>
          <w:p w:rsidR="00FE6218" w:rsidRPr="00892DE3" w:rsidRDefault="00FE6218" w:rsidP="00FE6218">
            <w:pPr>
              <w:ind w:left="170" w:hanging="17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53 814</w:t>
            </w:r>
          </w:p>
        </w:tc>
        <w:tc>
          <w:tcPr>
            <w:tcW w:w="915" w:type="dxa"/>
            <w:tcBorders>
              <w:top w:val="single" w:sz="4" w:space="0" w:color="auto"/>
              <w:bottom w:val="single" w:sz="12" w:space="0" w:color="auto"/>
            </w:tcBorders>
            <w:noWrap/>
          </w:tcPr>
          <w:p w:rsidR="00FE6218" w:rsidRPr="00892DE3" w:rsidRDefault="00FE6218" w:rsidP="00FE6218">
            <w:pPr>
              <w:ind w:left="170" w:hanging="17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39 724</w:t>
            </w:r>
          </w:p>
        </w:tc>
      </w:tr>
    </w:tbl>
    <w:p w:rsidR="00FE6218" w:rsidRPr="00892DE3" w:rsidRDefault="00FE6218" w:rsidP="00FE6218"/>
    <w:p w:rsidR="00810FC5" w:rsidRDefault="00C01D21" w:rsidP="00EA1814">
      <w:pPr>
        <w:pStyle w:val="TableHeading"/>
      </w:pPr>
      <w:r w:rsidRPr="00892DE3">
        <w:br w:type="page"/>
      </w:r>
    </w:p>
    <w:p w:rsidR="00810FC5" w:rsidRPr="00892DE3" w:rsidRDefault="00810FC5" w:rsidP="00810FC5">
      <w:pPr>
        <w:pStyle w:val="Heading2"/>
      </w:pPr>
      <w:bookmarkStart w:id="145" w:name="_Toc489535460"/>
      <w:bookmarkStart w:id="146" w:name="_Toc489535467"/>
      <w:r w:rsidRPr="00892DE3">
        <w:t>Trust account balances</w:t>
      </w:r>
      <w:bookmarkEnd w:id="145"/>
      <w:bookmarkEnd w:id="146"/>
    </w:p>
    <w:p w:rsidR="00FE6218" w:rsidRPr="00892DE3" w:rsidRDefault="00FE6218" w:rsidP="00EA1814">
      <w:pPr>
        <w:pStyle w:val="TableHeading"/>
      </w:pPr>
      <w:r w:rsidRPr="00892DE3">
        <w:t>Trust account balances relating to trust accounts controlled and/or administered by the Department</w:t>
      </w:r>
    </w:p>
    <w:p w:rsidR="00FE6218" w:rsidRPr="00892DE3" w:rsidRDefault="00FE6218" w:rsidP="00FE6218">
      <w:pPr>
        <w:pStyle w:val="TableUnits"/>
      </w:pPr>
      <w:r w:rsidRPr="00892DE3">
        <w:t>($ thousand)</w:t>
      </w:r>
    </w:p>
    <w:tbl>
      <w:tblPr>
        <w:tblStyle w:val="DTFTable"/>
        <w:tblW w:w="9637" w:type="dxa"/>
        <w:tblInd w:w="45" w:type="dxa"/>
        <w:tblLayout w:type="fixed"/>
        <w:tblLook w:val="06E0" w:firstRow="1" w:lastRow="1" w:firstColumn="1" w:lastColumn="0" w:noHBand="1" w:noVBand="1"/>
      </w:tblPr>
      <w:tblGrid>
        <w:gridCol w:w="2014"/>
        <w:gridCol w:w="1162"/>
        <w:gridCol w:w="700"/>
        <w:gridCol w:w="854"/>
        <w:gridCol w:w="1133"/>
        <w:gridCol w:w="1095"/>
        <w:gridCol w:w="709"/>
        <w:gridCol w:w="850"/>
        <w:gridCol w:w="1120"/>
      </w:tblGrid>
      <w:tr w:rsidR="00FE6218" w:rsidRPr="00892DE3" w:rsidTr="003239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4" w:type="dxa"/>
          </w:tcPr>
          <w:p w:rsidR="00FE6218" w:rsidRPr="00892DE3" w:rsidRDefault="00FE6218" w:rsidP="00FE6218">
            <w:pPr>
              <w:ind w:left="0" w:firstLine="0"/>
              <w:jc w:val="center"/>
              <w:rPr>
                <w:sz w:val="16"/>
                <w:szCs w:val="16"/>
              </w:rPr>
            </w:pPr>
          </w:p>
        </w:tc>
        <w:tc>
          <w:tcPr>
            <w:tcW w:w="3849" w:type="dxa"/>
            <w:gridSpan w:val="4"/>
            <w:tcBorders>
              <w:bottom w:val="single" w:sz="6" w:space="0" w:color="FFFFFF" w:themeColor="background1"/>
            </w:tcBorders>
          </w:tcPr>
          <w:p w:rsidR="00FE6218" w:rsidRPr="00892DE3" w:rsidRDefault="00FE6218" w:rsidP="00FE6218">
            <w:pPr>
              <w:jc w:val="cente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2017</w:t>
            </w:r>
          </w:p>
        </w:tc>
        <w:tc>
          <w:tcPr>
            <w:tcW w:w="3774" w:type="dxa"/>
            <w:gridSpan w:val="4"/>
          </w:tcPr>
          <w:p w:rsidR="00FE6218" w:rsidRPr="00892DE3" w:rsidRDefault="00FE6218" w:rsidP="00FE6218">
            <w:pPr>
              <w:jc w:val="cente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2016</w:t>
            </w:r>
          </w:p>
        </w:tc>
      </w:tr>
      <w:tr w:rsidR="0096072E" w:rsidRPr="00892DE3" w:rsidTr="003239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4" w:type="dxa"/>
          </w:tcPr>
          <w:p w:rsidR="00FE6218" w:rsidRPr="00892DE3" w:rsidRDefault="00FE6218" w:rsidP="00FE6218">
            <w:pPr>
              <w:ind w:left="0" w:firstLine="0"/>
              <w:rPr>
                <w:sz w:val="16"/>
                <w:szCs w:val="16"/>
              </w:rPr>
            </w:pPr>
            <w:r w:rsidRPr="00892DE3">
              <w:rPr>
                <w:sz w:val="16"/>
                <w:szCs w:val="16"/>
              </w:rPr>
              <w:t>Cash and cash equivalents and investments</w:t>
            </w:r>
          </w:p>
        </w:tc>
        <w:tc>
          <w:tcPr>
            <w:tcW w:w="1162" w:type="dxa"/>
            <w:tcBorders>
              <w:top w:val="single" w:sz="6" w:space="0" w:color="FFFFFF" w:themeColor="background1"/>
            </w:tcBorders>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Opening balance as at </w:t>
            </w:r>
            <w:r w:rsidR="0096072E" w:rsidRPr="00892DE3">
              <w:rPr>
                <w:sz w:val="16"/>
                <w:szCs w:val="16"/>
              </w:rPr>
              <w:br/>
            </w:r>
            <w:r w:rsidRPr="00892DE3">
              <w:rPr>
                <w:sz w:val="16"/>
                <w:szCs w:val="16"/>
              </w:rPr>
              <w:t>1 July 2016</w:t>
            </w:r>
          </w:p>
        </w:tc>
        <w:tc>
          <w:tcPr>
            <w:tcW w:w="700" w:type="dxa"/>
            <w:tcBorders>
              <w:top w:val="single" w:sz="6" w:space="0" w:color="FFFFFF" w:themeColor="background1"/>
            </w:tcBorders>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Total receipts</w:t>
            </w:r>
          </w:p>
        </w:tc>
        <w:tc>
          <w:tcPr>
            <w:tcW w:w="854" w:type="dxa"/>
            <w:tcBorders>
              <w:top w:val="single" w:sz="6" w:space="0" w:color="FFFFFF" w:themeColor="background1"/>
            </w:tcBorders>
            <w:noWrap/>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Total payments</w:t>
            </w:r>
          </w:p>
        </w:tc>
        <w:tc>
          <w:tcPr>
            <w:tcW w:w="1133" w:type="dxa"/>
            <w:tcBorders>
              <w:top w:val="single" w:sz="6" w:space="0" w:color="FFFFFF" w:themeColor="background1"/>
            </w:tcBorders>
            <w:noWrap/>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Closing balance as at 30 June 2017</w:t>
            </w:r>
          </w:p>
        </w:tc>
        <w:tc>
          <w:tcPr>
            <w:tcW w:w="1095" w:type="dxa"/>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Opening balance as at </w:t>
            </w:r>
            <w:r w:rsidR="0096072E" w:rsidRPr="00892DE3">
              <w:rPr>
                <w:sz w:val="16"/>
                <w:szCs w:val="16"/>
              </w:rPr>
              <w:br/>
            </w:r>
            <w:r w:rsidRPr="00892DE3">
              <w:rPr>
                <w:sz w:val="16"/>
                <w:szCs w:val="16"/>
              </w:rPr>
              <w:t>1 July 2015</w:t>
            </w:r>
          </w:p>
        </w:tc>
        <w:tc>
          <w:tcPr>
            <w:tcW w:w="709" w:type="dxa"/>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Total receipts</w:t>
            </w:r>
          </w:p>
        </w:tc>
        <w:tc>
          <w:tcPr>
            <w:tcW w:w="850" w:type="dxa"/>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Total payments</w:t>
            </w:r>
          </w:p>
        </w:tc>
        <w:tc>
          <w:tcPr>
            <w:tcW w:w="1120" w:type="dxa"/>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Closing balance as at </w:t>
            </w:r>
            <w:r w:rsidR="0096072E" w:rsidRPr="00892DE3">
              <w:rPr>
                <w:sz w:val="16"/>
                <w:szCs w:val="16"/>
              </w:rPr>
              <w:br/>
            </w:r>
            <w:r w:rsidRPr="00892DE3">
              <w:rPr>
                <w:sz w:val="16"/>
                <w:szCs w:val="16"/>
              </w:rPr>
              <w:t>30 June 2016</w:t>
            </w:r>
          </w:p>
        </w:tc>
      </w:tr>
      <w:tr w:rsidR="0096072E" w:rsidRPr="00892DE3" w:rsidTr="0096072E">
        <w:tc>
          <w:tcPr>
            <w:cnfStyle w:val="001000000000" w:firstRow="0" w:lastRow="0" w:firstColumn="1" w:lastColumn="0" w:oddVBand="0" w:evenVBand="0" w:oddHBand="0" w:evenHBand="0" w:firstRowFirstColumn="0" w:firstRowLastColumn="0" w:lastRowFirstColumn="0" w:lastRowLastColumn="0"/>
            <w:tcW w:w="2014" w:type="dxa"/>
          </w:tcPr>
          <w:p w:rsidR="00FE6218" w:rsidRPr="00892DE3" w:rsidRDefault="00FE6218" w:rsidP="00FE6218">
            <w:pPr>
              <w:rPr>
                <w:rFonts w:cstheme="majorHAnsi"/>
                <w:b/>
                <w:sz w:val="16"/>
                <w:szCs w:val="16"/>
              </w:rPr>
            </w:pPr>
            <w:r w:rsidRPr="00892DE3">
              <w:rPr>
                <w:rFonts w:cstheme="majorHAnsi"/>
                <w:b/>
                <w:sz w:val="16"/>
                <w:szCs w:val="16"/>
              </w:rPr>
              <w:t>Controlled trusts</w:t>
            </w:r>
          </w:p>
        </w:tc>
        <w:tc>
          <w:tcPr>
            <w:tcW w:w="1162" w:type="dxa"/>
            <w:shd w:val="clear" w:color="auto" w:fill="EBEBEB" w:themeFill="background2"/>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700" w:type="dxa"/>
            <w:shd w:val="clear" w:color="auto" w:fill="EBEBEB" w:themeFill="background2"/>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854"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133"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095" w:type="dxa"/>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709" w:type="dxa"/>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850" w:type="dxa"/>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120" w:type="dxa"/>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r>
      <w:tr w:rsidR="0096072E" w:rsidRPr="00892DE3" w:rsidTr="0096072E">
        <w:tc>
          <w:tcPr>
            <w:cnfStyle w:val="001000000000" w:firstRow="0" w:lastRow="0" w:firstColumn="1" w:lastColumn="0" w:oddVBand="0" w:evenVBand="0" w:oddHBand="0" w:evenHBand="0" w:firstRowFirstColumn="0" w:firstRowLastColumn="0" w:lastRowFirstColumn="0" w:lastRowLastColumn="0"/>
            <w:tcW w:w="2014" w:type="dxa"/>
          </w:tcPr>
          <w:p w:rsidR="0096072E" w:rsidRPr="00892DE3" w:rsidRDefault="0096072E" w:rsidP="00FE6218">
            <w:pPr>
              <w:rPr>
                <w:sz w:val="16"/>
                <w:szCs w:val="16"/>
              </w:rPr>
            </w:pPr>
            <w:r w:rsidRPr="00892DE3">
              <w:rPr>
                <w:sz w:val="16"/>
                <w:szCs w:val="16"/>
              </w:rPr>
              <w:t>[Title of Trust 1]</w:t>
            </w:r>
          </w:p>
          <w:p w:rsidR="0096072E" w:rsidRPr="00892DE3" w:rsidRDefault="0096072E" w:rsidP="00FE6218">
            <w:pPr>
              <w:rPr>
                <w:sz w:val="16"/>
                <w:szCs w:val="16"/>
              </w:rPr>
            </w:pPr>
            <w:r w:rsidRPr="00892DE3">
              <w:rPr>
                <w:sz w:val="16"/>
                <w:szCs w:val="16"/>
              </w:rPr>
              <w:t>[include legislative reference and nature and purpose for which Trust 1 was created.]</w:t>
            </w:r>
          </w:p>
        </w:tc>
        <w:tc>
          <w:tcPr>
            <w:tcW w:w="1162" w:type="dxa"/>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96072E" w:rsidRPr="00892DE3" w:rsidTr="0096072E">
        <w:tc>
          <w:tcPr>
            <w:cnfStyle w:val="001000000000" w:firstRow="0" w:lastRow="0" w:firstColumn="1" w:lastColumn="0" w:oddVBand="0" w:evenVBand="0" w:oddHBand="0" w:evenHBand="0" w:firstRowFirstColumn="0" w:firstRowLastColumn="0" w:lastRowFirstColumn="0" w:lastRowLastColumn="0"/>
            <w:tcW w:w="2014" w:type="dxa"/>
            <w:tcBorders>
              <w:bottom w:val="single" w:sz="6" w:space="0" w:color="auto"/>
            </w:tcBorders>
          </w:tcPr>
          <w:p w:rsidR="0096072E" w:rsidRPr="00892DE3" w:rsidRDefault="0096072E" w:rsidP="00FE6218">
            <w:pPr>
              <w:rPr>
                <w:sz w:val="16"/>
                <w:szCs w:val="16"/>
              </w:rPr>
            </w:pPr>
            <w:r w:rsidRPr="00892DE3">
              <w:rPr>
                <w:sz w:val="16"/>
                <w:szCs w:val="16"/>
              </w:rPr>
              <w:t>[Title of Trust 2]</w:t>
            </w:r>
          </w:p>
          <w:p w:rsidR="0096072E" w:rsidRPr="00892DE3" w:rsidRDefault="0096072E" w:rsidP="00FE6218">
            <w:pPr>
              <w:rPr>
                <w:sz w:val="16"/>
                <w:szCs w:val="16"/>
              </w:rPr>
            </w:pPr>
            <w:r w:rsidRPr="00892DE3">
              <w:rPr>
                <w:sz w:val="16"/>
                <w:szCs w:val="16"/>
              </w:rPr>
              <w:t>[include legislative reference and nature and purpose for which Trust 2 was created.]</w:t>
            </w:r>
          </w:p>
        </w:tc>
        <w:tc>
          <w:tcPr>
            <w:tcW w:w="1162" w:type="dxa"/>
            <w:tcBorders>
              <w:bottom w:val="single" w:sz="6" w:space="0" w:color="auto"/>
            </w:tcBorders>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tcBorders>
              <w:bottom w:val="single" w:sz="6" w:space="0" w:color="auto"/>
            </w:tcBorders>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tcBorders>
              <w:bottom w:val="single" w:sz="6" w:space="0" w:color="auto"/>
            </w:tcBorders>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tcBorders>
              <w:bottom w:val="single" w:sz="6" w:space="0" w:color="auto"/>
            </w:tcBorders>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Borders>
              <w:bottom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Borders>
              <w:bottom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Borders>
              <w:bottom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Borders>
              <w:bottom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96072E" w:rsidRPr="00892DE3" w:rsidTr="0096072E">
        <w:tc>
          <w:tcPr>
            <w:cnfStyle w:val="001000000000" w:firstRow="0" w:lastRow="0" w:firstColumn="1" w:lastColumn="0" w:oddVBand="0" w:evenVBand="0" w:oddHBand="0" w:evenHBand="0" w:firstRowFirstColumn="0" w:firstRowLastColumn="0" w:lastRowFirstColumn="0" w:lastRowLastColumn="0"/>
            <w:tcW w:w="2014" w:type="dxa"/>
            <w:tcBorders>
              <w:top w:val="single" w:sz="6" w:space="0" w:color="auto"/>
              <w:bottom w:val="single" w:sz="6" w:space="0" w:color="auto"/>
            </w:tcBorders>
          </w:tcPr>
          <w:p w:rsidR="0096072E" w:rsidRPr="00892DE3" w:rsidRDefault="0096072E" w:rsidP="00FE6218">
            <w:pPr>
              <w:rPr>
                <w:rFonts w:cstheme="majorHAnsi"/>
                <w:b/>
                <w:sz w:val="16"/>
                <w:szCs w:val="16"/>
              </w:rPr>
            </w:pPr>
            <w:r w:rsidRPr="00892DE3">
              <w:rPr>
                <w:rFonts w:cstheme="majorHAnsi"/>
                <w:b/>
                <w:sz w:val="16"/>
                <w:szCs w:val="16"/>
              </w:rPr>
              <w:t>Total controlled trusts</w:t>
            </w:r>
          </w:p>
        </w:tc>
        <w:tc>
          <w:tcPr>
            <w:tcW w:w="1162" w:type="dxa"/>
            <w:tcBorders>
              <w:top w:val="single" w:sz="6" w:space="0" w:color="auto"/>
              <w:bottom w:val="single" w:sz="6" w:space="0" w:color="auto"/>
            </w:tcBorders>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tcBorders>
              <w:top w:val="single" w:sz="6" w:space="0" w:color="auto"/>
              <w:bottom w:val="single" w:sz="6" w:space="0" w:color="auto"/>
            </w:tcBorders>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tcBorders>
              <w:top w:val="single" w:sz="6" w:space="0" w:color="auto"/>
              <w:bottom w:val="single" w:sz="6" w:space="0" w:color="auto"/>
            </w:tcBorders>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tcBorders>
              <w:top w:val="single" w:sz="6" w:space="0" w:color="auto"/>
              <w:bottom w:val="single" w:sz="6" w:space="0" w:color="auto"/>
            </w:tcBorders>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Borders>
              <w:top w:val="single" w:sz="6" w:space="0" w:color="auto"/>
              <w:bottom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Borders>
              <w:top w:val="single" w:sz="6" w:space="0" w:color="auto"/>
              <w:bottom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Borders>
              <w:top w:val="single" w:sz="6" w:space="0" w:color="auto"/>
              <w:bottom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Borders>
              <w:top w:val="single" w:sz="6" w:space="0" w:color="auto"/>
              <w:bottom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96072E" w:rsidRPr="00892DE3" w:rsidTr="0096072E">
        <w:tc>
          <w:tcPr>
            <w:cnfStyle w:val="001000000000" w:firstRow="0" w:lastRow="0" w:firstColumn="1" w:lastColumn="0" w:oddVBand="0" w:evenVBand="0" w:oddHBand="0" w:evenHBand="0" w:firstRowFirstColumn="0" w:firstRowLastColumn="0" w:lastRowFirstColumn="0" w:lastRowLastColumn="0"/>
            <w:tcW w:w="2014" w:type="dxa"/>
            <w:tcBorders>
              <w:top w:val="single" w:sz="6" w:space="0" w:color="auto"/>
            </w:tcBorders>
          </w:tcPr>
          <w:p w:rsidR="0096072E" w:rsidRPr="00892DE3" w:rsidRDefault="0096072E" w:rsidP="00FE6218">
            <w:pPr>
              <w:rPr>
                <w:rFonts w:cstheme="majorHAnsi"/>
                <w:b/>
                <w:sz w:val="16"/>
                <w:szCs w:val="16"/>
              </w:rPr>
            </w:pPr>
            <w:r w:rsidRPr="00892DE3">
              <w:rPr>
                <w:rFonts w:cstheme="majorHAnsi"/>
                <w:b/>
                <w:sz w:val="16"/>
                <w:szCs w:val="16"/>
              </w:rPr>
              <w:t>Administered trusts</w:t>
            </w:r>
          </w:p>
        </w:tc>
        <w:tc>
          <w:tcPr>
            <w:tcW w:w="1162" w:type="dxa"/>
            <w:tcBorders>
              <w:top w:val="single" w:sz="6" w:space="0" w:color="auto"/>
            </w:tcBorders>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700" w:type="dxa"/>
            <w:tcBorders>
              <w:top w:val="single" w:sz="6" w:space="0" w:color="auto"/>
            </w:tcBorders>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854" w:type="dxa"/>
            <w:tcBorders>
              <w:top w:val="single" w:sz="6" w:space="0" w:color="auto"/>
            </w:tcBorders>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133" w:type="dxa"/>
            <w:tcBorders>
              <w:top w:val="single" w:sz="6" w:space="0" w:color="auto"/>
            </w:tcBorders>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095" w:type="dxa"/>
            <w:tcBorders>
              <w:top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709" w:type="dxa"/>
            <w:tcBorders>
              <w:top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850" w:type="dxa"/>
            <w:tcBorders>
              <w:top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120" w:type="dxa"/>
            <w:tcBorders>
              <w:top w:val="single" w:sz="6"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r>
      <w:tr w:rsidR="0096072E" w:rsidRPr="00892DE3" w:rsidTr="0096072E">
        <w:tc>
          <w:tcPr>
            <w:cnfStyle w:val="001000000000" w:firstRow="0" w:lastRow="0" w:firstColumn="1" w:lastColumn="0" w:oddVBand="0" w:evenVBand="0" w:oddHBand="0" w:evenHBand="0" w:firstRowFirstColumn="0" w:firstRowLastColumn="0" w:lastRowFirstColumn="0" w:lastRowLastColumn="0"/>
            <w:tcW w:w="2014" w:type="dxa"/>
          </w:tcPr>
          <w:p w:rsidR="0096072E" w:rsidRPr="00892DE3" w:rsidRDefault="0096072E" w:rsidP="00FE6218">
            <w:pPr>
              <w:rPr>
                <w:sz w:val="16"/>
                <w:szCs w:val="16"/>
              </w:rPr>
            </w:pPr>
            <w:r w:rsidRPr="00892DE3">
              <w:rPr>
                <w:sz w:val="16"/>
                <w:szCs w:val="16"/>
              </w:rPr>
              <w:t>[Title of Trust 3]</w:t>
            </w:r>
          </w:p>
          <w:p w:rsidR="0096072E" w:rsidRPr="00892DE3" w:rsidRDefault="0096072E" w:rsidP="00FE6218">
            <w:pPr>
              <w:rPr>
                <w:sz w:val="16"/>
                <w:szCs w:val="16"/>
              </w:rPr>
            </w:pPr>
            <w:r w:rsidRPr="00892DE3">
              <w:rPr>
                <w:sz w:val="16"/>
                <w:szCs w:val="16"/>
              </w:rPr>
              <w:t>[include legislative reference and nature and purpose for which Trust 3 was created.]</w:t>
            </w:r>
          </w:p>
        </w:tc>
        <w:tc>
          <w:tcPr>
            <w:tcW w:w="1162" w:type="dxa"/>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96072E" w:rsidRPr="00892DE3" w:rsidTr="0096072E">
        <w:tc>
          <w:tcPr>
            <w:cnfStyle w:val="001000000000" w:firstRow="0" w:lastRow="0" w:firstColumn="1" w:lastColumn="0" w:oddVBand="0" w:evenVBand="0" w:oddHBand="0" w:evenHBand="0" w:firstRowFirstColumn="0" w:firstRowLastColumn="0" w:lastRowFirstColumn="0" w:lastRowLastColumn="0"/>
            <w:tcW w:w="2014" w:type="dxa"/>
            <w:tcBorders>
              <w:bottom w:val="single" w:sz="4" w:space="0" w:color="auto"/>
            </w:tcBorders>
          </w:tcPr>
          <w:p w:rsidR="0096072E" w:rsidRPr="00892DE3" w:rsidRDefault="0096072E" w:rsidP="00FE6218">
            <w:pPr>
              <w:rPr>
                <w:sz w:val="16"/>
                <w:szCs w:val="16"/>
              </w:rPr>
            </w:pPr>
            <w:r w:rsidRPr="00892DE3">
              <w:rPr>
                <w:sz w:val="16"/>
                <w:szCs w:val="16"/>
              </w:rPr>
              <w:t>[Title of Trust 4]</w:t>
            </w:r>
          </w:p>
          <w:p w:rsidR="0096072E" w:rsidRPr="00892DE3" w:rsidRDefault="0096072E" w:rsidP="00FE6218">
            <w:pPr>
              <w:rPr>
                <w:sz w:val="16"/>
                <w:szCs w:val="16"/>
              </w:rPr>
            </w:pPr>
            <w:r w:rsidRPr="00892DE3">
              <w:rPr>
                <w:sz w:val="16"/>
                <w:szCs w:val="16"/>
              </w:rPr>
              <w:t>[include legislative reference and nature and purpose for which Trust 4 was created.]</w:t>
            </w:r>
          </w:p>
        </w:tc>
        <w:tc>
          <w:tcPr>
            <w:tcW w:w="1162" w:type="dxa"/>
            <w:tcBorders>
              <w:bottom w:val="single" w:sz="4" w:space="0" w:color="auto"/>
            </w:tcBorders>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tcBorders>
              <w:bottom w:val="single" w:sz="4" w:space="0" w:color="auto"/>
            </w:tcBorders>
            <w:shd w:val="clear" w:color="auto" w:fill="EBEBEB" w:themeFill="background2"/>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tcBorders>
              <w:bottom w:val="single" w:sz="4" w:space="0" w:color="auto"/>
            </w:tcBorders>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tcBorders>
              <w:bottom w:val="single" w:sz="4" w:space="0" w:color="auto"/>
            </w:tcBorders>
            <w:shd w:val="clear" w:color="auto" w:fill="EBEBEB" w:themeFill="background2"/>
            <w:noWrap/>
          </w:tcPr>
          <w:p w:rsidR="0096072E" w:rsidRPr="00892DE3" w:rsidRDefault="0096072E" w:rsidP="00FE6218">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Borders>
              <w:bottom w:val="single" w:sz="4"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Borders>
              <w:bottom w:val="single" w:sz="4"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Borders>
              <w:bottom w:val="single" w:sz="4"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Borders>
              <w:bottom w:val="single" w:sz="4" w:space="0" w:color="auto"/>
            </w:tcBorders>
          </w:tcPr>
          <w:p w:rsidR="0096072E" w:rsidRPr="00892DE3" w:rsidRDefault="0096072E" w:rsidP="00C01D21">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96072E" w:rsidRPr="00892DE3" w:rsidTr="0096072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bottom w:val="single" w:sz="12" w:space="0" w:color="auto"/>
            </w:tcBorders>
          </w:tcPr>
          <w:p w:rsidR="0096072E" w:rsidRPr="00892DE3" w:rsidRDefault="0096072E" w:rsidP="00FE6218">
            <w:pPr>
              <w:rPr>
                <w:rFonts w:cstheme="majorHAnsi"/>
                <w:b w:val="0"/>
                <w:sz w:val="16"/>
                <w:szCs w:val="16"/>
              </w:rPr>
            </w:pPr>
            <w:r w:rsidRPr="00892DE3">
              <w:rPr>
                <w:rFonts w:cstheme="majorHAnsi"/>
                <w:sz w:val="16"/>
                <w:szCs w:val="16"/>
              </w:rPr>
              <w:t>Total administered trusts</w:t>
            </w:r>
          </w:p>
        </w:tc>
        <w:tc>
          <w:tcPr>
            <w:tcW w:w="1162" w:type="dxa"/>
            <w:tcBorders>
              <w:top w:val="single" w:sz="4" w:space="0" w:color="auto"/>
              <w:bottom w:val="single" w:sz="12" w:space="0" w:color="auto"/>
            </w:tcBorders>
            <w:shd w:val="clear" w:color="auto" w:fill="EBEBEB" w:themeFill="background2"/>
          </w:tcPr>
          <w:p w:rsidR="0096072E" w:rsidRPr="00892DE3" w:rsidRDefault="0096072E" w:rsidP="00FE6218">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tcBorders>
              <w:top w:val="single" w:sz="4" w:space="0" w:color="auto"/>
              <w:bottom w:val="single" w:sz="12" w:space="0" w:color="auto"/>
            </w:tcBorders>
            <w:shd w:val="clear" w:color="auto" w:fill="EBEBEB" w:themeFill="background2"/>
          </w:tcPr>
          <w:p w:rsidR="0096072E" w:rsidRPr="00892DE3" w:rsidRDefault="0096072E" w:rsidP="00FE6218">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tcBorders>
              <w:top w:val="single" w:sz="4" w:space="0" w:color="auto"/>
              <w:bottom w:val="single" w:sz="12" w:space="0" w:color="auto"/>
            </w:tcBorders>
            <w:shd w:val="clear" w:color="auto" w:fill="EBEBEB" w:themeFill="background2"/>
            <w:noWrap/>
          </w:tcPr>
          <w:p w:rsidR="0096072E" w:rsidRPr="00892DE3" w:rsidRDefault="0096072E" w:rsidP="00FE6218">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tcBorders>
              <w:top w:val="single" w:sz="4" w:space="0" w:color="auto"/>
              <w:bottom w:val="single" w:sz="12" w:space="0" w:color="auto"/>
            </w:tcBorders>
            <w:shd w:val="clear" w:color="auto" w:fill="EBEBEB" w:themeFill="background2"/>
            <w:noWrap/>
          </w:tcPr>
          <w:p w:rsidR="0096072E" w:rsidRPr="00892DE3" w:rsidRDefault="0096072E" w:rsidP="00FE6218">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Borders>
              <w:top w:val="single" w:sz="4" w:space="0" w:color="auto"/>
              <w:bottom w:val="single" w:sz="12" w:space="0" w:color="auto"/>
            </w:tcBorders>
          </w:tcPr>
          <w:p w:rsidR="0096072E" w:rsidRPr="00892DE3" w:rsidRDefault="0096072E" w:rsidP="00C01D21">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Borders>
              <w:top w:val="single" w:sz="4" w:space="0" w:color="auto"/>
              <w:bottom w:val="single" w:sz="12" w:space="0" w:color="auto"/>
            </w:tcBorders>
          </w:tcPr>
          <w:p w:rsidR="0096072E" w:rsidRPr="00892DE3" w:rsidRDefault="0096072E" w:rsidP="00C01D21">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Borders>
              <w:top w:val="single" w:sz="4" w:space="0" w:color="auto"/>
              <w:bottom w:val="single" w:sz="12" w:space="0" w:color="auto"/>
            </w:tcBorders>
          </w:tcPr>
          <w:p w:rsidR="0096072E" w:rsidRPr="00892DE3" w:rsidRDefault="0096072E" w:rsidP="00C01D21">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Borders>
              <w:top w:val="single" w:sz="4" w:space="0" w:color="auto"/>
              <w:bottom w:val="single" w:sz="12" w:space="0" w:color="auto"/>
            </w:tcBorders>
          </w:tcPr>
          <w:p w:rsidR="0096072E" w:rsidRPr="00892DE3" w:rsidRDefault="0096072E" w:rsidP="00C01D21">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bl>
    <w:p w:rsidR="00FE6218" w:rsidRPr="00892DE3" w:rsidRDefault="00FE6218" w:rsidP="00FE6218">
      <w:pPr>
        <w:pStyle w:val="Note"/>
      </w:pPr>
      <w:r w:rsidRPr="00892DE3">
        <w:t xml:space="preserve">This table is based on the Auditor General’s recommendation in report Portfolio Departments and Associated </w:t>
      </w:r>
      <w:r w:rsidR="00E528E5" w:rsidRPr="00892DE3">
        <w:t>E</w:t>
      </w:r>
      <w:r w:rsidRPr="00892DE3">
        <w:t>ntities: Results of the 2011 – 2012 Audits.</w:t>
      </w:r>
    </w:p>
    <w:p w:rsidR="00B44C6E" w:rsidRPr="00892DE3" w:rsidRDefault="00B44C6E" w:rsidP="00B44C6E"/>
    <w:p w:rsidR="005B5223" w:rsidRPr="00892DE3" w:rsidRDefault="005B5223" w:rsidP="005B5223">
      <w:pPr>
        <w:pStyle w:val="Heading30"/>
      </w:pPr>
      <w:r w:rsidRPr="00892DE3">
        <w:t>Third party funds under management</w:t>
      </w:r>
    </w:p>
    <w:p w:rsidR="00F63B17" w:rsidRDefault="00810FC5" w:rsidP="005B5223">
      <w:r w:rsidRPr="00892DE3">
        <w:t>The Department has responsibility for transactions and balances relating to trust funds held on behalf of third parties external to the Department. Funds managed on behalf of third parties are not recognised in the</w:t>
      </w:r>
      <w:r>
        <w:t xml:space="preserve"> Department’s</w:t>
      </w:r>
      <w:r w:rsidRPr="00892DE3">
        <w:t xml:space="preserve"> financial statements as they are managed on a fiduciary and custodial basis, and therefore are not controlled by the Department.</w:t>
      </w:r>
      <w:r w:rsidR="005B5223" w:rsidRPr="00892DE3">
        <w:t xml:space="preserve"> </w:t>
      </w:r>
    </w:p>
    <w:p w:rsidR="005B5223" w:rsidRPr="00892DE3" w:rsidRDefault="005B5223" w:rsidP="005B5223">
      <w:r w:rsidRPr="00892DE3">
        <w:t>The Department maintains three such trusts: the Biological Disaster Fund; the e</w:t>
      </w:r>
      <w:r w:rsidRPr="00892DE3">
        <w:noBreakHyphen/>
        <w:t xml:space="preserve">Technology Fund; and the International Network Association Fund. The biological disaster fund was transferred to the Department from the Department of Natural Resources under the </w:t>
      </w:r>
      <w:r w:rsidRPr="00892DE3">
        <w:rPr>
          <w:i/>
        </w:rPr>
        <w:t xml:space="preserve">Administrative Arrangements Order </w:t>
      </w:r>
      <w:r w:rsidRPr="00892DE3">
        <w:rPr>
          <w:color w:val="0000FF"/>
        </w:rPr>
        <w:t>[</w:t>
      </w:r>
      <w:r w:rsidRPr="00892DE3">
        <w:rPr>
          <w:i/>
          <w:color w:val="0000FF"/>
        </w:rPr>
        <w:t>No.xxx</w:t>
      </w:r>
      <w:r w:rsidRPr="00892DE3">
        <w:rPr>
          <w:color w:val="0000FF"/>
        </w:rPr>
        <w:t>]</w:t>
      </w:r>
      <w:r w:rsidRPr="00892DE3">
        <w:t xml:space="preserve"> </w:t>
      </w:r>
      <w:r w:rsidRPr="00892DE3">
        <w:rPr>
          <w:i/>
        </w:rPr>
        <w:t>2016</w:t>
      </w:r>
      <w:r w:rsidRPr="00892DE3">
        <w:t xml:space="preserve">. </w:t>
      </w:r>
    </w:p>
    <w:p w:rsidR="005B5223" w:rsidRPr="00892DE3" w:rsidRDefault="005B5223" w:rsidP="005B5223">
      <w:r w:rsidRPr="00892DE3">
        <w:t>Any earnings on the funds held pending distribution are also applied to the trust funds under management as appropriate.</w:t>
      </w:r>
    </w:p>
    <w:p w:rsidR="00FE6218" w:rsidRPr="00892DE3" w:rsidRDefault="00FE6218" w:rsidP="00FE6218">
      <w:pPr>
        <w:pStyle w:val="Heading30"/>
      </w:pPr>
      <w:r w:rsidRPr="00892DE3">
        <w:t>Biological Disaster Fund</w:t>
      </w:r>
    </w:p>
    <w:p w:rsidR="00FE6218" w:rsidRPr="00892DE3" w:rsidRDefault="00FE6218" w:rsidP="00FE6218">
      <w:r w:rsidRPr="00892DE3">
        <w:t xml:space="preserve">The Biological Disaster Fund account is held in trust for the beneficiaries, which include the individuals and communities affected by the 2010 biological disaster. These funds are not controlled for the benefit of the Victorian Government. Accordingly, the fund is not presented as assets or income of the Department. </w:t>
      </w:r>
    </w:p>
    <w:p w:rsidR="00FE6218" w:rsidRPr="00892DE3" w:rsidRDefault="00FE6218" w:rsidP="00FE6218">
      <w:pPr>
        <w:pStyle w:val="Heading30"/>
      </w:pPr>
      <w:r w:rsidRPr="00892DE3">
        <w:t>Establishment of the Biological Disaster Fund</w:t>
      </w:r>
    </w:p>
    <w:p w:rsidR="00FE6218" w:rsidRPr="00892DE3" w:rsidRDefault="00FE6218" w:rsidP="00FE6218">
      <w:r w:rsidRPr="00892DE3">
        <w:t xml:space="preserve">More than 11 towns and communities were devastated by the biological disaster in May 2010. In June 2009, the Victorian Government approved the establishment of the Biological Disaster Fund under section 19(1) of the </w:t>
      </w:r>
      <w:r w:rsidRPr="00892DE3">
        <w:rPr>
          <w:i/>
        </w:rPr>
        <w:t>Financial Management Act 1994</w:t>
      </w:r>
      <w:r w:rsidRPr="00892DE3">
        <w:t>.</w:t>
      </w:r>
    </w:p>
    <w:p w:rsidR="00FE6218" w:rsidRPr="00892DE3" w:rsidRDefault="00FE6218" w:rsidP="00FE6218">
      <w:r w:rsidRPr="00892DE3">
        <w:t>The purpose of this trust fund is for the receipt of donations and other contributions, and their disbursement to assist individuals and communities in towns and rural areas affected by the biological disaster.</w:t>
      </w:r>
    </w:p>
    <w:p w:rsidR="00FE6218" w:rsidRPr="00892DE3" w:rsidRDefault="00FE6218" w:rsidP="00FE6218">
      <w:r w:rsidRPr="00892DE3">
        <w:t>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panel’s responsibilities are to guide, account for and report on the disbursement of monies from the trust fund.</w:t>
      </w:r>
    </w:p>
    <w:p w:rsidR="005B5223" w:rsidRPr="00892DE3" w:rsidRDefault="006D3597" w:rsidP="005B5223">
      <w:pPr>
        <w:keepLines w:val="0"/>
      </w:pPr>
      <w:r w:rsidRPr="00892DE3">
        <w:br w:type="page"/>
      </w:r>
    </w:p>
    <w:p w:rsidR="00C01D21" w:rsidRPr="00892DE3" w:rsidRDefault="005B5223" w:rsidP="005B5223">
      <w:pPr>
        <w:pStyle w:val="TableUnits"/>
        <w:ind w:left="1440"/>
        <w:jc w:val="left"/>
      </w:pPr>
      <w:r w:rsidRPr="00892DE3">
        <w:t xml:space="preserve">Biological </w:t>
      </w:r>
      <w:r w:rsidR="00810FC5">
        <w:t>D</w:t>
      </w:r>
      <w:r w:rsidRPr="00892DE3">
        <w:t xml:space="preserve">isaster </w:t>
      </w:r>
      <w:r w:rsidR="00810FC5">
        <w:t>F</w:t>
      </w:r>
      <w:r w:rsidRPr="00892DE3">
        <w:t xml:space="preserve">und                                                                                              </w:t>
      </w:r>
      <w:r w:rsidR="00FE6218" w:rsidRPr="00892DE3">
        <w:t>($ thousand)</w:t>
      </w:r>
    </w:p>
    <w:tbl>
      <w:tblPr>
        <w:tblStyle w:val="ModelReportFinancialTable"/>
        <w:tblW w:w="9659" w:type="dxa"/>
        <w:tblLayout w:type="fixed"/>
        <w:tblLook w:val="06A0" w:firstRow="1" w:lastRow="0" w:firstColumn="1" w:lastColumn="0" w:noHBand="1" w:noVBand="1"/>
      </w:tblPr>
      <w:tblGrid>
        <w:gridCol w:w="1469"/>
        <w:gridCol w:w="6300"/>
        <w:gridCol w:w="980"/>
        <w:gridCol w:w="910"/>
      </w:tblGrid>
      <w:tr w:rsidR="00FE6218" w:rsidRPr="00892DE3" w:rsidTr="00FE621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69" w:type="dxa"/>
            <w:tcBorders>
              <w:bottom w:val="nil"/>
            </w:tcBorders>
            <w:shd w:val="clear" w:color="auto" w:fill="auto"/>
          </w:tcPr>
          <w:p w:rsidR="00FE6218" w:rsidRPr="00892DE3" w:rsidRDefault="00FE6218" w:rsidP="00FE6218">
            <w:r w:rsidRPr="00892DE3">
              <w:t>Source reference</w:t>
            </w:r>
          </w:p>
        </w:tc>
        <w:tc>
          <w:tcPr>
            <w:tcW w:w="6300" w:type="dxa"/>
          </w:tcPr>
          <w:p w:rsidR="00FE6218" w:rsidRPr="00892DE3" w:rsidRDefault="00FE6218" w:rsidP="00FE6218">
            <w:pPr>
              <w:jc w:val="left"/>
              <w:cnfStyle w:val="100000000000" w:firstRow="1" w:lastRow="0" w:firstColumn="0" w:lastColumn="0" w:oddVBand="0" w:evenVBand="0" w:oddHBand="0" w:evenHBand="0" w:firstRowFirstColumn="0" w:firstRowLastColumn="0" w:lastRowFirstColumn="0" w:lastRowLastColumn="0"/>
            </w:pPr>
          </w:p>
        </w:tc>
        <w:tc>
          <w:tcPr>
            <w:tcW w:w="980" w:type="dxa"/>
            <w:noWrap/>
          </w:tcPr>
          <w:p w:rsidR="00FE6218" w:rsidRPr="00892DE3" w:rsidRDefault="00FE6218" w:rsidP="00C76064">
            <w:pPr>
              <w:cnfStyle w:val="100000000000" w:firstRow="1" w:lastRow="0" w:firstColumn="0" w:lastColumn="0" w:oddVBand="0" w:evenVBand="0" w:oddHBand="0" w:evenHBand="0" w:firstRowFirstColumn="0" w:firstRowLastColumn="0" w:lastRowFirstColumn="0" w:lastRowLastColumn="0"/>
            </w:pPr>
            <w:r w:rsidRPr="00892DE3">
              <w:t>2017</w:t>
            </w:r>
          </w:p>
        </w:tc>
        <w:tc>
          <w:tcPr>
            <w:tcW w:w="910" w:type="dxa"/>
            <w:noWrap/>
          </w:tcPr>
          <w:p w:rsidR="00FE6218" w:rsidRPr="00892DE3" w:rsidRDefault="00FE6218" w:rsidP="00C76064">
            <w:pPr>
              <w:cnfStyle w:val="100000000000" w:firstRow="1" w:lastRow="0" w:firstColumn="0" w:lastColumn="0" w:oddVBand="0" w:evenVBand="0" w:oddHBand="0" w:evenHBand="0" w:firstRowFirstColumn="0" w:firstRowLastColumn="0" w:lastRowFirstColumn="0" w:lastRowLastColumn="0"/>
            </w:pPr>
            <w:r w:rsidRPr="00892DE3">
              <w:t>2016</w:t>
            </w:r>
          </w:p>
        </w:tc>
      </w:tr>
      <w:tr w:rsidR="0096072E"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vMerge w:val="restart"/>
            <w:shd w:val="clear" w:color="auto" w:fill="auto"/>
          </w:tcPr>
          <w:p w:rsidR="0096072E" w:rsidRPr="00892DE3" w:rsidRDefault="0096072E" w:rsidP="00FE6218">
            <w:r w:rsidRPr="00892DE3">
              <w:t>Based on recommendation 6 in PAEC Report 102 – Part One</w:t>
            </w:r>
          </w:p>
        </w:tc>
        <w:tc>
          <w:tcPr>
            <w:tcW w:w="6300" w:type="dxa"/>
          </w:tcPr>
          <w:p w:rsidR="0096072E" w:rsidRPr="00892DE3" w:rsidRDefault="0096072E" w:rsidP="00FE6218">
            <w:pPr>
              <w:jc w:val="left"/>
              <w:cnfStyle w:val="000000000000" w:firstRow="0" w:lastRow="0" w:firstColumn="0" w:lastColumn="0" w:oddVBand="0" w:evenVBand="0" w:oddHBand="0" w:evenHBand="0" w:firstRowFirstColumn="0" w:firstRowLastColumn="0" w:lastRowFirstColumn="0" w:lastRowLastColumn="0"/>
            </w:pPr>
            <w:r w:rsidRPr="00892DE3">
              <w:t>Cash at bank</w:t>
            </w:r>
          </w:p>
        </w:tc>
        <w:tc>
          <w:tcPr>
            <w:tcW w:w="980" w:type="dxa"/>
            <w:shd w:val="clear" w:color="auto" w:fill="EBEBEB" w:themeFill="background2"/>
            <w:noWrap/>
          </w:tcPr>
          <w:p w:rsidR="0096072E" w:rsidRPr="00892DE3" w:rsidRDefault="0096072E" w:rsidP="00C76064">
            <w:pPr>
              <w:cnfStyle w:val="000000000000" w:firstRow="0" w:lastRow="0" w:firstColumn="0" w:lastColumn="0" w:oddVBand="0" w:evenVBand="0" w:oddHBand="0" w:evenHBand="0" w:firstRowFirstColumn="0" w:firstRowLastColumn="0" w:lastRowFirstColumn="0" w:lastRowLastColumn="0"/>
            </w:pPr>
            <w:r w:rsidRPr="00892DE3">
              <w:t>113.1</w:t>
            </w:r>
          </w:p>
        </w:tc>
        <w:tc>
          <w:tcPr>
            <w:tcW w:w="910" w:type="dxa"/>
            <w:noWrap/>
          </w:tcPr>
          <w:p w:rsidR="0096072E" w:rsidRPr="00892DE3" w:rsidRDefault="0096072E" w:rsidP="00C76064">
            <w:pPr>
              <w:cnfStyle w:val="000000000000" w:firstRow="0" w:lastRow="0" w:firstColumn="0" w:lastColumn="0" w:oddVBand="0" w:evenVBand="0" w:oddHBand="0" w:evenHBand="0" w:firstRowFirstColumn="0" w:firstRowLastColumn="0" w:lastRowFirstColumn="0" w:lastRowLastColumn="0"/>
            </w:pPr>
            <w:r w:rsidRPr="00892DE3">
              <w:t>249.2</w:t>
            </w:r>
          </w:p>
        </w:tc>
      </w:tr>
      <w:tr w:rsidR="0096072E"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vMerge/>
            <w:shd w:val="clear" w:color="auto" w:fill="auto"/>
          </w:tcPr>
          <w:p w:rsidR="0096072E" w:rsidRPr="00892DE3" w:rsidRDefault="0096072E" w:rsidP="00FE6218"/>
        </w:tc>
        <w:tc>
          <w:tcPr>
            <w:tcW w:w="6300" w:type="dxa"/>
          </w:tcPr>
          <w:p w:rsidR="0096072E" w:rsidRPr="00892DE3" w:rsidRDefault="0096072E" w:rsidP="00FE6218">
            <w:pPr>
              <w:jc w:val="left"/>
              <w:cnfStyle w:val="000000000000" w:firstRow="0" w:lastRow="0" w:firstColumn="0" w:lastColumn="0" w:oddVBand="0" w:evenVBand="0" w:oddHBand="0" w:evenHBand="0" w:firstRowFirstColumn="0" w:firstRowLastColumn="0" w:lastRowFirstColumn="0" w:lastRowLastColumn="0"/>
            </w:pPr>
            <w:r w:rsidRPr="00892DE3">
              <w:t>Less amounts pending payments</w:t>
            </w:r>
          </w:p>
        </w:tc>
        <w:tc>
          <w:tcPr>
            <w:tcW w:w="980" w:type="dxa"/>
            <w:shd w:val="clear" w:color="auto" w:fill="EBEBEB" w:themeFill="background2"/>
            <w:noWrap/>
          </w:tcPr>
          <w:p w:rsidR="0096072E" w:rsidRPr="00892DE3" w:rsidRDefault="0096072E" w:rsidP="00C76064">
            <w:pPr>
              <w:cnfStyle w:val="000000000000" w:firstRow="0" w:lastRow="0" w:firstColumn="0" w:lastColumn="0" w:oddVBand="0" w:evenVBand="0" w:oddHBand="0" w:evenHBand="0" w:firstRowFirstColumn="0" w:firstRowLastColumn="0" w:lastRowFirstColumn="0" w:lastRowLastColumn="0"/>
            </w:pPr>
            <w:r w:rsidRPr="00892DE3">
              <w:t>(1.5)</w:t>
            </w:r>
          </w:p>
        </w:tc>
        <w:tc>
          <w:tcPr>
            <w:tcW w:w="910" w:type="dxa"/>
            <w:noWrap/>
          </w:tcPr>
          <w:p w:rsidR="0096072E" w:rsidRPr="00892DE3" w:rsidRDefault="0096072E" w:rsidP="00C76064">
            <w:pPr>
              <w:cnfStyle w:val="000000000000" w:firstRow="0" w:lastRow="0" w:firstColumn="0" w:lastColumn="0" w:oddVBand="0" w:evenVBand="0" w:oddHBand="0" w:evenHBand="0" w:firstRowFirstColumn="0" w:firstRowLastColumn="0" w:lastRowFirstColumn="0" w:lastRowLastColumn="0"/>
            </w:pPr>
            <w:r w:rsidRPr="00892DE3">
              <w:t>(10.1)</w:t>
            </w:r>
          </w:p>
        </w:tc>
      </w:tr>
      <w:tr w:rsidR="0096072E"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vMerge/>
            <w:tcBorders>
              <w:bottom w:val="nil"/>
            </w:tcBorders>
            <w:shd w:val="clear" w:color="auto" w:fill="auto"/>
          </w:tcPr>
          <w:p w:rsidR="0096072E" w:rsidRPr="00892DE3" w:rsidRDefault="0096072E" w:rsidP="00FE6218"/>
        </w:tc>
        <w:tc>
          <w:tcPr>
            <w:tcW w:w="6300" w:type="dxa"/>
          </w:tcPr>
          <w:p w:rsidR="0096072E" w:rsidRPr="00892DE3" w:rsidRDefault="0096072E" w:rsidP="00FE6218">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funds under management</w:t>
            </w:r>
          </w:p>
        </w:tc>
        <w:tc>
          <w:tcPr>
            <w:tcW w:w="980" w:type="dxa"/>
            <w:shd w:val="clear" w:color="auto" w:fill="EBEBEB" w:themeFill="background2"/>
            <w:noWrap/>
          </w:tcPr>
          <w:p w:rsidR="0096072E" w:rsidRPr="00892DE3" w:rsidRDefault="0096072E" w:rsidP="00C76064">
            <w:pPr>
              <w:cnfStyle w:val="000000000000" w:firstRow="0" w:lastRow="0" w:firstColumn="0" w:lastColumn="0" w:oddVBand="0" w:evenVBand="0" w:oddHBand="0" w:evenHBand="0" w:firstRowFirstColumn="0" w:firstRowLastColumn="0" w:lastRowFirstColumn="0" w:lastRowLastColumn="0"/>
              <w:rPr>
                <w:b/>
              </w:rPr>
            </w:pPr>
            <w:r w:rsidRPr="00892DE3">
              <w:rPr>
                <w:b/>
              </w:rPr>
              <w:t>111.6</w:t>
            </w:r>
          </w:p>
        </w:tc>
        <w:tc>
          <w:tcPr>
            <w:tcW w:w="910" w:type="dxa"/>
            <w:noWrap/>
          </w:tcPr>
          <w:p w:rsidR="0096072E" w:rsidRPr="00892DE3" w:rsidRDefault="0096072E" w:rsidP="00C76064">
            <w:pPr>
              <w:cnfStyle w:val="000000000000" w:firstRow="0" w:lastRow="0" w:firstColumn="0" w:lastColumn="0" w:oddVBand="0" w:evenVBand="0" w:oddHBand="0" w:evenHBand="0" w:firstRowFirstColumn="0" w:firstRowLastColumn="0" w:lastRowFirstColumn="0" w:lastRowLastColumn="0"/>
              <w:rPr>
                <w:b/>
              </w:rPr>
            </w:pPr>
            <w:r w:rsidRPr="00892DE3">
              <w:rPr>
                <w:b/>
              </w:rPr>
              <w:t>239.1</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E6218" w:rsidRPr="00892DE3" w:rsidRDefault="00FE6218" w:rsidP="00FE6218"/>
        </w:tc>
        <w:tc>
          <w:tcPr>
            <w:tcW w:w="6300" w:type="dxa"/>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pPr>
            <w:r w:rsidRPr="00892DE3">
              <w:t xml:space="preserve">Donations and other contributions </w:t>
            </w:r>
            <w:r w:rsidR="0096072E" w:rsidRPr="00892DE3">
              <w:rPr>
                <w:vertAlign w:val="superscript"/>
              </w:rPr>
              <w:t>(a</w:t>
            </w:r>
            <w:r w:rsidRPr="00892DE3">
              <w:rPr>
                <w:vertAlign w:val="superscript"/>
              </w:rPr>
              <w:t>)</w:t>
            </w:r>
          </w:p>
        </w:tc>
        <w:tc>
          <w:tcPr>
            <w:tcW w:w="980" w:type="dxa"/>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142.1</w:t>
            </w:r>
          </w:p>
        </w:tc>
        <w:tc>
          <w:tcPr>
            <w:tcW w:w="910" w:type="dxa"/>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500.1</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E6218" w:rsidRPr="00892DE3" w:rsidRDefault="00FE6218" w:rsidP="00FE6218"/>
        </w:tc>
        <w:tc>
          <w:tcPr>
            <w:tcW w:w="6300" w:type="dxa"/>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pPr>
            <w:r w:rsidRPr="00892DE3">
              <w:t xml:space="preserve">Interest earned </w:t>
            </w:r>
            <w:r w:rsidR="0096072E" w:rsidRPr="00892DE3">
              <w:rPr>
                <w:vertAlign w:val="superscript"/>
              </w:rPr>
              <w:t>(b</w:t>
            </w:r>
            <w:r w:rsidRPr="00892DE3">
              <w:rPr>
                <w:vertAlign w:val="superscript"/>
              </w:rPr>
              <w:t>)</w:t>
            </w:r>
          </w:p>
        </w:tc>
        <w:tc>
          <w:tcPr>
            <w:tcW w:w="980" w:type="dxa"/>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3.7</w:t>
            </w:r>
          </w:p>
        </w:tc>
        <w:tc>
          <w:tcPr>
            <w:tcW w:w="910" w:type="dxa"/>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10.9</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E6218" w:rsidRPr="00892DE3" w:rsidRDefault="00FE6218" w:rsidP="00FE6218"/>
        </w:tc>
        <w:tc>
          <w:tcPr>
            <w:tcW w:w="6300" w:type="dxa"/>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receipts</w:t>
            </w:r>
          </w:p>
        </w:tc>
        <w:tc>
          <w:tcPr>
            <w:tcW w:w="980" w:type="dxa"/>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rPr>
                <w:b/>
              </w:rPr>
            </w:pPr>
            <w:r w:rsidRPr="00892DE3">
              <w:rPr>
                <w:b/>
              </w:rPr>
              <w:t>145.8</w:t>
            </w:r>
          </w:p>
        </w:tc>
        <w:tc>
          <w:tcPr>
            <w:tcW w:w="910" w:type="dxa"/>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rPr>
                <w:b/>
              </w:rPr>
            </w:pPr>
            <w:r w:rsidRPr="00892DE3">
              <w:rPr>
                <w:b/>
              </w:rPr>
              <w:t>511.0</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E6218" w:rsidRPr="00892DE3" w:rsidRDefault="00FE6218" w:rsidP="00FE6218"/>
        </w:tc>
        <w:tc>
          <w:tcPr>
            <w:tcW w:w="6300" w:type="dxa"/>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pPr>
            <w:r w:rsidRPr="00892DE3">
              <w:t>Payments to businesses</w:t>
            </w:r>
          </w:p>
        </w:tc>
        <w:tc>
          <w:tcPr>
            <w:tcW w:w="980" w:type="dxa"/>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6.6</w:t>
            </w:r>
          </w:p>
        </w:tc>
        <w:tc>
          <w:tcPr>
            <w:tcW w:w="910" w:type="dxa"/>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23</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E6218" w:rsidRPr="00892DE3" w:rsidRDefault="00FE6218" w:rsidP="00FE6218"/>
        </w:tc>
        <w:tc>
          <w:tcPr>
            <w:tcW w:w="6300" w:type="dxa"/>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pPr>
            <w:r w:rsidRPr="00892DE3">
              <w:t>Payments to community groups</w:t>
            </w:r>
          </w:p>
        </w:tc>
        <w:tc>
          <w:tcPr>
            <w:tcW w:w="980" w:type="dxa"/>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4.7</w:t>
            </w:r>
          </w:p>
        </w:tc>
        <w:tc>
          <w:tcPr>
            <w:tcW w:w="910" w:type="dxa"/>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34.8</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E6218" w:rsidRPr="00892DE3" w:rsidRDefault="00FE6218" w:rsidP="00FE6218"/>
        </w:tc>
        <w:tc>
          <w:tcPr>
            <w:tcW w:w="6300" w:type="dxa"/>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pPr>
            <w:r w:rsidRPr="00892DE3">
              <w:t xml:space="preserve">Payments to individuals </w:t>
            </w:r>
          </w:p>
        </w:tc>
        <w:tc>
          <w:tcPr>
            <w:tcW w:w="980" w:type="dxa"/>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10.6</w:t>
            </w:r>
          </w:p>
        </w:tc>
        <w:tc>
          <w:tcPr>
            <w:tcW w:w="910" w:type="dxa"/>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86.2</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E6218" w:rsidRPr="00892DE3" w:rsidRDefault="00FE6218" w:rsidP="00FE6218"/>
        </w:tc>
        <w:tc>
          <w:tcPr>
            <w:tcW w:w="6300" w:type="dxa"/>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pPr>
            <w:r w:rsidRPr="00892DE3">
              <w:t>Payments on state</w:t>
            </w:r>
            <w:r w:rsidRPr="00892DE3">
              <w:noBreakHyphen/>
              <w:t>owned assets</w:t>
            </w:r>
            <w:r w:rsidRPr="00892DE3" w:rsidDel="00DE450E">
              <w:t xml:space="preserve"> </w:t>
            </w:r>
          </w:p>
        </w:tc>
        <w:tc>
          <w:tcPr>
            <w:tcW w:w="980" w:type="dxa"/>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12.3</w:t>
            </w:r>
          </w:p>
        </w:tc>
        <w:tc>
          <w:tcPr>
            <w:tcW w:w="910" w:type="dxa"/>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pPr>
            <w:r w:rsidRPr="00892DE3">
              <w:t>127.9</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E6218" w:rsidRPr="00892DE3" w:rsidRDefault="00FE6218" w:rsidP="00FE6218"/>
        </w:tc>
        <w:tc>
          <w:tcPr>
            <w:tcW w:w="6300" w:type="dxa"/>
            <w:tcBorders>
              <w:bottom w:val="single" w:sz="4" w:space="0" w:color="auto"/>
            </w:tcBorders>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payments</w:t>
            </w:r>
          </w:p>
        </w:tc>
        <w:tc>
          <w:tcPr>
            <w:tcW w:w="980" w:type="dxa"/>
            <w:tcBorders>
              <w:bottom w:val="single" w:sz="4" w:space="0" w:color="auto"/>
            </w:tcBorders>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rPr>
                <w:b/>
              </w:rPr>
            </w:pPr>
            <w:r w:rsidRPr="00892DE3">
              <w:rPr>
                <w:b/>
              </w:rPr>
              <w:t>34.2</w:t>
            </w:r>
          </w:p>
        </w:tc>
        <w:tc>
          <w:tcPr>
            <w:tcW w:w="910" w:type="dxa"/>
            <w:tcBorders>
              <w:bottom w:val="single" w:sz="4" w:space="0" w:color="auto"/>
            </w:tcBorders>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rPr>
                <w:b/>
              </w:rPr>
            </w:pPr>
            <w:r w:rsidRPr="00892DE3">
              <w:rPr>
                <w:b/>
              </w:rPr>
              <w:t>271.9</w:t>
            </w:r>
          </w:p>
        </w:tc>
      </w:tr>
      <w:tr w:rsidR="00FE6218" w:rsidRPr="00892DE3" w:rsidTr="00FE6218">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E6218" w:rsidRPr="00892DE3" w:rsidRDefault="00FE6218" w:rsidP="00FE6218"/>
        </w:tc>
        <w:tc>
          <w:tcPr>
            <w:tcW w:w="6300" w:type="dxa"/>
            <w:tcBorders>
              <w:top w:val="single" w:sz="4" w:space="0" w:color="auto"/>
              <w:bottom w:val="single" w:sz="12" w:space="0" w:color="auto"/>
            </w:tcBorders>
          </w:tcPr>
          <w:p w:rsidR="00FE6218" w:rsidRPr="00892DE3" w:rsidRDefault="00FE6218" w:rsidP="00FE6218">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carried forward</w:t>
            </w:r>
            <w:r w:rsidR="0096072E" w:rsidRPr="00892DE3">
              <w:rPr>
                <w:b/>
                <w:vertAlign w:val="superscript"/>
              </w:rPr>
              <w:t xml:space="preserve"> (c</w:t>
            </w:r>
            <w:r w:rsidRPr="00892DE3">
              <w:rPr>
                <w:b/>
                <w:vertAlign w:val="superscript"/>
              </w:rPr>
              <w:t>)</w:t>
            </w:r>
          </w:p>
        </w:tc>
        <w:tc>
          <w:tcPr>
            <w:tcW w:w="980" w:type="dxa"/>
            <w:tcBorders>
              <w:top w:val="single" w:sz="4" w:space="0" w:color="auto"/>
              <w:bottom w:val="single" w:sz="12" w:space="0" w:color="auto"/>
            </w:tcBorders>
            <w:shd w:val="clear" w:color="auto" w:fill="EBEBEB" w:themeFill="background2"/>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rPr>
                <w:b/>
              </w:rPr>
            </w:pPr>
            <w:r w:rsidRPr="00892DE3">
              <w:rPr>
                <w:b/>
              </w:rPr>
              <w:t>111.6</w:t>
            </w:r>
          </w:p>
        </w:tc>
        <w:tc>
          <w:tcPr>
            <w:tcW w:w="910" w:type="dxa"/>
            <w:tcBorders>
              <w:top w:val="single" w:sz="4" w:space="0" w:color="auto"/>
              <w:bottom w:val="single" w:sz="12" w:space="0" w:color="auto"/>
            </w:tcBorders>
            <w:noWrap/>
          </w:tcPr>
          <w:p w:rsidR="00FE6218" w:rsidRPr="00892DE3" w:rsidRDefault="00FE6218" w:rsidP="00C76064">
            <w:pPr>
              <w:cnfStyle w:val="000000000000" w:firstRow="0" w:lastRow="0" w:firstColumn="0" w:lastColumn="0" w:oddVBand="0" w:evenVBand="0" w:oddHBand="0" w:evenHBand="0" w:firstRowFirstColumn="0" w:firstRowLastColumn="0" w:lastRowFirstColumn="0" w:lastRowLastColumn="0"/>
              <w:rPr>
                <w:b/>
              </w:rPr>
            </w:pPr>
            <w:r w:rsidRPr="00892DE3">
              <w:rPr>
                <w:b/>
              </w:rPr>
              <w:t>239.1</w:t>
            </w:r>
          </w:p>
        </w:tc>
      </w:tr>
    </w:tbl>
    <w:p w:rsidR="00FE6218" w:rsidRPr="00892DE3" w:rsidRDefault="00FE6218" w:rsidP="00FE6218">
      <w:pPr>
        <w:pStyle w:val="Note"/>
      </w:pPr>
      <w:r w:rsidRPr="00892DE3">
        <w:t>Notes:</w:t>
      </w:r>
    </w:p>
    <w:p w:rsidR="00FE6218" w:rsidRPr="00892DE3" w:rsidRDefault="00FE6218" w:rsidP="00FE6218">
      <w:pPr>
        <w:pStyle w:val="Note"/>
      </w:pPr>
      <w:r w:rsidRPr="00892DE3">
        <w:t>(</w:t>
      </w:r>
      <w:r w:rsidR="0096072E" w:rsidRPr="00892DE3">
        <w:t>a</w:t>
      </w:r>
      <w:r w:rsidRPr="00892DE3">
        <w:t>)</w:t>
      </w:r>
      <w:r w:rsidRPr="00892DE3">
        <w:tab/>
        <w:t xml:space="preserve">Contributions, inter alia, include funds provided by the Victorian Government, Commonwealth, other Australian and international jurisdictions, as well as the general public, for the purpose described above. </w:t>
      </w:r>
    </w:p>
    <w:p w:rsidR="00FE6218" w:rsidRPr="00892DE3" w:rsidRDefault="00FE6218" w:rsidP="00FE6218">
      <w:pPr>
        <w:pStyle w:val="Note"/>
      </w:pPr>
      <w:r w:rsidRPr="00892DE3">
        <w:t>(</w:t>
      </w:r>
      <w:r w:rsidR="0096072E" w:rsidRPr="00892DE3">
        <w:t>b</w:t>
      </w:r>
      <w:r w:rsidRPr="00892DE3">
        <w:t>)</w:t>
      </w:r>
      <w:r w:rsidRPr="00892DE3">
        <w:tab/>
        <w:t xml:space="preserve">The investment, pursuant to section 21 of the </w:t>
      </w:r>
      <w:r w:rsidRPr="00892DE3">
        <w:rPr>
          <w:i w:val="0"/>
        </w:rPr>
        <w:t>Financial Management Act 1994</w:t>
      </w:r>
      <w:r w:rsidRPr="00892DE3">
        <w:t xml:space="preserve">, of any monies from the biological disaster fund has been invested as allowed under the </w:t>
      </w:r>
      <w:r w:rsidRPr="00892DE3">
        <w:rPr>
          <w:i w:val="0"/>
        </w:rPr>
        <w:t>Trustee Act 1958</w:t>
      </w:r>
      <w:r w:rsidRPr="00892DE3">
        <w:t>. Interest earned is credited to the trust account.</w:t>
      </w:r>
    </w:p>
    <w:p w:rsidR="00FE6218" w:rsidRPr="00892DE3" w:rsidRDefault="00FE6218" w:rsidP="00FE6218">
      <w:pPr>
        <w:pStyle w:val="Note"/>
      </w:pPr>
      <w:r w:rsidRPr="00892DE3">
        <w:t>(</w:t>
      </w:r>
      <w:r w:rsidR="0096072E" w:rsidRPr="00892DE3">
        <w:t>c</w:t>
      </w:r>
      <w:r w:rsidRPr="00892DE3">
        <w:t>)</w:t>
      </w:r>
      <w:r w:rsidRPr="00892DE3">
        <w:tab/>
        <w:t>[This expanded disclosure is only necessary for third party funds under management that are of significance in regards to public interest.]</w:t>
      </w:r>
    </w:p>
    <w:p w:rsidR="00FE6218" w:rsidRPr="00892DE3" w:rsidRDefault="00FE6218" w:rsidP="00FE6218"/>
    <w:p w:rsidR="00FE6218" w:rsidRPr="00892DE3" w:rsidRDefault="00FE6218" w:rsidP="00FE6218">
      <w:pPr>
        <w:pStyle w:val="TableHeading"/>
      </w:pPr>
      <w:r w:rsidRPr="00892DE3">
        <w:t>Other third party funds under management</w:t>
      </w:r>
      <w:r w:rsidRPr="00892DE3">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758"/>
        <w:gridCol w:w="942"/>
        <w:gridCol w:w="937"/>
      </w:tblGrid>
      <w:tr w:rsidR="00FE6218" w:rsidRPr="00892DE3" w:rsidTr="00FE62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58" w:type="dxa"/>
          </w:tcPr>
          <w:p w:rsidR="00FE6218" w:rsidRPr="00892DE3" w:rsidRDefault="00FE6218" w:rsidP="00FE6218">
            <w:pPr>
              <w:ind w:left="0" w:firstLine="0"/>
            </w:pPr>
          </w:p>
        </w:tc>
        <w:tc>
          <w:tcPr>
            <w:tcW w:w="942" w:type="dxa"/>
            <w:noWrap/>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pPr>
            <w:r w:rsidRPr="00892DE3">
              <w:t>2017</w:t>
            </w:r>
          </w:p>
        </w:tc>
        <w:tc>
          <w:tcPr>
            <w:tcW w:w="937" w:type="dxa"/>
            <w:noWrap/>
          </w:tcPr>
          <w:p w:rsidR="00FE6218" w:rsidRPr="00892DE3" w:rsidRDefault="00FE6218" w:rsidP="00FE6218">
            <w:pPr>
              <w:cnfStyle w:val="100000000000" w:firstRow="1" w:lastRow="0" w:firstColumn="0" w:lastColumn="0" w:oddVBand="0" w:evenVBand="0" w:oddHBand="0" w:evenHBand="0" w:firstRowFirstColumn="0" w:firstRowLastColumn="0" w:lastRowFirstColumn="0" w:lastRowLastColumn="0"/>
            </w:pPr>
            <w:r w:rsidRPr="00892DE3">
              <w:t>2016</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758" w:type="dxa"/>
          </w:tcPr>
          <w:p w:rsidR="00FE6218" w:rsidRPr="00892DE3" w:rsidRDefault="00FE6218" w:rsidP="00FE6218">
            <w:pPr>
              <w:rPr>
                <w:rFonts w:cstheme="majorHAnsi"/>
              </w:rPr>
            </w:pPr>
            <w:r w:rsidRPr="00892DE3">
              <w:rPr>
                <w:rFonts w:cstheme="majorHAnsi"/>
              </w:rPr>
              <w:t>e</w:t>
            </w:r>
            <w:r w:rsidR="00810FC5">
              <w:rPr>
                <w:rFonts w:cstheme="majorHAnsi"/>
              </w:rPr>
              <w:t>-</w:t>
            </w:r>
            <w:r w:rsidRPr="00892DE3">
              <w:rPr>
                <w:rFonts w:cstheme="majorHAnsi"/>
              </w:rPr>
              <w:t xml:space="preserve">Technology </w:t>
            </w:r>
            <w:r w:rsidR="00810FC5">
              <w:rPr>
                <w:rFonts w:cstheme="majorHAnsi"/>
              </w:rPr>
              <w:t>F</w:t>
            </w:r>
            <w:r w:rsidRPr="00892DE3">
              <w:rPr>
                <w:rFonts w:cstheme="majorHAnsi"/>
              </w:rPr>
              <w:t>und</w:t>
            </w:r>
            <w:r w:rsidR="0096072E" w:rsidRPr="00892DE3">
              <w:rPr>
                <w:rFonts w:cstheme="majorHAnsi"/>
                <w:vertAlign w:val="superscript"/>
              </w:rPr>
              <w:t xml:space="preserve"> (a</w:t>
            </w:r>
            <w:r w:rsidRPr="00892DE3">
              <w:rPr>
                <w:rFonts w:cstheme="majorHAnsi"/>
                <w:vertAlign w:val="superscript"/>
              </w:rPr>
              <w:t>)</w:t>
            </w:r>
          </w:p>
        </w:tc>
        <w:tc>
          <w:tcPr>
            <w:tcW w:w="942" w:type="dxa"/>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21.2</w:t>
            </w:r>
          </w:p>
        </w:tc>
        <w:tc>
          <w:tcPr>
            <w:tcW w:w="937" w:type="dxa"/>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46.1</w:t>
            </w:r>
          </w:p>
        </w:tc>
      </w:tr>
      <w:tr w:rsidR="00FE6218" w:rsidRPr="00892DE3" w:rsidTr="00FE6218">
        <w:tc>
          <w:tcPr>
            <w:cnfStyle w:val="001000000000" w:firstRow="0" w:lastRow="0" w:firstColumn="1" w:lastColumn="0" w:oddVBand="0" w:evenVBand="0" w:oddHBand="0" w:evenHBand="0" w:firstRowFirstColumn="0" w:firstRowLastColumn="0" w:lastRowFirstColumn="0" w:lastRowLastColumn="0"/>
            <w:tcW w:w="7758" w:type="dxa"/>
            <w:tcBorders>
              <w:bottom w:val="single" w:sz="4" w:space="0" w:color="auto"/>
            </w:tcBorders>
          </w:tcPr>
          <w:p w:rsidR="00FE6218" w:rsidRPr="00892DE3" w:rsidRDefault="00FE6218" w:rsidP="00FE6218">
            <w:pPr>
              <w:rPr>
                <w:rFonts w:cstheme="majorHAnsi"/>
              </w:rPr>
            </w:pPr>
            <w:r w:rsidRPr="00892DE3">
              <w:rPr>
                <w:rFonts w:cstheme="majorHAnsi"/>
              </w:rPr>
              <w:t xml:space="preserve">International </w:t>
            </w:r>
            <w:r w:rsidR="00810FC5">
              <w:rPr>
                <w:rFonts w:cstheme="majorHAnsi"/>
              </w:rPr>
              <w:t>N</w:t>
            </w:r>
            <w:r w:rsidRPr="00892DE3">
              <w:rPr>
                <w:rFonts w:cstheme="majorHAnsi"/>
              </w:rPr>
              <w:t xml:space="preserve">etwork </w:t>
            </w:r>
            <w:r w:rsidR="00810FC5">
              <w:rPr>
                <w:rFonts w:cstheme="majorHAnsi"/>
              </w:rPr>
              <w:t>A</w:t>
            </w:r>
            <w:r w:rsidRPr="00892DE3">
              <w:rPr>
                <w:rFonts w:cstheme="majorHAnsi"/>
              </w:rPr>
              <w:t xml:space="preserve">ssociation </w:t>
            </w:r>
            <w:r w:rsidR="00810FC5">
              <w:rPr>
                <w:rFonts w:cstheme="majorHAnsi"/>
              </w:rPr>
              <w:t>F</w:t>
            </w:r>
            <w:r w:rsidRPr="00892DE3">
              <w:rPr>
                <w:rFonts w:cstheme="majorHAnsi"/>
              </w:rPr>
              <w:t>und</w:t>
            </w:r>
            <w:r w:rsidR="0096072E" w:rsidRPr="00892DE3">
              <w:rPr>
                <w:rFonts w:cstheme="majorHAnsi"/>
                <w:vertAlign w:val="superscript"/>
              </w:rPr>
              <w:t xml:space="preserve"> (b</w:t>
            </w:r>
            <w:r w:rsidRPr="00892DE3">
              <w:rPr>
                <w:rFonts w:cstheme="majorHAnsi"/>
                <w:vertAlign w:val="superscript"/>
              </w:rPr>
              <w:t>)</w:t>
            </w:r>
          </w:p>
        </w:tc>
        <w:tc>
          <w:tcPr>
            <w:tcW w:w="942" w:type="dxa"/>
            <w:tcBorders>
              <w:bottom w:val="single" w:sz="4" w:space="0" w:color="auto"/>
            </w:tcBorders>
            <w:shd w:val="clear" w:color="auto" w:fill="EBEBEB" w:themeFill="background2"/>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w:t>
            </w:r>
          </w:p>
        </w:tc>
        <w:tc>
          <w:tcPr>
            <w:tcW w:w="937" w:type="dxa"/>
            <w:tcBorders>
              <w:bottom w:val="single" w:sz="4" w:space="0" w:color="auto"/>
            </w:tcBorders>
            <w:noWrap/>
          </w:tcPr>
          <w:p w:rsidR="00FE6218" w:rsidRPr="00892DE3" w:rsidRDefault="00FE6218" w:rsidP="00FE621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w:t>
            </w:r>
          </w:p>
        </w:tc>
      </w:tr>
      <w:tr w:rsidR="00FE6218" w:rsidRPr="00892DE3" w:rsidTr="00FE62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Borders>
              <w:top w:val="single" w:sz="4" w:space="0" w:color="auto"/>
              <w:bottom w:val="single" w:sz="12" w:space="0" w:color="auto"/>
            </w:tcBorders>
          </w:tcPr>
          <w:p w:rsidR="00FE6218" w:rsidRPr="00892DE3" w:rsidRDefault="00FE6218" w:rsidP="00FE6218">
            <w:pPr>
              <w:rPr>
                <w:rFonts w:cstheme="majorHAnsi"/>
                <w:b w:val="0"/>
              </w:rPr>
            </w:pPr>
            <w:r w:rsidRPr="00892DE3">
              <w:rPr>
                <w:rFonts w:cstheme="majorHAnsi"/>
              </w:rPr>
              <w:t>Total funds under management</w:t>
            </w:r>
          </w:p>
        </w:tc>
        <w:tc>
          <w:tcPr>
            <w:tcW w:w="942" w:type="dxa"/>
            <w:tcBorders>
              <w:top w:val="single" w:sz="4" w:space="0" w:color="auto"/>
              <w:bottom w:val="single" w:sz="12" w:space="0" w:color="auto"/>
            </w:tcBorders>
            <w:shd w:val="clear" w:color="auto" w:fill="EBEBEB" w:themeFill="background2"/>
            <w:noWrap/>
          </w:tcPr>
          <w:p w:rsidR="00FE6218" w:rsidRPr="00892DE3" w:rsidRDefault="00FE6218" w:rsidP="00FE6218">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22.9</w:t>
            </w:r>
          </w:p>
        </w:tc>
        <w:tc>
          <w:tcPr>
            <w:tcW w:w="937" w:type="dxa"/>
            <w:tcBorders>
              <w:top w:val="single" w:sz="4" w:space="0" w:color="auto"/>
              <w:bottom w:val="single" w:sz="12" w:space="0" w:color="auto"/>
            </w:tcBorders>
            <w:noWrap/>
          </w:tcPr>
          <w:p w:rsidR="00FE6218" w:rsidRPr="00892DE3" w:rsidRDefault="00FE6218" w:rsidP="00FE6218">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47.6</w:t>
            </w:r>
          </w:p>
        </w:tc>
      </w:tr>
    </w:tbl>
    <w:p w:rsidR="00FE6218" w:rsidRPr="00892DE3" w:rsidRDefault="00FE6218" w:rsidP="00FE6218">
      <w:pPr>
        <w:pStyle w:val="Note"/>
      </w:pPr>
      <w:r w:rsidRPr="00892DE3">
        <w:t>Notes:</w:t>
      </w:r>
    </w:p>
    <w:p w:rsidR="00FE6218" w:rsidRPr="00892DE3" w:rsidRDefault="00FE6218" w:rsidP="00FE6218">
      <w:pPr>
        <w:pStyle w:val="Note"/>
      </w:pPr>
      <w:r w:rsidRPr="00892DE3">
        <w:t>(</w:t>
      </w:r>
      <w:r w:rsidR="0096072E" w:rsidRPr="00892DE3">
        <w:t>a</w:t>
      </w:r>
      <w:r w:rsidRPr="00892DE3">
        <w:t>)</w:t>
      </w:r>
      <w:r w:rsidRPr="00892DE3">
        <w:tab/>
        <w:t>The e</w:t>
      </w:r>
      <w:r w:rsidR="00810FC5">
        <w:t>-</w:t>
      </w:r>
      <w:r w:rsidRPr="00892DE3">
        <w:t xml:space="preserve">Technology </w:t>
      </w:r>
      <w:r w:rsidR="00810FC5">
        <w:t>F</w:t>
      </w:r>
      <w:r w:rsidRPr="00892DE3">
        <w:t>und was established by the Victorian Government in 2009 in partnership with the Commonwealth Government to receive contributions and disburse monies to businesses, non-government organisations and registered individuals compliant with the international agreement on e</w:t>
      </w:r>
      <w:r w:rsidR="00810FC5">
        <w:t>-</w:t>
      </w:r>
      <w:r w:rsidRPr="00892DE3">
        <w:t xml:space="preserve">Technology signed by Australia in February 2009. </w:t>
      </w:r>
    </w:p>
    <w:p w:rsidR="00FE6218" w:rsidRPr="00892DE3" w:rsidRDefault="00FE6218" w:rsidP="00FE6218">
      <w:pPr>
        <w:pStyle w:val="Note"/>
      </w:pPr>
      <w:r w:rsidRPr="00892DE3">
        <w:t>(</w:t>
      </w:r>
      <w:r w:rsidR="0096072E" w:rsidRPr="00892DE3">
        <w:t>b</w:t>
      </w:r>
      <w:r w:rsidRPr="00892DE3">
        <w:t>)</w:t>
      </w:r>
      <w:r w:rsidRPr="00892DE3">
        <w:tab/>
        <w:t xml:space="preserve">The </w:t>
      </w:r>
      <w:r w:rsidR="00810FC5">
        <w:t>I</w:t>
      </w:r>
      <w:r w:rsidRPr="00892DE3">
        <w:t xml:space="preserve">nternational </w:t>
      </w:r>
      <w:r w:rsidR="00810FC5">
        <w:t>N</w:t>
      </w:r>
      <w:r w:rsidRPr="00892DE3">
        <w:t xml:space="preserve">etwork </w:t>
      </w:r>
      <w:r w:rsidR="00810FC5">
        <w:t>A</w:t>
      </w:r>
      <w:r w:rsidRPr="00892DE3">
        <w:t xml:space="preserve">ssociation </w:t>
      </w:r>
      <w:r w:rsidR="00810FC5">
        <w:t>F</w:t>
      </w:r>
      <w:r w:rsidRPr="00892DE3">
        <w:t>und was established in 2011 in partnership with the International Association of Networks. The Victorian Government manages, under trust, donations and bequests from members of the International Association of Networks for disbursement to eligible beneficiaries.</w:t>
      </w:r>
    </w:p>
    <w:p w:rsidR="00FE6218" w:rsidRPr="00892DE3" w:rsidRDefault="00FE6218"/>
    <w:tbl>
      <w:tblPr>
        <w:tblStyle w:val="ModelReportGuidanceTable"/>
        <w:tblW w:w="0" w:type="auto"/>
        <w:tblLook w:val="04A0" w:firstRow="1" w:lastRow="0" w:firstColumn="1" w:lastColumn="0" w:noHBand="0" w:noVBand="1"/>
      </w:tblPr>
      <w:tblGrid>
        <w:gridCol w:w="9752"/>
      </w:tblGrid>
      <w:tr w:rsidR="00FE6218" w:rsidRPr="00892DE3" w:rsidTr="00C01D21">
        <w:trPr>
          <w:cnfStyle w:val="100000000000" w:firstRow="1" w:lastRow="0" w:firstColumn="0" w:lastColumn="0" w:oddVBand="0" w:evenVBand="0" w:oddHBand="0" w:evenHBand="0" w:firstRowFirstColumn="0" w:firstRowLastColumn="0" w:lastRowFirstColumn="0" w:lastRowLastColumn="0"/>
        </w:trPr>
        <w:tc>
          <w:tcPr>
            <w:tcW w:w="9752" w:type="dxa"/>
          </w:tcPr>
          <w:p w:rsidR="00FE6218" w:rsidRPr="00892DE3" w:rsidRDefault="00FE6218" w:rsidP="00FE6218">
            <w:r w:rsidRPr="00892DE3">
              <w:t xml:space="preserve">Guidance – Third party funds under management </w:t>
            </w:r>
            <w:r w:rsidRPr="00892DE3">
              <w:rPr>
                <w:rStyle w:val="SourceReference"/>
                <w:b w:val="0"/>
                <w:color w:val="FFFFFF" w:themeColor="background1"/>
              </w:rPr>
              <w:t>[AASB 110.8, 110.21-22]</w:t>
            </w:r>
          </w:p>
        </w:tc>
      </w:tr>
      <w:tr w:rsidR="00FE6218" w:rsidRPr="00892DE3" w:rsidTr="00C01D21">
        <w:tc>
          <w:tcPr>
            <w:tcW w:w="9752" w:type="dxa"/>
          </w:tcPr>
          <w:p w:rsidR="00FE6218" w:rsidRPr="00892DE3" w:rsidRDefault="00FE6218" w:rsidP="00FE6218">
            <w:r w:rsidRPr="00892DE3">
              <w:t xml:space="preserve">Third party funds under management are funds that are collected and managed by a government entity acting as an ‘agent’, on behalf of the ‘principal’. These funds are usually not available for general use by the ‘agent’ entity, either due to legislative restrictions over the funds or various other circumstances that impose restrictions on the use of the funds. </w:t>
            </w:r>
          </w:p>
          <w:p w:rsidR="00FE6218" w:rsidRPr="00892DE3" w:rsidRDefault="00FE6218" w:rsidP="00FE6218">
            <w:pPr>
              <w:rPr>
                <w:b/>
              </w:rPr>
            </w:pPr>
            <w:r w:rsidRPr="00892DE3">
              <w:rPr>
                <w:b/>
              </w:rPr>
              <w:t xml:space="preserve">Determining whether an entity is acting as a principal or as an agent </w:t>
            </w:r>
          </w:p>
          <w:p w:rsidR="00FE6218" w:rsidRPr="00892DE3" w:rsidRDefault="00FE6218" w:rsidP="00FE6218">
            <w:r w:rsidRPr="00892DE3">
              <w:t>Determining whether an entity is acting as a principal or as an agent requires judgement and consideration of all relevant facts and circumstances. Guidance is provided below.</w:t>
            </w:r>
          </w:p>
          <w:p w:rsidR="00FE6218" w:rsidRPr="00892DE3" w:rsidRDefault="00FE6218" w:rsidP="00FE6218">
            <w:pPr>
              <w:rPr>
                <w:b/>
              </w:rPr>
            </w:pPr>
            <w:r w:rsidRPr="00892DE3">
              <w:rPr>
                <w:b/>
              </w:rPr>
              <w:t xml:space="preserve">Principal </w:t>
            </w:r>
            <w:r w:rsidRPr="00892DE3">
              <w:rPr>
                <w:rStyle w:val="SourceReference"/>
              </w:rPr>
              <w:t>[AASB 118.App 21]</w:t>
            </w:r>
          </w:p>
          <w:p w:rsidR="00FE6218" w:rsidRPr="00892DE3" w:rsidRDefault="00FE6218" w:rsidP="00FE6218">
            <w:r w:rsidRPr="00892DE3">
              <w:t>An entity is acting as a principal when it has exposure to the significant risks and rewards associated with the sale of goods or the rendering of services. Features that indicate this include:</w:t>
            </w:r>
          </w:p>
          <w:p w:rsidR="00FE6218" w:rsidRPr="00892DE3" w:rsidRDefault="00FE6218" w:rsidP="00FE6218">
            <w:pPr>
              <w:pStyle w:val="ListBullet"/>
            </w:pPr>
            <w:r w:rsidRPr="00892DE3">
              <w:t>the entity has the primary responsibility for providing the goods or services to the customer or for fulfilling the order, e.g. by being responsible for the acceptability of the products or services ordered or purchased by the customer;</w:t>
            </w:r>
          </w:p>
          <w:p w:rsidR="00FE6218" w:rsidRPr="00892DE3" w:rsidRDefault="00FE6218" w:rsidP="00FE6218">
            <w:pPr>
              <w:pStyle w:val="ListBullet"/>
            </w:pPr>
            <w:r w:rsidRPr="00892DE3">
              <w:t>the entity has inventory risk before or after the customer order, during shipping or on return;</w:t>
            </w:r>
          </w:p>
          <w:p w:rsidR="00FE6218" w:rsidRPr="00892DE3" w:rsidRDefault="00FE6218" w:rsidP="00FE6218">
            <w:pPr>
              <w:pStyle w:val="ListBullet"/>
            </w:pPr>
            <w:r w:rsidRPr="00892DE3">
              <w:t>the entity has latitude in establishing prices, either directly or indirectly, e.g. by providing additional goods or services; and</w:t>
            </w:r>
          </w:p>
          <w:p w:rsidR="00FE6218" w:rsidRPr="00892DE3" w:rsidRDefault="00FE6218" w:rsidP="00FE6218">
            <w:pPr>
              <w:pStyle w:val="ListBullet"/>
            </w:pPr>
            <w:r w:rsidRPr="00892DE3">
              <w:t>the entity bears the customer’s credit risk for the amount receivable from the customer.</w:t>
            </w:r>
          </w:p>
          <w:p w:rsidR="00FE6218" w:rsidRPr="00892DE3" w:rsidRDefault="00FE6218" w:rsidP="00FE6218">
            <w:pPr>
              <w:rPr>
                <w:b/>
              </w:rPr>
            </w:pPr>
            <w:r w:rsidRPr="00892DE3">
              <w:rPr>
                <w:b/>
              </w:rPr>
              <w:t xml:space="preserve">Agent </w:t>
            </w:r>
            <w:r w:rsidRPr="00892DE3">
              <w:rPr>
                <w:rStyle w:val="SourceReference"/>
              </w:rPr>
              <w:t>[AASB 118.App21]</w:t>
            </w:r>
          </w:p>
          <w:p w:rsidR="00FE6218" w:rsidRPr="00892DE3" w:rsidRDefault="00FE6218" w:rsidP="00FE6218">
            <w:r w:rsidRPr="00892DE3">
              <w:t>An entity is acting as an agent when it does not have exposure to the significant risks and rewards associated with the sale of goods or the rendering of services. One feature that indicates this is that the amount the entity earns is predetermined, being either a fixed fee per transaction or a stated percentage of the amount billed to the customer.</w:t>
            </w:r>
          </w:p>
          <w:p w:rsidR="00FE6218" w:rsidRPr="00892DE3" w:rsidRDefault="00FE6218" w:rsidP="00FE6218">
            <w:pPr>
              <w:rPr>
                <w:b/>
              </w:rPr>
            </w:pPr>
            <w:r w:rsidRPr="00892DE3">
              <w:rPr>
                <w:b/>
              </w:rPr>
              <w:t xml:space="preserve">Information to be disclosed </w:t>
            </w:r>
            <w:r w:rsidRPr="00892DE3">
              <w:rPr>
                <w:rStyle w:val="SourceReference"/>
              </w:rPr>
              <w:t>[AASB 107.48]</w:t>
            </w:r>
          </w:p>
          <w:p w:rsidR="00FE6218" w:rsidRPr="00892DE3" w:rsidRDefault="00FE6218" w:rsidP="00C01D21">
            <w:r w:rsidRPr="00892DE3">
              <w:t>An entity shall disclose, together with a commentary by management, the amount of significant cash and cash equivalent balances held by the entity that are not available for use by the group.</w:t>
            </w:r>
          </w:p>
        </w:tc>
      </w:tr>
    </w:tbl>
    <w:p w:rsidR="00C01D21" w:rsidRPr="00892DE3" w:rsidRDefault="00C01D21"/>
    <w:tbl>
      <w:tblPr>
        <w:tblStyle w:val="ModelReportGuidanceTable"/>
        <w:tblW w:w="0" w:type="auto"/>
        <w:tblLook w:val="04A0" w:firstRow="1" w:lastRow="0" w:firstColumn="1" w:lastColumn="0" w:noHBand="0" w:noVBand="1"/>
      </w:tblPr>
      <w:tblGrid>
        <w:gridCol w:w="9752"/>
      </w:tblGrid>
      <w:tr w:rsidR="00C01D21" w:rsidRPr="00892DE3" w:rsidTr="00C01D21">
        <w:trPr>
          <w:cnfStyle w:val="100000000000" w:firstRow="1" w:lastRow="0" w:firstColumn="0" w:lastColumn="0" w:oddVBand="0" w:evenVBand="0" w:oddHBand="0" w:evenHBand="0" w:firstRowFirstColumn="0" w:firstRowLastColumn="0" w:lastRowFirstColumn="0" w:lastRowLastColumn="0"/>
        </w:trPr>
        <w:tc>
          <w:tcPr>
            <w:tcW w:w="9752" w:type="dxa"/>
          </w:tcPr>
          <w:p w:rsidR="00C01D21" w:rsidRPr="00892DE3" w:rsidRDefault="00C01D21" w:rsidP="00C01D21">
            <w:r w:rsidRPr="00892DE3">
              <w:t xml:space="preserve">Guidance – Third party funds under management </w:t>
            </w:r>
            <w:r w:rsidRPr="00491373">
              <w:rPr>
                <w:i/>
              </w:rPr>
              <w:t>(continued)</w:t>
            </w:r>
          </w:p>
        </w:tc>
      </w:tr>
      <w:tr w:rsidR="00C01D21" w:rsidRPr="00892DE3" w:rsidTr="00C01D21">
        <w:tc>
          <w:tcPr>
            <w:tcW w:w="9752" w:type="dxa"/>
          </w:tcPr>
          <w:p w:rsidR="00C01D21" w:rsidRPr="00892DE3" w:rsidRDefault="00C01D21" w:rsidP="00C01D21">
            <w:pPr>
              <w:rPr>
                <w:b/>
              </w:rPr>
            </w:pPr>
            <w:r w:rsidRPr="00892DE3">
              <w:rPr>
                <w:b/>
              </w:rPr>
              <w:t xml:space="preserve">Natural disasters </w:t>
            </w:r>
            <w:r w:rsidRPr="00892DE3">
              <w:rPr>
                <w:rStyle w:val="SourceReference"/>
              </w:rPr>
              <w:t>[PAEC Report 102 Part One recommendation 6]</w:t>
            </w:r>
          </w:p>
          <w:p w:rsidR="00C01D21" w:rsidRPr="00892DE3" w:rsidRDefault="00C01D21" w:rsidP="00C01D21">
            <w:r w:rsidRPr="00892DE3">
              <w:t>Departments are required to demonstrate high standards of transparency and accountability when reporting on the effectiveness of how funding allocated to natural disaster relief was managed. It is expected that this note disclosure include the level of funding spent on individuals, state owned assets, businesses and community groups affected as a result of a natural disaster.</w:t>
            </w:r>
          </w:p>
          <w:p w:rsidR="00C01D21" w:rsidRPr="00892DE3" w:rsidRDefault="00C01D21" w:rsidP="00C01D21">
            <w:pPr>
              <w:rPr>
                <w:b/>
              </w:rPr>
            </w:pPr>
            <w:r w:rsidRPr="00892DE3">
              <w:rPr>
                <w:b/>
              </w:rPr>
              <w:t>Income and payments from trust funds or funds held outside public account</w:t>
            </w:r>
            <w:r w:rsidR="007C5533" w:rsidRPr="00892DE3">
              <w:rPr>
                <w:b/>
              </w:rPr>
              <w:t xml:space="preserve"> </w:t>
            </w:r>
            <w:r w:rsidR="007C5533" w:rsidRPr="00892DE3">
              <w:rPr>
                <w:b/>
                <w:color w:val="C00000"/>
                <w:sz w:val="14"/>
              </w:rPr>
              <w:t>[New]</w:t>
            </w:r>
          </w:p>
          <w:p w:rsidR="00C01D21" w:rsidRPr="00892DE3" w:rsidRDefault="00C01D21" w:rsidP="00C01D21">
            <w:r w:rsidRPr="00892DE3">
              <w:t xml:space="preserve">Income from trust funds or funds held outside the public account may ultimately be used for a broad range of purposes and may not be readily determinable at the time of receipt and when the income is recognised. </w:t>
            </w:r>
          </w:p>
          <w:p w:rsidR="00C01D21" w:rsidRPr="00892DE3" w:rsidRDefault="00C01D21" w:rsidP="00C01D21">
            <w:r w:rsidRPr="00892DE3">
              <w:t xml:space="preserve">In general, payments out of controlled funds outside the public account are typically for the delivery of outputs or for the acquisition of assets, whereas payments out of administered funds are typically for payments made on behalf of the State. </w:t>
            </w:r>
            <w:r w:rsidRPr="00892DE3">
              <w:rPr>
                <w:rStyle w:val="SourceReference"/>
              </w:rPr>
              <w:t>[recommendation</w:t>
            </w:r>
            <w:r w:rsidR="003E08C8">
              <w:rPr>
                <w:rStyle w:val="SourceReference"/>
              </w:rPr>
              <w:t>s 30 and 32</w:t>
            </w:r>
            <w:r w:rsidRPr="00892DE3">
              <w:rPr>
                <w:rStyle w:val="SourceReference"/>
              </w:rPr>
              <w:t>, PAEC Report on the 2015-16 Budget Estimate]</w:t>
            </w:r>
          </w:p>
        </w:tc>
      </w:tr>
    </w:tbl>
    <w:p w:rsidR="00B20F15" w:rsidRPr="00892DE3" w:rsidRDefault="00B20F15" w:rsidP="00B20F15"/>
    <w:p w:rsidR="00B20F15" w:rsidRPr="00892DE3" w:rsidRDefault="00B20F15" w:rsidP="0019303F">
      <w:pPr>
        <w:pStyle w:val="Heading2"/>
      </w:pPr>
      <w:bookmarkStart w:id="147" w:name="_Toc489535461"/>
      <w:bookmarkStart w:id="148" w:name="_Toc489535468"/>
      <w:r w:rsidRPr="00892DE3">
        <w:t>Commitments for expenditure</w:t>
      </w:r>
      <w:bookmarkEnd w:id="147"/>
      <w:bookmarkEnd w:id="148"/>
    </w:p>
    <w:p w:rsidR="00B20F15" w:rsidRPr="00892DE3" w:rsidRDefault="00B20F15" w:rsidP="00B20F15">
      <w:r w:rsidRPr="00892DE3">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r w:rsidRPr="00892DE3">
        <w:rPr>
          <w:rStyle w:val="SourceReference"/>
        </w:rPr>
        <w:t>[AASB 116.74(c), AASB 117.35(a), AASB 138.122(e), AASB 12.23(a)]</w:t>
      </w:r>
    </w:p>
    <w:p w:rsidR="00C76064" w:rsidRPr="00892DE3" w:rsidRDefault="00C76064" w:rsidP="00D31BB8">
      <w:pPr>
        <w:pStyle w:val="Heading3"/>
      </w:pPr>
      <w:r w:rsidRPr="00892DE3">
        <w:t>Total commitments payable</w:t>
      </w:r>
      <w:r w:rsidR="00607964" w:rsidRPr="00892DE3">
        <w:t xml:space="preserve"> </w:t>
      </w:r>
      <w:r w:rsidRPr="00892DE3">
        <w:rPr>
          <w:vertAlign w:val="superscript"/>
        </w:rPr>
        <w:t>(</w:t>
      </w:r>
      <w:r w:rsidR="00607964" w:rsidRPr="00892DE3">
        <w:rPr>
          <w:vertAlign w:val="superscript"/>
        </w:rPr>
        <w:t>a</w:t>
      </w:r>
      <w:r w:rsidRPr="00892DE3">
        <w:rPr>
          <w:vertAlign w:val="superscript"/>
        </w:rPr>
        <w:t>)</w:t>
      </w:r>
    </w:p>
    <w:p w:rsidR="00B20F15" w:rsidRPr="00892DE3" w:rsidRDefault="00B20F15" w:rsidP="00C76064">
      <w:pPr>
        <w:pStyle w:val="TableUnits"/>
      </w:pPr>
      <w:r w:rsidRPr="00892DE3">
        <w:t>($ thousand)</w:t>
      </w:r>
    </w:p>
    <w:tbl>
      <w:tblPr>
        <w:tblStyle w:val="ModelReportFinancialTable"/>
        <w:tblW w:w="9682" w:type="dxa"/>
        <w:tblLayout w:type="fixed"/>
        <w:tblLook w:val="06A0" w:firstRow="1" w:lastRow="0" w:firstColumn="1" w:lastColumn="0" w:noHBand="1" w:noVBand="1"/>
      </w:tblPr>
      <w:tblGrid>
        <w:gridCol w:w="1379"/>
        <w:gridCol w:w="4140"/>
        <w:gridCol w:w="1040"/>
        <w:gridCol w:w="1153"/>
        <w:gridCol w:w="992"/>
        <w:gridCol w:w="978"/>
      </w:tblGrid>
      <w:tr w:rsidR="00C76064" w:rsidRPr="00892DE3" w:rsidTr="00C7606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379" w:type="dxa"/>
            <w:tcBorders>
              <w:bottom w:val="nil"/>
            </w:tcBorders>
            <w:shd w:val="clear" w:color="auto" w:fill="auto"/>
          </w:tcPr>
          <w:p w:rsidR="00C76064" w:rsidRPr="00892DE3" w:rsidRDefault="00C76064" w:rsidP="00C76064">
            <w:r w:rsidRPr="00892DE3">
              <w:t>Source reference</w:t>
            </w:r>
            <w:r w:rsidRPr="00892DE3">
              <w:br/>
            </w:r>
            <w:r w:rsidRPr="00892DE3">
              <w:rPr>
                <w:rStyle w:val="SourceReference"/>
              </w:rPr>
              <w:t>[AASB 117.35(a)]</w:t>
            </w:r>
          </w:p>
        </w:tc>
        <w:tc>
          <w:tcPr>
            <w:tcW w:w="4140" w:type="dxa"/>
            <w:hideMark/>
          </w:tcPr>
          <w:p w:rsidR="00C76064" w:rsidRPr="00892DE3" w:rsidRDefault="00C76064" w:rsidP="00C76064">
            <w:pPr>
              <w:jc w:val="left"/>
              <w:cnfStyle w:val="100000000000" w:firstRow="1" w:lastRow="0" w:firstColumn="0" w:lastColumn="0" w:oddVBand="0" w:evenVBand="0" w:oddHBand="0" w:evenHBand="0" w:firstRowFirstColumn="0" w:firstRowLastColumn="0" w:lastRowFirstColumn="0" w:lastRowLastColumn="0"/>
              <w:rPr>
                <w:i w:val="0"/>
              </w:rPr>
            </w:pPr>
            <w:r w:rsidRPr="00892DE3">
              <w:t>Nominal amounts</w:t>
            </w:r>
            <w:r w:rsidRPr="00892DE3">
              <w:br/>
              <w:t>2017</w:t>
            </w:r>
          </w:p>
        </w:tc>
        <w:tc>
          <w:tcPr>
            <w:tcW w:w="1040" w:type="dxa"/>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pPr>
            <w:r w:rsidRPr="00892DE3">
              <w:t xml:space="preserve">Less than </w:t>
            </w:r>
            <w:r w:rsidRPr="00892DE3">
              <w:br/>
              <w:t>1 year</w:t>
            </w:r>
          </w:p>
        </w:tc>
        <w:tc>
          <w:tcPr>
            <w:tcW w:w="1153" w:type="dxa"/>
          </w:tcPr>
          <w:p w:rsidR="00C76064" w:rsidRPr="00892DE3" w:rsidRDefault="00C76064" w:rsidP="00607964">
            <w:pPr>
              <w:cnfStyle w:val="100000000000" w:firstRow="1" w:lastRow="0" w:firstColumn="0" w:lastColumn="0" w:oddVBand="0" w:evenVBand="0" w:oddHBand="0" w:evenHBand="0" w:firstRowFirstColumn="0" w:firstRowLastColumn="0" w:lastRowFirstColumn="0" w:lastRowLastColumn="0"/>
            </w:pPr>
            <w:r w:rsidRPr="00892DE3">
              <w:t xml:space="preserve">1 </w:t>
            </w:r>
            <w:r w:rsidR="00607964" w:rsidRPr="00892DE3">
              <w:t>–</w:t>
            </w:r>
            <w:r w:rsidRPr="00892DE3">
              <w:t xml:space="preserve"> 5</w:t>
            </w:r>
            <w:r w:rsidR="00607964" w:rsidRPr="00892DE3">
              <w:br/>
            </w:r>
            <w:r w:rsidRPr="00892DE3">
              <w:t>years</w:t>
            </w:r>
          </w:p>
        </w:tc>
        <w:tc>
          <w:tcPr>
            <w:tcW w:w="992" w:type="dxa"/>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pPr>
            <w:r w:rsidRPr="00892DE3">
              <w:t>5</w:t>
            </w:r>
            <w:r w:rsidR="00607964" w:rsidRPr="00892DE3">
              <w:t>+</w:t>
            </w:r>
            <w:r w:rsidRPr="00892DE3">
              <w:t xml:space="preserve"> </w:t>
            </w:r>
            <w:r w:rsidR="00607964" w:rsidRPr="00892DE3">
              <w:br/>
            </w:r>
            <w:r w:rsidRPr="00892DE3">
              <w:t>years</w:t>
            </w:r>
          </w:p>
        </w:tc>
        <w:tc>
          <w:tcPr>
            <w:tcW w:w="978" w:type="dxa"/>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pPr>
            <w:r w:rsidRPr="00892DE3">
              <w:t>Total</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Pr>
          <w:p w:rsidR="00C76064" w:rsidRPr="00892DE3" w:rsidRDefault="00E528E5" w:rsidP="00C76064">
            <w:pPr>
              <w:jc w:val="left"/>
              <w:cnfStyle w:val="000000000000" w:firstRow="0" w:lastRow="0" w:firstColumn="0" w:lastColumn="0" w:oddVBand="0" w:evenVBand="0" w:oddHBand="0" w:evenHBand="0" w:firstRowFirstColumn="0" w:firstRowLastColumn="0" w:lastRowFirstColumn="0" w:lastRowLastColumn="0"/>
            </w:pPr>
            <w:r w:rsidRPr="00892DE3">
              <w:t>PPP</w:t>
            </w:r>
            <w:r w:rsidR="00C76064" w:rsidRPr="00892DE3">
              <w:t xml:space="preserve"> commitments (</w:t>
            </w:r>
            <w:r w:rsidR="00607964" w:rsidRPr="00892DE3">
              <w:t xml:space="preserve">See </w:t>
            </w:r>
            <w:r w:rsidR="00C76064" w:rsidRPr="00892DE3">
              <w:t>7.5.2)</w:t>
            </w:r>
          </w:p>
        </w:tc>
        <w:tc>
          <w:tcPr>
            <w:tcW w:w="1040"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5 600</w:t>
            </w:r>
          </w:p>
        </w:tc>
        <w:tc>
          <w:tcPr>
            <w:tcW w:w="1153"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5 190</w:t>
            </w:r>
          </w:p>
        </w:tc>
        <w:tc>
          <w:tcPr>
            <w:tcW w:w="992"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18 036</w:t>
            </w:r>
          </w:p>
        </w:tc>
        <w:tc>
          <w:tcPr>
            <w:tcW w:w="978"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28 826</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r w:rsidRPr="00892DE3">
              <w:t>AASB 116.74(c)</w:t>
            </w:r>
          </w:p>
        </w:tc>
        <w:tc>
          <w:tcPr>
            <w:tcW w:w="4140" w:type="dxa"/>
            <w:hideMark/>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Capital expenditure commitments payable</w:t>
            </w:r>
          </w:p>
        </w:tc>
        <w:tc>
          <w:tcPr>
            <w:tcW w:w="1040"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 xml:space="preserve"> 4 782</w:t>
            </w:r>
          </w:p>
        </w:tc>
        <w:tc>
          <w:tcPr>
            <w:tcW w:w="1153"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74</w:t>
            </w:r>
          </w:p>
        </w:tc>
        <w:tc>
          <w:tcPr>
            <w:tcW w:w="992" w:type="dxa"/>
            <w:shd w:val="clear" w:color="auto" w:fill="EBEBEB" w:themeFill="background2"/>
          </w:tcPr>
          <w:p w:rsidR="00C76064" w:rsidRPr="00892DE3" w:rsidRDefault="00607964" w:rsidP="00C76064">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4 856</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Operating and lease commitments payable</w:t>
            </w:r>
            <w:r w:rsidR="00607964" w:rsidRPr="00892DE3">
              <w:rPr>
                <w:vertAlign w:val="superscript"/>
              </w:rPr>
              <w:t xml:space="preserve"> (b</w:t>
            </w:r>
            <w:r w:rsidRPr="00892DE3">
              <w:rPr>
                <w:vertAlign w:val="superscript"/>
              </w:rPr>
              <w:t>)</w:t>
            </w:r>
          </w:p>
        </w:tc>
        <w:tc>
          <w:tcPr>
            <w:tcW w:w="1040" w:type="dxa"/>
            <w:shd w:val="clear" w:color="auto" w:fill="EBEBEB" w:themeFill="background2"/>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1153"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31</w:t>
            </w:r>
          </w:p>
        </w:tc>
        <w:tc>
          <w:tcPr>
            <w:tcW w:w="992" w:type="dxa"/>
            <w:shd w:val="clear" w:color="auto" w:fill="EBEBEB" w:themeFill="background2"/>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31</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r w:rsidRPr="00892DE3">
              <w:t>AASB 138.122(e)</w:t>
            </w:r>
          </w:p>
        </w:tc>
        <w:tc>
          <w:tcPr>
            <w:tcW w:w="4140" w:type="dxa"/>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Intangible assets commitments payable</w:t>
            </w:r>
          </w:p>
        </w:tc>
        <w:tc>
          <w:tcPr>
            <w:tcW w:w="1040"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23</w:t>
            </w:r>
          </w:p>
        </w:tc>
        <w:tc>
          <w:tcPr>
            <w:tcW w:w="1153" w:type="dxa"/>
            <w:shd w:val="clear" w:color="auto" w:fill="EBEBEB" w:themeFill="background2"/>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992"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20</w:t>
            </w:r>
          </w:p>
        </w:tc>
        <w:tc>
          <w:tcPr>
            <w:tcW w:w="978"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43</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r w:rsidRPr="00892DE3">
              <w:t>AASB 12.23(b), B19(a)(ii)</w:t>
            </w:r>
          </w:p>
        </w:tc>
        <w:tc>
          <w:tcPr>
            <w:tcW w:w="4140" w:type="dxa"/>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Share of joint ventures’ capital commitments</w:t>
            </w:r>
          </w:p>
        </w:tc>
        <w:tc>
          <w:tcPr>
            <w:tcW w:w="1040" w:type="dxa"/>
            <w:shd w:val="clear" w:color="auto" w:fill="EBEBEB" w:themeFill="background2"/>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1153"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8</w:t>
            </w:r>
          </w:p>
        </w:tc>
        <w:tc>
          <w:tcPr>
            <w:tcW w:w="992"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13</w:t>
            </w:r>
          </w:p>
        </w:tc>
        <w:tc>
          <w:tcPr>
            <w:tcW w:w="978" w:type="dxa"/>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21</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Borders>
              <w:bottom w:val="single" w:sz="6" w:space="0" w:color="auto"/>
            </w:tcBorders>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Other commitments payable</w:t>
            </w:r>
          </w:p>
        </w:tc>
        <w:tc>
          <w:tcPr>
            <w:tcW w:w="1040" w:type="dxa"/>
            <w:tcBorders>
              <w:bottom w:val="single" w:sz="6" w:space="0" w:color="auto"/>
            </w:tcBorders>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56</w:t>
            </w:r>
          </w:p>
        </w:tc>
        <w:tc>
          <w:tcPr>
            <w:tcW w:w="1153" w:type="dxa"/>
            <w:tcBorders>
              <w:bottom w:val="single" w:sz="6" w:space="0" w:color="auto"/>
            </w:tcBorders>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112</w:t>
            </w:r>
          </w:p>
        </w:tc>
        <w:tc>
          <w:tcPr>
            <w:tcW w:w="992" w:type="dxa"/>
            <w:tcBorders>
              <w:bottom w:val="single" w:sz="6" w:space="0" w:color="auto"/>
            </w:tcBorders>
            <w:shd w:val="clear" w:color="auto" w:fill="EBEBEB" w:themeFill="background2"/>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tcBorders>
              <w:bottom w:val="single" w:sz="6" w:space="0" w:color="auto"/>
            </w:tcBorders>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168</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Borders>
              <w:top w:val="single" w:sz="6" w:space="0" w:color="auto"/>
              <w:bottom w:val="single" w:sz="6" w:space="0" w:color="auto"/>
            </w:tcBorders>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commitments (inclusive of GST)</w:t>
            </w:r>
          </w:p>
        </w:tc>
        <w:tc>
          <w:tcPr>
            <w:tcW w:w="1040" w:type="dxa"/>
            <w:tcBorders>
              <w:top w:val="single" w:sz="6" w:space="0" w:color="auto"/>
              <w:bottom w:val="single" w:sz="6" w:space="0" w:color="auto"/>
            </w:tcBorders>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rPr>
                <w:b/>
              </w:rPr>
            </w:pPr>
            <w:r w:rsidRPr="00892DE3">
              <w:rPr>
                <w:b/>
              </w:rPr>
              <w:t>10 461</w:t>
            </w:r>
          </w:p>
        </w:tc>
        <w:tc>
          <w:tcPr>
            <w:tcW w:w="1153" w:type="dxa"/>
            <w:tcBorders>
              <w:top w:val="single" w:sz="6" w:space="0" w:color="auto"/>
              <w:bottom w:val="single" w:sz="6" w:space="0" w:color="auto"/>
            </w:tcBorders>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rPr>
                <w:b/>
              </w:rPr>
            </w:pPr>
            <w:r w:rsidRPr="00892DE3">
              <w:rPr>
                <w:b/>
              </w:rPr>
              <w:t>5 415</w:t>
            </w:r>
          </w:p>
        </w:tc>
        <w:tc>
          <w:tcPr>
            <w:tcW w:w="992" w:type="dxa"/>
            <w:tcBorders>
              <w:top w:val="single" w:sz="6" w:space="0" w:color="auto"/>
              <w:bottom w:val="single" w:sz="6" w:space="0" w:color="auto"/>
            </w:tcBorders>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rPr>
                <w:b/>
              </w:rPr>
            </w:pPr>
            <w:r w:rsidRPr="00892DE3">
              <w:rPr>
                <w:b/>
              </w:rPr>
              <w:t>18 069</w:t>
            </w:r>
          </w:p>
        </w:tc>
        <w:tc>
          <w:tcPr>
            <w:tcW w:w="978" w:type="dxa"/>
            <w:tcBorders>
              <w:top w:val="single" w:sz="6" w:space="0" w:color="auto"/>
              <w:bottom w:val="single" w:sz="6" w:space="0" w:color="auto"/>
            </w:tcBorders>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rPr>
                <w:b/>
              </w:rPr>
            </w:pPr>
            <w:r w:rsidRPr="00892DE3">
              <w:rPr>
                <w:b/>
              </w:rPr>
              <w:t>33 945</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Borders>
              <w:top w:val="single" w:sz="6" w:space="0" w:color="auto"/>
              <w:bottom w:val="single" w:sz="6" w:space="0" w:color="auto"/>
            </w:tcBorders>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 xml:space="preserve">Less GST recoverable </w:t>
            </w:r>
          </w:p>
        </w:tc>
        <w:tc>
          <w:tcPr>
            <w:tcW w:w="1040" w:type="dxa"/>
            <w:tcBorders>
              <w:top w:val="single" w:sz="6" w:space="0" w:color="auto"/>
              <w:bottom w:val="single" w:sz="6"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6" w:space="0" w:color="auto"/>
              <w:bottom w:val="single" w:sz="6"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6" w:space="0" w:color="auto"/>
              <w:bottom w:val="single" w:sz="6"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6" w:space="0" w:color="auto"/>
              <w:bottom w:val="single" w:sz="6" w:space="0" w:color="auto"/>
            </w:tcBorders>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(2 586)</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Borders>
              <w:top w:val="single" w:sz="6" w:space="0" w:color="auto"/>
              <w:bottom w:val="single" w:sz="12" w:space="0" w:color="auto"/>
            </w:tcBorders>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commitments (exclusive of GST)</w:t>
            </w:r>
          </w:p>
        </w:tc>
        <w:tc>
          <w:tcPr>
            <w:tcW w:w="1040" w:type="dxa"/>
            <w:tcBorders>
              <w:top w:val="single" w:sz="6" w:space="0" w:color="auto"/>
              <w:bottom w:val="single" w:sz="12"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6" w:space="0" w:color="auto"/>
              <w:bottom w:val="single" w:sz="12"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6" w:space="0" w:color="auto"/>
              <w:bottom w:val="single" w:sz="12"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6" w:space="0" w:color="auto"/>
              <w:bottom w:val="single" w:sz="12" w:space="0" w:color="auto"/>
            </w:tcBorders>
            <w:shd w:val="clear" w:color="auto" w:fill="EBEBEB" w:themeFill="background2"/>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rPr>
                <w:b/>
              </w:rPr>
            </w:pPr>
            <w:r w:rsidRPr="00892DE3">
              <w:rPr>
                <w:b/>
              </w:rPr>
              <w:t>31 359</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Borders>
              <w:top w:val="single" w:sz="12" w:space="0" w:color="auto"/>
            </w:tcBorders>
            <w:shd w:val="clear" w:color="auto" w:fill="auto"/>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rPr>
                <w:i/>
              </w:rPr>
            </w:pPr>
          </w:p>
        </w:tc>
        <w:tc>
          <w:tcPr>
            <w:tcW w:w="1040" w:type="dxa"/>
            <w:tcBorders>
              <w:top w:val="single" w:sz="12" w:space="0" w:color="auto"/>
            </w:tcBorders>
            <w:shd w:val="clear" w:color="auto" w:fill="auto"/>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12" w:space="0" w:color="auto"/>
            </w:tcBorders>
            <w:shd w:val="clear" w:color="auto" w:fill="auto"/>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12" w:space="0" w:color="auto"/>
            </w:tcBorders>
            <w:shd w:val="clear" w:color="auto" w:fill="auto"/>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12" w:space="0" w:color="auto"/>
            </w:tcBorders>
            <w:shd w:val="clear" w:color="auto" w:fill="auto"/>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r w:rsidRPr="00892DE3">
              <w:rPr>
                <w:rStyle w:val="SourceReference"/>
              </w:rPr>
              <w:t>[AASB 117.35(a)]</w:t>
            </w:r>
          </w:p>
        </w:tc>
        <w:tc>
          <w:tcPr>
            <w:tcW w:w="4140" w:type="dxa"/>
            <w:tcBorders>
              <w:top w:val="single" w:sz="6" w:space="0" w:color="auto"/>
            </w:tcBorders>
            <w:shd w:val="clear" w:color="auto" w:fill="000000" w:themeFill="text1"/>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rPr>
                <w:i/>
              </w:rPr>
            </w:pPr>
            <w:r w:rsidRPr="00892DE3">
              <w:rPr>
                <w:i/>
              </w:rPr>
              <w:t>2016</w:t>
            </w:r>
          </w:p>
        </w:tc>
        <w:tc>
          <w:tcPr>
            <w:tcW w:w="1040" w:type="dxa"/>
            <w:tcBorders>
              <w:top w:val="single" w:sz="6" w:space="0" w:color="auto"/>
            </w:tcBorders>
            <w:shd w:val="clear" w:color="auto" w:fill="000000" w:themeFill="text1"/>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6" w:space="0" w:color="auto"/>
            </w:tcBorders>
            <w:shd w:val="clear" w:color="auto" w:fill="000000" w:themeFill="text1"/>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6" w:space="0" w:color="auto"/>
            </w:tcBorders>
            <w:shd w:val="clear" w:color="auto" w:fill="000000" w:themeFill="text1"/>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6" w:space="0" w:color="auto"/>
            </w:tcBorders>
            <w:shd w:val="clear" w:color="auto" w:fill="000000" w:themeFill="text1"/>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Pr>
          <w:p w:rsidR="00C76064" w:rsidRPr="00892DE3" w:rsidRDefault="00E528E5" w:rsidP="00C76064">
            <w:pPr>
              <w:jc w:val="left"/>
              <w:cnfStyle w:val="000000000000" w:firstRow="0" w:lastRow="0" w:firstColumn="0" w:lastColumn="0" w:oddVBand="0" w:evenVBand="0" w:oddHBand="0" w:evenHBand="0" w:firstRowFirstColumn="0" w:firstRowLastColumn="0" w:lastRowFirstColumn="0" w:lastRowLastColumn="0"/>
            </w:pPr>
            <w:r w:rsidRPr="00892DE3">
              <w:t>PPP</w:t>
            </w:r>
            <w:r w:rsidR="00C76064" w:rsidRPr="00892DE3">
              <w:t xml:space="preserve"> commitments (7.5.2)</w:t>
            </w:r>
          </w:p>
        </w:tc>
        <w:tc>
          <w:tcPr>
            <w:tcW w:w="1040"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17 230</w:t>
            </w:r>
          </w:p>
        </w:tc>
        <w:tc>
          <w:tcPr>
            <w:tcW w:w="1153"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14 440</w:t>
            </w:r>
          </w:p>
        </w:tc>
        <w:tc>
          <w:tcPr>
            <w:tcW w:w="99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11 162</w:t>
            </w:r>
          </w:p>
        </w:tc>
        <w:tc>
          <w:tcPr>
            <w:tcW w:w="978"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42 832</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r w:rsidRPr="00892DE3">
              <w:t>AASB 116.74(c)</w:t>
            </w:r>
          </w:p>
        </w:tc>
        <w:tc>
          <w:tcPr>
            <w:tcW w:w="4140" w:type="dxa"/>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Capital expenditure commitments payable</w:t>
            </w:r>
          </w:p>
        </w:tc>
        <w:tc>
          <w:tcPr>
            <w:tcW w:w="1040"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5 812</w:t>
            </w:r>
          </w:p>
        </w:tc>
        <w:tc>
          <w:tcPr>
            <w:tcW w:w="1153"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198</w:t>
            </w:r>
          </w:p>
        </w:tc>
        <w:tc>
          <w:tcPr>
            <w:tcW w:w="992" w:type="dxa"/>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6 010</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 xml:space="preserve">Operating and lease commitments payable </w:t>
            </w:r>
            <w:r w:rsidRPr="00892DE3">
              <w:rPr>
                <w:vertAlign w:val="superscript"/>
              </w:rPr>
              <w:t>(ii)</w:t>
            </w:r>
          </w:p>
        </w:tc>
        <w:tc>
          <w:tcPr>
            <w:tcW w:w="1040"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28</w:t>
            </w:r>
          </w:p>
        </w:tc>
        <w:tc>
          <w:tcPr>
            <w:tcW w:w="1153" w:type="dxa"/>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992" w:type="dxa"/>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28</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r w:rsidRPr="00892DE3">
              <w:t>AASB 138.122(e)</w:t>
            </w:r>
          </w:p>
        </w:tc>
        <w:tc>
          <w:tcPr>
            <w:tcW w:w="4140" w:type="dxa"/>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Intangible assets commitments payable</w:t>
            </w:r>
          </w:p>
        </w:tc>
        <w:tc>
          <w:tcPr>
            <w:tcW w:w="1040"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15</w:t>
            </w:r>
          </w:p>
        </w:tc>
        <w:tc>
          <w:tcPr>
            <w:tcW w:w="1153" w:type="dxa"/>
          </w:tcPr>
          <w:p w:rsidR="00C76064" w:rsidRPr="00892DE3" w:rsidRDefault="00C76064" w:rsidP="00CA530F">
            <w:pPr>
              <w:cnfStyle w:val="000000000000" w:firstRow="0" w:lastRow="0" w:firstColumn="0" w:lastColumn="0" w:oddVBand="0" w:evenVBand="0" w:oddHBand="0" w:evenHBand="0" w:firstRowFirstColumn="0" w:firstRowLastColumn="0" w:lastRowFirstColumn="0" w:lastRowLastColumn="0"/>
            </w:pPr>
            <w:r w:rsidRPr="00892DE3">
              <w:t>5</w:t>
            </w:r>
          </w:p>
        </w:tc>
        <w:tc>
          <w:tcPr>
            <w:tcW w:w="992" w:type="dxa"/>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20</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r w:rsidRPr="00892DE3">
              <w:t>AASB 12.23(b), B19(a)(ii)</w:t>
            </w:r>
          </w:p>
        </w:tc>
        <w:tc>
          <w:tcPr>
            <w:tcW w:w="4140" w:type="dxa"/>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Share of joint ventures’ capital commitments</w:t>
            </w:r>
          </w:p>
        </w:tc>
        <w:tc>
          <w:tcPr>
            <w:tcW w:w="1040" w:type="dxa"/>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1153" w:type="dxa"/>
          </w:tcPr>
          <w:p w:rsidR="00C76064" w:rsidRPr="00892DE3" w:rsidRDefault="00CA530F" w:rsidP="00CA530F">
            <w:pPr>
              <w:cnfStyle w:val="000000000000" w:firstRow="0" w:lastRow="0" w:firstColumn="0" w:lastColumn="0" w:oddVBand="0" w:evenVBand="0" w:oddHBand="0" w:evenHBand="0" w:firstRowFirstColumn="0" w:firstRowLastColumn="0" w:lastRowFirstColumn="0" w:lastRowLastColumn="0"/>
            </w:pPr>
            <w:r w:rsidRPr="00892DE3">
              <w:t>8</w:t>
            </w:r>
          </w:p>
        </w:tc>
        <w:tc>
          <w:tcPr>
            <w:tcW w:w="99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 xml:space="preserve">13 </w:t>
            </w:r>
          </w:p>
        </w:tc>
        <w:tc>
          <w:tcPr>
            <w:tcW w:w="978"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pPr>
            <w:r w:rsidRPr="00892DE3">
              <w:t>21</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Borders>
              <w:bottom w:val="single" w:sz="6" w:space="0" w:color="auto"/>
            </w:tcBorders>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Other commitments payable</w:t>
            </w:r>
          </w:p>
        </w:tc>
        <w:tc>
          <w:tcPr>
            <w:tcW w:w="1040" w:type="dxa"/>
            <w:tcBorders>
              <w:bottom w:val="single" w:sz="6" w:space="0" w:color="auto"/>
            </w:tcBorders>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1153" w:type="dxa"/>
            <w:tcBorders>
              <w:bottom w:val="single" w:sz="6" w:space="0" w:color="auto"/>
            </w:tcBorders>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992" w:type="dxa"/>
            <w:tcBorders>
              <w:bottom w:val="single" w:sz="6" w:space="0" w:color="auto"/>
            </w:tcBorders>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tcBorders>
              <w:bottom w:val="single" w:sz="6" w:space="0" w:color="auto"/>
            </w:tcBorders>
          </w:tcPr>
          <w:p w:rsidR="00C76064" w:rsidRPr="00892DE3" w:rsidRDefault="00607964" w:rsidP="00CA530F">
            <w:pPr>
              <w:cnfStyle w:val="000000000000" w:firstRow="0" w:lastRow="0" w:firstColumn="0" w:lastColumn="0" w:oddVBand="0" w:evenVBand="0" w:oddHBand="0" w:evenHBand="0" w:firstRowFirstColumn="0" w:firstRowLastColumn="0" w:lastRowFirstColumn="0" w:lastRowLastColumn="0"/>
            </w:pPr>
            <w:r w:rsidRPr="00892DE3">
              <w:t>..</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Borders>
              <w:top w:val="single" w:sz="6" w:space="0" w:color="auto"/>
              <w:bottom w:val="single" w:sz="6" w:space="0" w:color="auto"/>
            </w:tcBorders>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commitments (inclusive of GST)</w:t>
            </w:r>
          </w:p>
        </w:tc>
        <w:tc>
          <w:tcPr>
            <w:tcW w:w="1040" w:type="dxa"/>
            <w:tcBorders>
              <w:top w:val="single" w:sz="6" w:space="0" w:color="auto"/>
              <w:bottom w:val="single" w:sz="6"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r w:rsidRPr="00892DE3">
              <w:rPr>
                <w:b/>
              </w:rPr>
              <w:t>23 085</w:t>
            </w:r>
          </w:p>
        </w:tc>
        <w:tc>
          <w:tcPr>
            <w:tcW w:w="1153" w:type="dxa"/>
            <w:tcBorders>
              <w:top w:val="single" w:sz="6" w:space="0" w:color="auto"/>
              <w:bottom w:val="single" w:sz="6"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r w:rsidRPr="00892DE3">
              <w:rPr>
                <w:b/>
              </w:rPr>
              <w:t>4 651</w:t>
            </w:r>
          </w:p>
        </w:tc>
        <w:tc>
          <w:tcPr>
            <w:tcW w:w="992" w:type="dxa"/>
            <w:tcBorders>
              <w:top w:val="single" w:sz="6" w:space="0" w:color="auto"/>
              <w:bottom w:val="single" w:sz="6"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r w:rsidRPr="00892DE3">
              <w:rPr>
                <w:b/>
              </w:rPr>
              <w:t>11 175</w:t>
            </w:r>
          </w:p>
        </w:tc>
        <w:tc>
          <w:tcPr>
            <w:tcW w:w="978" w:type="dxa"/>
            <w:tcBorders>
              <w:top w:val="single" w:sz="6" w:space="0" w:color="auto"/>
              <w:bottom w:val="single" w:sz="6"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r w:rsidRPr="00892DE3">
              <w:rPr>
                <w:b/>
              </w:rPr>
              <w:t>48 911</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Borders>
              <w:top w:val="single" w:sz="6" w:space="0" w:color="auto"/>
              <w:bottom w:val="single" w:sz="6" w:space="0" w:color="auto"/>
            </w:tcBorders>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pPr>
            <w:r w:rsidRPr="00892DE3">
              <w:t>Less GST recoverable from the Australian Tax Office</w:t>
            </w:r>
          </w:p>
        </w:tc>
        <w:tc>
          <w:tcPr>
            <w:tcW w:w="1040" w:type="dxa"/>
            <w:tcBorders>
              <w:top w:val="single" w:sz="6" w:space="0" w:color="auto"/>
              <w:bottom w:val="single" w:sz="6"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6" w:space="0" w:color="auto"/>
              <w:bottom w:val="single" w:sz="6"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6" w:space="0" w:color="auto"/>
              <w:bottom w:val="single" w:sz="6"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6" w:space="0" w:color="auto"/>
              <w:bottom w:val="single" w:sz="6"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r w:rsidRPr="00892DE3">
              <w:t>(3 284)</w:t>
            </w:r>
          </w:p>
        </w:tc>
      </w:tr>
      <w:tr w:rsidR="00C76064" w:rsidRPr="00892DE3" w:rsidTr="00C76064">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C76064" w:rsidRPr="00892DE3" w:rsidRDefault="00C76064" w:rsidP="00C76064"/>
        </w:tc>
        <w:tc>
          <w:tcPr>
            <w:tcW w:w="4140" w:type="dxa"/>
            <w:tcBorders>
              <w:top w:val="single" w:sz="6" w:space="0" w:color="auto"/>
              <w:bottom w:val="single" w:sz="12" w:space="0" w:color="auto"/>
            </w:tcBorders>
          </w:tcPr>
          <w:p w:rsidR="00C76064" w:rsidRPr="00892DE3" w:rsidRDefault="00C76064" w:rsidP="00C76064">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commitments (exclusive of GST)</w:t>
            </w:r>
          </w:p>
        </w:tc>
        <w:tc>
          <w:tcPr>
            <w:tcW w:w="1040" w:type="dxa"/>
            <w:tcBorders>
              <w:top w:val="single" w:sz="6" w:space="0" w:color="auto"/>
              <w:bottom w:val="single" w:sz="12"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6" w:space="0" w:color="auto"/>
              <w:bottom w:val="single" w:sz="12"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6" w:space="0" w:color="auto"/>
              <w:bottom w:val="single" w:sz="12"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6" w:space="0" w:color="auto"/>
              <w:bottom w:val="single" w:sz="12"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b/>
              </w:rPr>
            </w:pPr>
            <w:r w:rsidRPr="00892DE3">
              <w:rPr>
                <w:b/>
              </w:rPr>
              <w:t>45 627</w:t>
            </w:r>
          </w:p>
        </w:tc>
      </w:tr>
    </w:tbl>
    <w:p w:rsidR="00C76064" w:rsidRPr="00892DE3" w:rsidRDefault="00C76064" w:rsidP="00C76064">
      <w:pPr>
        <w:pStyle w:val="Note"/>
      </w:pPr>
      <w:r w:rsidRPr="00892DE3">
        <w:t>Notes:</w:t>
      </w:r>
    </w:p>
    <w:p w:rsidR="00C76064" w:rsidRPr="00892DE3" w:rsidRDefault="00C76064" w:rsidP="00C76064">
      <w:pPr>
        <w:pStyle w:val="Note"/>
      </w:pPr>
      <w:r w:rsidRPr="00892DE3">
        <w:t>(</w:t>
      </w:r>
      <w:r w:rsidR="00607964" w:rsidRPr="00892DE3">
        <w:t>a</w:t>
      </w:r>
      <w:r w:rsidRPr="00892DE3">
        <w:t>)</w:t>
      </w:r>
      <w:r w:rsidRPr="00892DE3">
        <w:tab/>
        <w:t>Future finance lease and non-cancellable operating lease payments are recognised on the balance sheet.</w:t>
      </w:r>
    </w:p>
    <w:p w:rsidR="00C76064" w:rsidRPr="00892DE3" w:rsidRDefault="00C76064" w:rsidP="00C76064">
      <w:pPr>
        <w:pStyle w:val="Note"/>
      </w:pPr>
      <w:r w:rsidRPr="00892DE3">
        <w:t>(</w:t>
      </w:r>
      <w:r w:rsidR="00607964" w:rsidRPr="00892DE3">
        <w:t>b</w:t>
      </w:r>
      <w:r w:rsidRPr="00892DE3">
        <w:t>)</w:t>
      </w:r>
      <w:r w:rsidRPr="00892DE3">
        <w:tab/>
        <w:t>Operating lease commitments relate to warehouse facilities with lease terms between three and seven years. These contracts do not allow the Department to purchase the facilities after the lease ends, but the Department can renew the lease for a further three years.</w:t>
      </w:r>
    </w:p>
    <w:p w:rsidR="00E528E5" w:rsidRPr="00892DE3" w:rsidRDefault="00E528E5">
      <w:pPr>
        <w:keepLines w:val="0"/>
        <w:rPr>
          <w:rFonts w:asciiTheme="majorHAnsi" w:eastAsiaTheme="majorEastAsia" w:hAnsiTheme="majorHAnsi" w:cstheme="majorBidi"/>
          <w:b/>
          <w:bCs/>
          <w:spacing w:val="-2"/>
          <w:sz w:val="20"/>
          <w:szCs w:val="26"/>
        </w:rPr>
      </w:pPr>
      <w:r w:rsidRPr="00892DE3">
        <w:br w:type="page"/>
      </w:r>
    </w:p>
    <w:p w:rsidR="00C76064" w:rsidRPr="00892DE3" w:rsidRDefault="00E528E5" w:rsidP="00D31BB8">
      <w:pPr>
        <w:pStyle w:val="Heading3"/>
      </w:pPr>
      <w:r w:rsidRPr="00892DE3">
        <w:t>PPP</w:t>
      </w:r>
      <w:r w:rsidR="006932C9">
        <w:t xml:space="preserve"> commitments</w:t>
      </w:r>
    </w:p>
    <w:p w:rsidR="00C76064" w:rsidRPr="00892DE3" w:rsidRDefault="00C76064" w:rsidP="00C76064">
      <w:r w:rsidRPr="00892DE3">
        <w:t>The Department sometimes enters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either PPPs or service concession arrangements (SCAs).</w:t>
      </w:r>
    </w:p>
    <w:p w:rsidR="00C76064" w:rsidRPr="00892DE3" w:rsidRDefault="00C76064" w:rsidP="00C76064">
      <w:r w:rsidRPr="00892DE3">
        <w:t>SCAs usually take one of two main forms. In the more common form,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leases accounting policy. The remaining components are accounted for as commitments for operating costs, which are expensed in the comprehensive operating statement as they are incurred. The other, less common, form of SCA is one in which the Department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rsidR="00C76064" w:rsidRPr="00892DE3" w:rsidRDefault="00C76064" w:rsidP="00C76064">
      <w:r w:rsidRPr="00892DE3">
        <w:t>There is currently no authoritative accounting guidance applicable to grantors (the Department) on the recognition and measurement of the right of the State to receive assets from such concession arrangements. Due to the lack of such guidance, there has been no change to existing policy and those assets are not currently recognised.</w:t>
      </w:r>
    </w:p>
    <w:p w:rsidR="00C76064" w:rsidRPr="00892DE3" w:rsidRDefault="00E528E5" w:rsidP="00C76064">
      <w:pPr>
        <w:pStyle w:val="TableHeading"/>
      </w:pPr>
      <w:r w:rsidRPr="00892DE3">
        <w:t>PPPs</w:t>
      </w:r>
      <w:r w:rsidR="00C76064" w:rsidRPr="00892DE3">
        <w:t xml:space="preserve"> commitments </w:t>
      </w:r>
      <w:r w:rsidR="00C76064" w:rsidRPr="00892DE3">
        <w:rPr>
          <w:vertAlign w:val="superscript"/>
        </w:rPr>
        <w:t>(</w:t>
      </w:r>
      <w:r w:rsidR="00415B77" w:rsidRPr="00892DE3">
        <w:rPr>
          <w:vertAlign w:val="superscript"/>
        </w:rPr>
        <w:t>a</w:t>
      </w:r>
      <w:r w:rsidR="00C76064" w:rsidRPr="00892DE3">
        <w:rPr>
          <w:vertAlign w:val="superscript"/>
        </w:rPr>
        <w:t>)(</w:t>
      </w:r>
      <w:r w:rsidR="00415B77" w:rsidRPr="00892DE3">
        <w:rPr>
          <w:vertAlign w:val="superscript"/>
        </w:rPr>
        <w:t>b</w:t>
      </w:r>
      <w:r w:rsidR="00C76064" w:rsidRPr="00892DE3">
        <w:rPr>
          <w:vertAlign w:val="superscript"/>
        </w:rPr>
        <w:t>)</w:t>
      </w:r>
      <w:r w:rsidR="00C76064"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163"/>
        <w:gridCol w:w="1379"/>
        <w:gridCol w:w="1140"/>
        <w:gridCol w:w="1175"/>
        <w:gridCol w:w="134"/>
        <w:gridCol w:w="1362"/>
        <w:gridCol w:w="1142"/>
        <w:gridCol w:w="1142"/>
      </w:tblGrid>
      <w:tr w:rsidR="00C76064" w:rsidRPr="00892DE3" w:rsidTr="002D2F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3" w:type="dxa"/>
          </w:tcPr>
          <w:p w:rsidR="00C76064" w:rsidRPr="00892DE3" w:rsidRDefault="00C76064" w:rsidP="00C76064">
            <w:pPr>
              <w:ind w:left="0" w:firstLine="0"/>
              <w:rPr>
                <w:sz w:val="15"/>
                <w:szCs w:val="15"/>
              </w:rPr>
            </w:pPr>
          </w:p>
        </w:tc>
        <w:tc>
          <w:tcPr>
            <w:tcW w:w="1379" w:type="dxa"/>
            <w:tcBorders>
              <w:bottom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p>
        </w:tc>
        <w:tc>
          <w:tcPr>
            <w:tcW w:w="1140" w:type="dxa"/>
            <w:tcBorders>
              <w:bottom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2017</w:t>
            </w:r>
          </w:p>
        </w:tc>
        <w:tc>
          <w:tcPr>
            <w:tcW w:w="1175" w:type="dxa"/>
            <w:tcBorders>
              <w:bottom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p>
        </w:tc>
        <w:tc>
          <w:tcPr>
            <w:tcW w:w="134" w:type="dxa"/>
            <w:tcBorders>
              <w:bottom w:val="nil"/>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p>
        </w:tc>
        <w:tc>
          <w:tcPr>
            <w:tcW w:w="1362" w:type="dxa"/>
            <w:tcBorders>
              <w:bottom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p>
        </w:tc>
        <w:tc>
          <w:tcPr>
            <w:tcW w:w="1142" w:type="dxa"/>
            <w:tcBorders>
              <w:bottom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2016</w:t>
            </w:r>
          </w:p>
        </w:tc>
        <w:tc>
          <w:tcPr>
            <w:tcW w:w="1142" w:type="dxa"/>
            <w:tcBorders>
              <w:bottom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p>
        </w:tc>
      </w:tr>
      <w:tr w:rsidR="00C76064" w:rsidRPr="00892DE3" w:rsidTr="002D2F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3" w:type="dxa"/>
            <w:hideMark/>
          </w:tcPr>
          <w:p w:rsidR="00C76064" w:rsidRPr="00892DE3" w:rsidRDefault="00C76064" w:rsidP="00C76064">
            <w:pPr>
              <w:ind w:left="0" w:firstLine="0"/>
              <w:rPr>
                <w:sz w:val="15"/>
                <w:szCs w:val="15"/>
              </w:rPr>
            </w:pPr>
          </w:p>
        </w:tc>
        <w:tc>
          <w:tcPr>
            <w:tcW w:w="1379" w:type="dxa"/>
            <w:tcBorders>
              <w:top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 xml:space="preserve">Minimum </w:t>
            </w:r>
            <w:r w:rsidR="002D2FF9" w:rsidRPr="00892DE3">
              <w:rPr>
                <w:sz w:val="15"/>
                <w:szCs w:val="15"/>
              </w:rPr>
              <w:br/>
            </w:r>
            <w:r w:rsidRPr="00892DE3">
              <w:rPr>
                <w:sz w:val="15"/>
                <w:szCs w:val="15"/>
              </w:rPr>
              <w:t>lease payments</w:t>
            </w:r>
          </w:p>
        </w:tc>
        <w:tc>
          <w:tcPr>
            <w:tcW w:w="1140" w:type="dxa"/>
            <w:tcBorders>
              <w:top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 xml:space="preserve">Other </w:t>
            </w:r>
            <w:r w:rsidR="002D2FF9" w:rsidRPr="00892DE3">
              <w:rPr>
                <w:sz w:val="15"/>
                <w:szCs w:val="15"/>
              </w:rPr>
              <w:t>commitments</w:t>
            </w:r>
          </w:p>
        </w:tc>
        <w:tc>
          <w:tcPr>
            <w:tcW w:w="1175" w:type="dxa"/>
            <w:tcBorders>
              <w:top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Commitments</w:t>
            </w:r>
          </w:p>
        </w:tc>
        <w:tc>
          <w:tcPr>
            <w:tcW w:w="134" w:type="dxa"/>
            <w:tcBorders>
              <w:top w:val="nil"/>
              <w:bottom w:val="nil"/>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p>
        </w:tc>
        <w:tc>
          <w:tcPr>
            <w:tcW w:w="1362" w:type="dxa"/>
            <w:tcBorders>
              <w:top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 xml:space="preserve">Minimum </w:t>
            </w:r>
            <w:r w:rsidR="002D2FF9" w:rsidRPr="00892DE3">
              <w:rPr>
                <w:sz w:val="15"/>
                <w:szCs w:val="15"/>
              </w:rPr>
              <w:br/>
            </w:r>
            <w:r w:rsidRPr="00892DE3">
              <w:rPr>
                <w:sz w:val="15"/>
                <w:szCs w:val="15"/>
              </w:rPr>
              <w:t>lease payments</w:t>
            </w:r>
          </w:p>
        </w:tc>
        <w:tc>
          <w:tcPr>
            <w:tcW w:w="1142" w:type="dxa"/>
            <w:tcBorders>
              <w:top w:val="single" w:sz="4" w:space="0" w:color="FFFFFF" w:themeColor="background1"/>
            </w:tcBorders>
          </w:tcPr>
          <w:p w:rsidR="00C76064" w:rsidRPr="00892DE3" w:rsidRDefault="00C76064" w:rsidP="002D2FF9">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 xml:space="preserve">Other </w:t>
            </w:r>
            <w:r w:rsidR="002D2FF9" w:rsidRPr="00892DE3">
              <w:rPr>
                <w:sz w:val="15"/>
                <w:szCs w:val="15"/>
              </w:rPr>
              <w:t>c</w:t>
            </w:r>
            <w:r w:rsidRPr="00892DE3">
              <w:rPr>
                <w:sz w:val="15"/>
                <w:szCs w:val="15"/>
              </w:rPr>
              <w:t>ommitments</w:t>
            </w:r>
          </w:p>
        </w:tc>
        <w:tc>
          <w:tcPr>
            <w:tcW w:w="1142" w:type="dxa"/>
            <w:tcBorders>
              <w:top w:val="single" w:sz="4" w:space="0" w:color="FFFFFF" w:themeColor="background1"/>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Commitments</w:t>
            </w:r>
          </w:p>
        </w:tc>
      </w:tr>
      <w:tr w:rsidR="00C76064" w:rsidRPr="00892DE3" w:rsidTr="002D2F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3" w:type="dxa"/>
          </w:tcPr>
          <w:p w:rsidR="00C76064" w:rsidRPr="00892DE3" w:rsidRDefault="00C76064" w:rsidP="002D2FF9">
            <w:pPr>
              <w:spacing w:before="0" w:after="0"/>
              <w:ind w:left="0" w:firstLine="0"/>
              <w:rPr>
                <w:sz w:val="12"/>
                <w:szCs w:val="12"/>
              </w:rPr>
            </w:pPr>
          </w:p>
        </w:tc>
        <w:tc>
          <w:tcPr>
            <w:tcW w:w="1379" w:type="dxa"/>
          </w:tcPr>
          <w:p w:rsidR="00C76064" w:rsidRPr="00892DE3" w:rsidRDefault="00C76064" w:rsidP="002D2FF9">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140" w:type="dxa"/>
          </w:tcPr>
          <w:p w:rsidR="00C76064" w:rsidRPr="00892DE3" w:rsidRDefault="00C76064" w:rsidP="002D2FF9">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175" w:type="dxa"/>
          </w:tcPr>
          <w:p w:rsidR="00C76064" w:rsidRPr="00892DE3" w:rsidRDefault="00C76064" w:rsidP="002D2FF9">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34" w:type="dxa"/>
            <w:tcBorders>
              <w:bottom w:val="nil"/>
            </w:tcBorders>
          </w:tcPr>
          <w:p w:rsidR="00C76064" w:rsidRPr="00892DE3" w:rsidRDefault="00C76064" w:rsidP="002D2FF9">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362" w:type="dxa"/>
          </w:tcPr>
          <w:p w:rsidR="00C76064" w:rsidRPr="00892DE3" w:rsidRDefault="00C76064" w:rsidP="002D2FF9">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142" w:type="dxa"/>
          </w:tcPr>
          <w:p w:rsidR="00C76064" w:rsidRPr="00892DE3" w:rsidRDefault="00C76064" w:rsidP="002D2FF9">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142" w:type="dxa"/>
          </w:tcPr>
          <w:p w:rsidR="00C76064" w:rsidRPr="00892DE3" w:rsidRDefault="00C76064" w:rsidP="002D2FF9">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r>
      <w:tr w:rsidR="00C76064" w:rsidRPr="00892DE3" w:rsidTr="002D2F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3" w:type="dxa"/>
          </w:tcPr>
          <w:p w:rsidR="00C76064" w:rsidRPr="00892DE3" w:rsidRDefault="00C76064" w:rsidP="00C76064">
            <w:pPr>
              <w:ind w:left="0" w:firstLine="0"/>
              <w:rPr>
                <w:sz w:val="15"/>
                <w:szCs w:val="15"/>
              </w:rPr>
            </w:pPr>
          </w:p>
        </w:tc>
        <w:tc>
          <w:tcPr>
            <w:tcW w:w="1379" w:type="dxa"/>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Discounted value</w:t>
            </w:r>
          </w:p>
        </w:tc>
        <w:tc>
          <w:tcPr>
            <w:tcW w:w="1140" w:type="dxa"/>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Present value</w:t>
            </w:r>
          </w:p>
        </w:tc>
        <w:tc>
          <w:tcPr>
            <w:tcW w:w="1175" w:type="dxa"/>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Nominal value</w:t>
            </w:r>
          </w:p>
        </w:tc>
        <w:tc>
          <w:tcPr>
            <w:tcW w:w="134" w:type="dxa"/>
            <w:tcBorders>
              <w:bottom w:val="nil"/>
            </w:tcBorders>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p>
        </w:tc>
        <w:tc>
          <w:tcPr>
            <w:tcW w:w="1362" w:type="dxa"/>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Discounted value</w:t>
            </w:r>
          </w:p>
        </w:tc>
        <w:tc>
          <w:tcPr>
            <w:tcW w:w="1142" w:type="dxa"/>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Present value</w:t>
            </w:r>
          </w:p>
        </w:tc>
        <w:tc>
          <w:tcPr>
            <w:tcW w:w="1142" w:type="dxa"/>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Nominal value</w:t>
            </w:r>
          </w:p>
        </w:tc>
      </w:tr>
      <w:tr w:rsidR="00C76064" w:rsidRPr="00892DE3" w:rsidTr="002D2FF9">
        <w:trPr>
          <w:cantSplit w:val="0"/>
        </w:trPr>
        <w:tc>
          <w:tcPr>
            <w:cnfStyle w:val="001000000000" w:firstRow="0" w:lastRow="0" w:firstColumn="1" w:lastColumn="0" w:oddVBand="0" w:evenVBand="0" w:oddHBand="0" w:evenHBand="0" w:firstRowFirstColumn="0" w:firstRowLastColumn="0" w:lastRowFirstColumn="0" w:lastRowLastColumn="0"/>
            <w:tcW w:w="2163" w:type="dxa"/>
            <w:hideMark/>
          </w:tcPr>
          <w:p w:rsidR="00C76064" w:rsidRPr="00892DE3" w:rsidRDefault="00C76064" w:rsidP="00E528E5">
            <w:pPr>
              <w:rPr>
                <w:rFonts w:cstheme="majorHAnsi"/>
                <w:b/>
                <w:sz w:val="15"/>
                <w:szCs w:val="15"/>
              </w:rPr>
            </w:pPr>
            <w:r w:rsidRPr="00892DE3">
              <w:rPr>
                <w:rFonts w:cstheme="majorHAnsi"/>
                <w:b/>
                <w:sz w:val="15"/>
                <w:szCs w:val="15"/>
              </w:rPr>
              <w:t xml:space="preserve">Commissioned </w:t>
            </w:r>
            <w:r w:rsidR="00E528E5" w:rsidRPr="00892DE3">
              <w:rPr>
                <w:rFonts w:cstheme="majorHAnsi"/>
                <w:b/>
                <w:sz w:val="15"/>
                <w:szCs w:val="15"/>
              </w:rPr>
              <w:t>PPPs</w:t>
            </w:r>
            <w:r w:rsidRPr="00892DE3">
              <w:rPr>
                <w:rFonts w:cstheme="majorHAnsi"/>
                <w:b/>
                <w:sz w:val="15"/>
                <w:szCs w:val="15"/>
              </w:rPr>
              <w:t xml:space="preserve"> </w:t>
            </w:r>
            <w:r w:rsidRPr="00892DE3">
              <w:rPr>
                <w:rFonts w:cstheme="majorHAnsi"/>
                <w:b/>
                <w:sz w:val="15"/>
                <w:szCs w:val="15"/>
                <w:vertAlign w:val="superscript"/>
              </w:rPr>
              <w:t>(</w:t>
            </w:r>
            <w:r w:rsidR="00415B77" w:rsidRPr="00892DE3">
              <w:rPr>
                <w:rFonts w:cstheme="majorHAnsi"/>
                <w:b/>
                <w:sz w:val="15"/>
                <w:szCs w:val="15"/>
                <w:vertAlign w:val="superscript"/>
              </w:rPr>
              <w:t>c</w:t>
            </w:r>
            <w:r w:rsidRPr="00892DE3">
              <w:rPr>
                <w:rFonts w:cstheme="majorHAnsi"/>
                <w:b/>
                <w:sz w:val="15"/>
                <w:szCs w:val="15"/>
                <w:vertAlign w:val="superscript"/>
              </w:rPr>
              <w:t>)(</w:t>
            </w:r>
            <w:r w:rsidR="00415B77" w:rsidRPr="00892DE3">
              <w:rPr>
                <w:rFonts w:cstheme="majorHAnsi"/>
                <w:b/>
                <w:sz w:val="15"/>
                <w:szCs w:val="15"/>
                <w:vertAlign w:val="superscript"/>
              </w:rPr>
              <w:t>d</w:t>
            </w:r>
            <w:r w:rsidRPr="00892DE3">
              <w:rPr>
                <w:rFonts w:cstheme="majorHAnsi"/>
                <w:b/>
                <w:sz w:val="15"/>
                <w:szCs w:val="15"/>
                <w:vertAlign w:val="superscript"/>
              </w:rPr>
              <w:t>)</w:t>
            </w:r>
          </w:p>
        </w:tc>
        <w:tc>
          <w:tcPr>
            <w:tcW w:w="1379" w:type="dxa"/>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0" w:type="dxa"/>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75" w:type="dxa"/>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4" w:type="dxa"/>
            <w:tcBorders>
              <w:top w:val="nil"/>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r>
      <w:tr w:rsidR="00C76064" w:rsidRPr="00892DE3" w:rsidTr="002D2FF9">
        <w:trPr>
          <w:cantSplit w:val="0"/>
        </w:trPr>
        <w:tc>
          <w:tcPr>
            <w:cnfStyle w:val="001000000000" w:firstRow="0" w:lastRow="0" w:firstColumn="1" w:lastColumn="0" w:oddVBand="0" w:evenVBand="0" w:oddHBand="0" w:evenHBand="0" w:firstRowFirstColumn="0" w:firstRowLastColumn="0" w:lastRowFirstColumn="0" w:lastRowLastColumn="0"/>
            <w:tcW w:w="2163" w:type="dxa"/>
          </w:tcPr>
          <w:p w:rsidR="00C76064" w:rsidRPr="00892DE3" w:rsidRDefault="00C76064" w:rsidP="00415B77">
            <w:pPr>
              <w:rPr>
                <w:rFonts w:cstheme="majorHAnsi"/>
                <w:sz w:val="15"/>
                <w:szCs w:val="15"/>
              </w:rPr>
            </w:pPr>
            <w:r w:rsidRPr="00892DE3">
              <w:rPr>
                <w:rFonts w:cstheme="majorHAnsi"/>
                <w:sz w:val="15"/>
                <w:szCs w:val="15"/>
              </w:rPr>
              <w:t xml:space="preserve">IT&amp;T system development </w:t>
            </w:r>
            <w:r w:rsidRPr="00892DE3">
              <w:rPr>
                <w:rFonts w:cstheme="majorHAnsi"/>
                <w:sz w:val="15"/>
                <w:szCs w:val="15"/>
                <w:vertAlign w:val="superscript"/>
              </w:rPr>
              <w:t>(</w:t>
            </w:r>
            <w:r w:rsidR="00415B77" w:rsidRPr="00892DE3">
              <w:rPr>
                <w:rFonts w:cstheme="majorHAnsi"/>
                <w:sz w:val="15"/>
                <w:szCs w:val="15"/>
                <w:vertAlign w:val="superscript"/>
              </w:rPr>
              <w:t>e</w:t>
            </w:r>
            <w:r w:rsidRPr="00892DE3">
              <w:rPr>
                <w:rFonts w:cstheme="majorHAnsi"/>
                <w:sz w:val="15"/>
                <w:szCs w:val="15"/>
                <w:vertAlign w:val="superscript"/>
              </w:rPr>
              <w:t>)</w:t>
            </w:r>
          </w:p>
        </w:tc>
        <w:tc>
          <w:tcPr>
            <w:tcW w:w="1379" w:type="dxa"/>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0" w:type="dxa"/>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4 605</w:t>
            </w:r>
          </w:p>
        </w:tc>
        <w:tc>
          <w:tcPr>
            <w:tcW w:w="1175" w:type="dxa"/>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5 334</w:t>
            </w:r>
          </w:p>
        </w:tc>
        <w:tc>
          <w:tcPr>
            <w:tcW w:w="134"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w:t>
            </w:r>
          </w:p>
        </w:tc>
        <w:tc>
          <w:tcPr>
            <w:tcW w:w="114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11 449</w:t>
            </w:r>
          </w:p>
        </w:tc>
        <w:tc>
          <w:tcPr>
            <w:tcW w:w="114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13 737</w:t>
            </w:r>
          </w:p>
        </w:tc>
      </w:tr>
      <w:tr w:rsidR="00C76064" w:rsidRPr="00892DE3" w:rsidTr="002D2FF9">
        <w:trPr>
          <w:cantSplit w:val="0"/>
        </w:trPr>
        <w:tc>
          <w:tcPr>
            <w:cnfStyle w:val="001000000000" w:firstRow="0" w:lastRow="0" w:firstColumn="1" w:lastColumn="0" w:oddVBand="0" w:evenVBand="0" w:oddHBand="0" w:evenHBand="0" w:firstRowFirstColumn="0" w:firstRowLastColumn="0" w:lastRowFirstColumn="0" w:lastRowLastColumn="0"/>
            <w:tcW w:w="2163" w:type="dxa"/>
            <w:tcBorders>
              <w:bottom w:val="single" w:sz="4" w:space="0" w:color="auto"/>
            </w:tcBorders>
          </w:tcPr>
          <w:p w:rsidR="00C76064" w:rsidRPr="00892DE3" w:rsidRDefault="00C76064" w:rsidP="00415B77">
            <w:pPr>
              <w:rPr>
                <w:rFonts w:cstheme="majorHAnsi"/>
                <w:sz w:val="15"/>
                <w:szCs w:val="15"/>
              </w:rPr>
            </w:pPr>
            <w:r w:rsidRPr="00892DE3">
              <w:rPr>
                <w:rFonts w:cstheme="majorHAnsi"/>
                <w:sz w:val="15"/>
                <w:szCs w:val="15"/>
              </w:rPr>
              <w:t xml:space="preserve">Biotech Research Centre </w:t>
            </w:r>
            <w:r w:rsidRPr="00892DE3">
              <w:rPr>
                <w:rFonts w:cstheme="majorHAnsi"/>
                <w:sz w:val="15"/>
                <w:szCs w:val="15"/>
                <w:vertAlign w:val="superscript"/>
              </w:rPr>
              <w:t>(</w:t>
            </w:r>
            <w:r w:rsidR="00415B77" w:rsidRPr="00892DE3">
              <w:rPr>
                <w:rFonts w:cstheme="majorHAnsi"/>
                <w:sz w:val="15"/>
                <w:szCs w:val="15"/>
                <w:vertAlign w:val="superscript"/>
              </w:rPr>
              <w:t>e</w:t>
            </w:r>
            <w:r w:rsidRPr="00892DE3">
              <w:rPr>
                <w:rFonts w:cstheme="majorHAnsi"/>
                <w:sz w:val="15"/>
                <w:szCs w:val="15"/>
                <w:vertAlign w:val="superscript"/>
              </w:rPr>
              <w:t>)</w:t>
            </w:r>
          </w:p>
        </w:tc>
        <w:tc>
          <w:tcPr>
            <w:tcW w:w="1379" w:type="dxa"/>
            <w:tcBorders>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0" w:type="dxa"/>
            <w:tcBorders>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3 069</w:t>
            </w:r>
          </w:p>
        </w:tc>
        <w:tc>
          <w:tcPr>
            <w:tcW w:w="1175" w:type="dxa"/>
            <w:tcBorders>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3 556</w:t>
            </w:r>
          </w:p>
        </w:tc>
        <w:tc>
          <w:tcPr>
            <w:tcW w:w="134" w:type="dxa"/>
            <w:tcBorders>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Borders>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w:t>
            </w:r>
          </w:p>
        </w:tc>
        <w:tc>
          <w:tcPr>
            <w:tcW w:w="1142" w:type="dxa"/>
            <w:tcBorders>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7 632</w:t>
            </w:r>
          </w:p>
        </w:tc>
        <w:tc>
          <w:tcPr>
            <w:tcW w:w="1142" w:type="dxa"/>
            <w:tcBorders>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9 159</w:t>
            </w:r>
          </w:p>
        </w:tc>
      </w:tr>
      <w:tr w:rsidR="00C76064" w:rsidRPr="00892DE3" w:rsidTr="002D2FF9">
        <w:trPr>
          <w:cantSplit w:val="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bottom w:val="single" w:sz="4" w:space="0" w:color="auto"/>
            </w:tcBorders>
          </w:tcPr>
          <w:p w:rsidR="00C76064" w:rsidRPr="00892DE3" w:rsidRDefault="00C76064" w:rsidP="00C76064">
            <w:pPr>
              <w:rPr>
                <w:rFonts w:cstheme="majorHAnsi"/>
                <w:sz w:val="15"/>
                <w:szCs w:val="15"/>
              </w:rPr>
            </w:pPr>
            <w:r w:rsidRPr="00892DE3">
              <w:rPr>
                <w:rFonts w:cstheme="majorHAnsi"/>
                <w:b/>
                <w:sz w:val="15"/>
                <w:szCs w:val="15"/>
              </w:rPr>
              <w:t>Sub-total</w:t>
            </w:r>
          </w:p>
        </w:tc>
        <w:tc>
          <w:tcPr>
            <w:tcW w:w="1379" w:type="dxa"/>
            <w:tcBorders>
              <w:top w:val="single" w:sz="4" w:space="0" w:color="auto"/>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p>
        </w:tc>
        <w:tc>
          <w:tcPr>
            <w:tcW w:w="1140" w:type="dxa"/>
            <w:tcBorders>
              <w:top w:val="single" w:sz="4" w:space="0" w:color="auto"/>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7 674</w:t>
            </w:r>
          </w:p>
        </w:tc>
        <w:tc>
          <w:tcPr>
            <w:tcW w:w="1175" w:type="dxa"/>
            <w:tcBorders>
              <w:top w:val="single" w:sz="4" w:space="0" w:color="auto"/>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8 890</w:t>
            </w:r>
          </w:p>
        </w:tc>
        <w:tc>
          <w:tcPr>
            <w:tcW w:w="134" w:type="dxa"/>
            <w:tcBorders>
              <w:top w:val="single" w:sz="4" w:space="0" w:color="auto"/>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p>
        </w:tc>
        <w:tc>
          <w:tcPr>
            <w:tcW w:w="1362" w:type="dxa"/>
            <w:tcBorders>
              <w:top w:val="single" w:sz="4" w:space="0" w:color="auto"/>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w:t>
            </w:r>
          </w:p>
        </w:tc>
        <w:tc>
          <w:tcPr>
            <w:tcW w:w="1142" w:type="dxa"/>
            <w:tcBorders>
              <w:top w:val="single" w:sz="4" w:space="0" w:color="auto"/>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19 081</w:t>
            </w:r>
          </w:p>
        </w:tc>
        <w:tc>
          <w:tcPr>
            <w:tcW w:w="1142" w:type="dxa"/>
            <w:tcBorders>
              <w:top w:val="single" w:sz="4" w:space="0" w:color="auto"/>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22 896</w:t>
            </w:r>
          </w:p>
        </w:tc>
      </w:tr>
      <w:tr w:rsidR="00C76064" w:rsidRPr="00892DE3" w:rsidTr="002D2FF9">
        <w:trPr>
          <w:cantSplit w:val="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tcBorders>
          </w:tcPr>
          <w:p w:rsidR="00C76064" w:rsidRPr="00892DE3" w:rsidRDefault="00C76064" w:rsidP="00E528E5">
            <w:pPr>
              <w:rPr>
                <w:rFonts w:cstheme="majorHAnsi"/>
                <w:b/>
                <w:sz w:val="15"/>
                <w:szCs w:val="15"/>
                <w:vertAlign w:val="superscript"/>
              </w:rPr>
            </w:pPr>
            <w:r w:rsidRPr="00892DE3">
              <w:rPr>
                <w:rFonts w:cstheme="majorHAnsi"/>
                <w:b/>
                <w:sz w:val="15"/>
                <w:szCs w:val="15"/>
              </w:rPr>
              <w:t xml:space="preserve">Uncommissioned </w:t>
            </w:r>
            <w:r w:rsidR="00E528E5" w:rsidRPr="00892DE3">
              <w:rPr>
                <w:rFonts w:cstheme="majorHAnsi"/>
                <w:b/>
                <w:sz w:val="15"/>
                <w:szCs w:val="15"/>
              </w:rPr>
              <w:t>PPP</w:t>
            </w:r>
            <w:r w:rsidRPr="00892DE3">
              <w:rPr>
                <w:rFonts w:cstheme="majorHAnsi"/>
                <w:b/>
                <w:sz w:val="15"/>
                <w:szCs w:val="15"/>
              </w:rPr>
              <w:t xml:space="preserve">s </w:t>
            </w:r>
            <w:r w:rsidRPr="00892DE3">
              <w:rPr>
                <w:rFonts w:cstheme="majorHAnsi"/>
                <w:b/>
                <w:sz w:val="15"/>
                <w:szCs w:val="15"/>
                <w:vertAlign w:val="superscript"/>
              </w:rPr>
              <w:t>(</w:t>
            </w:r>
            <w:r w:rsidR="00415B77" w:rsidRPr="00892DE3">
              <w:rPr>
                <w:rFonts w:cstheme="majorHAnsi"/>
                <w:b/>
                <w:sz w:val="15"/>
                <w:szCs w:val="15"/>
                <w:vertAlign w:val="superscript"/>
              </w:rPr>
              <w:t>f</w:t>
            </w:r>
            <w:r w:rsidRPr="00892DE3">
              <w:rPr>
                <w:rFonts w:cstheme="majorHAnsi"/>
                <w:b/>
                <w:sz w:val="15"/>
                <w:szCs w:val="15"/>
                <w:vertAlign w:val="superscript"/>
              </w:rPr>
              <w:t>)(</w:t>
            </w:r>
            <w:r w:rsidR="00415B77" w:rsidRPr="00892DE3">
              <w:rPr>
                <w:rFonts w:cstheme="majorHAnsi"/>
                <w:b/>
                <w:sz w:val="15"/>
                <w:szCs w:val="15"/>
                <w:vertAlign w:val="superscript"/>
              </w:rPr>
              <w:t>g</w:t>
            </w:r>
            <w:r w:rsidRPr="00892DE3">
              <w:rPr>
                <w:rFonts w:cstheme="majorHAnsi"/>
                <w:b/>
                <w:sz w:val="15"/>
                <w:szCs w:val="15"/>
                <w:vertAlign w:val="superscript"/>
              </w:rPr>
              <w:t>)(</w:t>
            </w:r>
            <w:r w:rsidR="00415B77" w:rsidRPr="00892DE3">
              <w:rPr>
                <w:rFonts w:cstheme="majorHAnsi"/>
                <w:b/>
                <w:sz w:val="15"/>
                <w:szCs w:val="15"/>
                <w:vertAlign w:val="superscript"/>
              </w:rPr>
              <w:t>h</w:t>
            </w:r>
            <w:r w:rsidRPr="00892DE3">
              <w:rPr>
                <w:rFonts w:cstheme="majorHAnsi"/>
                <w:b/>
                <w:sz w:val="15"/>
                <w:szCs w:val="15"/>
                <w:vertAlign w:val="superscript"/>
              </w:rPr>
              <w:t>)(</w:t>
            </w:r>
            <w:r w:rsidR="00415B77" w:rsidRPr="00892DE3">
              <w:rPr>
                <w:rFonts w:cstheme="majorHAnsi"/>
                <w:b/>
                <w:sz w:val="15"/>
                <w:szCs w:val="15"/>
                <w:vertAlign w:val="superscript"/>
              </w:rPr>
              <w:t>i</w:t>
            </w:r>
            <w:r w:rsidRPr="00892DE3">
              <w:rPr>
                <w:rFonts w:cstheme="majorHAnsi"/>
                <w:b/>
                <w:sz w:val="15"/>
                <w:szCs w:val="15"/>
                <w:vertAlign w:val="superscript"/>
              </w:rPr>
              <w:t>)</w:t>
            </w:r>
            <w:r w:rsidR="005B5223" w:rsidRPr="00892DE3">
              <w:rPr>
                <w:rFonts w:cstheme="majorHAnsi"/>
                <w:b/>
                <w:sz w:val="15"/>
                <w:szCs w:val="15"/>
                <w:vertAlign w:val="superscript"/>
              </w:rPr>
              <w:t>(j)</w:t>
            </w:r>
          </w:p>
        </w:tc>
        <w:tc>
          <w:tcPr>
            <w:tcW w:w="1379" w:type="dxa"/>
            <w:tcBorders>
              <w:top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0" w:type="dxa"/>
            <w:tcBorders>
              <w:top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75" w:type="dxa"/>
            <w:tcBorders>
              <w:top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4" w:type="dxa"/>
            <w:tcBorders>
              <w:top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Borders>
              <w:top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2" w:type="dxa"/>
            <w:tcBorders>
              <w:top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2" w:type="dxa"/>
            <w:tcBorders>
              <w:top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r>
      <w:tr w:rsidR="00C76064" w:rsidRPr="00892DE3" w:rsidTr="002D2FF9">
        <w:trPr>
          <w:cantSplit w:val="0"/>
        </w:trPr>
        <w:tc>
          <w:tcPr>
            <w:cnfStyle w:val="001000000000" w:firstRow="0" w:lastRow="0" w:firstColumn="1" w:lastColumn="0" w:oddVBand="0" w:evenVBand="0" w:oddHBand="0" w:evenHBand="0" w:firstRowFirstColumn="0" w:firstRowLastColumn="0" w:lastRowFirstColumn="0" w:lastRowLastColumn="0"/>
            <w:tcW w:w="2163" w:type="dxa"/>
          </w:tcPr>
          <w:p w:rsidR="00C76064" w:rsidRPr="00892DE3" w:rsidRDefault="00C76064" w:rsidP="00415B77">
            <w:pPr>
              <w:rPr>
                <w:rFonts w:cstheme="majorHAnsi"/>
                <w:sz w:val="15"/>
                <w:szCs w:val="15"/>
              </w:rPr>
            </w:pPr>
            <w:r w:rsidRPr="00892DE3">
              <w:rPr>
                <w:rFonts w:cstheme="majorHAnsi"/>
                <w:sz w:val="15"/>
                <w:szCs w:val="15"/>
              </w:rPr>
              <w:t xml:space="preserve">IT training schools </w:t>
            </w:r>
            <w:r w:rsidRPr="00892DE3">
              <w:rPr>
                <w:rFonts w:cstheme="majorHAnsi"/>
                <w:sz w:val="15"/>
                <w:szCs w:val="15"/>
                <w:vertAlign w:val="superscript"/>
              </w:rPr>
              <w:t>(</w:t>
            </w:r>
            <w:r w:rsidR="00415B77" w:rsidRPr="00892DE3">
              <w:rPr>
                <w:rFonts w:cstheme="majorHAnsi"/>
                <w:sz w:val="15"/>
                <w:szCs w:val="15"/>
                <w:vertAlign w:val="superscript"/>
              </w:rPr>
              <w:t>i</w:t>
            </w:r>
            <w:r w:rsidRPr="00892DE3">
              <w:rPr>
                <w:rFonts w:cstheme="majorHAnsi"/>
                <w:sz w:val="15"/>
                <w:szCs w:val="15"/>
                <w:vertAlign w:val="superscript"/>
              </w:rPr>
              <w:t>)</w:t>
            </w:r>
          </w:p>
        </w:tc>
        <w:tc>
          <w:tcPr>
            <w:tcW w:w="1379" w:type="dxa"/>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3 329</w:t>
            </w:r>
          </w:p>
        </w:tc>
        <w:tc>
          <w:tcPr>
            <w:tcW w:w="1140" w:type="dxa"/>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1 569</w:t>
            </w:r>
          </w:p>
        </w:tc>
        <w:tc>
          <w:tcPr>
            <w:tcW w:w="1175" w:type="dxa"/>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11 901</w:t>
            </w:r>
          </w:p>
        </w:tc>
        <w:tc>
          <w:tcPr>
            <w:tcW w:w="134"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3 329</w:t>
            </w:r>
          </w:p>
        </w:tc>
        <w:tc>
          <w:tcPr>
            <w:tcW w:w="114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1 458</w:t>
            </w:r>
          </w:p>
        </w:tc>
        <w:tc>
          <w:tcPr>
            <w:tcW w:w="1142" w:type="dxa"/>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11 901</w:t>
            </w:r>
          </w:p>
        </w:tc>
      </w:tr>
      <w:tr w:rsidR="00C76064" w:rsidRPr="00892DE3" w:rsidTr="002D2FF9">
        <w:trPr>
          <w:cantSplit w:val="0"/>
        </w:trPr>
        <w:tc>
          <w:tcPr>
            <w:cnfStyle w:val="001000000000" w:firstRow="0" w:lastRow="0" w:firstColumn="1" w:lastColumn="0" w:oddVBand="0" w:evenVBand="0" w:oddHBand="0" w:evenHBand="0" w:firstRowFirstColumn="0" w:firstRowLastColumn="0" w:lastRowFirstColumn="0" w:lastRowLastColumn="0"/>
            <w:tcW w:w="2163" w:type="dxa"/>
            <w:tcBorders>
              <w:bottom w:val="single" w:sz="4" w:space="0" w:color="auto"/>
            </w:tcBorders>
          </w:tcPr>
          <w:p w:rsidR="00C76064" w:rsidRPr="00892DE3" w:rsidRDefault="00C76064" w:rsidP="00415B77">
            <w:pPr>
              <w:rPr>
                <w:rFonts w:cstheme="majorHAnsi"/>
                <w:sz w:val="15"/>
                <w:szCs w:val="15"/>
              </w:rPr>
            </w:pPr>
            <w:r w:rsidRPr="00892DE3">
              <w:rPr>
                <w:rFonts w:cstheme="majorHAnsi"/>
                <w:sz w:val="15"/>
                <w:szCs w:val="15"/>
              </w:rPr>
              <w:t xml:space="preserve">Climate Change Research Centre </w:t>
            </w:r>
            <w:r w:rsidRPr="00892DE3">
              <w:rPr>
                <w:rFonts w:cstheme="majorHAnsi"/>
                <w:sz w:val="15"/>
                <w:szCs w:val="15"/>
                <w:vertAlign w:val="superscript"/>
              </w:rPr>
              <w:t>(</w:t>
            </w:r>
            <w:r w:rsidR="005B5223" w:rsidRPr="00892DE3">
              <w:rPr>
                <w:rFonts w:cstheme="majorHAnsi"/>
                <w:sz w:val="15"/>
                <w:szCs w:val="15"/>
                <w:vertAlign w:val="superscript"/>
              </w:rPr>
              <w:t>k</w:t>
            </w:r>
            <w:r w:rsidRPr="00892DE3">
              <w:rPr>
                <w:rFonts w:cstheme="majorHAnsi"/>
                <w:sz w:val="15"/>
                <w:szCs w:val="15"/>
                <w:vertAlign w:val="superscript"/>
              </w:rPr>
              <w:t>)</w:t>
            </w:r>
          </w:p>
        </w:tc>
        <w:tc>
          <w:tcPr>
            <w:tcW w:w="1379" w:type="dxa"/>
            <w:tcBorders>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1 685</w:t>
            </w:r>
          </w:p>
        </w:tc>
        <w:tc>
          <w:tcPr>
            <w:tcW w:w="1140" w:type="dxa"/>
            <w:tcBorders>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579</w:t>
            </w:r>
          </w:p>
        </w:tc>
        <w:tc>
          <w:tcPr>
            <w:tcW w:w="1175" w:type="dxa"/>
            <w:tcBorders>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8 035</w:t>
            </w:r>
          </w:p>
        </w:tc>
        <w:tc>
          <w:tcPr>
            <w:tcW w:w="134" w:type="dxa"/>
            <w:tcBorders>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Borders>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1 685</w:t>
            </w:r>
          </w:p>
        </w:tc>
        <w:tc>
          <w:tcPr>
            <w:tcW w:w="1142" w:type="dxa"/>
            <w:tcBorders>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534</w:t>
            </w:r>
          </w:p>
        </w:tc>
        <w:tc>
          <w:tcPr>
            <w:tcW w:w="1142" w:type="dxa"/>
            <w:tcBorders>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8 035</w:t>
            </w:r>
          </w:p>
        </w:tc>
      </w:tr>
      <w:tr w:rsidR="00C76064" w:rsidRPr="00892DE3" w:rsidTr="002D2FF9">
        <w:trPr>
          <w:cantSplit w:val="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bottom w:val="single" w:sz="4" w:space="0" w:color="auto"/>
            </w:tcBorders>
          </w:tcPr>
          <w:p w:rsidR="00C76064" w:rsidRPr="00892DE3" w:rsidRDefault="00C76064" w:rsidP="00C76064">
            <w:pPr>
              <w:rPr>
                <w:rFonts w:cstheme="majorHAnsi"/>
                <w:b/>
                <w:sz w:val="15"/>
                <w:szCs w:val="15"/>
              </w:rPr>
            </w:pPr>
            <w:r w:rsidRPr="00892DE3">
              <w:rPr>
                <w:rFonts w:cstheme="majorHAnsi"/>
                <w:b/>
                <w:sz w:val="15"/>
                <w:szCs w:val="15"/>
              </w:rPr>
              <w:t>Sub-total</w:t>
            </w:r>
          </w:p>
        </w:tc>
        <w:tc>
          <w:tcPr>
            <w:tcW w:w="1379" w:type="dxa"/>
            <w:tcBorders>
              <w:top w:val="single" w:sz="4" w:space="0" w:color="auto"/>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w:t>
            </w:r>
          </w:p>
        </w:tc>
        <w:tc>
          <w:tcPr>
            <w:tcW w:w="1140" w:type="dxa"/>
            <w:tcBorders>
              <w:top w:val="single" w:sz="4" w:space="0" w:color="auto"/>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2 148</w:t>
            </w:r>
          </w:p>
        </w:tc>
        <w:tc>
          <w:tcPr>
            <w:tcW w:w="1175" w:type="dxa"/>
            <w:tcBorders>
              <w:top w:val="single" w:sz="4" w:space="0" w:color="auto"/>
              <w:bottom w:val="single" w:sz="4" w:space="0" w:color="auto"/>
            </w:tcBorders>
            <w:shd w:val="clear" w:color="auto" w:fill="EBEBEB" w:themeFill="background2"/>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19 936</w:t>
            </w:r>
          </w:p>
        </w:tc>
        <w:tc>
          <w:tcPr>
            <w:tcW w:w="134" w:type="dxa"/>
            <w:tcBorders>
              <w:top w:val="single" w:sz="4" w:space="0" w:color="auto"/>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p>
        </w:tc>
        <w:tc>
          <w:tcPr>
            <w:tcW w:w="1362" w:type="dxa"/>
            <w:tcBorders>
              <w:top w:val="single" w:sz="4" w:space="0" w:color="auto"/>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w:t>
            </w:r>
          </w:p>
        </w:tc>
        <w:tc>
          <w:tcPr>
            <w:tcW w:w="1142" w:type="dxa"/>
            <w:tcBorders>
              <w:top w:val="single" w:sz="4" w:space="0" w:color="auto"/>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1 992</w:t>
            </w:r>
          </w:p>
        </w:tc>
        <w:tc>
          <w:tcPr>
            <w:tcW w:w="1142" w:type="dxa"/>
            <w:tcBorders>
              <w:top w:val="single" w:sz="4" w:space="0" w:color="auto"/>
              <w:bottom w:val="single" w:sz="4" w:space="0" w:color="auto"/>
            </w:tcBorders>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19 936</w:t>
            </w:r>
          </w:p>
        </w:tc>
      </w:tr>
      <w:tr w:rsidR="00C76064" w:rsidRPr="00892DE3" w:rsidTr="002D2FF9">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bottom w:val="single" w:sz="12" w:space="0" w:color="auto"/>
            </w:tcBorders>
          </w:tcPr>
          <w:p w:rsidR="00C76064" w:rsidRPr="00892DE3" w:rsidRDefault="00C76064" w:rsidP="00A30CE5">
            <w:pPr>
              <w:rPr>
                <w:rFonts w:cstheme="majorHAnsi"/>
                <w:b w:val="0"/>
                <w:sz w:val="15"/>
                <w:szCs w:val="15"/>
              </w:rPr>
            </w:pPr>
            <w:r w:rsidRPr="00892DE3">
              <w:rPr>
                <w:rFonts w:cstheme="majorHAnsi"/>
                <w:sz w:val="15"/>
                <w:szCs w:val="15"/>
              </w:rPr>
              <w:t xml:space="preserve">Total commitments for </w:t>
            </w:r>
            <w:r w:rsidR="00A30CE5" w:rsidRPr="00892DE3">
              <w:rPr>
                <w:rFonts w:cstheme="majorHAnsi"/>
                <w:sz w:val="15"/>
                <w:szCs w:val="15"/>
              </w:rPr>
              <w:t>PPPs</w:t>
            </w:r>
          </w:p>
        </w:tc>
        <w:tc>
          <w:tcPr>
            <w:tcW w:w="1379" w:type="dxa"/>
            <w:tcBorders>
              <w:top w:val="single" w:sz="4" w:space="0" w:color="auto"/>
              <w:bottom w:val="single" w:sz="12" w:space="0" w:color="auto"/>
            </w:tcBorders>
            <w:shd w:val="clear" w:color="auto" w:fill="EBEBEB" w:themeFill="background2"/>
          </w:tcPr>
          <w:p w:rsidR="00C76064" w:rsidRPr="00892DE3" w:rsidRDefault="00C76064" w:rsidP="00C76064">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p>
        </w:tc>
        <w:tc>
          <w:tcPr>
            <w:tcW w:w="1140" w:type="dxa"/>
            <w:tcBorders>
              <w:top w:val="single" w:sz="4" w:space="0" w:color="auto"/>
              <w:bottom w:val="single" w:sz="12" w:space="0" w:color="auto"/>
            </w:tcBorders>
            <w:shd w:val="clear" w:color="auto" w:fill="EBEBEB" w:themeFill="background2"/>
          </w:tcPr>
          <w:p w:rsidR="00C76064" w:rsidRPr="00892DE3" w:rsidRDefault="00C76064" w:rsidP="00C76064">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r w:rsidRPr="00892DE3">
              <w:rPr>
                <w:rFonts w:cstheme="majorHAnsi"/>
                <w:sz w:val="15"/>
                <w:szCs w:val="15"/>
              </w:rPr>
              <w:t>9 822</w:t>
            </w:r>
          </w:p>
        </w:tc>
        <w:tc>
          <w:tcPr>
            <w:tcW w:w="1175" w:type="dxa"/>
            <w:tcBorders>
              <w:top w:val="single" w:sz="4" w:space="0" w:color="auto"/>
              <w:bottom w:val="single" w:sz="12" w:space="0" w:color="auto"/>
            </w:tcBorders>
            <w:shd w:val="clear" w:color="auto" w:fill="EBEBEB" w:themeFill="background2"/>
          </w:tcPr>
          <w:p w:rsidR="00C76064" w:rsidRPr="00892DE3" w:rsidRDefault="00C76064" w:rsidP="00C76064">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r w:rsidRPr="00892DE3">
              <w:rPr>
                <w:rFonts w:cstheme="majorHAnsi"/>
                <w:sz w:val="15"/>
                <w:szCs w:val="15"/>
              </w:rPr>
              <w:t>28 826</w:t>
            </w:r>
          </w:p>
        </w:tc>
        <w:tc>
          <w:tcPr>
            <w:tcW w:w="134" w:type="dxa"/>
            <w:tcBorders>
              <w:top w:val="single" w:sz="4" w:space="0" w:color="auto"/>
              <w:bottom w:val="single" w:sz="12" w:space="0" w:color="auto"/>
            </w:tcBorders>
          </w:tcPr>
          <w:p w:rsidR="00C76064" w:rsidRPr="00892DE3" w:rsidRDefault="00C76064" w:rsidP="00C76064">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p>
        </w:tc>
        <w:tc>
          <w:tcPr>
            <w:tcW w:w="1362" w:type="dxa"/>
            <w:tcBorders>
              <w:top w:val="single" w:sz="4" w:space="0" w:color="auto"/>
              <w:bottom w:val="single" w:sz="12" w:space="0" w:color="auto"/>
            </w:tcBorders>
          </w:tcPr>
          <w:p w:rsidR="00C76064" w:rsidRPr="00892DE3" w:rsidRDefault="00C76064" w:rsidP="00C76064">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r w:rsidRPr="00892DE3">
              <w:rPr>
                <w:rFonts w:cstheme="majorHAnsi"/>
                <w:sz w:val="15"/>
                <w:szCs w:val="15"/>
              </w:rPr>
              <w:t>-</w:t>
            </w:r>
          </w:p>
        </w:tc>
        <w:tc>
          <w:tcPr>
            <w:tcW w:w="1142" w:type="dxa"/>
            <w:tcBorders>
              <w:top w:val="single" w:sz="4" w:space="0" w:color="auto"/>
              <w:bottom w:val="single" w:sz="12" w:space="0" w:color="auto"/>
            </w:tcBorders>
          </w:tcPr>
          <w:p w:rsidR="00C76064" w:rsidRPr="00892DE3" w:rsidRDefault="00C76064" w:rsidP="00C76064">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r w:rsidRPr="00892DE3">
              <w:rPr>
                <w:rFonts w:cstheme="majorHAnsi"/>
                <w:sz w:val="15"/>
                <w:szCs w:val="15"/>
              </w:rPr>
              <w:t>21 073</w:t>
            </w:r>
          </w:p>
        </w:tc>
        <w:tc>
          <w:tcPr>
            <w:tcW w:w="1142" w:type="dxa"/>
            <w:tcBorders>
              <w:top w:val="single" w:sz="4" w:space="0" w:color="auto"/>
              <w:bottom w:val="single" w:sz="12" w:space="0" w:color="auto"/>
            </w:tcBorders>
          </w:tcPr>
          <w:p w:rsidR="00C76064" w:rsidRPr="00892DE3" w:rsidRDefault="00C76064" w:rsidP="00C76064">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r w:rsidRPr="00892DE3">
              <w:rPr>
                <w:rFonts w:cstheme="majorHAnsi"/>
                <w:sz w:val="15"/>
                <w:szCs w:val="15"/>
              </w:rPr>
              <w:t>42 832</w:t>
            </w:r>
          </w:p>
        </w:tc>
      </w:tr>
    </w:tbl>
    <w:p w:rsidR="00C76064" w:rsidRPr="00892DE3" w:rsidRDefault="00C76064" w:rsidP="00C76064">
      <w:pPr>
        <w:pStyle w:val="Note"/>
      </w:pPr>
      <w:r w:rsidRPr="00892DE3">
        <w:t xml:space="preserve">Notes: </w:t>
      </w:r>
    </w:p>
    <w:p w:rsidR="00C76064" w:rsidRPr="00892DE3" w:rsidRDefault="00C76064" w:rsidP="00C76064">
      <w:pPr>
        <w:pStyle w:val="Note"/>
      </w:pPr>
      <w:r w:rsidRPr="00892DE3">
        <w:t>(</w:t>
      </w:r>
      <w:r w:rsidR="00415B77" w:rsidRPr="00892DE3">
        <w:t>a</w:t>
      </w:r>
      <w:r w:rsidRPr="00892DE3">
        <w:t>)</w:t>
      </w:r>
      <w:r w:rsidRPr="00892DE3">
        <w:tab/>
        <w:t>The present values of the minimum lease payments for commissioned PPPs are recognised on the balance sheet (not disclosed as commitments).</w:t>
      </w:r>
    </w:p>
    <w:p w:rsidR="00C76064" w:rsidRPr="00892DE3" w:rsidRDefault="00C76064" w:rsidP="00C76064">
      <w:pPr>
        <w:pStyle w:val="Note"/>
      </w:pPr>
      <w:r w:rsidRPr="00892DE3">
        <w:t>(</w:t>
      </w:r>
      <w:r w:rsidR="00415B77" w:rsidRPr="00892DE3">
        <w:t>b</w:t>
      </w:r>
      <w:r w:rsidRPr="00892DE3">
        <w:t>)</w:t>
      </w:r>
      <w:r w:rsidRPr="00892DE3">
        <w:tab/>
        <w:t>The discounted values of the minimum lease payments for uncommissioned PPPs have been discounted to the expected dates of commissioning and the present values of other commitments have been discounted to 30 June of the respective financial years. After adjusting for GST, the discounted values of minimum lease payments reflect the expected impact on the balance sheet when the PPPs are commissioned.</w:t>
      </w:r>
    </w:p>
    <w:p w:rsidR="00C76064" w:rsidRPr="00892DE3" w:rsidRDefault="00C76064" w:rsidP="00C76064">
      <w:pPr>
        <w:pStyle w:val="Note"/>
      </w:pPr>
      <w:r w:rsidRPr="00892DE3">
        <w:t>(</w:t>
      </w:r>
      <w:r w:rsidR="00415B77" w:rsidRPr="00892DE3">
        <w:t>c</w:t>
      </w:r>
      <w:r w:rsidRPr="00892DE3">
        <w:t>)</w:t>
      </w:r>
      <w:r w:rsidRPr="00892DE3">
        <w:tab/>
        <w:t>The year on year reduction in the nominal amounts of the other commitments reflects the payments made.</w:t>
      </w:r>
    </w:p>
    <w:p w:rsidR="00C76064" w:rsidRPr="00892DE3" w:rsidRDefault="00C76064" w:rsidP="00C76064">
      <w:pPr>
        <w:pStyle w:val="Note"/>
      </w:pPr>
      <w:r w:rsidRPr="00892DE3">
        <w:t>(</w:t>
      </w:r>
      <w:r w:rsidR="00415B77" w:rsidRPr="00892DE3">
        <w:t>d</w:t>
      </w:r>
      <w:r w:rsidRPr="00892DE3">
        <w:t>)</w:t>
      </w:r>
      <w:r w:rsidRPr="00892DE3">
        <w:tab/>
        <w:t>The year on year reduction in the present values of other commitments reflects payments, offset by the impact of one fewer year used for discounting.</w:t>
      </w:r>
    </w:p>
    <w:p w:rsidR="00C76064" w:rsidRPr="00892DE3" w:rsidRDefault="00C76064" w:rsidP="00C76064">
      <w:pPr>
        <w:pStyle w:val="Note"/>
      </w:pPr>
      <w:r w:rsidRPr="00892DE3">
        <w:t>(</w:t>
      </w:r>
      <w:r w:rsidR="00415B77" w:rsidRPr="00892DE3">
        <w:t>e</w:t>
      </w:r>
      <w:r w:rsidRPr="00892DE3">
        <w:t>)</w:t>
      </w:r>
      <w:r w:rsidRPr="00892DE3">
        <w:tab/>
        <w:t xml:space="preserve">The table discloses only other operating and maintenance commitments for the IT&amp;T system project and the Biotech Research Centre project. </w:t>
      </w:r>
    </w:p>
    <w:p w:rsidR="00C76064" w:rsidRPr="00892DE3" w:rsidRDefault="00C76064" w:rsidP="00C76064">
      <w:pPr>
        <w:pStyle w:val="Note"/>
      </w:pPr>
      <w:r w:rsidRPr="00892DE3">
        <w:t>(</w:t>
      </w:r>
      <w:r w:rsidR="00415B77" w:rsidRPr="00892DE3">
        <w:t>f</w:t>
      </w:r>
      <w:r w:rsidRPr="00892DE3">
        <w:t>)</w:t>
      </w:r>
      <w:r w:rsidRPr="00892DE3">
        <w:tab/>
        <w:t>The discounted values of the minimum lease payments have not been totalled for the uncommissioned PPPs due to individual PPPs having different expected dates of commissioning.</w:t>
      </w:r>
    </w:p>
    <w:p w:rsidR="00C76064" w:rsidRPr="00892DE3" w:rsidRDefault="00C76064" w:rsidP="00C76064">
      <w:pPr>
        <w:pStyle w:val="Note"/>
      </w:pPr>
      <w:r w:rsidRPr="00892DE3">
        <w:t>(</w:t>
      </w:r>
      <w:r w:rsidR="00415B77" w:rsidRPr="00892DE3">
        <w:t>g</w:t>
      </w:r>
      <w:r w:rsidRPr="00892DE3">
        <w:t>)</w:t>
      </w:r>
      <w:r w:rsidRPr="00892DE3">
        <w:tab/>
        <w:t>The year on year increase in the present values of the other commitments for uncommissioned projects is due to one few year used for discounting.</w:t>
      </w:r>
    </w:p>
    <w:p w:rsidR="00C76064" w:rsidRPr="00892DE3" w:rsidRDefault="00C76064" w:rsidP="00C76064">
      <w:pPr>
        <w:pStyle w:val="Note"/>
      </w:pPr>
      <w:r w:rsidRPr="00892DE3">
        <w:t>(</w:t>
      </w:r>
      <w:r w:rsidR="00415B77" w:rsidRPr="00892DE3">
        <w:t>h</w:t>
      </w:r>
      <w:r w:rsidRPr="00892DE3">
        <w:t>)</w:t>
      </w:r>
      <w:r w:rsidRPr="00892DE3">
        <w:tab/>
        <w:t>The total commitments will not equal the sum of the minimum lease payments and other commitments because they are discounted, whereas total commitments are at nominal value.</w:t>
      </w:r>
    </w:p>
    <w:p w:rsidR="00C76064" w:rsidRPr="00892DE3" w:rsidRDefault="00C76064" w:rsidP="00C76064">
      <w:pPr>
        <w:pStyle w:val="Note"/>
      </w:pPr>
      <w:r w:rsidRPr="00892DE3">
        <w:t>(</w:t>
      </w:r>
      <w:r w:rsidR="00415B77" w:rsidRPr="00892DE3">
        <w:t>i</w:t>
      </w:r>
      <w:r w:rsidRPr="00892DE3">
        <w:t>)</w:t>
      </w:r>
      <w:r w:rsidRPr="00892DE3">
        <w:tab/>
        <w:t>On 16 September 2016, the Department entered into a contract with IT Solutions Ltd to construct and maintain new IT training schools. The contract term is 30 years.</w:t>
      </w:r>
    </w:p>
    <w:p w:rsidR="005B5223" w:rsidRPr="00892DE3" w:rsidRDefault="005B5223" w:rsidP="00C76064">
      <w:pPr>
        <w:pStyle w:val="Note"/>
      </w:pPr>
      <w:r w:rsidRPr="00892DE3">
        <w:t>(j)</w:t>
      </w:r>
      <w:r w:rsidRPr="00892DE3">
        <w:tab/>
        <w:t>The minimum lease payments of uncommissioned PPPs include the government capital contributions. If the government capital contributions are made upfront, the amount represents the nominal value of the payments that will be made when the project is commissioned.</w:t>
      </w:r>
    </w:p>
    <w:p w:rsidR="00C76064" w:rsidRPr="00892DE3" w:rsidRDefault="00C76064" w:rsidP="00C76064">
      <w:pPr>
        <w:pStyle w:val="Note"/>
      </w:pPr>
      <w:r w:rsidRPr="00892DE3">
        <w:t>(</w:t>
      </w:r>
      <w:r w:rsidR="005B5223" w:rsidRPr="00892DE3">
        <w:t>k</w:t>
      </w:r>
      <w:r w:rsidRPr="00892DE3">
        <w:t>)</w:t>
      </w:r>
      <w:r w:rsidRPr="00892DE3">
        <w:tab/>
        <w:t>On 1 March 2017, the Department entered into a contract with Plenary Environment Ltd to construct and maintain a Climate Change Research Centre. The contract term is 15 years.</w:t>
      </w:r>
    </w:p>
    <w:p w:rsidR="00C76064" w:rsidRPr="00892DE3" w:rsidRDefault="00C76064" w:rsidP="00D31BB8">
      <w:pPr>
        <w:pStyle w:val="Heading3"/>
      </w:pPr>
      <w:r w:rsidRPr="00892DE3">
        <w:t xml:space="preserve">Commitments other than </w:t>
      </w:r>
      <w:r w:rsidR="00A30CE5" w:rsidRPr="00892DE3">
        <w:t>PPPs</w:t>
      </w:r>
    </w:p>
    <w:p w:rsidR="00C76064" w:rsidRPr="00892DE3" w:rsidRDefault="00C76064" w:rsidP="00C76064">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804"/>
        <w:gridCol w:w="1418"/>
        <w:gridCol w:w="1415"/>
      </w:tblGrid>
      <w:tr w:rsidR="00C76064" w:rsidRPr="00892DE3" w:rsidTr="00C760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hideMark/>
          </w:tcPr>
          <w:p w:rsidR="00C76064" w:rsidRPr="00892DE3" w:rsidRDefault="00C76064" w:rsidP="00C76064">
            <w:pPr>
              <w:ind w:left="0" w:firstLine="0"/>
            </w:pPr>
          </w:p>
        </w:tc>
        <w:tc>
          <w:tcPr>
            <w:tcW w:w="1418" w:type="dxa"/>
            <w:noWrap/>
            <w:hideMark/>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pPr>
            <w:r w:rsidRPr="00892DE3">
              <w:t>2017</w:t>
            </w:r>
          </w:p>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pPr>
            <w:r w:rsidRPr="00892DE3">
              <w:t>Nominal value (incl. GST)</w:t>
            </w:r>
          </w:p>
        </w:tc>
        <w:tc>
          <w:tcPr>
            <w:tcW w:w="1415" w:type="dxa"/>
            <w:noWrap/>
            <w:hideMark/>
          </w:tcPr>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pPr>
            <w:r w:rsidRPr="00892DE3">
              <w:t>2016</w:t>
            </w:r>
          </w:p>
          <w:p w:rsidR="00C76064" w:rsidRPr="00892DE3" w:rsidRDefault="00C76064" w:rsidP="00C76064">
            <w:pPr>
              <w:cnfStyle w:val="100000000000" w:firstRow="1" w:lastRow="0" w:firstColumn="0" w:lastColumn="0" w:oddVBand="0" w:evenVBand="0" w:oddHBand="0" w:evenHBand="0" w:firstRowFirstColumn="0" w:firstRowLastColumn="0" w:lastRowFirstColumn="0" w:lastRowLastColumn="0"/>
            </w:pPr>
            <w:r w:rsidRPr="00892DE3">
              <w:t>Nominal value (incl. GST)</w:t>
            </w:r>
          </w:p>
        </w:tc>
      </w:tr>
      <w:tr w:rsidR="00C76064" w:rsidRPr="00892DE3" w:rsidTr="00C76064">
        <w:tc>
          <w:tcPr>
            <w:cnfStyle w:val="001000000000" w:firstRow="0" w:lastRow="0" w:firstColumn="1" w:lastColumn="0" w:oddVBand="0" w:evenVBand="0" w:oddHBand="0" w:evenHBand="0" w:firstRowFirstColumn="0" w:firstRowLastColumn="0" w:lastRowFirstColumn="0" w:lastRowLastColumn="0"/>
            <w:tcW w:w="6804" w:type="dxa"/>
          </w:tcPr>
          <w:p w:rsidR="00C76064" w:rsidRPr="00892DE3" w:rsidRDefault="00C76064" w:rsidP="00C76064">
            <w:pPr>
              <w:rPr>
                <w:rFonts w:cstheme="majorHAnsi"/>
              </w:rPr>
            </w:pPr>
            <w:r w:rsidRPr="00892DE3">
              <w:rPr>
                <w:rFonts w:cstheme="majorHAnsi"/>
              </w:rPr>
              <w:t>Capital expenditure commitments: Plant, equipment and vehicles</w:t>
            </w:r>
          </w:p>
        </w:tc>
        <w:tc>
          <w:tcPr>
            <w:tcW w:w="1418" w:type="dxa"/>
            <w:noWrap/>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4 856</w:t>
            </w:r>
          </w:p>
        </w:tc>
        <w:tc>
          <w:tcPr>
            <w:tcW w:w="1415" w:type="dxa"/>
            <w:noWrap/>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6 010</w:t>
            </w:r>
          </w:p>
        </w:tc>
      </w:tr>
      <w:tr w:rsidR="00C76064" w:rsidRPr="00892DE3" w:rsidTr="00C76064">
        <w:tc>
          <w:tcPr>
            <w:cnfStyle w:val="001000000000" w:firstRow="0" w:lastRow="0" w:firstColumn="1" w:lastColumn="0" w:oddVBand="0" w:evenVBand="0" w:oddHBand="0" w:evenHBand="0" w:firstRowFirstColumn="0" w:firstRowLastColumn="0" w:lastRowFirstColumn="0" w:lastRowLastColumn="0"/>
            <w:tcW w:w="6804" w:type="dxa"/>
          </w:tcPr>
          <w:p w:rsidR="00C76064" w:rsidRPr="00892DE3" w:rsidRDefault="00C76064" w:rsidP="00C76064">
            <w:pPr>
              <w:rPr>
                <w:rFonts w:cstheme="majorHAnsi"/>
              </w:rPr>
            </w:pPr>
            <w:r w:rsidRPr="00892DE3">
              <w:rPr>
                <w:rFonts w:cstheme="majorHAnsi"/>
              </w:rPr>
              <w:t>Intangible asset commitments: Patent</w:t>
            </w:r>
          </w:p>
        </w:tc>
        <w:tc>
          <w:tcPr>
            <w:tcW w:w="1418" w:type="dxa"/>
            <w:noWrap/>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w:t>
            </w:r>
          </w:p>
        </w:tc>
        <w:tc>
          <w:tcPr>
            <w:tcW w:w="1415" w:type="dxa"/>
            <w:noWrap/>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w:t>
            </w:r>
          </w:p>
        </w:tc>
      </w:tr>
      <w:tr w:rsidR="00C76064" w:rsidRPr="00892DE3" w:rsidTr="00C76064">
        <w:tc>
          <w:tcPr>
            <w:cnfStyle w:val="001000000000" w:firstRow="0" w:lastRow="0" w:firstColumn="1" w:lastColumn="0" w:oddVBand="0" w:evenVBand="0" w:oddHBand="0" w:evenHBand="0" w:firstRowFirstColumn="0" w:firstRowLastColumn="0" w:lastRowFirstColumn="0" w:lastRowLastColumn="0"/>
            <w:tcW w:w="6804" w:type="dxa"/>
          </w:tcPr>
          <w:p w:rsidR="00C76064" w:rsidRPr="00892DE3" w:rsidRDefault="00C76064" w:rsidP="00C76064">
            <w:pPr>
              <w:rPr>
                <w:rFonts w:cstheme="majorHAnsi"/>
              </w:rPr>
            </w:pPr>
            <w:r w:rsidRPr="00892DE3">
              <w:rPr>
                <w:rFonts w:cstheme="majorHAnsi"/>
              </w:rPr>
              <w:t>Share of joint ventures’ capital commitments: Plant, equipment and vehicles</w:t>
            </w:r>
          </w:p>
        </w:tc>
        <w:tc>
          <w:tcPr>
            <w:tcW w:w="1418" w:type="dxa"/>
            <w:noWrap/>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w:t>
            </w:r>
          </w:p>
        </w:tc>
        <w:tc>
          <w:tcPr>
            <w:tcW w:w="1415" w:type="dxa"/>
            <w:noWrap/>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w:t>
            </w:r>
          </w:p>
        </w:tc>
      </w:tr>
      <w:tr w:rsidR="00C76064" w:rsidRPr="00892DE3" w:rsidTr="00C76064">
        <w:tc>
          <w:tcPr>
            <w:cnfStyle w:val="001000000000" w:firstRow="0" w:lastRow="0" w:firstColumn="1" w:lastColumn="0" w:oddVBand="0" w:evenVBand="0" w:oddHBand="0" w:evenHBand="0" w:firstRowFirstColumn="0" w:firstRowLastColumn="0" w:lastRowFirstColumn="0" w:lastRowLastColumn="0"/>
            <w:tcW w:w="6804" w:type="dxa"/>
          </w:tcPr>
          <w:p w:rsidR="00C76064" w:rsidRPr="00892DE3" w:rsidRDefault="00C76064" w:rsidP="00C76064">
            <w:pPr>
              <w:rPr>
                <w:rFonts w:cstheme="majorHAnsi"/>
              </w:rPr>
            </w:pPr>
            <w:r w:rsidRPr="00892DE3">
              <w:rPr>
                <w:rFonts w:cstheme="majorHAnsi"/>
              </w:rPr>
              <w:t>Operating and lease commitments: Warehouse facilities</w:t>
            </w:r>
          </w:p>
        </w:tc>
        <w:tc>
          <w:tcPr>
            <w:tcW w:w="1418" w:type="dxa"/>
            <w:noWrap/>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w:t>
            </w:r>
          </w:p>
        </w:tc>
        <w:tc>
          <w:tcPr>
            <w:tcW w:w="1415" w:type="dxa"/>
            <w:noWrap/>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28</w:t>
            </w:r>
          </w:p>
        </w:tc>
      </w:tr>
      <w:tr w:rsidR="00C76064" w:rsidRPr="00892DE3" w:rsidTr="00C76064">
        <w:tc>
          <w:tcPr>
            <w:cnfStyle w:val="001000000000" w:firstRow="0" w:lastRow="0" w:firstColumn="1" w:lastColumn="0" w:oddVBand="0" w:evenVBand="0" w:oddHBand="0" w:evenHBand="0" w:firstRowFirstColumn="0" w:firstRowLastColumn="0" w:lastRowFirstColumn="0" w:lastRowLastColumn="0"/>
            <w:tcW w:w="6804" w:type="dxa"/>
            <w:tcBorders>
              <w:bottom w:val="single" w:sz="4" w:space="0" w:color="auto"/>
            </w:tcBorders>
          </w:tcPr>
          <w:p w:rsidR="00C76064" w:rsidRPr="00892DE3" w:rsidRDefault="00C76064" w:rsidP="00C76064">
            <w:pPr>
              <w:rPr>
                <w:rFonts w:cstheme="majorHAnsi"/>
              </w:rPr>
            </w:pPr>
            <w:r w:rsidRPr="00892DE3">
              <w:rPr>
                <w:rFonts w:cstheme="majorHAnsi"/>
              </w:rPr>
              <w:t>Other commitments: Outsourcing</w:t>
            </w:r>
          </w:p>
        </w:tc>
        <w:tc>
          <w:tcPr>
            <w:tcW w:w="1418" w:type="dxa"/>
            <w:tcBorders>
              <w:bottom w:val="single" w:sz="4" w:space="0" w:color="auto"/>
            </w:tcBorders>
            <w:noWrap/>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168</w:t>
            </w:r>
          </w:p>
        </w:tc>
        <w:tc>
          <w:tcPr>
            <w:tcW w:w="1415" w:type="dxa"/>
            <w:tcBorders>
              <w:bottom w:val="single" w:sz="4" w:space="0" w:color="auto"/>
            </w:tcBorders>
            <w:noWrap/>
          </w:tcPr>
          <w:p w:rsidR="00C76064" w:rsidRPr="00892DE3" w:rsidRDefault="00C76064" w:rsidP="00C76064">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C76064" w:rsidRPr="00892DE3" w:rsidTr="00C7606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auto"/>
              <w:bottom w:val="single" w:sz="12" w:space="0" w:color="auto"/>
            </w:tcBorders>
          </w:tcPr>
          <w:p w:rsidR="00C76064" w:rsidRPr="00892DE3" w:rsidRDefault="00C76064" w:rsidP="00A30CE5">
            <w:pPr>
              <w:rPr>
                <w:rFonts w:cstheme="majorHAnsi"/>
                <w:b w:val="0"/>
              </w:rPr>
            </w:pPr>
            <w:r w:rsidRPr="00892DE3">
              <w:rPr>
                <w:rFonts w:cstheme="majorHAnsi"/>
              </w:rPr>
              <w:t xml:space="preserve">Total commitments other than </w:t>
            </w:r>
            <w:r w:rsidR="00A30CE5" w:rsidRPr="00892DE3">
              <w:rPr>
                <w:rFonts w:cstheme="majorHAnsi"/>
              </w:rPr>
              <w:t>PPPs</w:t>
            </w:r>
          </w:p>
        </w:tc>
        <w:tc>
          <w:tcPr>
            <w:tcW w:w="1418" w:type="dxa"/>
            <w:tcBorders>
              <w:top w:val="single" w:sz="4" w:space="0" w:color="auto"/>
              <w:bottom w:val="single" w:sz="12" w:space="0" w:color="auto"/>
            </w:tcBorders>
            <w:noWrap/>
          </w:tcPr>
          <w:p w:rsidR="00C76064" w:rsidRPr="00892DE3" w:rsidRDefault="00C76064" w:rsidP="00C76064">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5 119</w:t>
            </w:r>
          </w:p>
        </w:tc>
        <w:tc>
          <w:tcPr>
            <w:tcW w:w="1415" w:type="dxa"/>
            <w:tcBorders>
              <w:top w:val="single" w:sz="4" w:space="0" w:color="auto"/>
              <w:bottom w:val="single" w:sz="12" w:space="0" w:color="auto"/>
            </w:tcBorders>
            <w:noWrap/>
          </w:tcPr>
          <w:p w:rsidR="00C76064" w:rsidRPr="00892DE3" w:rsidRDefault="00C76064" w:rsidP="00C76064">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6 079</w:t>
            </w:r>
          </w:p>
        </w:tc>
      </w:tr>
    </w:tbl>
    <w:p w:rsidR="002D2FF9" w:rsidRPr="00892DE3" w:rsidRDefault="002D2FF9"/>
    <w:tbl>
      <w:tblPr>
        <w:tblStyle w:val="ModelReportGuidanceTable"/>
        <w:tblW w:w="0" w:type="auto"/>
        <w:tblLook w:val="04A0" w:firstRow="1" w:lastRow="0" w:firstColumn="1" w:lastColumn="0" w:noHBand="0" w:noVBand="1"/>
      </w:tblPr>
      <w:tblGrid>
        <w:gridCol w:w="9752"/>
      </w:tblGrid>
      <w:tr w:rsidR="00C76064" w:rsidRPr="00892DE3" w:rsidTr="002D2FF9">
        <w:trPr>
          <w:cnfStyle w:val="100000000000" w:firstRow="1" w:lastRow="0" w:firstColumn="0" w:lastColumn="0" w:oddVBand="0" w:evenVBand="0" w:oddHBand="0" w:evenHBand="0" w:firstRowFirstColumn="0" w:firstRowLastColumn="0" w:lastRowFirstColumn="0" w:lastRowLastColumn="0"/>
        </w:trPr>
        <w:tc>
          <w:tcPr>
            <w:tcW w:w="9752" w:type="dxa"/>
          </w:tcPr>
          <w:p w:rsidR="00C76064" w:rsidRPr="00892DE3" w:rsidRDefault="00C76064" w:rsidP="00C76064">
            <w:r w:rsidRPr="00892DE3">
              <w:t>Guidance – Commitments for expenditure</w:t>
            </w:r>
          </w:p>
        </w:tc>
      </w:tr>
      <w:tr w:rsidR="00C76064" w:rsidRPr="00892DE3" w:rsidTr="002D2FF9">
        <w:tc>
          <w:tcPr>
            <w:tcW w:w="9752" w:type="dxa"/>
          </w:tcPr>
          <w:p w:rsidR="00D864EF" w:rsidRPr="00892DE3" w:rsidRDefault="00D864EF" w:rsidP="00A30CE5">
            <w:pPr>
              <w:rPr>
                <w:b/>
              </w:rPr>
            </w:pPr>
            <w:r w:rsidRPr="00892DE3">
              <w:rPr>
                <w:b/>
              </w:rPr>
              <w:t>Commitments</w:t>
            </w:r>
          </w:p>
          <w:p w:rsidR="00D864EF" w:rsidRPr="00892DE3" w:rsidRDefault="00D864EF" w:rsidP="00A30CE5">
            <w:r w:rsidRPr="00892DE3">
              <w:t xml:space="preserve">A commitment is an intention to commit agency resources (usually funds) to a future event that is: </w:t>
            </w:r>
          </w:p>
          <w:p w:rsidR="00D864EF" w:rsidRPr="00892DE3" w:rsidRDefault="00D864EF" w:rsidP="00A30CE5">
            <w:pPr>
              <w:pStyle w:val="ListBullet"/>
            </w:pPr>
            <w:r w:rsidRPr="00892DE3">
              <w:t>normally supported by a contract;</w:t>
            </w:r>
          </w:p>
          <w:p w:rsidR="00D864EF" w:rsidRPr="00892DE3" w:rsidRDefault="00D864EF" w:rsidP="00A30CE5">
            <w:pPr>
              <w:pStyle w:val="ListBullet"/>
            </w:pPr>
            <w:r w:rsidRPr="00892DE3">
              <w:t xml:space="preserve">quantifiable and measurable; </w:t>
            </w:r>
          </w:p>
          <w:p w:rsidR="00D864EF" w:rsidRPr="00892DE3" w:rsidRDefault="00D864EF" w:rsidP="00A30CE5">
            <w:pPr>
              <w:pStyle w:val="ListBullet"/>
            </w:pPr>
            <w:r w:rsidRPr="00892DE3">
              <w:t>extending or may extend over multiple reporting periods; and</w:t>
            </w:r>
          </w:p>
          <w:p w:rsidR="00D864EF" w:rsidRPr="00892DE3" w:rsidRDefault="00D864EF" w:rsidP="00A30CE5">
            <w:pPr>
              <w:pStyle w:val="ListBullet"/>
            </w:pPr>
            <w:r w:rsidRPr="00892DE3">
              <w:t xml:space="preserve">binding parties to performance conditions. </w:t>
            </w:r>
          </w:p>
          <w:p w:rsidR="00D864EF" w:rsidRPr="00892DE3" w:rsidRDefault="00D864EF" w:rsidP="00A30CE5">
            <w:r w:rsidRPr="00892DE3">
              <w:t>Indicators that may confirm the existence of a commitment include:</w:t>
            </w:r>
          </w:p>
          <w:p w:rsidR="00D864EF" w:rsidRPr="00892DE3" w:rsidRDefault="00D864EF" w:rsidP="00A30CE5">
            <w:pPr>
              <w:pStyle w:val="ListBullet"/>
            </w:pPr>
            <w:r w:rsidRPr="00892DE3">
              <w:t xml:space="preserve">execution of a contract between parties for delivery of goods and/or services; </w:t>
            </w:r>
          </w:p>
          <w:p w:rsidR="00D864EF" w:rsidRPr="00892DE3" w:rsidRDefault="00D864EF" w:rsidP="00A30CE5">
            <w:pPr>
              <w:pStyle w:val="ListBullet"/>
            </w:pPr>
            <w:r w:rsidRPr="00892DE3">
              <w:t>potential loss to one of the contracted parties if contractual obligations are breached; or</w:t>
            </w:r>
          </w:p>
          <w:p w:rsidR="00D864EF" w:rsidRPr="00892DE3" w:rsidRDefault="00D864EF" w:rsidP="00A30CE5">
            <w:pPr>
              <w:pStyle w:val="ListBullet"/>
            </w:pPr>
            <w:r w:rsidRPr="00892DE3">
              <w:t xml:space="preserve">payment of compensation may result in the event of default. </w:t>
            </w:r>
          </w:p>
          <w:p w:rsidR="00D864EF" w:rsidRPr="00892DE3" w:rsidRDefault="00600151" w:rsidP="00A30CE5">
            <w:r w:rsidRPr="00892DE3">
              <w:t xml:space="preserve">When commitments are fulfilled, they are crystallised as liabilities. Once the liabilities are recognised in the financial statements, the expenditures are no longer required to be disclosed as commitments. </w:t>
            </w:r>
          </w:p>
          <w:p w:rsidR="00D864EF" w:rsidRPr="00892DE3" w:rsidRDefault="00D864EF" w:rsidP="00A30CE5">
            <w:pPr>
              <w:rPr>
                <w:b/>
              </w:rPr>
            </w:pPr>
            <w:r w:rsidRPr="00892DE3">
              <w:rPr>
                <w:b/>
              </w:rPr>
              <w:t>Extent of disclosure</w:t>
            </w:r>
          </w:p>
          <w:p w:rsidR="00600151" w:rsidRPr="00892DE3" w:rsidRDefault="00600151" w:rsidP="00D864EF">
            <w:r w:rsidRPr="00892DE3">
              <w:t xml:space="preserve">Where no specific AASB requirements apply, the extent of disclosure to meet the requirements in AASB 101 Presentation of Financial Statements is based on professional judgement with a view to providing relevant information to users of the financial statements. </w:t>
            </w:r>
          </w:p>
          <w:p w:rsidR="00600151" w:rsidRPr="00892DE3" w:rsidRDefault="00600151" w:rsidP="00D864EF">
            <w:r w:rsidRPr="00892DE3">
              <w:t xml:space="preserve">Some factors to consider when deciding on the appropriate level of disclosure under AASB 101 include the following: </w:t>
            </w:r>
          </w:p>
          <w:p w:rsidR="00D864EF" w:rsidRPr="00892DE3" w:rsidRDefault="00600151" w:rsidP="00A30CE5">
            <w:pPr>
              <w:pStyle w:val="ListBullet"/>
            </w:pPr>
            <w:r w:rsidRPr="00892DE3">
              <w:t>whether the commitment is significant to the entity’s operations;</w:t>
            </w:r>
          </w:p>
          <w:p w:rsidR="00600151" w:rsidRPr="00892DE3" w:rsidRDefault="00600151" w:rsidP="00A30CE5">
            <w:pPr>
              <w:pStyle w:val="ListBullet"/>
            </w:pPr>
            <w:r w:rsidRPr="00892DE3">
              <w:t>whether the commitment is required to maintain key assets of the company;</w:t>
            </w:r>
          </w:p>
          <w:p w:rsidR="00600151" w:rsidRPr="00892DE3" w:rsidRDefault="00600151" w:rsidP="00A30CE5">
            <w:pPr>
              <w:pStyle w:val="ListBullet"/>
            </w:pPr>
            <w:r w:rsidRPr="00892DE3">
              <w:t xml:space="preserve">whether it is practical for management to cancel the commitments; and </w:t>
            </w:r>
          </w:p>
          <w:p w:rsidR="00DF4D31" w:rsidRPr="00892DE3" w:rsidRDefault="00600151" w:rsidP="00A30CE5">
            <w:pPr>
              <w:pStyle w:val="ListBullet"/>
            </w:pPr>
            <w:r w:rsidRPr="00892DE3">
              <w:t xml:space="preserve">the terms and condition in the agreement with respect to cancellability. </w:t>
            </w:r>
          </w:p>
          <w:p w:rsidR="00D864EF" w:rsidRPr="00892DE3" w:rsidRDefault="00DF4D31" w:rsidP="00A30CE5">
            <w:r w:rsidRPr="00892DE3">
              <w:t xml:space="preserve">Based on the facts and current circumstances, if the entity has no intention of cancelling the contract and expects to fulfil the contract in the future, the entity should disclose the full contractual agreement rather than just the minimum penalty payments in the contract. However, if the entity expects to terminate the contract prematurely and must pay the minimum penalty, the disclosure of the minimum penalty may be more relevant and useful to users of financial statements. </w:t>
            </w:r>
          </w:p>
          <w:p w:rsidR="00C76064" w:rsidRPr="00892DE3" w:rsidRDefault="00C76064" w:rsidP="00C76064">
            <w:pPr>
              <w:rPr>
                <w:b/>
              </w:rPr>
            </w:pPr>
            <w:r w:rsidRPr="00892DE3">
              <w:rPr>
                <w:b/>
              </w:rPr>
              <w:t xml:space="preserve">Contracted </w:t>
            </w:r>
            <w:r w:rsidR="00A30CE5" w:rsidRPr="00892DE3">
              <w:rPr>
                <w:b/>
              </w:rPr>
              <w:t>capital commitments</w:t>
            </w:r>
          </w:p>
          <w:p w:rsidR="00C76064" w:rsidRPr="00892DE3" w:rsidRDefault="00C76064" w:rsidP="00C76064">
            <w:r w:rsidRPr="00892DE3">
              <w:t>Capital commitments and other expenditure commitments contracted for as at the end of the reporting period do not require disclosure where the commitments have been recognised as liabilities in the balance sheet.</w:t>
            </w:r>
          </w:p>
          <w:p w:rsidR="00C76064" w:rsidRPr="00892DE3" w:rsidRDefault="00C76064" w:rsidP="00C76064">
            <w:pPr>
              <w:rPr>
                <w:b/>
              </w:rPr>
            </w:pPr>
            <w:r w:rsidRPr="00892DE3">
              <w:rPr>
                <w:b/>
              </w:rPr>
              <w:t>GST</w:t>
            </w:r>
          </w:p>
          <w:p w:rsidR="00C76064" w:rsidRPr="00892DE3" w:rsidRDefault="00C76064" w:rsidP="00C76064">
            <w:r w:rsidRPr="00892DE3">
              <w:t>The purpose of the commitment note disclosure is to inform users of the commitments for payments from a cash flow perspective and consequently includes GST as appropriate.</w:t>
            </w:r>
          </w:p>
          <w:p w:rsidR="00C76064" w:rsidRPr="00892DE3" w:rsidRDefault="00C76064" w:rsidP="00C76064">
            <w:r w:rsidRPr="00892DE3">
              <w:t>Where the invoices for commitment related payments separately identify a financing component, GST is not required to be added to this component. However, where invoices do not separate the finance component, GST should be included on all components for the purposes of the commitment disclosure.</w:t>
            </w:r>
          </w:p>
          <w:p w:rsidR="00C76064" w:rsidRPr="00892DE3" w:rsidRDefault="00C76064" w:rsidP="00C76064">
            <w:pPr>
              <w:rPr>
                <w:b/>
              </w:rPr>
            </w:pPr>
            <w:r w:rsidRPr="00892DE3">
              <w:rPr>
                <w:b/>
              </w:rPr>
              <w:t>Aggregation</w:t>
            </w:r>
          </w:p>
          <w:p w:rsidR="00C76064" w:rsidRPr="00892DE3" w:rsidRDefault="00C76064" w:rsidP="00C76064">
            <w:r w:rsidRPr="00892DE3">
              <w:t xml:space="preserve">In table </w:t>
            </w:r>
            <w:r w:rsidR="007A4336" w:rsidRPr="00892DE3">
              <w:t>7.5</w:t>
            </w:r>
            <w:r w:rsidRPr="00892DE3">
              <w:t>.3</w:t>
            </w:r>
            <w:r w:rsidR="002D2FF9" w:rsidRPr="00892DE3">
              <w:t>,</w:t>
            </w:r>
            <w:r w:rsidRPr="00892DE3">
              <w:t xml:space="preserve"> commitments relating to ‘intangible assets’ and ‘Department’s share of joint ventures’ capital expenditure are immaterial in the Annual Financial Report </w:t>
            </w:r>
            <w:r w:rsidR="00A30CE5" w:rsidRPr="00892DE3">
              <w:t xml:space="preserve">for </w:t>
            </w:r>
            <w:r w:rsidRPr="00892DE3">
              <w:t>the State</w:t>
            </w:r>
            <w:r w:rsidR="00A30CE5" w:rsidRPr="00892DE3">
              <w:t xml:space="preserve"> of Victoria</w:t>
            </w:r>
            <w:r w:rsidRPr="00892DE3">
              <w:t>, and are therefore aggregated into ‘total other commitments payable’. If these groups are also immaterial for departments, then they could also be aggregated into ‘total other commitments payable’ and deleted from the above table format.</w:t>
            </w:r>
          </w:p>
          <w:p w:rsidR="00C76064" w:rsidRPr="00892DE3" w:rsidRDefault="00C76064" w:rsidP="00A30CE5">
            <w:pPr>
              <w:pStyle w:val="Heading30"/>
              <w:outlineLvl w:val="2"/>
            </w:pPr>
            <w:r w:rsidRPr="00892DE3">
              <w:t xml:space="preserve">Specific guidance for </w:t>
            </w:r>
            <w:r w:rsidR="00A30CE5" w:rsidRPr="00892DE3">
              <w:t>PPPs</w:t>
            </w:r>
          </w:p>
          <w:p w:rsidR="00C76064" w:rsidRPr="00892DE3" w:rsidRDefault="00C76064" w:rsidP="00C76064">
            <w:r w:rsidRPr="00892DE3">
              <w:rPr>
                <w:b/>
              </w:rPr>
              <w:t>Commissioned and uncommissioned PPPs</w:t>
            </w:r>
            <w:r w:rsidRPr="00892DE3">
              <w:t xml:space="preserve">: Commissioned PPPs are construction projects that are completed as per government’s requirements and are ready for operation, which generally occurs from commercial acceptance. </w:t>
            </w:r>
          </w:p>
          <w:p w:rsidR="00C76064" w:rsidRPr="00892DE3" w:rsidRDefault="00C76064" w:rsidP="00C76064">
            <w:r w:rsidRPr="00892DE3">
              <w:t>Uncommissioned PPPs are construction projects that are yet to commence or are still in progress.</w:t>
            </w:r>
          </w:p>
          <w:p w:rsidR="00C76064" w:rsidRPr="00892DE3" w:rsidRDefault="00C76064" w:rsidP="00C76064">
            <w:r w:rsidRPr="00892DE3">
              <w:t xml:space="preserve">Commissioned and uncommissioned PPPs need to be disclosed separately. For commissioned PPPs, the expenditure component relating to capital/finance is recognised as a ‘finance lease liability’ on the balance sheet, and only the future service related component is recognised as an ‘other commitment’ and disclosed in the commitment note. </w:t>
            </w:r>
          </w:p>
          <w:p w:rsidR="002D2FF9" w:rsidRPr="00892DE3" w:rsidRDefault="00C76064" w:rsidP="00A30CE5">
            <w:r w:rsidRPr="00892DE3">
              <w:t xml:space="preserve">In contrast, for uncommissioned PPPs, both the capital finance component (termed as ‘minimum lease payment’) and the ‘other commitments’ component are disclosed in the commitments note. </w:t>
            </w:r>
          </w:p>
        </w:tc>
      </w:tr>
    </w:tbl>
    <w:p w:rsidR="00C76064" w:rsidRPr="00892DE3" w:rsidRDefault="00C76064"/>
    <w:p w:rsidR="002D2FF9" w:rsidRPr="00892DE3" w:rsidRDefault="002D2FF9">
      <w:r w:rsidRPr="00892DE3">
        <w:rPr>
          <w:b/>
        </w:rPr>
        <w:br w:type="page"/>
      </w:r>
    </w:p>
    <w:tbl>
      <w:tblPr>
        <w:tblStyle w:val="ModelReportGuidanceTable"/>
        <w:tblW w:w="0" w:type="auto"/>
        <w:tblLook w:val="04A0" w:firstRow="1" w:lastRow="0" w:firstColumn="1" w:lastColumn="0" w:noHBand="0" w:noVBand="1"/>
      </w:tblPr>
      <w:tblGrid>
        <w:gridCol w:w="9752"/>
      </w:tblGrid>
      <w:tr w:rsidR="00C76064" w:rsidRPr="00892DE3" w:rsidTr="002D2FF9">
        <w:trPr>
          <w:cnfStyle w:val="100000000000" w:firstRow="1" w:lastRow="0" w:firstColumn="0" w:lastColumn="0" w:oddVBand="0" w:evenVBand="0" w:oddHBand="0" w:evenHBand="0" w:firstRowFirstColumn="0" w:firstRowLastColumn="0" w:lastRowFirstColumn="0" w:lastRowLastColumn="0"/>
        </w:trPr>
        <w:tc>
          <w:tcPr>
            <w:tcW w:w="9752" w:type="dxa"/>
          </w:tcPr>
          <w:p w:rsidR="00C76064" w:rsidRPr="00892DE3" w:rsidRDefault="00C76064" w:rsidP="00C76064">
            <w:r w:rsidRPr="00892DE3">
              <w:t xml:space="preserve">Guidance – Commitments for expenditure </w:t>
            </w:r>
            <w:r w:rsidRPr="006932C9">
              <w:rPr>
                <w:i/>
              </w:rPr>
              <w:t>(continued)</w:t>
            </w:r>
          </w:p>
        </w:tc>
      </w:tr>
      <w:tr w:rsidR="00C76064" w:rsidRPr="00892DE3" w:rsidTr="002D2FF9">
        <w:tc>
          <w:tcPr>
            <w:tcW w:w="9752" w:type="dxa"/>
          </w:tcPr>
          <w:p w:rsidR="00A30CE5" w:rsidRPr="00892DE3" w:rsidRDefault="00A30CE5" w:rsidP="00A30CE5">
            <w:r w:rsidRPr="00892DE3">
              <w:rPr>
                <w:b/>
              </w:rPr>
              <w:t>Outstanding PPP contractual payments</w:t>
            </w:r>
            <w:r w:rsidRPr="00892DE3">
              <w:t>: The purpose of the commitment note is to provide users with discounted or present value information about outstanding PPP contractual payments for individual projects that are not recognised as liabilities on the balance sheet. Contractual payment streams often comprise several components and are paid as a bundle through quarterly service payments (QSPs). Typically QSPs may include payments related to finance leases, operating and maintenance contracts, asset upgrades and contingent rentals.</w:t>
            </w:r>
          </w:p>
          <w:p w:rsidR="00A30CE5" w:rsidRPr="00892DE3" w:rsidRDefault="00A30CE5" w:rsidP="00A30CE5">
            <w:r w:rsidRPr="00892DE3">
              <w:t xml:space="preserve">Where a contract and QSPs may relate to several like assets, e.g. upgrade and maintenance of several schools, disclosure would not be expected at the individual school level. Confirmation of individual PPP projects for separate disclosure, either commissioned or uncommissioned, that are controlled by the entity at the reporting and/or comparative reporting date, should be confirmed with the relevant Commercial Advisory Services team of </w:t>
            </w:r>
            <w:r w:rsidR="000F10F5" w:rsidRPr="00892DE3">
              <w:t>the Department of Treasury and Finance (DTF)</w:t>
            </w:r>
            <w:r w:rsidRPr="00892DE3">
              <w:t>.</w:t>
            </w:r>
          </w:p>
          <w:p w:rsidR="00A30CE5" w:rsidRPr="00892DE3" w:rsidRDefault="00A30CE5" w:rsidP="00A30CE5">
            <w:r w:rsidRPr="00892DE3">
              <w:t>Contingent rents: The estimated QSP cash flows attributable to the PPPs shall not be adjusted for contingent rents that are not fixed in amount, but based on the future amount of a factor other than with the passage of time (e.g. percentage of future sales, amount of future use, future price amount of future use, future price indices or future market rates of interest). Rather, contingent rents shall be charged as expenses in the periods in which they are incurred.</w:t>
            </w:r>
          </w:p>
          <w:p w:rsidR="00A30CE5" w:rsidRPr="00892DE3" w:rsidRDefault="00A30CE5" w:rsidP="00A30CE5">
            <w:r w:rsidRPr="00892DE3">
              <w:rPr>
                <w:b/>
              </w:rPr>
              <w:t>Discount dates</w:t>
            </w:r>
            <w:r w:rsidRPr="00892DE3">
              <w:t>: In calculating the discounted value of the ‘minimum lease payments’ of commitments for uncommissioned (still under construction) PPPs, the payments shall be discounted to the expected date of commissioning.</w:t>
            </w:r>
          </w:p>
          <w:p w:rsidR="00A30CE5" w:rsidRPr="00892DE3" w:rsidRDefault="00A30CE5" w:rsidP="00A30CE5">
            <w:r w:rsidRPr="00892DE3">
              <w:t>In calculating the present value of ‘other commitments’ associated with both commissioned and uncommissioned PPPs, the payments shall be discounted to the 30 June of the reporting period and the comparative period respectively.</w:t>
            </w:r>
          </w:p>
          <w:p w:rsidR="00A30CE5" w:rsidRPr="00892DE3" w:rsidRDefault="00A30CE5" w:rsidP="00A30CE5">
            <w:r w:rsidRPr="00892DE3">
              <w:t>As uncommissioned minimum lease payment projects will be discounted to the expected commissioning date, the reference is to ‘discounted values’ rather than ‘present values’, as the latter implies discounting to balance sheet date.</w:t>
            </w:r>
          </w:p>
          <w:p w:rsidR="00A30CE5" w:rsidRPr="00892DE3" w:rsidRDefault="00A30CE5" w:rsidP="00A30CE5">
            <w:r w:rsidRPr="00892DE3">
              <w:rPr>
                <w:b/>
              </w:rPr>
              <w:t>Discounted value of PPP minimum lease payment commitments</w:t>
            </w:r>
            <w:r w:rsidRPr="00892DE3">
              <w:t xml:space="preserve">: The discounted values of the ‘minimum lease payments’ are only disclosed as a commitment for uncommissioned PPPs, as the ‘minimum lease payments’ for commissioned PPPs will be recognised as liabilities on the balance sheet, and no longer classified as commitments. </w:t>
            </w:r>
          </w:p>
          <w:p w:rsidR="00A30CE5" w:rsidRPr="00892DE3" w:rsidRDefault="00A30CE5" w:rsidP="00A30CE5">
            <w:r w:rsidRPr="00892DE3">
              <w:t>For uncommissioned projects, the discounted values of the ‘minimum lease payment’ commitments are derived by proxy, being the nominal sum of the total capital costs and any other allowable capitalised expenses, including capitalised interest, during the development and construction phase of a project as reflected in the contracted financial model. This nominal sum is deemed as the fair value of the leased asset for the purpose of AASB 117 Leases and will equate to the discounted values of the ‘minimum lease payment’ commitments.</w:t>
            </w:r>
          </w:p>
          <w:p w:rsidR="00C76064" w:rsidRPr="00892DE3" w:rsidRDefault="00C76064" w:rsidP="00C76064">
            <w:r w:rsidRPr="00892DE3">
              <w:rPr>
                <w:b/>
              </w:rPr>
              <w:t>Government capital contributions</w:t>
            </w:r>
            <w:r w:rsidRPr="00892DE3">
              <w:t>: The government may make a capital contribution in a PPP arrangement. The government capital contribution should be included in the minimum lease payments of uncommissioned PPPs. The minimum lease payments are the sum of the government capital contribution and the present value of future cash flows relating to capital expenditures. In general if the government capital contribution is made up</w:t>
            </w:r>
            <w:r w:rsidR="00981346" w:rsidRPr="00892DE3">
              <w:t xml:space="preserve"> </w:t>
            </w:r>
            <w:r w:rsidRPr="00892DE3">
              <w:t>front, the amount represents the nominal value of the payments that will be made when the project is commissioned.</w:t>
            </w:r>
          </w:p>
          <w:p w:rsidR="00C76064" w:rsidRPr="00892DE3" w:rsidRDefault="00C76064" w:rsidP="00C76064">
            <w:r w:rsidRPr="00892DE3">
              <w:rPr>
                <w:b/>
              </w:rPr>
              <w:t>Present values of PPP other commitments</w:t>
            </w:r>
            <w:r w:rsidRPr="00892DE3">
              <w:t xml:space="preserve">: For the disclosure of both commissioned and uncommissioned present values of other commitments, DTF will provide further guidance on the appropriate discount rate to be applied separately from the Model. </w:t>
            </w:r>
          </w:p>
          <w:p w:rsidR="00C76064" w:rsidRPr="00892DE3" w:rsidRDefault="00C76064" w:rsidP="00C76064">
            <w:r w:rsidRPr="00892DE3">
              <w:rPr>
                <w:b/>
              </w:rPr>
              <w:t>GST for PPPs</w:t>
            </w:r>
            <w:r w:rsidRPr="00892DE3">
              <w:t>: Where there is evidence of invoices for the QSPs that separately identify the financing components, GST is not required to be added in respect of the financing component. However, where the invoices do not separately identify the financing component, the total QSP amounts for the commitment disclosure should be inclusive of GST.</w:t>
            </w:r>
          </w:p>
        </w:tc>
      </w:tr>
    </w:tbl>
    <w:p w:rsidR="000F10F5" w:rsidRPr="00892DE3" w:rsidRDefault="000F10F5" w:rsidP="000F10F5"/>
    <w:p w:rsidR="000F10F5" w:rsidRPr="00892DE3" w:rsidRDefault="000F10F5">
      <w:pPr>
        <w:keepLines w:val="0"/>
        <w:rPr>
          <w:rFonts w:asciiTheme="majorHAnsi" w:eastAsiaTheme="majorEastAsia" w:hAnsiTheme="majorHAnsi" w:cstheme="majorBidi"/>
          <w:b/>
          <w:spacing w:val="-2"/>
          <w:sz w:val="24"/>
          <w:szCs w:val="26"/>
        </w:rPr>
      </w:pPr>
      <w:r w:rsidRPr="00892DE3">
        <w:br w:type="page"/>
      </w:r>
    </w:p>
    <w:p w:rsidR="00C76064" w:rsidRPr="00892DE3" w:rsidRDefault="00C76064" w:rsidP="0019303F">
      <w:pPr>
        <w:pStyle w:val="Heading2"/>
      </w:pPr>
      <w:bookmarkStart w:id="149" w:name="_Toc489535462"/>
      <w:bookmarkStart w:id="150" w:name="_Toc489535469"/>
      <w:r w:rsidRPr="00892DE3">
        <w:t>Assets pledged as security</w:t>
      </w:r>
      <w:bookmarkEnd w:id="149"/>
      <w:bookmarkEnd w:id="150"/>
    </w:p>
    <w:p w:rsidR="00C76064" w:rsidRPr="00892DE3" w:rsidRDefault="00C76064" w:rsidP="00C76064">
      <w:r w:rsidRPr="00892DE3">
        <w:t xml:space="preserve">The Department has secured the leased assets against the </w:t>
      </w:r>
      <w:r w:rsidR="00217A5D" w:rsidRPr="00892DE3">
        <w:t>non-</w:t>
      </w:r>
      <w:r w:rsidRPr="00892DE3">
        <w:t>PPP related finance lease liabilities. In the event of default, the rights to the leased assets will revert to the lessor.</w:t>
      </w:r>
    </w:p>
    <w:p w:rsidR="00C76064" w:rsidRPr="00892DE3" w:rsidRDefault="00C76064" w:rsidP="00C76064"/>
    <w:tbl>
      <w:tblPr>
        <w:tblStyle w:val="ModelReportGuidanceTable"/>
        <w:tblW w:w="0" w:type="auto"/>
        <w:tblLook w:val="04A0" w:firstRow="1" w:lastRow="0" w:firstColumn="1" w:lastColumn="0" w:noHBand="0" w:noVBand="1"/>
      </w:tblPr>
      <w:tblGrid>
        <w:gridCol w:w="9752"/>
      </w:tblGrid>
      <w:tr w:rsidR="00C76064" w:rsidRPr="00892DE3" w:rsidTr="00C76064">
        <w:trPr>
          <w:cnfStyle w:val="100000000000" w:firstRow="1" w:lastRow="0" w:firstColumn="0" w:lastColumn="0" w:oddVBand="0" w:evenVBand="0" w:oddHBand="0" w:evenHBand="0" w:firstRowFirstColumn="0" w:firstRowLastColumn="0" w:lastRowFirstColumn="0" w:lastRowLastColumn="0"/>
        </w:trPr>
        <w:tc>
          <w:tcPr>
            <w:tcW w:w="9854" w:type="dxa"/>
          </w:tcPr>
          <w:p w:rsidR="00C76064" w:rsidRPr="00892DE3" w:rsidRDefault="00C76064" w:rsidP="00C76064">
            <w:r w:rsidRPr="00892DE3">
              <w:t>Guidance – Assets pledged as security</w:t>
            </w:r>
          </w:p>
        </w:tc>
      </w:tr>
      <w:tr w:rsidR="00C76064" w:rsidRPr="00892DE3" w:rsidTr="00C76064">
        <w:tc>
          <w:tcPr>
            <w:tcW w:w="9854" w:type="dxa"/>
          </w:tcPr>
          <w:p w:rsidR="00C76064" w:rsidRPr="00892DE3" w:rsidRDefault="00C76064" w:rsidP="00C76064">
            <w:r w:rsidRPr="00892DE3">
              <w:t xml:space="preserve">The financial statements shall disclose the following for assets pledged as security: </w:t>
            </w:r>
          </w:p>
          <w:p w:rsidR="00C76064" w:rsidRPr="00892DE3" w:rsidRDefault="00C76064" w:rsidP="00C76064">
            <w:pPr>
              <w:pStyle w:val="List"/>
            </w:pPr>
            <w:r w:rsidRPr="00892DE3">
              <w:t>(a)</w:t>
            </w:r>
            <w:r w:rsidRPr="00892DE3">
              <w:tab/>
              <w:t xml:space="preserve">the carrying amount of inventories pledged as security for liabilities; </w:t>
            </w:r>
            <w:r w:rsidR="002D2FF9" w:rsidRPr="00892DE3">
              <w:rPr>
                <w:rStyle w:val="SourceReference"/>
              </w:rPr>
              <w:t>[</w:t>
            </w:r>
            <w:r w:rsidRPr="00892DE3">
              <w:rPr>
                <w:rStyle w:val="SourceReference"/>
              </w:rPr>
              <w:t>AASB 102.36(h)</w:t>
            </w:r>
            <w:r w:rsidR="002D2FF9" w:rsidRPr="00892DE3">
              <w:rPr>
                <w:rStyle w:val="SourceReference"/>
              </w:rPr>
              <w:t>]</w:t>
            </w:r>
          </w:p>
          <w:p w:rsidR="00C76064" w:rsidRPr="00892DE3" w:rsidRDefault="00C76064" w:rsidP="00C76064">
            <w:pPr>
              <w:pStyle w:val="List"/>
            </w:pPr>
            <w:r w:rsidRPr="00892DE3">
              <w:t>(b)</w:t>
            </w:r>
            <w:r w:rsidRPr="00892DE3">
              <w:tab/>
              <w:t xml:space="preserve">the existence and carrying amounts of intangible assets whose title is restricted and the carrying amounts of intangible assets pledged as security for liabilities; </w:t>
            </w:r>
            <w:r w:rsidRPr="00892DE3">
              <w:rPr>
                <w:rStyle w:val="SourceReference"/>
              </w:rPr>
              <w:t>[AASB 138.122(d)]</w:t>
            </w:r>
          </w:p>
          <w:p w:rsidR="00C76064" w:rsidRPr="00892DE3" w:rsidRDefault="00C76064" w:rsidP="00C76064">
            <w:pPr>
              <w:pStyle w:val="List"/>
            </w:pPr>
            <w:r w:rsidRPr="00892DE3">
              <w:t>(c)</w:t>
            </w:r>
            <w:r w:rsidRPr="00892DE3">
              <w:tab/>
              <w:t xml:space="preserve">the carrying amount of the property, plant and equipment pledged and the related existence and amounts of restrictions on title; </w:t>
            </w:r>
            <w:r w:rsidRPr="00892DE3">
              <w:rPr>
                <w:rStyle w:val="SourceReference"/>
              </w:rPr>
              <w:t>[AASB 116.74(a)]</w:t>
            </w:r>
          </w:p>
          <w:p w:rsidR="00C76064" w:rsidRPr="00892DE3" w:rsidRDefault="00C76064" w:rsidP="00C76064">
            <w:pPr>
              <w:pStyle w:val="List"/>
            </w:pPr>
            <w:r w:rsidRPr="00892DE3">
              <w:t>(d)</w:t>
            </w:r>
            <w:r w:rsidRPr="00892DE3">
              <w:tab/>
              <w:t>the existence and amounts of restrictions on the realisability of investment property or the remittance of income and proceeds of disposal</w:t>
            </w:r>
            <w:r w:rsidR="002D2FF9" w:rsidRPr="00892DE3">
              <w:t>; and</w:t>
            </w:r>
            <w:r w:rsidRPr="00892DE3">
              <w:t xml:space="preserve"> </w:t>
            </w:r>
            <w:r w:rsidRPr="00892DE3">
              <w:rPr>
                <w:rStyle w:val="SourceReference"/>
              </w:rPr>
              <w:t>[AASB 140.75(g)</w:t>
            </w:r>
            <w:r w:rsidR="002D2FF9" w:rsidRPr="00892DE3">
              <w:rPr>
                <w:rStyle w:val="SourceReference"/>
              </w:rPr>
              <w:t>]</w:t>
            </w:r>
          </w:p>
          <w:p w:rsidR="00C76064" w:rsidRPr="00892DE3" w:rsidRDefault="00C76064" w:rsidP="00C76064">
            <w:pPr>
              <w:pStyle w:val="List"/>
            </w:pPr>
            <w:r w:rsidRPr="00892DE3">
              <w:t>(e)</w:t>
            </w:r>
            <w:r w:rsidRPr="00892DE3">
              <w:tab/>
              <w:t xml:space="preserve">the carrying amount of financial assets pledged as collateral for liabilities or contingent liabilities and any material terms and conditions relating to assets pledged as collateral. </w:t>
            </w:r>
            <w:r w:rsidRPr="00892DE3">
              <w:rPr>
                <w:rStyle w:val="SourceReference"/>
              </w:rPr>
              <w:t>[AASB 7.14]</w:t>
            </w:r>
          </w:p>
        </w:tc>
      </w:tr>
    </w:tbl>
    <w:p w:rsidR="00C76064" w:rsidRPr="00892DE3" w:rsidRDefault="00C76064" w:rsidP="00C76064"/>
    <w:bookmarkEnd w:id="138"/>
    <w:p w:rsidR="008129E8" w:rsidRPr="00892DE3" w:rsidRDefault="008129E8" w:rsidP="00C76064"/>
    <w:p w:rsidR="00D16285" w:rsidRPr="00892DE3" w:rsidRDefault="00D16285" w:rsidP="00C76064">
      <w:pPr>
        <w:sectPr w:rsidR="00D16285" w:rsidRPr="00892DE3" w:rsidSect="008129E8">
          <w:type w:val="continuous"/>
          <w:pgSz w:w="11906" w:h="16838" w:code="9"/>
          <w:pgMar w:top="1134" w:right="1134" w:bottom="1134" w:left="1134" w:header="624" w:footer="567" w:gutter="0"/>
          <w:cols w:sep="1" w:space="567"/>
          <w:docGrid w:linePitch="360"/>
        </w:sectPr>
      </w:pPr>
    </w:p>
    <w:p w:rsidR="00C76064" w:rsidRPr="00892DE3" w:rsidRDefault="00C76064" w:rsidP="00323951">
      <w:pPr>
        <w:pStyle w:val="Heading1"/>
        <w:ind w:right="140"/>
      </w:pPr>
      <w:bookmarkStart w:id="151" w:name="Section8"/>
      <w:r w:rsidRPr="00892DE3">
        <w:t>RISKS, CONTINGENCIES AND VALUATION JUDGEMENTS</w:t>
      </w:r>
    </w:p>
    <w:p w:rsidR="00D16285" w:rsidRPr="00892DE3" w:rsidRDefault="00D16285" w:rsidP="00D16285">
      <w:pPr>
        <w:pStyle w:val="Heading30"/>
        <w:sectPr w:rsidR="00D16285" w:rsidRPr="00892DE3" w:rsidSect="00D16285">
          <w:footerReference w:type="first" r:id="rId149"/>
          <w:pgSz w:w="11906" w:h="16838" w:code="9"/>
          <w:pgMar w:top="1134" w:right="1134" w:bottom="1134" w:left="1134" w:header="624" w:footer="567" w:gutter="0"/>
          <w:cols w:sep="1" w:space="567"/>
          <w:titlePg/>
          <w:docGrid w:linePitch="360"/>
        </w:sectPr>
      </w:pPr>
    </w:p>
    <w:p w:rsidR="00C76064" w:rsidRPr="00892DE3" w:rsidRDefault="00C76064" w:rsidP="00D16285">
      <w:pPr>
        <w:pStyle w:val="Heading30"/>
      </w:pPr>
      <w:r w:rsidRPr="00892DE3">
        <w:t>Introduction</w:t>
      </w:r>
    </w:p>
    <w:p w:rsidR="00D16285" w:rsidRPr="00892DE3" w:rsidRDefault="00C76064" w:rsidP="00D16285">
      <w:r w:rsidRPr="00892DE3">
        <w:t xml:space="preserve">The Department </w:t>
      </w:r>
      <w:r w:rsidR="00047C24" w:rsidRPr="00892DE3">
        <w:t xml:space="preserve">of Technology (the Department) </w:t>
      </w:r>
      <w:r w:rsidRPr="00892DE3">
        <w:t>is exposed to risk from its activities and outside factors. In addition, it is often necessary to make judgements and estimates associated with recognition and measurement of items in the financial statements.</w:t>
      </w:r>
      <w:r w:rsidR="0070785E" w:rsidRPr="00892DE3">
        <w:t xml:space="preserve">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rsidR="00C76064" w:rsidRPr="00892DE3" w:rsidRDefault="00D16285" w:rsidP="00D16285">
      <w:pPr>
        <w:pStyle w:val="Heading30"/>
      </w:pPr>
      <w:r w:rsidRPr="00892DE3">
        <w:br w:type="column"/>
      </w:r>
      <w:r w:rsidR="00C76064" w:rsidRPr="00892DE3">
        <w:t>Structure</w:t>
      </w:r>
    </w:p>
    <w:p w:rsidR="00323951" w:rsidRDefault="00D16285">
      <w:pPr>
        <w:pStyle w:val="TOC9"/>
        <w:rPr>
          <w:rFonts w:eastAsiaTheme="minorEastAsia"/>
          <w:spacing w:val="0"/>
          <w:sz w:val="22"/>
          <w:szCs w:val="22"/>
          <w:lang w:eastAsia="en-AU"/>
        </w:rPr>
      </w:pPr>
      <w:r w:rsidRPr="00892DE3">
        <w:fldChar w:fldCharType="begin"/>
      </w:r>
      <w:r w:rsidRPr="00892DE3">
        <w:instrText xml:space="preserve"> TOC \h \z \t "Heading 2 (#),9" \b Section8 \* MERGEFORMAT </w:instrText>
      </w:r>
      <w:r w:rsidRPr="00892DE3">
        <w:fldChar w:fldCharType="separate"/>
      </w:r>
      <w:hyperlink w:anchor="_Toc481590268" w:history="1">
        <w:r w:rsidR="00323951" w:rsidRPr="00B357D4">
          <w:rPr>
            <w:rStyle w:val="Hyperlink"/>
          </w:rPr>
          <w:t>8.1</w:t>
        </w:r>
        <w:r w:rsidR="00323951">
          <w:rPr>
            <w:rFonts w:eastAsiaTheme="minorEastAsia"/>
            <w:spacing w:val="0"/>
            <w:sz w:val="22"/>
            <w:szCs w:val="22"/>
            <w:lang w:eastAsia="en-AU"/>
          </w:rPr>
          <w:tab/>
        </w:r>
        <w:r w:rsidR="00323951" w:rsidRPr="00B357D4">
          <w:rPr>
            <w:rStyle w:val="Hyperlink"/>
          </w:rPr>
          <w:t>Financial instruments specific disclosures</w:t>
        </w:r>
        <w:r w:rsidR="00323951">
          <w:rPr>
            <w:webHidden/>
          </w:rPr>
          <w:tab/>
        </w:r>
        <w:r w:rsidR="00323951">
          <w:rPr>
            <w:webHidden/>
          </w:rPr>
          <w:fldChar w:fldCharType="begin"/>
        </w:r>
        <w:r w:rsidR="00323951">
          <w:rPr>
            <w:webHidden/>
          </w:rPr>
          <w:instrText xml:space="preserve"> PAGEREF _Toc481590268 \h </w:instrText>
        </w:r>
        <w:r w:rsidR="00323951">
          <w:rPr>
            <w:webHidden/>
          </w:rPr>
        </w:r>
        <w:r w:rsidR="00323951">
          <w:rPr>
            <w:webHidden/>
          </w:rPr>
          <w:fldChar w:fldCharType="separate"/>
        </w:r>
        <w:r w:rsidR="00F63B17">
          <w:rPr>
            <w:webHidden/>
          </w:rPr>
          <w:t>156</w:t>
        </w:r>
        <w:r w:rsidR="00323951">
          <w:rPr>
            <w:webHidden/>
          </w:rPr>
          <w:fldChar w:fldCharType="end"/>
        </w:r>
      </w:hyperlink>
    </w:p>
    <w:p w:rsidR="00323951" w:rsidRDefault="003C212D">
      <w:pPr>
        <w:pStyle w:val="TOC9"/>
        <w:rPr>
          <w:rFonts w:eastAsiaTheme="minorEastAsia"/>
          <w:spacing w:val="0"/>
          <w:sz w:val="22"/>
          <w:szCs w:val="22"/>
          <w:lang w:eastAsia="en-AU"/>
        </w:rPr>
      </w:pPr>
      <w:hyperlink w:anchor="_Toc481590269" w:history="1">
        <w:r w:rsidR="00323951" w:rsidRPr="00B357D4">
          <w:rPr>
            <w:rStyle w:val="Hyperlink"/>
          </w:rPr>
          <w:t>8.2</w:t>
        </w:r>
        <w:r w:rsidR="00323951">
          <w:rPr>
            <w:rFonts w:eastAsiaTheme="minorEastAsia"/>
            <w:spacing w:val="0"/>
            <w:sz w:val="22"/>
            <w:szCs w:val="22"/>
            <w:lang w:eastAsia="en-AU"/>
          </w:rPr>
          <w:tab/>
        </w:r>
        <w:r w:rsidR="00323951" w:rsidRPr="00B357D4">
          <w:rPr>
            <w:rStyle w:val="Hyperlink"/>
          </w:rPr>
          <w:t>Contingent assets and contingent liabilities</w:t>
        </w:r>
        <w:r w:rsidR="00323951">
          <w:rPr>
            <w:webHidden/>
          </w:rPr>
          <w:tab/>
        </w:r>
        <w:r w:rsidR="00323951">
          <w:rPr>
            <w:webHidden/>
          </w:rPr>
          <w:fldChar w:fldCharType="begin"/>
        </w:r>
        <w:r w:rsidR="00323951">
          <w:rPr>
            <w:webHidden/>
          </w:rPr>
          <w:instrText xml:space="preserve"> PAGEREF _Toc481590269 \h </w:instrText>
        </w:r>
        <w:r w:rsidR="00323951">
          <w:rPr>
            <w:webHidden/>
          </w:rPr>
        </w:r>
        <w:r w:rsidR="00323951">
          <w:rPr>
            <w:webHidden/>
          </w:rPr>
          <w:fldChar w:fldCharType="separate"/>
        </w:r>
        <w:r w:rsidR="00F63B17">
          <w:rPr>
            <w:webHidden/>
          </w:rPr>
          <w:t>174</w:t>
        </w:r>
        <w:r w:rsidR="00323951">
          <w:rPr>
            <w:webHidden/>
          </w:rPr>
          <w:fldChar w:fldCharType="end"/>
        </w:r>
      </w:hyperlink>
    </w:p>
    <w:p w:rsidR="00323951" w:rsidRDefault="003C212D">
      <w:pPr>
        <w:pStyle w:val="TOC9"/>
        <w:rPr>
          <w:rFonts w:eastAsiaTheme="minorEastAsia"/>
          <w:spacing w:val="0"/>
          <w:sz w:val="22"/>
          <w:szCs w:val="22"/>
          <w:lang w:eastAsia="en-AU"/>
        </w:rPr>
      </w:pPr>
      <w:hyperlink w:anchor="_Toc481590270" w:history="1">
        <w:r w:rsidR="00323951" w:rsidRPr="00B357D4">
          <w:rPr>
            <w:rStyle w:val="Hyperlink"/>
          </w:rPr>
          <w:t>8.3</w:t>
        </w:r>
        <w:r w:rsidR="00323951">
          <w:rPr>
            <w:rFonts w:eastAsiaTheme="minorEastAsia"/>
            <w:spacing w:val="0"/>
            <w:sz w:val="22"/>
            <w:szCs w:val="22"/>
            <w:lang w:eastAsia="en-AU"/>
          </w:rPr>
          <w:tab/>
        </w:r>
        <w:r w:rsidR="00323951" w:rsidRPr="00B357D4">
          <w:rPr>
            <w:rStyle w:val="Hyperlink"/>
          </w:rPr>
          <w:t>Fair value determination</w:t>
        </w:r>
        <w:r w:rsidR="00323951">
          <w:rPr>
            <w:webHidden/>
          </w:rPr>
          <w:tab/>
        </w:r>
        <w:r w:rsidR="00323951">
          <w:rPr>
            <w:webHidden/>
          </w:rPr>
          <w:fldChar w:fldCharType="begin"/>
        </w:r>
        <w:r w:rsidR="00323951">
          <w:rPr>
            <w:webHidden/>
          </w:rPr>
          <w:instrText xml:space="preserve"> PAGEREF _Toc481590270 \h </w:instrText>
        </w:r>
        <w:r w:rsidR="00323951">
          <w:rPr>
            <w:webHidden/>
          </w:rPr>
        </w:r>
        <w:r w:rsidR="00323951">
          <w:rPr>
            <w:webHidden/>
          </w:rPr>
          <w:fldChar w:fldCharType="separate"/>
        </w:r>
        <w:r w:rsidR="00F63B17">
          <w:rPr>
            <w:webHidden/>
          </w:rPr>
          <w:t>176</w:t>
        </w:r>
        <w:r w:rsidR="00323951">
          <w:rPr>
            <w:webHidden/>
          </w:rPr>
          <w:fldChar w:fldCharType="end"/>
        </w:r>
      </w:hyperlink>
    </w:p>
    <w:p w:rsidR="00D16285" w:rsidRPr="00892DE3" w:rsidRDefault="00D16285" w:rsidP="00D16285">
      <w:pPr>
        <w:sectPr w:rsidR="00D16285" w:rsidRPr="00892DE3" w:rsidSect="00D16285">
          <w:type w:val="continuous"/>
          <w:pgSz w:w="11906" w:h="16838" w:code="9"/>
          <w:pgMar w:top="1134" w:right="1134" w:bottom="1134" w:left="1134" w:header="624" w:footer="567" w:gutter="0"/>
          <w:cols w:num="2" w:space="567"/>
          <w:titlePg/>
          <w:docGrid w:linePitch="360"/>
        </w:sectPr>
      </w:pPr>
      <w:r w:rsidRPr="00892DE3">
        <w:fldChar w:fldCharType="end"/>
      </w:r>
    </w:p>
    <w:p w:rsidR="004F3169" w:rsidRPr="00892DE3" w:rsidRDefault="004F3169" w:rsidP="0019303F">
      <w:pPr>
        <w:pStyle w:val="Heading2"/>
      </w:pPr>
      <w:bookmarkStart w:id="152" w:name="_Toc477880062"/>
      <w:bookmarkStart w:id="153" w:name="_Toc481590268"/>
      <w:r w:rsidRPr="00892DE3">
        <w:t>Financial instruments</w:t>
      </w:r>
      <w:r w:rsidR="0070785E" w:rsidRPr="00892DE3">
        <w:t xml:space="preserve"> specific disclosures</w:t>
      </w:r>
      <w:bookmarkEnd w:id="152"/>
      <w:bookmarkEnd w:id="153"/>
    </w:p>
    <w:p w:rsidR="004F3169" w:rsidRPr="00892DE3" w:rsidRDefault="004F3169" w:rsidP="004F3169">
      <w:pPr>
        <w:pStyle w:val="Heading30"/>
      </w:pPr>
      <w:r w:rsidRPr="00892DE3">
        <w:t>Introduction</w:t>
      </w:r>
    </w:p>
    <w:p w:rsidR="004F3169" w:rsidRPr="00892DE3" w:rsidRDefault="004F3169" w:rsidP="004F3169">
      <w:r w:rsidRPr="00892DE3">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892DE3">
        <w:rPr>
          <w:i/>
        </w:rPr>
        <w:t>Financial Instruments: Presentation</w:t>
      </w:r>
      <w:r w:rsidRPr="00892DE3">
        <w:t>.</w:t>
      </w:r>
    </w:p>
    <w:p w:rsidR="004F3169" w:rsidRPr="00892DE3" w:rsidRDefault="004F3169" w:rsidP="004F3169">
      <w:r w:rsidRPr="00892DE3">
        <w:t>Guarantees issued on behalf of the Department are financial instruments because, although authorised under statute, terms and conditions for each financial guarantee may vary and are subject to an agreement.</w:t>
      </w:r>
    </w:p>
    <w:p w:rsidR="004F3169" w:rsidRPr="00892DE3" w:rsidRDefault="004F3169" w:rsidP="004F3169">
      <w:pPr>
        <w:pStyle w:val="Heading30"/>
      </w:pPr>
      <w:r w:rsidRPr="00892DE3">
        <w:t>Categories of financial instruments</w:t>
      </w:r>
    </w:p>
    <w:p w:rsidR="004F3169" w:rsidRPr="00892DE3" w:rsidRDefault="004F3169" w:rsidP="004F3169">
      <w:r w:rsidRPr="00892DE3">
        <w:rPr>
          <w:b/>
        </w:rPr>
        <w:t>Loans and receivables and cash</w:t>
      </w:r>
      <w:r w:rsidRPr="00892DE3">
        <w:t xml:space="preserve"> are financial instrument assets with fixed and determinable payments that are not quoted on an active market. These assets and liabilities are initially recognised at fair value plus any directly attributable transaction costs. Subsequent to initial measurement, loans and receivables are measured at amortised cost using the effective interest method (and for assets, less any impairment). The Department recognises the following assets in this category:</w:t>
      </w:r>
    </w:p>
    <w:p w:rsidR="004F3169" w:rsidRPr="00892DE3" w:rsidRDefault="004F3169" w:rsidP="004F3169">
      <w:pPr>
        <w:pStyle w:val="ListBullet"/>
      </w:pPr>
      <w:r w:rsidRPr="00892DE3">
        <w:t>cash and deposits</w:t>
      </w:r>
    </w:p>
    <w:p w:rsidR="004F3169" w:rsidRPr="00892DE3" w:rsidRDefault="004F3169" w:rsidP="004F3169">
      <w:pPr>
        <w:pStyle w:val="ListBullet"/>
      </w:pPr>
      <w:r w:rsidRPr="00892DE3">
        <w:t>receivables (excluding statutory receivables);</w:t>
      </w:r>
    </w:p>
    <w:p w:rsidR="004F3169" w:rsidRPr="00892DE3" w:rsidRDefault="004F3169" w:rsidP="004F3169">
      <w:pPr>
        <w:pStyle w:val="ListBullet"/>
      </w:pPr>
      <w:r w:rsidRPr="00892DE3">
        <w:t>term deposits; and</w:t>
      </w:r>
    </w:p>
    <w:p w:rsidR="004F3169" w:rsidRPr="00892DE3" w:rsidRDefault="004F3169" w:rsidP="004F3169">
      <w:pPr>
        <w:pStyle w:val="ListBullet"/>
      </w:pPr>
      <w:r w:rsidRPr="00892DE3">
        <w:t>certain debt securities.</w:t>
      </w:r>
    </w:p>
    <w:p w:rsidR="004F3169" w:rsidRPr="00892DE3" w:rsidRDefault="004F3169" w:rsidP="004F3169">
      <w:r w:rsidRPr="00892DE3">
        <w:rPr>
          <w:b/>
        </w:rPr>
        <w:t>Available-for-sale financial instrument assets</w:t>
      </w:r>
      <w:r w:rsidRPr="00892DE3">
        <w:t xml:space="preserve"> are those designated as available-for-sale or not classified in any other category of financial instrument asset. Such assets are initially recognised at fair value. Subsequent to initial recognition, they are measured at fair value with gains and losses arising from changes in fair value, recognised in ‘Other economic flows – other comprehensive income’ until the investment is disposed. Movements resulting from impairment and foreign currency changes are recognised in the net result as other economic flows. On disposal, the cumulative gain or loss previously recognised in ‘Other economic flows – other comprehensive income’ is transferred to other economic flows in the net result. The Department recognises investments in equities and managed investment schemes in this category.</w:t>
      </w:r>
    </w:p>
    <w:p w:rsidR="004F3169" w:rsidRPr="00892DE3" w:rsidRDefault="004F3169" w:rsidP="004F3169">
      <w:r w:rsidRPr="00892DE3">
        <w:rPr>
          <w:b/>
        </w:rPr>
        <w:t>Held to maturity financial assets</w:t>
      </w:r>
      <w:r w:rsidRPr="00892DE3">
        <w:t>: If the Department has the positive intent and ability to hold nominated investments to maturity, then such financial assets may be classified as held to maturity. These are recognised initially at fair value plus any directly attributable transaction costs. Subsequent to initial recognition, held to maturity financial assets are measured at amortised cost using the effective interest method, less any impairment losses.</w:t>
      </w:r>
    </w:p>
    <w:p w:rsidR="004F3169" w:rsidRPr="00892DE3" w:rsidRDefault="004F3169" w:rsidP="004F3169">
      <w:r w:rsidRPr="00892DE3">
        <w:t>The Department makes limited use of this classification because any sale or reclassification of more than an insignificant amount of held to maturity investments not close to their maturity, would result in the whole category being reclassified as available-for-sale. The held to maturity category includes certain term deposits and debt securities for which the Department intends to hold to maturity.</w:t>
      </w:r>
    </w:p>
    <w:p w:rsidR="004F3169" w:rsidRPr="00892DE3" w:rsidRDefault="004F3169" w:rsidP="004F3169">
      <w:r w:rsidRPr="00892DE3">
        <w:rPr>
          <w:b/>
        </w:rPr>
        <w:t>Financial assets and liabilities at fair value through net result</w:t>
      </w:r>
      <w:r w:rsidRPr="00892DE3">
        <w:t xml:space="preserve"> are categorised as such at trade date, or if they are classified as held for trading or designated as such upon initial recognition. Financial instrument assets are designated at fair value through profit or loss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 The Department recognises certain debt securities in this category.</w:t>
      </w:r>
    </w:p>
    <w:p w:rsidR="004F3169" w:rsidRPr="00892DE3" w:rsidRDefault="004F3169" w:rsidP="004F3169">
      <w:r w:rsidRPr="00892DE3">
        <w:rPr>
          <w:b/>
        </w:rPr>
        <w:t>Financial liabilities at amortised cost</w:t>
      </w:r>
      <w:r w:rsidRPr="00892DE3">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The Department recognises the following liabilities in this category:</w:t>
      </w:r>
    </w:p>
    <w:p w:rsidR="004F3169" w:rsidRPr="00892DE3" w:rsidRDefault="004F3169" w:rsidP="004F3169">
      <w:pPr>
        <w:pStyle w:val="ListBullet"/>
      </w:pPr>
      <w:r w:rsidRPr="00892DE3">
        <w:t>payables (excluding statutory payables); and</w:t>
      </w:r>
    </w:p>
    <w:p w:rsidR="004F3169" w:rsidRPr="00892DE3" w:rsidRDefault="004F3169" w:rsidP="004F3169">
      <w:pPr>
        <w:pStyle w:val="ListBullet"/>
      </w:pPr>
      <w:r w:rsidRPr="00892DE3">
        <w:t>borrowings (including finance lease liabilities).</w:t>
      </w:r>
    </w:p>
    <w:p w:rsidR="004F3169" w:rsidRPr="00892DE3" w:rsidRDefault="004F3169" w:rsidP="004F3169">
      <w:r w:rsidRPr="00892DE3">
        <w:rPr>
          <w:b/>
        </w:rPr>
        <w:t>Derivative financial instruments</w:t>
      </w:r>
      <w:r w:rsidRPr="00892DE3">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rsidR="004F3169" w:rsidRPr="00892DE3" w:rsidRDefault="004F3169" w:rsidP="0070785E">
      <w:pPr>
        <w:keepLines w:val="0"/>
        <w:rPr>
          <w:b/>
        </w:rPr>
      </w:pPr>
      <w:r w:rsidRPr="00892DE3">
        <w:rPr>
          <w:b/>
        </w:rPr>
        <w:t>Offsetting financial instruments</w:t>
      </w:r>
      <w:r w:rsidRPr="00892DE3">
        <w:t>: 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rsidR="004F3169" w:rsidRPr="00892DE3" w:rsidRDefault="004F3169" w:rsidP="004F3169">
      <w:r w:rsidRPr="00892DE3">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rsidR="004F3169" w:rsidRPr="00892DE3" w:rsidRDefault="004F3169" w:rsidP="004F3169">
      <w:r w:rsidRPr="00892DE3">
        <w:rPr>
          <w:b/>
        </w:rPr>
        <w:t>Derecognition of financial assets</w:t>
      </w:r>
      <w:r w:rsidRPr="00892DE3">
        <w:t xml:space="preserve">: A financial asset (or, where applicable, a part of a financial asset or part of a group of similar financial assets) is derecognised when: </w:t>
      </w:r>
    </w:p>
    <w:p w:rsidR="004F3169" w:rsidRPr="00892DE3" w:rsidRDefault="004F3169" w:rsidP="004F3169">
      <w:pPr>
        <w:pStyle w:val="ListBullet"/>
      </w:pPr>
      <w:r w:rsidRPr="00892DE3">
        <w:t>the rights to receive cash flows from the asset have expired; or</w:t>
      </w:r>
    </w:p>
    <w:p w:rsidR="004F3169" w:rsidRPr="00892DE3" w:rsidRDefault="004F3169" w:rsidP="004F3169">
      <w:pPr>
        <w:pStyle w:val="ListBullet"/>
      </w:pPr>
      <w:r w:rsidRPr="00892DE3">
        <w:t>the Department retains the right to receive cash flows from the asset, but has assumed an obligation to pay them in full without material delay to a third party under a ‘pass through’ arrangement; or</w:t>
      </w:r>
    </w:p>
    <w:p w:rsidR="004F3169" w:rsidRPr="00892DE3" w:rsidRDefault="004F3169" w:rsidP="004F3169">
      <w:pPr>
        <w:pStyle w:val="ListBullet"/>
      </w:pPr>
      <w:r w:rsidRPr="00892DE3">
        <w:t>the Department has transferred its rights to receive cash flows from the asset and either:</w:t>
      </w:r>
    </w:p>
    <w:p w:rsidR="004F3169" w:rsidRPr="00892DE3" w:rsidRDefault="004F3169" w:rsidP="004F3169">
      <w:pPr>
        <w:pStyle w:val="ListBullet2"/>
      </w:pPr>
      <w:r w:rsidRPr="00892DE3">
        <w:t>has transferred substantially all the risks and rewards of the asset; or</w:t>
      </w:r>
    </w:p>
    <w:p w:rsidR="004F3169" w:rsidRPr="00892DE3" w:rsidRDefault="004F3169" w:rsidP="004F3169">
      <w:pPr>
        <w:pStyle w:val="ListBullet2"/>
      </w:pPr>
      <w:r w:rsidRPr="00892DE3">
        <w:t xml:space="preserve">has neither transferred nor retained substantially all the risks and rewards of the asset, but has transferred control of the asset. </w:t>
      </w:r>
    </w:p>
    <w:p w:rsidR="004F3169" w:rsidRPr="00892DE3" w:rsidRDefault="004F3169" w:rsidP="004F3169">
      <w:r w:rsidRPr="00892DE3">
        <w:t>Where the Department has neither transferred nor retained substantially all the risks and rewards or transferred control, the asset is recognised to the extent of the Department’s continuing involvement in the asset.</w:t>
      </w:r>
    </w:p>
    <w:p w:rsidR="004F3169" w:rsidRPr="00892DE3" w:rsidRDefault="004F3169" w:rsidP="004F3169">
      <w:r w:rsidRPr="00892DE3">
        <w:rPr>
          <w:b/>
        </w:rPr>
        <w:t>Impairment of financial assets</w:t>
      </w:r>
      <w:r w:rsidRPr="00892DE3">
        <w:t>: At the end of each reporting period, the Department assesses whether there is objective evidence that a financial asset or group of financial assets is impaired. All financial instrument assets, except those measured at fair value through profit or loss, are subject to annual review for impairment.</w:t>
      </w:r>
    </w:p>
    <w:p w:rsidR="004F3169" w:rsidRPr="00892DE3" w:rsidRDefault="004F3169" w:rsidP="004F3169">
      <w:r w:rsidRPr="00892DE3">
        <w:t xml:space="preserve">The allowance is the difference between the financial asset’s carrying amount and the present value of estimated future cash flows, discounted at the effective interest rate. </w:t>
      </w:r>
      <w:r w:rsidRPr="00892DE3">
        <w:rPr>
          <w:rStyle w:val="SourceReference"/>
        </w:rPr>
        <w:t>[AASB 139.58 70 AASB 7.B5(f)]</w:t>
      </w:r>
      <w:r w:rsidRPr="00892DE3">
        <w:t xml:space="preserve"> In assessing impairment of statutory (non-contractual) financial assets, which are not financial instruments, professional judgement is applied in assessing materiality using estimates, averages and other computational methods in accordance with AASB 136 </w:t>
      </w:r>
      <w:r w:rsidRPr="00892DE3">
        <w:rPr>
          <w:i/>
        </w:rPr>
        <w:t>Impairment of Assets</w:t>
      </w:r>
      <w:r w:rsidRPr="00892DE3">
        <w:t>.</w:t>
      </w:r>
    </w:p>
    <w:p w:rsidR="004F3169" w:rsidRPr="00892DE3" w:rsidRDefault="004F3169" w:rsidP="004F3169">
      <w:r w:rsidRPr="00892DE3">
        <w:rPr>
          <w:b/>
        </w:rPr>
        <w:t>Reclassification of financial instruments</w:t>
      </w:r>
      <w:r w:rsidRPr="00892DE3">
        <w:t>: Subsequent to initial recognition and under rare circumstances, non-derivative financial instruments assets that have not been designated at fair value through profit or loss upon recognition, may be reclassified out of the fair value through profit or loss category, if they are no longer held for the purpose of selling or repurchasing in the near term.</w:t>
      </w:r>
    </w:p>
    <w:p w:rsidR="004F3169" w:rsidRPr="00892DE3" w:rsidRDefault="004F3169" w:rsidP="004F3169">
      <w:r w:rsidRPr="00892DE3">
        <w:t>Financial instrument assets that meet the definition of loans and receivables may be reclassified out of the fair value through profit and loss category into the loans and receivables category, where they would have met the definition of loans and receivables had they not been required to be classified as fair value through profit and loss. In these cases, the financial instrument assets may be reclassified out of the fair value through profit and loss category, if there is the intention and ability to hold them for the foreseeable future or until maturity.</w:t>
      </w:r>
    </w:p>
    <w:p w:rsidR="004F3169" w:rsidRPr="00892DE3" w:rsidRDefault="004F3169" w:rsidP="004F3169">
      <w:r w:rsidRPr="00892DE3">
        <w:t>Available-for-sale financial instrument assets that meet the definition of loans and receivables may be reclassified into the loans and receivables category if there is the intention and ability to hold them for the foreseeable future or until maturity.</w:t>
      </w:r>
    </w:p>
    <w:p w:rsidR="004F3169" w:rsidRPr="00892DE3" w:rsidRDefault="004F3169" w:rsidP="004F3169">
      <w:r w:rsidRPr="00892DE3">
        <w:rPr>
          <w:b/>
        </w:rPr>
        <w:t>Derecognition of financial liabilities</w:t>
      </w:r>
      <w:r w:rsidRPr="00892DE3">
        <w:t>: A financial liability is derecognised when the obligation under the liability is discharged, cancelled or expires.</w:t>
      </w:r>
    </w:p>
    <w:p w:rsidR="004F3169" w:rsidRPr="00892DE3" w:rsidRDefault="004F3169" w:rsidP="004F3169">
      <w:r w:rsidRPr="00892DE3">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rsidR="004F3169" w:rsidRPr="00892DE3" w:rsidRDefault="004F3169" w:rsidP="004F3169"/>
    <w:p w:rsidR="004F3169" w:rsidRPr="00892DE3" w:rsidRDefault="004F3169">
      <w:pPr>
        <w:keepLines w:val="0"/>
      </w:pPr>
      <w:r w:rsidRPr="00892DE3">
        <w:br w:type="page"/>
      </w:r>
    </w:p>
    <w:tbl>
      <w:tblPr>
        <w:tblStyle w:val="ModelReportGuidanceTable"/>
        <w:tblW w:w="0" w:type="auto"/>
        <w:tblLook w:val="04A0" w:firstRow="1" w:lastRow="0" w:firstColumn="1" w:lastColumn="0" w:noHBand="0" w:noVBand="1"/>
      </w:tblPr>
      <w:tblGrid>
        <w:gridCol w:w="9752"/>
      </w:tblGrid>
      <w:tr w:rsidR="004F3169" w:rsidRPr="00892DE3" w:rsidTr="004F3169">
        <w:trPr>
          <w:cnfStyle w:val="100000000000" w:firstRow="1" w:lastRow="0" w:firstColumn="0" w:lastColumn="0" w:oddVBand="0" w:evenVBand="0" w:oddHBand="0" w:evenHBand="0" w:firstRowFirstColumn="0" w:firstRowLastColumn="0" w:lastRowFirstColumn="0" w:lastRowLastColumn="0"/>
        </w:trPr>
        <w:tc>
          <w:tcPr>
            <w:tcW w:w="9854" w:type="dxa"/>
          </w:tcPr>
          <w:p w:rsidR="004F3169" w:rsidRPr="00892DE3" w:rsidRDefault="004F3169" w:rsidP="004F3169">
            <w:r w:rsidRPr="00892DE3">
              <w:t xml:space="preserve">Guidance – Financial instruments </w:t>
            </w:r>
            <w:r w:rsidRPr="00892DE3">
              <w:rPr>
                <w:rStyle w:val="SourceReference"/>
                <w:b w:val="0"/>
                <w:color w:val="FFFFFF" w:themeColor="background1"/>
              </w:rPr>
              <w:t>[AASB 7.7]</w:t>
            </w:r>
          </w:p>
        </w:tc>
      </w:tr>
      <w:tr w:rsidR="004F3169" w:rsidRPr="00892DE3" w:rsidTr="004F3169">
        <w:tc>
          <w:tcPr>
            <w:tcW w:w="9854" w:type="dxa"/>
          </w:tcPr>
          <w:p w:rsidR="004F3169" w:rsidRPr="00892DE3" w:rsidRDefault="004F3169" w:rsidP="004F3169">
            <w:r w:rsidRPr="00892DE3">
              <w:t>An entity shall disclose information that enables users of its financial statements to evaluate the significance of financial instruments for its financial position and performance.</w:t>
            </w:r>
          </w:p>
          <w:p w:rsidR="004F3169" w:rsidRPr="00892DE3" w:rsidRDefault="004F3169" w:rsidP="004F3169">
            <w:r w:rsidRPr="00892DE3">
              <w:t>AASB 7 requires that an entity discloses information used by key management personnel to measure and manage risk. An entity shall decide, in light of its circumstances, how much detail it provides to satisfy the requirements of this Standard, how much emphasis it places on different aspects of the requirements and how it aggregates information to display the overall picture, without combining information with different characteristics.</w:t>
            </w:r>
          </w:p>
          <w:p w:rsidR="004F3169" w:rsidRPr="00892DE3" w:rsidRDefault="004F3169" w:rsidP="004F3169">
            <w:r w:rsidRPr="00892DE3">
              <w:t xml:space="preserve">The minimum disclosures set out in this note of the Model are provided by way of example only. They do not necessarily represent the only disclosures that may be appropriate for particular financial instruments and do not cover all financial instruments that may be used in practice, or importantly, reflect the manner in which an entity reports internally to its key management personnel: </w:t>
            </w:r>
          </w:p>
          <w:p w:rsidR="004F3169" w:rsidRPr="00892DE3" w:rsidRDefault="004F3169" w:rsidP="004F3169">
            <w:pPr>
              <w:pStyle w:val="List"/>
            </w:pPr>
            <w:r w:rsidRPr="00892DE3">
              <w:t>(a)</w:t>
            </w:r>
            <w:r w:rsidRPr="00892DE3">
              <w:tab/>
              <w:t xml:space="preserve">an estimate of its financial effect; </w:t>
            </w:r>
          </w:p>
          <w:p w:rsidR="004F3169" w:rsidRPr="00892DE3" w:rsidRDefault="004F3169" w:rsidP="004F3169">
            <w:pPr>
              <w:pStyle w:val="List"/>
            </w:pPr>
            <w:r w:rsidRPr="00892DE3">
              <w:t>(b)</w:t>
            </w:r>
            <w:r w:rsidRPr="00892DE3">
              <w:tab/>
              <w:t>an indication of the uncertainties relating to the amount or timing of any outflow; and</w:t>
            </w:r>
          </w:p>
          <w:p w:rsidR="004F3169" w:rsidRPr="00892DE3" w:rsidRDefault="004F3169" w:rsidP="004F3169">
            <w:pPr>
              <w:pStyle w:val="List"/>
            </w:pPr>
            <w:r w:rsidRPr="00892DE3">
              <w:t>(c)</w:t>
            </w:r>
            <w:r w:rsidRPr="00892DE3">
              <w:tab/>
              <w:t xml:space="preserve">the possibility of any reimbursement. </w:t>
            </w:r>
          </w:p>
          <w:p w:rsidR="004F3169" w:rsidRPr="00892DE3" w:rsidRDefault="004F3169" w:rsidP="004F3169">
            <w:r w:rsidRPr="00892DE3">
              <w:t xml:space="preserve">Entities should exercise judgement in determining their own disclosure on financial instruments, and use the Model only as a guide to interpreting the disclosure requirements of AASB 7. Some sections and/or tables in Note </w:t>
            </w:r>
            <w:r w:rsidR="00BA5424" w:rsidRPr="00892DE3">
              <w:t xml:space="preserve">8.1 </w:t>
            </w:r>
            <w:r w:rsidRPr="00892DE3">
              <w:t>may not be relevant to all entities and therefore should not be included, e.g. tables with zero balances should be omitted.</w:t>
            </w:r>
          </w:p>
          <w:p w:rsidR="004F3169" w:rsidRPr="00892DE3" w:rsidRDefault="004F3169" w:rsidP="004F3169">
            <w:r w:rsidRPr="00892DE3">
              <w:rPr>
                <w:b/>
              </w:rPr>
              <w:t>Statutory receivables and payables</w:t>
            </w:r>
            <w:r w:rsidRPr="00892DE3">
              <w:t xml:space="preserve"> </w:t>
            </w:r>
            <w:r w:rsidRPr="00892DE3">
              <w:rPr>
                <w:rStyle w:val="SourceReference"/>
              </w:rPr>
              <w:t>[AASB 132.AG12]</w:t>
            </w:r>
          </w:p>
          <w:p w:rsidR="004F3169" w:rsidRPr="00892DE3" w:rsidRDefault="004F3169" w:rsidP="004F3169">
            <w:r w:rsidRPr="00892DE3">
              <w:t>Financial assets or financial liabilities that are not contractual (such as receivables or payables that arise as a result of statutory requirements), are not financial instruments. Therefore, these financial assets or financial liabilities are not in the scope of AASB 7. However, entities who wish to apply disclosure requirements from AASB 7 to such financial assets or financial liabilities may do so at their own discretion. For example, a department should exclude all statutory receivables from the Victorian Government including receivable balances related to:</w:t>
            </w:r>
          </w:p>
          <w:p w:rsidR="004F3169" w:rsidRPr="00892DE3" w:rsidRDefault="004F3169" w:rsidP="004F3169">
            <w:pPr>
              <w:pStyle w:val="ListBullet"/>
            </w:pPr>
            <w:r w:rsidRPr="00892DE3">
              <w:t>the consolidated fund – State Administration Unit (SAU) SRIMS account codes 45000, 47000 and 48xxx; and</w:t>
            </w:r>
          </w:p>
          <w:p w:rsidR="004F3169" w:rsidRPr="00892DE3" w:rsidRDefault="004F3169" w:rsidP="004F3169">
            <w:pPr>
              <w:pStyle w:val="ListBullet"/>
            </w:pPr>
            <w:r w:rsidRPr="00892DE3">
              <w:t>all appropriated funding.</w:t>
            </w:r>
          </w:p>
          <w:p w:rsidR="004F3169" w:rsidRPr="00892DE3" w:rsidRDefault="004F3169" w:rsidP="004F3169">
            <w:r w:rsidRPr="00892DE3">
              <w:rPr>
                <w:b/>
              </w:rPr>
              <w:t>Reclassification of financial assets</w:t>
            </w:r>
            <w:r w:rsidRPr="00892DE3">
              <w:t xml:space="preserve"> </w:t>
            </w:r>
            <w:r w:rsidRPr="00892DE3">
              <w:rPr>
                <w:rStyle w:val="SourceReference"/>
              </w:rPr>
              <w:t>[AASB 7.12]</w:t>
            </w:r>
          </w:p>
          <w:p w:rsidR="004F3169" w:rsidRPr="00892DE3" w:rsidRDefault="004F3169" w:rsidP="004F3169">
            <w:r w:rsidRPr="00892DE3">
              <w:t>If, as a result of a change in intention or ability or in the rare circumstance that a reliable measure of fair value is no longer available, or because the ‘two preceding annual reporting periods’ have passed in relation to a financial asset that could previously not be classified as held to maturity, where an entity reclassifies a financial asset as one measured at cost or amortised cost rather than at fair value, it shall disclose the reason for the reclassification.</w:t>
            </w:r>
          </w:p>
          <w:p w:rsidR="004F3169" w:rsidRPr="00892DE3" w:rsidRDefault="004F3169" w:rsidP="004F3169">
            <w:r w:rsidRPr="00892DE3">
              <w:rPr>
                <w:b/>
              </w:rPr>
              <w:t>Master netting or similar arrangements</w:t>
            </w:r>
            <w:r w:rsidRPr="00892DE3">
              <w:t xml:space="preserve"> </w:t>
            </w:r>
            <w:r w:rsidRPr="00892DE3">
              <w:rPr>
                <w:rStyle w:val="SourceReference"/>
              </w:rPr>
              <w:t>[AASB 2013-2, 2013-3]</w:t>
            </w:r>
          </w:p>
          <w:p w:rsidR="004F3169" w:rsidRPr="00892DE3" w:rsidRDefault="004F3169" w:rsidP="004F3169">
            <w:r w:rsidRPr="00892DE3">
              <w:t xml:space="preserve">An entity might further restrict its exposure to credit losses by entering into master netting arrangements with counterparties with which it undertakes a significant volume of transactions. </w:t>
            </w:r>
          </w:p>
          <w:p w:rsidR="004F3169" w:rsidRPr="00892DE3" w:rsidRDefault="004F3169" w:rsidP="004F3169">
            <w:r w:rsidRPr="00892DE3">
              <w:t>It should be noted that some master netting arrangements do not result in an offset of balance sheet assets and liabilities where they are settled on a gross basis. However, the credit risk associated with favourable contracts is reduced with a master netting arrangement to the extent that if a counterparty failed to meet its obligations in accordance with the agreed terms, all amounts with the counterparty are terminated and settled on a net basis.</w:t>
            </w:r>
          </w:p>
          <w:p w:rsidR="004F3169" w:rsidRPr="00892DE3" w:rsidRDefault="004F3169" w:rsidP="004F3169">
            <w:r w:rsidRPr="00892DE3">
              <w:t>In other instances, the entity enters into derivative transactions under International Swaps and Derivatives Association (ISDA) master netting arrangements. In general, under such agreements 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p w:rsidR="004F3169" w:rsidRPr="00892DE3" w:rsidRDefault="004F3169" w:rsidP="004F3169">
            <w:r w:rsidRPr="00892DE3">
              <w:t>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risk, and will process receivables and payables in a single settlement process or cycle.</w:t>
            </w:r>
          </w:p>
          <w:p w:rsidR="004F3169" w:rsidRPr="00892DE3" w:rsidRDefault="004F3169" w:rsidP="004F3169">
            <w:r w:rsidRPr="00892DE3">
              <w:t>To the extent that these arrangements meet the criteria for offsetting in the statement of financial position, they are reported on a net basis.</w:t>
            </w:r>
          </w:p>
          <w:p w:rsidR="004F3169" w:rsidRPr="00892DE3" w:rsidRDefault="004F3169" w:rsidP="004F3169">
            <w:r w:rsidRPr="00892DE3">
              <w:t>Where the entity does not have a legally enforceable right to offset recognised amounts, because the right to offset is enforceable only on the occurrence of future events such as a default on the bank loans or other credit events, they are reported on a gross basis.</w:t>
            </w:r>
          </w:p>
        </w:tc>
      </w:tr>
    </w:tbl>
    <w:p w:rsidR="004F3169" w:rsidRPr="00892DE3" w:rsidRDefault="004F3169" w:rsidP="004F3169"/>
    <w:p w:rsidR="004F3169" w:rsidRPr="00892DE3" w:rsidRDefault="004F3169" w:rsidP="004F3169">
      <w:r w:rsidRPr="00892DE3">
        <w:br w:type="page"/>
      </w:r>
    </w:p>
    <w:tbl>
      <w:tblPr>
        <w:tblStyle w:val="ModelReportGuidanceTable"/>
        <w:tblpPr w:leftFromText="180" w:rightFromText="180" w:vertAnchor="text" w:tblpX="28" w:tblpY="1"/>
        <w:tblW w:w="9639" w:type="dxa"/>
        <w:tblLayout w:type="fixed"/>
        <w:tblLook w:val="06E0" w:firstRow="1" w:lastRow="1" w:firstColumn="1" w:lastColumn="0" w:noHBand="1" w:noVBand="1"/>
      </w:tblPr>
      <w:tblGrid>
        <w:gridCol w:w="9639"/>
      </w:tblGrid>
      <w:tr w:rsidR="004F3169" w:rsidRPr="00892DE3" w:rsidTr="004F3169">
        <w:trPr>
          <w:cnfStyle w:val="100000000000" w:firstRow="1" w:lastRow="0" w:firstColumn="0" w:lastColumn="0" w:oddVBand="0" w:evenVBand="0" w:oddHBand="0" w:evenHBand="0" w:firstRowFirstColumn="0" w:firstRowLastColumn="0" w:lastRowFirstColumn="0" w:lastRowLastColumn="0"/>
        </w:trPr>
        <w:tc>
          <w:tcPr>
            <w:tcW w:w="5000" w:type="pct"/>
          </w:tcPr>
          <w:p w:rsidR="004F3169" w:rsidRPr="00892DE3" w:rsidRDefault="004F3169" w:rsidP="00E05DBA">
            <w:r w:rsidRPr="00892DE3">
              <w:t xml:space="preserve">Guidance – Financial instruments </w:t>
            </w:r>
            <w:r w:rsidRPr="006932C9">
              <w:rPr>
                <w:i/>
              </w:rPr>
              <w:t>(continued)</w:t>
            </w:r>
          </w:p>
        </w:tc>
      </w:tr>
      <w:tr w:rsidR="004F3169" w:rsidRPr="00892DE3" w:rsidTr="004F3169">
        <w:trPr>
          <w:trHeight w:val="600"/>
        </w:trPr>
        <w:tc>
          <w:tcPr>
            <w:tcW w:w="5000" w:type="pct"/>
          </w:tcPr>
          <w:p w:rsidR="004F3169" w:rsidRPr="00892DE3" w:rsidRDefault="004F3169" w:rsidP="004F3169">
            <w:r w:rsidRPr="00892DE3">
              <w:t>The following table sets out the carrying amounts of recognised financial instruments that are subject to the above agreements:</w:t>
            </w:r>
          </w:p>
        </w:tc>
      </w:tr>
      <w:tr w:rsidR="004F3169" w:rsidRPr="00892DE3" w:rsidTr="004F3169">
        <w:tc>
          <w:tcPr>
            <w:tcW w:w="5000" w:type="pct"/>
          </w:tcPr>
          <w:tbl>
            <w:tblPr>
              <w:tblStyle w:val="DTFTable"/>
              <w:tblpPr w:leftFromText="180" w:rightFromText="180" w:vertAnchor="text" w:tblpX="28" w:tblpY="1"/>
              <w:tblW w:w="9423" w:type="dxa"/>
              <w:tblLayout w:type="fixed"/>
              <w:tblLook w:val="06E0" w:firstRow="1" w:lastRow="1" w:firstColumn="1" w:lastColumn="0" w:noHBand="1" w:noVBand="1"/>
            </w:tblPr>
            <w:tblGrid>
              <w:gridCol w:w="3233"/>
              <w:gridCol w:w="1346"/>
              <w:gridCol w:w="1489"/>
              <w:gridCol w:w="1379"/>
              <w:gridCol w:w="1172"/>
              <w:gridCol w:w="804"/>
            </w:tblGrid>
            <w:tr w:rsidR="00E05DBA" w:rsidRPr="00892DE3" w:rsidTr="00E05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Borders>
                    <w:bottom w:val="nil"/>
                  </w:tcBorders>
                  <w:shd w:val="clear" w:color="auto" w:fill="0072CE" w:themeFill="accent4"/>
                </w:tcPr>
                <w:p w:rsidR="004F3169" w:rsidRPr="00892DE3" w:rsidRDefault="004F3169" w:rsidP="004F3169">
                  <w:pPr>
                    <w:ind w:left="0" w:firstLine="0"/>
                    <w:rPr>
                      <w:color w:val="FFFFFF" w:themeColor="background1"/>
                    </w:rPr>
                  </w:pPr>
                </w:p>
              </w:tc>
              <w:tc>
                <w:tcPr>
                  <w:tcW w:w="1346" w:type="dxa"/>
                  <w:tcBorders>
                    <w:bottom w:val="nil"/>
                  </w:tcBorders>
                  <w:shd w:val="clear" w:color="auto" w:fill="0072CE" w:themeFill="accent4"/>
                </w:tcPr>
                <w:p w:rsidR="004F3169" w:rsidRPr="00892DE3" w:rsidRDefault="004F3169" w:rsidP="004F316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Gross amounts of financial instruments in the balance sheet</w:t>
                  </w:r>
                </w:p>
              </w:tc>
              <w:tc>
                <w:tcPr>
                  <w:tcW w:w="1489" w:type="dxa"/>
                  <w:tcBorders>
                    <w:bottom w:val="nil"/>
                  </w:tcBorders>
                  <w:shd w:val="clear" w:color="auto" w:fill="0072CE" w:themeFill="accent4"/>
                </w:tcPr>
                <w:p w:rsidR="004F3169" w:rsidRPr="00892DE3" w:rsidRDefault="004F3169" w:rsidP="004F316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Amounts offset when determining net amounts in balance sheet</w:t>
                  </w:r>
                </w:p>
              </w:tc>
              <w:tc>
                <w:tcPr>
                  <w:tcW w:w="1379" w:type="dxa"/>
                  <w:tcBorders>
                    <w:bottom w:val="nil"/>
                  </w:tcBorders>
                  <w:shd w:val="clear" w:color="auto" w:fill="0072CE" w:themeFill="accent4"/>
                </w:tcPr>
                <w:p w:rsidR="004F3169" w:rsidRPr="00892DE3" w:rsidRDefault="004F3169" w:rsidP="004F316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Net amounts of financial instruments in the balance sheet</w:t>
                  </w:r>
                </w:p>
              </w:tc>
              <w:tc>
                <w:tcPr>
                  <w:tcW w:w="1172" w:type="dxa"/>
                  <w:tcBorders>
                    <w:bottom w:val="nil"/>
                  </w:tcBorders>
                  <w:shd w:val="clear" w:color="auto" w:fill="0072CE" w:themeFill="accent4"/>
                </w:tcPr>
                <w:p w:rsidR="004F3169" w:rsidRPr="00892DE3" w:rsidRDefault="004F3169" w:rsidP="004F316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Related financial instruments that are not offset</w:t>
                  </w:r>
                </w:p>
              </w:tc>
              <w:tc>
                <w:tcPr>
                  <w:tcW w:w="804" w:type="dxa"/>
                  <w:tcBorders>
                    <w:bottom w:val="nil"/>
                  </w:tcBorders>
                  <w:shd w:val="clear" w:color="auto" w:fill="0072CE" w:themeFill="accent4"/>
                </w:tcPr>
                <w:p w:rsidR="004F3169" w:rsidRPr="00892DE3" w:rsidRDefault="004F3169" w:rsidP="004F316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Net amount</w:t>
                  </w:r>
                </w:p>
              </w:tc>
            </w:tr>
            <w:tr w:rsidR="004F3169" w:rsidRPr="00892DE3" w:rsidTr="00E05DBA">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rsidR="004F3169" w:rsidRPr="00892DE3" w:rsidRDefault="004F3169" w:rsidP="004F3169">
                  <w:pPr>
                    <w:rPr>
                      <w:b/>
                      <w:color w:val="0072CE" w:themeColor="accent4"/>
                    </w:rPr>
                  </w:pPr>
                  <w:r w:rsidRPr="00892DE3">
                    <w:rPr>
                      <w:b/>
                      <w:color w:val="0072CE" w:themeColor="accent4"/>
                    </w:rPr>
                    <w:t xml:space="preserve">30 June 2017 </w:t>
                  </w:r>
                  <w:r w:rsidR="00E05DBA" w:rsidRPr="00892DE3">
                    <w:rPr>
                      <w:b/>
                      <w:color w:val="0072CE" w:themeColor="accent4"/>
                      <w:vertAlign w:val="superscript"/>
                    </w:rPr>
                    <w:t>(a</w:t>
                  </w:r>
                  <w:r w:rsidRPr="00892DE3">
                    <w:rPr>
                      <w:b/>
                      <w:color w:val="0072CE" w:themeColor="accent4"/>
                      <w:vertAlign w:val="superscript"/>
                    </w:rPr>
                    <w:t>)</w:t>
                  </w:r>
                </w:p>
              </w:tc>
              <w:tc>
                <w:tcPr>
                  <w:tcW w:w="1346" w:type="dxa"/>
                  <w:tcBorders>
                    <w:top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489" w:type="dxa"/>
                  <w:tcBorders>
                    <w:top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379" w:type="dxa"/>
                  <w:tcBorders>
                    <w:top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172" w:type="dxa"/>
                  <w:tcBorders>
                    <w:top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804" w:type="dxa"/>
                  <w:tcBorders>
                    <w:top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r>
            <w:tr w:rsidR="004F3169" w:rsidRPr="00892DE3" w:rsidTr="00E05DBA">
              <w:tc>
                <w:tcPr>
                  <w:cnfStyle w:val="001000000000" w:firstRow="0" w:lastRow="0" w:firstColumn="1" w:lastColumn="0" w:oddVBand="0" w:evenVBand="0" w:oddHBand="0" w:evenHBand="0" w:firstRowFirstColumn="0" w:firstRowLastColumn="0" w:lastRowFirstColumn="0" w:lastRowLastColumn="0"/>
                  <w:tcW w:w="3233" w:type="dxa"/>
                </w:tcPr>
                <w:p w:rsidR="004F3169" w:rsidRPr="00892DE3" w:rsidRDefault="004F3169" w:rsidP="004F3169">
                  <w:pPr>
                    <w:rPr>
                      <w:b/>
                      <w:color w:val="0072CE" w:themeColor="accent4"/>
                    </w:rPr>
                  </w:pPr>
                  <w:r w:rsidRPr="00892DE3">
                    <w:rPr>
                      <w:b/>
                      <w:color w:val="0072CE" w:themeColor="accent4"/>
                    </w:rPr>
                    <w:t>Financial assets</w:t>
                  </w:r>
                </w:p>
              </w:tc>
              <w:tc>
                <w:tcPr>
                  <w:tcW w:w="1346"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489"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379"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172"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804"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r>
            <w:tr w:rsidR="004F3169" w:rsidRPr="00892DE3" w:rsidTr="00E05DBA">
              <w:tc>
                <w:tcPr>
                  <w:cnfStyle w:val="001000000000" w:firstRow="0" w:lastRow="0" w:firstColumn="1" w:lastColumn="0" w:oddVBand="0" w:evenVBand="0" w:oddHBand="0" w:evenHBand="0" w:firstRowFirstColumn="0" w:firstRowLastColumn="0" w:lastRowFirstColumn="0" w:lastRowLastColumn="0"/>
                  <w:tcW w:w="3233" w:type="dxa"/>
                </w:tcPr>
                <w:p w:rsidR="004F3169" w:rsidRPr="00892DE3" w:rsidRDefault="004F3169" w:rsidP="004F3169">
                  <w:pPr>
                    <w:rPr>
                      <w:color w:val="0072CE" w:themeColor="accent4"/>
                    </w:rPr>
                  </w:pPr>
                  <w:r w:rsidRPr="00892DE3">
                    <w:rPr>
                      <w:color w:val="0072CE" w:themeColor="accent4"/>
                    </w:rPr>
                    <w:t>Other investments, including derivatives</w:t>
                  </w:r>
                </w:p>
              </w:tc>
              <w:tc>
                <w:tcPr>
                  <w:tcW w:w="1346"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4F3169" w:rsidRPr="00892DE3" w:rsidTr="00E05DBA">
              <w:tc>
                <w:tcPr>
                  <w:cnfStyle w:val="001000000000" w:firstRow="0" w:lastRow="0" w:firstColumn="1" w:lastColumn="0" w:oddVBand="0" w:evenVBand="0" w:oddHBand="0" w:evenHBand="0" w:firstRowFirstColumn="0" w:firstRowLastColumn="0" w:lastRowFirstColumn="0" w:lastRowLastColumn="0"/>
                  <w:tcW w:w="3233" w:type="dxa"/>
                </w:tcPr>
                <w:p w:rsidR="004F3169" w:rsidRPr="00892DE3" w:rsidRDefault="004F3169" w:rsidP="004F3169">
                  <w:pPr>
                    <w:rPr>
                      <w:color w:val="0072CE" w:themeColor="accent4"/>
                    </w:rPr>
                  </w:pPr>
                  <w:r w:rsidRPr="00892DE3">
                    <w:rPr>
                      <w:color w:val="0072CE" w:themeColor="accent4"/>
                    </w:rPr>
                    <w:t>Interest rate swaps used for hedging</w:t>
                  </w:r>
                </w:p>
              </w:tc>
              <w:tc>
                <w:tcPr>
                  <w:tcW w:w="1346"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4F3169" w:rsidRPr="00892DE3" w:rsidTr="00E05DBA">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rsidR="004F3169" w:rsidRPr="00892DE3" w:rsidRDefault="004F3169" w:rsidP="004F3169">
                  <w:pPr>
                    <w:rPr>
                      <w:color w:val="0072CE" w:themeColor="accent4"/>
                    </w:rPr>
                  </w:pPr>
                  <w:r w:rsidRPr="00892DE3">
                    <w:rPr>
                      <w:color w:val="0072CE" w:themeColor="accent4"/>
                    </w:rPr>
                    <w:t>Forward exchange contracts used for hedging</w:t>
                  </w:r>
                </w:p>
              </w:tc>
              <w:tc>
                <w:tcPr>
                  <w:tcW w:w="1346" w:type="dxa"/>
                  <w:tcBorders>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Borders>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Borders>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Borders>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Borders>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4F3169" w:rsidRPr="00892DE3" w:rsidTr="00E05DBA">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0072CE" w:themeColor="accent4"/>
                  </w:tcBorders>
                </w:tcPr>
                <w:p w:rsidR="004F3169" w:rsidRPr="00892DE3" w:rsidRDefault="004F3169" w:rsidP="004F3169">
                  <w:pPr>
                    <w:rPr>
                      <w:color w:val="0072CE" w:themeColor="accent4"/>
                    </w:rPr>
                  </w:pPr>
                  <w:r w:rsidRPr="00892DE3">
                    <w:rPr>
                      <w:color w:val="0072CE" w:themeColor="accent4"/>
                    </w:rPr>
                    <w:t>Other forward exchange contracts</w:t>
                  </w:r>
                </w:p>
              </w:tc>
              <w:tc>
                <w:tcPr>
                  <w:tcW w:w="1346" w:type="dxa"/>
                  <w:tcBorders>
                    <w:bottom w:val="single" w:sz="6" w:space="0" w:color="0072CE" w:themeColor="accent4"/>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Borders>
                    <w:bottom w:val="single" w:sz="6" w:space="0" w:color="0072CE" w:themeColor="accent4"/>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Borders>
                    <w:bottom w:val="single" w:sz="6" w:space="0" w:color="0072CE" w:themeColor="accent4"/>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Borders>
                    <w:bottom w:val="single" w:sz="6" w:space="0" w:color="0072CE" w:themeColor="accent4"/>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Borders>
                    <w:bottom w:val="single" w:sz="6" w:space="0" w:color="0072CE" w:themeColor="accent4"/>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4F3169" w:rsidRPr="00892DE3" w:rsidTr="00E05DBA">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0072CE" w:themeColor="accent4"/>
                    <w:bottom w:val="nil"/>
                  </w:tcBorders>
                </w:tcPr>
                <w:p w:rsidR="004F3169" w:rsidRPr="00892DE3" w:rsidRDefault="004F3169" w:rsidP="004F3169">
                  <w:pPr>
                    <w:rPr>
                      <w:b/>
                      <w:color w:val="0072CE" w:themeColor="accent4"/>
                    </w:rPr>
                  </w:pPr>
                  <w:r w:rsidRPr="00892DE3">
                    <w:rPr>
                      <w:b/>
                      <w:color w:val="0072CE" w:themeColor="accent4"/>
                    </w:rPr>
                    <w:t>Financial liabilities</w:t>
                  </w:r>
                </w:p>
              </w:tc>
              <w:tc>
                <w:tcPr>
                  <w:tcW w:w="1346" w:type="dxa"/>
                  <w:tcBorders>
                    <w:top w:val="single" w:sz="6" w:space="0" w:color="0072CE" w:themeColor="accent4"/>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489" w:type="dxa"/>
                  <w:tcBorders>
                    <w:top w:val="single" w:sz="6" w:space="0" w:color="0072CE" w:themeColor="accent4"/>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379" w:type="dxa"/>
                  <w:tcBorders>
                    <w:top w:val="single" w:sz="6" w:space="0" w:color="0072CE" w:themeColor="accent4"/>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172" w:type="dxa"/>
                  <w:tcBorders>
                    <w:top w:val="single" w:sz="6" w:space="0" w:color="0072CE" w:themeColor="accent4"/>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804" w:type="dxa"/>
                  <w:tcBorders>
                    <w:top w:val="single" w:sz="6" w:space="0" w:color="0072CE" w:themeColor="accent4"/>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r>
            <w:tr w:rsidR="004F3169" w:rsidRPr="00892DE3" w:rsidTr="00E05DBA">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rsidR="004F3169" w:rsidRPr="00892DE3" w:rsidRDefault="004F3169" w:rsidP="004F3169">
                  <w:pPr>
                    <w:rPr>
                      <w:color w:val="0072CE" w:themeColor="accent4"/>
                    </w:rPr>
                  </w:pPr>
                  <w:r w:rsidRPr="00892DE3">
                    <w:rPr>
                      <w:color w:val="0072CE" w:themeColor="accent4"/>
                    </w:rPr>
                    <w:t>Trade and other payables</w:t>
                  </w:r>
                </w:p>
              </w:tc>
              <w:tc>
                <w:tcPr>
                  <w:tcW w:w="1346" w:type="dxa"/>
                  <w:tcBorders>
                    <w:top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Borders>
                    <w:top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Borders>
                    <w:top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Borders>
                    <w:top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Borders>
                    <w:top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4F3169" w:rsidRPr="00892DE3" w:rsidTr="00E05DBA">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rsidR="004F3169" w:rsidRPr="00892DE3" w:rsidRDefault="004F3169" w:rsidP="004F3169">
                  <w:pPr>
                    <w:rPr>
                      <w:color w:val="0072CE" w:themeColor="accent4"/>
                    </w:rPr>
                  </w:pPr>
                  <w:r w:rsidRPr="00892DE3">
                    <w:rPr>
                      <w:color w:val="0072CE" w:themeColor="accent4"/>
                    </w:rPr>
                    <w:t>Interest rate swaps used for hedging</w:t>
                  </w:r>
                </w:p>
              </w:tc>
              <w:tc>
                <w:tcPr>
                  <w:tcW w:w="1346" w:type="dxa"/>
                  <w:tcBorders>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Borders>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Borders>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Borders>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Borders>
                    <w:bottom w:val="nil"/>
                  </w:tcBorders>
                </w:tcPr>
                <w:p w:rsidR="004F3169" w:rsidRPr="00892DE3" w:rsidRDefault="004F3169" w:rsidP="004F3169">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4F3169" w:rsidRPr="00892DE3" w:rsidTr="00E05DB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Borders>
                    <w:top w:val="nil"/>
                    <w:bottom w:val="single" w:sz="12" w:space="0" w:color="0072CE" w:themeColor="accent4"/>
                  </w:tcBorders>
                </w:tcPr>
                <w:p w:rsidR="004F3169" w:rsidRPr="00892DE3" w:rsidRDefault="004F3169" w:rsidP="004F3169">
                  <w:pPr>
                    <w:rPr>
                      <w:b w:val="0"/>
                      <w:color w:val="0072CE" w:themeColor="accent4"/>
                    </w:rPr>
                  </w:pPr>
                  <w:r w:rsidRPr="00892DE3">
                    <w:rPr>
                      <w:b w:val="0"/>
                      <w:color w:val="0072CE" w:themeColor="accent4"/>
                    </w:rPr>
                    <w:t>Forward exchange contracts used for hedging</w:t>
                  </w:r>
                </w:p>
              </w:tc>
              <w:tc>
                <w:tcPr>
                  <w:tcW w:w="1346" w:type="dxa"/>
                  <w:tcBorders>
                    <w:top w:val="nil"/>
                    <w:bottom w:val="single" w:sz="12" w:space="0" w:color="0072CE" w:themeColor="accent4"/>
                  </w:tcBorders>
                </w:tcPr>
                <w:p w:rsidR="004F3169" w:rsidRPr="00892DE3" w:rsidRDefault="004F3169" w:rsidP="004F3169">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892DE3">
                    <w:rPr>
                      <w:rStyle w:val="SourceReference"/>
                    </w:rPr>
                    <w:t>[$XXX]</w:t>
                  </w:r>
                </w:p>
              </w:tc>
              <w:tc>
                <w:tcPr>
                  <w:tcW w:w="1489" w:type="dxa"/>
                  <w:tcBorders>
                    <w:top w:val="nil"/>
                    <w:bottom w:val="single" w:sz="12" w:space="0" w:color="0072CE" w:themeColor="accent4"/>
                  </w:tcBorders>
                </w:tcPr>
                <w:p w:rsidR="004F3169" w:rsidRPr="00892DE3" w:rsidRDefault="004F3169" w:rsidP="004F3169">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892DE3">
                    <w:rPr>
                      <w:rStyle w:val="SourceReference"/>
                    </w:rPr>
                    <w:t>[$XXX]</w:t>
                  </w:r>
                </w:p>
              </w:tc>
              <w:tc>
                <w:tcPr>
                  <w:tcW w:w="1379" w:type="dxa"/>
                  <w:tcBorders>
                    <w:top w:val="nil"/>
                    <w:bottom w:val="single" w:sz="12" w:space="0" w:color="0072CE" w:themeColor="accent4"/>
                  </w:tcBorders>
                </w:tcPr>
                <w:p w:rsidR="004F3169" w:rsidRPr="00892DE3" w:rsidRDefault="004F3169" w:rsidP="004F3169">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892DE3">
                    <w:rPr>
                      <w:rStyle w:val="SourceReference"/>
                    </w:rPr>
                    <w:t>[$XXX]</w:t>
                  </w:r>
                </w:p>
              </w:tc>
              <w:tc>
                <w:tcPr>
                  <w:tcW w:w="1172" w:type="dxa"/>
                  <w:tcBorders>
                    <w:top w:val="nil"/>
                    <w:bottom w:val="single" w:sz="12" w:space="0" w:color="0072CE" w:themeColor="accent4"/>
                  </w:tcBorders>
                </w:tcPr>
                <w:p w:rsidR="004F3169" w:rsidRPr="00892DE3" w:rsidRDefault="004F3169" w:rsidP="004F3169">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892DE3">
                    <w:rPr>
                      <w:rStyle w:val="SourceReference"/>
                    </w:rPr>
                    <w:t>[$XXX]</w:t>
                  </w:r>
                </w:p>
              </w:tc>
              <w:tc>
                <w:tcPr>
                  <w:tcW w:w="804" w:type="dxa"/>
                  <w:tcBorders>
                    <w:top w:val="nil"/>
                    <w:bottom w:val="single" w:sz="12" w:space="0" w:color="0072CE" w:themeColor="accent4"/>
                  </w:tcBorders>
                </w:tcPr>
                <w:p w:rsidR="004F3169" w:rsidRPr="00892DE3" w:rsidRDefault="004F3169" w:rsidP="004F3169">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892DE3">
                    <w:rPr>
                      <w:rStyle w:val="SourceReference"/>
                    </w:rPr>
                    <w:t>[$XXX]</w:t>
                  </w:r>
                </w:p>
              </w:tc>
            </w:tr>
          </w:tbl>
          <w:p w:rsidR="004F3169" w:rsidRPr="00892DE3" w:rsidRDefault="004F3169" w:rsidP="004F3169">
            <w:pPr>
              <w:pStyle w:val="Note"/>
              <w:ind w:left="341"/>
            </w:pPr>
            <w:r w:rsidRPr="00892DE3">
              <w:t>Note:</w:t>
            </w:r>
          </w:p>
          <w:p w:rsidR="004F3169" w:rsidRPr="00892DE3" w:rsidRDefault="004F3169" w:rsidP="00E05DBA">
            <w:pPr>
              <w:pStyle w:val="Note"/>
              <w:ind w:left="341"/>
            </w:pPr>
            <w:r w:rsidRPr="00892DE3">
              <w:t>(</w:t>
            </w:r>
            <w:r w:rsidR="00E05DBA" w:rsidRPr="00892DE3">
              <w:t>a</w:t>
            </w:r>
            <w:r w:rsidRPr="00892DE3">
              <w:t>)</w:t>
            </w:r>
            <w:r w:rsidRPr="00892DE3">
              <w:tab/>
              <w:t>Comparatives will be required for disclosure.</w:t>
            </w:r>
          </w:p>
        </w:tc>
      </w:tr>
    </w:tbl>
    <w:p w:rsidR="004F3169" w:rsidRPr="00892DE3" w:rsidRDefault="004F3169" w:rsidP="004F3169"/>
    <w:p w:rsidR="00E05DBA" w:rsidRPr="00892DE3" w:rsidRDefault="00E05DBA">
      <w:pPr>
        <w:keepLines w:val="0"/>
        <w:rPr>
          <w:rFonts w:asciiTheme="majorHAnsi" w:eastAsiaTheme="majorEastAsia" w:hAnsiTheme="majorHAnsi" w:cstheme="majorBidi"/>
          <w:b/>
          <w:bCs/>
          <w:spacing w:val="-2"/>
          <w:sz w:val="20"/>
          <w:szCs w:val="26"/>
        </w:rPr>
      </w:pPr>
      <w:r w:rsidRPr="00892DE3">
        <w:br w:type="page"/>
      </w:r>
    </w:p>
    <w:p w:rsidR="004F3169" w:rsidRPr="00892DE3" w:rsidRDefault="004F3169" w:rsidP="00D31BB8">
      <w:pPr>
        <w:pStyle w:val="Heading3"/>
      </w:pPr>
      <w:r w:rsidRPr="00892DE3">
        <w:t xml:space="preserve">Financial instruments: Categorisation </w:t>
      </w:r>
      <w:r w:rsidRPr="00892DE3">
        <w:rPr>
          <w:rStyle w:val="SourceReference"/>
          <w:b w:val="0"/>
        </w:rPr>
        <w:t>[AASB 7.8]</w:t>
      </w:r>
    </w:p>
    <w:p w:rsidR="004F3169" w:rsidRPr="00892DE3" w:rsidRDefault="004F3169" w:rsidP="004F3169">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1985"/>
        <w:gridCol w:w="259"/>
        <w:gridCol w:w="1331"/>
        <w:gridCol w:w="1400"/>
        <w:gridCol w:w="1262"/>
        <w:gridCol w:w="1448"/>
        <w:gridCol w:w="1242"/>
        <w:gridCol w:w="710"/>
      </w:tblGrid>
      <w:tr w:rsidR="004F3169" w:rsidRPr="00892DE3" w:rsidTr="00C745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hideMark/>
          </w:tcPr>
          <w:p w:rsidR="004F3169" w:rsidRPr="00892DE3" w:rsidRDefault="004F3169" w:rsidP="004F3169">
            <w:pPr>
              <w:spacing w:after="0"/>
              <w:ind w:left="0" w:firstLine="0"/>
            </w:pPr>
            <w:r w:rsidRPr="00892DE3">
              <w:br/>
            </w:r>
            <w:r w:rsidRPr="00892DE3">
              <w:br/>
              <w:t>2017</w:t>
            </w:r>
          </w:p>
        </w:tc>
        <w:tc>
          <w:tcPr>
            <w:tcW w:w="1590" w:type="dxa"/>
            <w:gridSpan w:val="2"/>
            <w:hideMark/>
          </w:tcPr>
          <w:p w:rsidR="004F3169" w:rsidRPr="00892DE3" w:rsidRDefault="004F3169" w:rsidP="004F3169">
            <w:pPr>
              <w:spacing w:after="0"/>
              <w:cnfStyle w:val="100000000000" w:firstRow="1" w:lastRow="0" w:firstColumn="0" w:lastColumn="0" w:oddVBand="0" w:evenVBand="0" w:oddHBand="0" w:evenHBand="0" w:firstRowFirstColumn="0" w:firstRowLastColumn="0" w:lastRowFirstColumn="0" w:lastRowLastColumn="0"/>
            </w:pPr>
            <w:r w:rsidRPr="00892DE3">
              <w:t>Contractual financial assets/liabilities designated at fair value through profit/loss</w:t>
            </w:r>
          </w:p>
        </w:tc>
        <w:tc>
          <w:tcPr>
            <w:tcW w:w="1400" w:type="dxa"/>
            <w:hideMark/>
          </w:tcPr>
          <w:p w:rsidR="004F3169" w:rsidRPr="00892DE3" w:rsidRDefault="004F3169" w:rsidP="004F3169">
            <w:pPr>
              <w:spacing w:after="0"/>
              <w:cnfStyle w:val="100000000000" w:firstRow="1" w:lastRow="0" w:firstColumn="0" w:lastColumn="0" w:oddVBand="0" w:evenVBand="0" w:oddHBand="0" w:evenHBand="0" w:firstRowFirstColumn="0" w:firstRowLastColumn="0" w:lastRowFirstColumn="0" w:lastRowLastColumn="0"/>
            </w:pPr>
            <w:r w:rsidRPr="00892DE3">
              <w:t>Contractual financial assets/liabilities held</w:t>
            </w:r>
            <w:r w:rsidRPr="00892DE3">
              <w:noBreakHyphen/>
              <w:t>for</w:t>
            </w:r>
            <w:r w:rsidRPr="00892DE3">
              <w:noBreakHyphen/>
              <w:t>trading at fair value through profit/loss</w:t>
            </w:r>
          </w:p>
        </w:tc>
        <w:tc>
          <w:tcPr>
            <w:tcW w:w="1262" w:type="dxa"/>
          </w:tcPr>
          <w:p w:rsidR="004F3169" w:rsidRPr="00892DE3" w:rsidRDefault="004F3169" w:rsidP="004F3169">
            <w:pPr>
              <w:spacing w:after="0"/>
              <w:cnfStyle w:val="100000000000" w:firstRow="1" w:lastRow="0" w:firstColumn="0" w:lastColumn="0" w:oddVBand="0" w:evenVBand="0" w:oddHBand="0" w:evenHBand="0" w:firstRowFirstColumn="0" w:firstRowLastColumn="0" w:lastRowFirstColumn="0" w:lastRowLastColumn="0"/>
            </w:pPr>
            <w:r w:rsidRPr="00892DE3">
              <w:br/>
              <w:t xml:space="preserve">Contractual financial assets – loans and receivables and cash </w:t>
            </w:r>
          </w:p>
        </w:tc>
        <w:tc>
          <w:tcPr>
            <w:tcW w:w="1448" w:type="dxa"/>
          </w:tcPr>
          <w:p w:rsidR="004F3169" w:rsidRPr="00892DE3" w:rsidRDefault="004F3169" w:rsidP="004F3169">
            <w:pPr>
              <w:spacing w:after="0"/>
              <w:cnfStyle w:val="100000000000" w:firstRow="1" w:lastRow="0" w:firstColumn="0" w:lastColumn="0" w:oddVBand="0" w:evenVBand="0" w:oddHBand="0" w:evenHBand="0" w:firstRowFirstColumn="0" w:firstRowLastColumn="0" w:lastRowFirstColumn="0" w:lastRowLastColumn="0"/>
            </w:pPr>
            <w:r w:rsidRPr="00892DE3">
              <w:br/>
              <w:t xml:space="preserve">Contractual </w:t>
            </w:r>
            <w:r w:rsidRPr="00892DE3">
              <w:br/>
              <w:t>financial assets – available</w:t>
            </w:r>
            <w:r w:rsidRPr="00892DE3">
              <w:noBreakHyphen/>
              <w:t>for</w:t>
            </w:r>
            <w:r w:rsidRPr="00892DE3">
              <w:noBreakHyphen/>
              <w:t>sale</w:t>
            </w:r>
          </w:p>
        </w:tc>
        <w:tc>
          <w:tcPr>
            <w:tcW w:w="1242" w:type="dxa"/>
          </w:tcPr>
          <w:p w:rsidR="004F3169" w:rsidRPr="00892DE3" w:rsidRDefault="004F3169" w:rsidP="004F3169">
            <w:pPr>
              <w:spacing w:after="0"/>
              <w:cnfStyle w:val="100000000000" w:firstRow="1" w:lastRow="0" w:firstColumn="0" w:lastColumn="0" w:oddVBand="0" w:evenVBand="0" w:oddHBand="0" w:evenHBand="0" w:firstRowFirstColumn="0" w:firstRowLastColumn="0" w:lastRowFirstColumn="0" w:lastRowLastColumn="0"/>
            </w:pPr>
            <w:r w:rsidRPr="00892DE3">
              <w:br/>
              <w:t xml:space="preserve">Contractual financial liabilities at </w:t>
            </w:r>
            <w:r w:rsidRPr="00892DE3">
              <w:br/>
              <w:t>amortised cost</w:t>
            </w:r>
          </w:p>
        </w:tc>
        <w:tc>
          <w:tcPr>
            <w:tcW w:w="710" w:type="dxa"/>
          </w:tcPr>
          <w:p w:rsidR="004F3169" w:rsidRPr="00892DE3" w:rsidRDefault="004F3169" w:rsidP="004F3169">
            <w:pPr>
              <w:spacing w:after="0"/>
              <w:cnfStyle w:val="100000000000" w:firstRow="1" w:lastRow="0" w:firstColumn="0" w:lastColumn="0" w:oddVBand="0" w:evenVBand="0" w:oddHBand="0" w:evenHBand="0" w:firstRowFirstColumn="0" w:firstRowLastColumn="0" w:lastRowFirstColumn="0" w:lastRowLastColumn="0"/>
            </w:pPr>
            <w:r w:rsidRPr="00892DE3">
              <w:br/>
            </w:r>
            <w:r w:rsidRPr="00892DE3">
              <w:br/>
            </w:r>
            <w:r w:rsidRPr="00892DE3">
              <w:br/>
              <w:t>Total</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b/>
              </w:rPr>
            </w:pPr>
            <w:r w:rsidRPr="00892DE3">
              <w:rPr>
                <w:rFonts w:cstheme="majorHAnsi"/>
                <w:b/>
              </w:rPr>
              <w:t>Contractual financial assets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Cash and deposits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b/>
              </w:rPr>
            </w:pPr>
            <w:r w:rsidRPr="00892DE3">
              <w:rPr>
                <w:rFonts w:cstheme="majorHAnsi"/>
                <w:b/>
              </w:rPr>
              <w:t xml:space="preserve">Receivables </w:t>
            </w:r>
            <w:r w:rsidR="00E05DBA" w:rsidRPr="00892DE3">
              <w:rPr>
                <w:rFonts w:cstheme="majorHAnsi"/>
                <w:b/>
                <w:vertAlign w:val="superscript"/>
              </w:rPr>
              <w:t>(a</w:t>
            </w:r>
            <w:r w:rsidRPr="00892DE3">
              <w:rPr>
                <w:rFonts w:cstheme="majorHAnsi"/>
                <w:b/>
                <w:vertAlign w:val="superscript"/>
              </w:rPr>
              <w:t>)</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Finance lease receivables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581</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581</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Sale of goods and services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1 253</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1 253</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Loans to third parties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146</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146</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Accrued investment income</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Other receivables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b/>
              </w:rPr>
            </w:pPr>
            <w:r w:rsidRPr="00892DE3">
              <w:rPr>
                <w:rFonts w:cstheme="majorHAnsi"/>
                <w:b/>
              </w:rPr>
              <w:t>Investments and other contractual financial assets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Equities and managed investment schemes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2 065</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2 065</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Term deposits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r>
      <w:tr w:rsidR="004F3169" w:rsidRPr="00892DE3" w:rsidTr="001C6249">
        <w:tc>
          <w:tcPr>
            <w:cnfStyle w:val="001000000000" w:firstRow="0" w:lastRow="0" w:firstColumn="1" w:lastColumn="0" w:oddVBand="0" w:evenVBand="0" w:oddHBand="0" w:evenHBand="0" w:firstRowFirstColumn="0" w:firstRowLastColumn="0" w:lastRowFirstColumn="0" w:lastRowLastColumn="0"/>
            <w:tcW w:w="2244" w:type="dxa"/>
            <w:gridSpan w:val="2"/>
            <w:tcBorders>
              <w:bottom w:val="single" w:sz="6" w:space="0" w:color="auto"/>
            </w:tcBorders>
            <w:hideMark/>
          </w:tcPr>
          <w:p w:rsidR="004F3169" w:rsidRPr="00892DE3" w:rsidRDefault="004F3169" w:rsidP="004F3169">
            <w:pPr>
              <w:spacing w:after="0"/>
              <w:rPr>
                <w:rFonts w:cstheme="majorHAnsi"/>
              </w:rPr>
            </w:pPr>
            <w:r w:rsidRPr="00892DE3">
              <w:rPr>
                <w:rFonts w:cstheme="majorHAnsi"/>
              </w:rPr>
              <w:t>Debt securities</w:t>
            </w:r>
          </w:p>
        </w:tc>
        <w:tc>
          <w:tcPr>
            <w:tcW w:w="1331" w:type="dxa"/>
            <w:tcBorders>
              <w:bottom w:val="single" w:sz="6" w:space="0" w:color="auto"/>
            </w:tcBorders>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3 823</w:t>
            </w:r>
          </w:p>
        </w:tc>
        <w:tc>
          <w:tcPr>
            <w:tcW w:w="1400" w:type="dxa"/>
            <w:tcBorders>
              <w:bottom w:val="single" w:sz="6" w:space="0" w:color="auto"/>
            </w:tcBorders>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Borders>
              <w:bottom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5 198</w:t>
            </w:r>
          </w:p>
        </w:tc>
        <w:tc>
          <w:tcPr>
            <w:tcW w:w="1448" w:type="dxa"/>
            <w:tcBorders>
              <w:bottom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Borders>
              <w:bottom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Borders>
              <w:bottom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9 021</w:t>
            </w:r>
          </w:p>
        </w:tc>
      </w:tr>
      <w:tr w:rsidR="004F3169" w:rsidRPr="00892DE3" w:rsidTr="001C6249">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6" w:space="0" w:color="auto"/>
              <w:bottom w:val="single" w:sz="6" w:space="0" w:color="auto"/>
            </w:tcBorders>
            <w:hideMark/>
          </w:tcPr>
          <w:p w:rsidR="004F3169" w:rsidRPr="00892DE3" w:rsidRDefault="004F3169" w:rsidP="004F3169">
            <w:pPr>
              <w:spacing w:after="0"/>
              <w:rPr>
                <w:rFonts w:cstheme="majorHAnsi"/>
                <w:b/>
              </w:rPr>
            </w:pPr>
            <w:r w:rsidRPr="00892DE3">
              <w:rPr>
                <w:rFonts w:cstheme="majorHAnsi"/>
                <w:b/>
              </w:rPr>
              <w:t>Total contractual financial assets</w:t>
            </w:r>
          </w:p>
        </w:tc>
        <w:tc>
          <w:tcPr>
            <w:tcW w:w="1331" w:type="dxa"/>
            <w:tcBorders>
              <w:top w:val="single" w:sz="6" w:space="0" w:color="auto"/>
              <w:bottom w:val="single" w:sz="6" w:space="0" w:color="auto"/>
            </w:tcBorders>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3 823</w:t>
            </w:r>
          </w:p>
        </w:tc>
        <w:tc>
          <w:tcPr>
            <w:tcW w:w="1400" w:type="dxa"/>
            <w:tcBorders>
              <w:top w:val="single" w:sz="6" w:space="0" w:color="auto"/>
              <w:bottom w:val="single" w:sz="6" w:space="0" w:color="auto"/>
            </w:tcBorders>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262" w:type="dxa"/>
            <w:tcBorders>
              <w:top w:val="single" w:sz="6" w:space="0" w:color="auto"/>
              <w:bottom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71 793</w:t>
            </w:r>
          </w:p>
        </w:tc>
        <w:tc>
          <w:tcPr>
            <w:tcW w:w="1448" w:type="dxa"/>
            <w:tcBorders>
              <w:top w:val="single" w:sz="6" w:space="0" w:color="auto"/>
              <w:bottom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2 065</w:t>
            </w:r>
          </w:p>
        </w:tc>
        <w:tc>
          <w:tcPr>
            <w:tcW w:w="1242" w:type="dxa"/>
            <w:tcBorders>
              <w:top w:val="single" w:sz="6" w:space="0" w:color="auto"/>
              <w:bottom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10" w:type="dxa"/>
            <w:tcBorders>
              <w:top w:val="single" w:sz="6" w:space="0" w:color="auto"/>
              <w:bottom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77 681</w:t>
            </w:r>
          </w:p>
        </w:tc>
      </w:tr>
      <w:tr w:rsidR="004F3169" w:rsidRPr="00892DE3" w:rsidTr="001C6249">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6" w:space="0" w:color="auto"/>
            </w:tcBorders>
            <w:hideMark/>
          </w:tcPr>
          <w:p w:rsidR="004F3169" w:rsidRPr="00892DE3" w:rsidRDefault="004F3169" w:rsidP="004F3169">
            <w:pPr>
              <w:spacing w:after="0"/>
              <w:rPr>
                <w:rFonts w:cstheme="majorHAnsi"/>
                <w:b/>
              </w:rPr>
            </w:pPr>
            <w:r w:rsidRPr="00892DE3">
              <w:rPr>
                <w:rFonts w:cstheme="majorHAnsi"/>
                <w:b/>
              </w:rPr>
              <w:t>Contractual financial liabilities</w:t>
            </w:r>
          </w:p>
        </w:tc>
        <w:tc>
          <w:tcPr>
            <w:tcW w:w="1331" w:type="dxa"/>
            <w:tcBorders>
              <w:top w:val="single" w:sz="6" w:space="0" w:color="auto"/>
            </w:tcBorders>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00" w:type="dxa"/>
            <w:tcBorders>
              <w:top w:val="single" w:sz="6" w:space="0" w:color="auto"/>
            </w:tcBorders>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62" w:type="dxa"/>
            <w:tcBorders>
              <w:top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48" w:type="dxa"/>
            <w:tcBorders>
              <w:top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42" w:type="dxa"/>
            <w:tcBorders>
              <w:top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0" w:type="dxa"/>
            <w:tcBorders>
              <w:top w:val="single" w:sz="6"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b/>
              </w:rPr>
            </w:pPr>
            <w:r w:rsidRPr="00892DE3">
              <w:rPr>
                <w:rFonts w:cstheme="majorHAnsi"/>
                <w:b/>
              </w:rPr>
              <w:t>Payables</w:t>
            </w:r>
            <w:r w:rsidR="00E05DBA" w:rsidRPr="00892DE3">
              <w:rPr>
                <w:rFonts w:cstheme="majorHAnsi"/>
                <w:b/>
                <w:vertAlign w:val="superscript"/>
              </w:rPr>
              <w:t xml:space="preserve"> (a</w:t>
            </w:r>
            <w:r w:rsidRPr="00892DE3">
              <w:rPr>
                <w:rFonts w:cstheme="majorHAnsi"/>
                <w:b/>
                <w:vertAlign w:val="superscript"/>
              </w:rPr>
              <w:t>)</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Supplies and services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Amounts payable to government and agencies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10 890</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10 890</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Other payables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b/>
              </w:rPr>
            </w:pPr>
            <w:r w:rsidRPr="00892DE3">
              <w:rPr>
                <w:rFonts w:cstheme="majorHAnsi"/>
                <w:b/>
              </w:rPr>
              <w:t>Borrowings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Bank overdrafts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Finance lease liabilities</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8 064</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8 064</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4F3169" w:rsidRPr="00892DE3" w:rsidRDefault="004F3169" w:rsidP="004F3169">
            <w:pPr>
              <w:spacing w:after="0"/>
              <w:rPr>
                <w:rFonts w:cstheme="majorHAnsi"/>
              </w:rPr>
            </w:pPr>
            <w:r w:rsidRPr="00892DE3">
              <w:rPr>
                <w:rFonts w:cstheme="majorHAnsi"/>
              </w:rPr>
              <w:t>Advances from government</w:t>
            </w:r>
          </w:p>
        </w:tc>
        <w:tc>
          <w:tcPr>
            <w:tcW w:w="1331" w:type="dxa"/>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5 314</w:t>
            </w:r>
          </w:p>
        </w:tc>
        <w:tc>
          <w:tcPr>
            <w:tcW w:w="710" w:type="dxa"/>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5 314</w:t>
            </w:r>
          </w:p>
        </w:tc>
      </w:tr>
      <w:tr w:rsidR="004F3169" w:rsidRPr="00892DE3" w:rsidTr="004F3169">
        <w:tc>
          <w:tcPr>
            <w:cnfStyle w:val="001000000000" w:firstRow="0" w:lastRow="0" w:firstColumn="1" w:lastColumn="0" w:oddVBand="0" w:evenVBand="0" w:oddHBand="0" w:evenHBand="0" w:firstRowFirstColumn="0" w:firstRowLastColumn="0" w:lastRowFirstColumn="0" w:lastRowLastColumn="0"/>
            <w:tcW w:w="2244" w:type="dxa"/>
            <w:gridSpan w:val="2"/>
            <w:tcBorders>
              <w:bottom w:val="single" w:sz="4" w:space="0" w:color="auto"/>
            </w:tcBorders>
            <w:hideMark/>
          </w:tcPr>
          <w:p w:rsidR="004F3169" w:rsidRPr="00892DE3" w:rsidRDefault="004F3169" w:rsidP="004F3169">
            <w:pPr>
              <w:spacing w:after="0"/>
              <w:rPr>
                <w:rFonts w:cstheme="majorHAnsi"/>
              </w:rPr>
            </w:pPr>
            <w:r w:rsidRPr="00892DE3">
              <w:rPr>
                <w:rFonts w:cstheme="majorHAnsi"/>
              </w:rPr>
              <w:t>Loans from TCV</w:t>
            </w:r>
          </w:p>
        </w:tc>
        <w:tc>
          <w:tcPr>
            <w:tcW w:w="1331" w:type="dxa"/>
            <w:tcBorders>
              <w:bottom w:val="single" w:sz="4" w:space="0" w:color="auto"/>
            </w:tcBorders>
            <w:shd w:val="clear" w:color="auto" w:fill="EBEBEB" w:themeFill="background2"/>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tcBorders>
              <w:bottom w:val="single" w:sz="4" w:space="0" w:color="auto"/>
            </w:tcBorders>
            <w:noWrap/>
            <w:hideMark/>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Borders>
              <w:bottom w:val="single" w:sz="4"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Borders>
              <w:bottom w:val="single" w:sz="4"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Borders>
              <w:bottom w:val="single" w:sz="4"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c>
          <w:tcPr>
            <w:tcW w:w="710" w:type="dxa"/>
            <w:tcBorders>
              <w:bottom w:val="single" w:sz="4" w:space="0" w:color="auto"/>
            </w:tcBorders>
          </w:tcPr>
          <w:p w:rsidR="004F3169" w:rsidRPr="00892DE3" w:rsidRDefault="004F3169" w:rsidP="004F3169">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r>
      <w:tr w:rsidR="004F3169" w:rsidRPr="00892DE3" w:rsidTr="004F316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4" w:space="0" w:color="auto"/>
              <w:bottom w:val="single" w:sz="12" w:space="0" w:color="auto"/>
            </w:tcBorders>
            <w:hideMark/>
          </w:tcPr>
          <w:p w:rsidR="004F3169" w:rsidRPr="00892DE3" w:rsidRDefault="004F3169" w:rsidP="004F3169">
            <w:pPr>
              <w:spacing w:after="0"/>
              <w:rPr>
                <w:rFonts w:cstheme="majorHAnsi"/>
                <w:b w:val="0"/>
              </w:rPr>
            </w:pPr>
            <w:r w:rsidRPr="00892DE3">
              <w:rPr>
                <w:rFonts w:cstheme="majorHAnsi"/>
              </w:rPr>
              <w:t>Total contractual financial liabilities</w:t>
            </w:r>
          </w:p>
        </w:tc>
        <w:tc>
          <w:tcPr>
            <w:tcW w:w="1331" w:type="dxa"/>
            <w:tcBorders>
              <w:top w:val="single" w:sz="4" w:space="0" w:color="auto"/>
              <w:bottom w:val="single" w:sz="12" w:space="0" w:color="auto"/>
            </w:tcBorders>
            <w:shd w:val="clear" w:color="auto" w:fill="EBEBEB" w:themeFill="background2"/>
            <w:noWrap/>
            <w:hideMark/>
          </w:tcPr>
          <w:p w:rsidR="004F3169" w:rsidRPr="00892DE3" w:rsidRDefault="004F3169" w:rsidP="004F3169">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400" w:type="dxa"/>
            <w:tcBorders>
              <w:top w:val="single" w:sz="4" w:space="0" w:color="auto"/>
              <w:bottom w:val="single" w:sz="12" w:space="0" w:color="auto"/>
            </w:tcBorders>
            <w:noWrap/>
            <w:hideMark/>
          </w:tcPr>
          <w:p w:rsidR="004F3169" w:rsidRPr="00892DE3" w:rsidRDefault="004F3169" w:rsidP="004F3169">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262" w:type="dxa"/>
            <w:tcBorders>
              <w:top w:val="single" w:sz="4" w:space="0" w:color="auto"/>
              <w:bottom w:val="single" w:sz="12" w:space="0" w:color="auto"/>
            </w:tcBorders>
          </w:tcPr>
          <w:p w:rsidR="004F3169" w:rsidRPr="00892DE3" w:rsidRDefault="004F3169" w:rsidP="004F3169">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448" w:type="dxa"/>
            <w:tcBorders>
              <w:top w:val="single" w:sz="4" w:space="0" w:color="auto"/>
              <w:bottom w:val="single" w:sz="12" w:space="0" w:color="auto"/>
            </w:tcBorders>
          </w:tcPr>
          <w:p w:rsidR="004F3169" w:rsidRPr="00892DE3" w:rsidRDefault="004F3169" w:rsidP="004F3169">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242" w:type="dxa"/>
            <w:tcBorders>
              <w:top w:val="single" w:sz="4" w:space="0" w:color="auto"/>
              <w:bottom w:val="single" w:sz="12" w:space="0" w:color="auto"/>
            </w:tcBorders>
          </w:tcPr>
          <w:p w:rsidR="004F3169" w:rsidRPr="00892DE3" w:rsidRDefault="0070785E" w:rsidP="004F3169">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78 247</w:t>
            </w:r>
          </w:p>
        </w:tc>
        <w:tc>
          <w:tcPr>
            <w:tcW w:w="710" w:type="dxa"/>
            <w:tcBorders>
              <w:top w:val="single" w:sz="4" w:space="0" w:color="auto"/>
              <w:bottom w:val="single" w:sz="12" w:space="0" w:color="auto"/>
            </w:tcBorders>
          </w:tcPr>
          <w:p w:rsidR="004F3169" w:rsidRPr="00892DE3" w:rsidRDefault="0070785E" w:rsidP="004F3169">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78 247</w:t>
            </w:r>
          </w:p>
        </w:tc>
      </w:tr>
    </w:tbl>
    <w:p w:rsidR="004F3169" w:rsidRPr="00892DE3" w:rsidRDefault="004F3169" w:rsidP="004F3169">
      <w:pPr>
        <w:pStyle w:val="Note"/>
      </w:pPr>
      <w:r w:rsidRPr="00892DE3">
        <w:t>Note:</w:t>
      </w:r>
    </w:p>
    <w:p w:rsidR="004F3169" w:rsidRPr="00892DE3" w:rsidRDefault="004F3169" w:rsidP="004F3169">
      <w:pPr>
        <w:pStyle w:val="Note"/>
      </w:pPr>
      <w:r w:rsidRPr="00892DE3">
        <w:t>(</w:t>
      </w:r>
      <w:r w:rsidR="00E05DBA" w:rsidRPr="00892DE3">
        <w:t>a</w:t>
      </w:r>
      <w:r w:rsidRPr="00892DE3">
        <w:t>)</w:t>
      </w:r>
      <w:r w:rsidRPr="00892DE3">
        <w:tab/>
        <w:t xml:space="preserve">The total amounts disclosed here exclude statutory amounts (e.g. amounts owing from Victorian government and GST input tax credit recoverable and taxes payable). </w:t>
      </w:r>
      <w:r w:rsidRPr="00892DE3">
        <w:rPr>
          <w:rStyle w:val="SourceReference"/>
        </w:rPr>
        <w:t>[AASB 132.AG12]</w:t>
      </w:r>
    </w:p>
    <w:p w:rsidR="00212818" w:rsidRPr="00892DE3" w:rsidRDefault="00212818">
      <w:pPr>
        <w:keepLines w:val="0"/>
        <w:rPr>
          <w:rFonts w:asciiTheme="majorHAnsi" w:eastAsiaTheme="majorEastAsia" w:hAnsiTheme="majorHAnsi" w:cstheme="majorBidi"/>
          <w:b/>
          <w:bCs/>
          <w:spacing w:val="-2"/>
          <w:sz w:val="20"/>
          <w:szCs w:val="26"/>
        </w:rPr>
      </w:pPr>
      <w:r w:rsidRPr="00892DE3">
        <w:br w:type="page"/>
      </w:r>
    </w:p>
    <w:p w:rsidR="004F3169" w:rsidRPr="00892DE3" w:rsidRDefault="00143717" w:rsidP="00143717">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252"/>
        <w:gridCol w:w="1325"/>
        <w:gridCol w:w="1385"/>
        <w:gridCol w:w="1275"/>
        <w:gridCol w:w="1469"/>
        <w:gridCol w:w="1219"/>
        <w:gridCol w:w="712"/>
      </w:tblGrid>
      <w:tr w:rsidR="00143717" w:rsidRPr="00892DE3" w:rsidTr="001C62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ind w:left="0" w:firstLine="0"/>
            </w:pPr>
            <w:r w:rsidRPr="00892DE3">
              <w:t>2016</w:t>
            </w:r>
          </w:p>
        </w:tc>
        <w:tc>
          <w:tcPr>
            <w:tcW w:w="1325" w:type="dxa"/>
            <w:hideMark/>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t>Contractual financial assets/liabilities designated at fair value through profit/loss</w:t>
            </w:r>
          </w:p>
        </w:tc>
        <w:tc>
          <w:tcPr>
            <w:tcW w:w="1385" w:type="dxa"/>
            <w:hideMark/>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t>Contractual financial assets/liabilities held</w:t>
            </w:r>
            <w:r w:rsidRPr="00892DE3">
              <w:noBreakHyphen/>
              <w:t>for</w:t>
            </w:r>
            <w:r w:rsidRPr="00892DE3">
              <w:noBreakHyphen/>
              <w:t>trading at fair value through profit/loss</w:t>
            </w:r>
          </w:p>
        </w:tc>
        <w:tc>
          <w:tcPr>
            <w:tcW w:w="1275" w:type="dxa"/>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br/>
              <w:t xml:space="preserve">Contractual financial assets – loans and receivables and cash </w:t>
            </w:r>
          </w:p>
        </w:tc>
        <w:tc>
          <w:tcPr>
            <w:tcW w:w="1469" w:type="dxa"/>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br/>
              <w:t xml:space="preserve">Contractual </w:t>
            </w:r>
            <w:r w:rsidRPr="00892DE3">
              <w:br/>
              <w:t>financial assets – available</w:t>
            </w:r>
            <w:r w:rsidRPr="00892DE3">
              <w:noBreakHyphen/>
              <w:t>for</w:t>
            </w:r>
            <w:r w:rsidRPr="00892DE3">
              <w:noBreakHyphen/>
              <w:t>sale</w:t>
            </w:r>
          </w:p>
        </w:tc>
        <w:tc>
          <w:tcPr>
            <w:tcW w:w="1219" w:type="dxa"/>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br/>
              <w:t xml:space="preserve">Contractual financial liabilities at </w:t>
            </w:r>
            <w:r w:rsidRPr="00892DE3">
              <w:br/>
              <w:t>amortised cost</w:t>
            </w:r>
          </w:p>
        </w:tc>
        <w:tc>
          <w:tcPr>
            <w:tcW w:w="712" w:type="dxa"/>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br/>
            </w:r>
            <w:r w:rsidRPr="00892DE3">
              <w:br/>
            </w:r>
            <w:r w:rsidRPr="00892DE3">
              <w:br/>
              <w:t>Total</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b/>
              </w:rPr>
            </w:pPr>
            <w:r w:rsidRPr="00892DE3">
              <w:rPr>
                <w:rFonts w:cstheme="majorHAnsi"/>
                <w:b/>
              </w:rPr>
              <w:t>Contractual financial assets</w:t>
            </w:r>
          </w:p>
        </w:tc>
        <w:tc>
          <w:tcPr>
            <w:tcW w:w="1325" w:type="dxa"/>
            <w:shd w:val="clear" w:color="auto" w:fill="EBEBEB" w:themeFill="background2"/>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385" w:type="dxa"/>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6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1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Cash and deposits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b/>
              </w:rPr>
            </w:pPr>
            <w:r w:rsidRPr="00892DE3">
              <w:rPr>
                <w:rFonts w:cstheme="majorHAnsi"/>
                <w:b/>
              </w:rPr>
              <w:t xml:space="preserve">Receivables </w:t>
            </w:r>
            <w:r w:rsidR="00212818" w:rsidRPr="00892DE3">
              <w:rPr>
                <w:rFonts w:cstheme="majorHAnsi"/>
                <w:b/>
                <w:vertAlign w:val="superscript"/>
              </w:rPr>
              <w:t>(a</w:t>
            </w:r>
            <w:r w:rsidRPr="00892DE3">
              <w:rPr>
                <w:rFonts w:cstheme="majorHAnsi"/>
                <w:b/>
                <w:vertAlign w:val="superscript"/>
              </w:rPr>
              <w:t>)</w:t>
            </w:r>
          </w:p>
        </w:tc>
        <w:tc>
          <w:tcPr>
            <w:tcW w:w="1325" w:type="dxa"/>
            <w:shd w:val="clear" w:color="auto" w:fill="EBEBEB" w:themeFill="background2"/>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385" w:type="dxa"/>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6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1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Finance lease receivables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1 231</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1 231</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Sale of goods and services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985</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985</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Loans to third parties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485</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485</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Accrued investment income</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1 058</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1 058</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Other receivables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438</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438</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b/>
              </w:rPr>
            </w:pPr>
            <w:r w:rsidRPr="00892DE3">
              <w:rPr>
                <w:rFonts w:cstheme="majorHAnsi"/>
                <w:b/>
              </w:rPr>
              <w:t>Investments and other contractual financial assets</w:t>
            </w:r>
          </w:p>
        </w:tc>
        <w:tc>
          <w:tcPr>
            <w:tcW w:w="1325" w:type="dxa"/>
            <w:shd w:val="clear" w:color="auto" w:fill="EBEBEB" w:themeFill="background2"/>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385" w:type="dxa"/>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46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21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Equities and managed investment schemes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4 179</w:t>
            </w:r>
          </w:p>
        </w:tc>
        <w:tc>
          <w:tcPr>
            <w:tcW w:w="121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4 179</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Term deposits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5 130</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5 130</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tcBorders>
              <w:bottom w:val="single" w:sz="6" w:space="0" w:color="auto"/>
            </w:tcBorders>
            <w:hideMark/>
          </w:tcPr>
          <w:p w:rsidR="00143717" w:rsidRPr="00892DE3" w:rsidRDefault="00143717" w:rsidP="00143717">
            <w:pPr>
              <w:rPr>
                <w:rFonts w:cstheme="majorHAnsi"/>
              </w:rPr>
            </w:pPr>
            <w:r w:rsidRPr="00892DE3">
              <w:rPr>
                <w:rFonts w:cstheme="majorHAnsi"/>
              </w:rPr>
              <w:t>Debt securities</w:t>
            </w:r>
          </w:p>
        </w:tc>
        <w:tc>
          <w:tcPr>
            <w:tcW w:w="1325" w:type="dxa"/>
            <w:tcBorders>
              <w:bottom w:val="single" w:sz="6" w:space="0" w:color="auto"/>
            </w:tcBorders>
            <w:shd w:val="clear" w:color="auto" w:fill="EBEBEB" w:themeFill="background2"/>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1 000</w:t>
            </w:r>
          </w:p>
        </w:tc>
        <w:tc>
          <w:tcPr>
            <w:tcW w:w="1385" w:type="dxa"/>
            <w:tcBorders>
              <w:bottom w:val="single" w:sz="6" w:space="0" w:color="auto"/>
            </w:tcBorders>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Borders>
              <w:bottom w:val="single" w:sz="6"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6 422</w:t>
            </w:r>
          </w:p>
        </w:tc>
        <w:tc>
          <w:tcPr>
            <w:tcW w:w="1469" w:type="dxa"/>
            <w:tcBorders>
              <w:bottom w:val="single" w:sz="6" w:space="0" w:color="auto"/>
            </w:tcBorders>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Borders>
              <w:bottom w:val="single" w:sz="6" w:space="0" w:color="auto"/>
            </w:tcBorders>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Borders>
              <w:bottom w:val="single" w:sz="6"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7 422</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tcBorders>
              <w:top w:val="single" w:sz="6" w:space="0" w:color="auto"/>
              <w:bottom w:val="single" w:sz="6" w:space="0" w:color="auto"/>
            </w:tcBorders>
            <w:hideMark/>
          </w:tcPr>
          <w:p w:rsidR="00143717" w:rsidRPr="00892DE3" w:rsidRDefault="00143717" w:rsidP="00143717">
            <w:pPr>
              <w:rPr>
                <w:rFonts w:cstheme="majorHAnsi"/>
                <w:b/>
              </w:rPr>
            </w:pPr>
            <w:r w:rsidRPr="00892DE3">
              <w:rPr>
                <w:rFonts w:cstheme="majorHAnsi"/>
                <w:b/>
              </w:rPr>
              <w:t>Total contractual financial assets</w:t>
            </w:r>
          </w:p>
        </w:tc>
        <w:tc>
          <w:tcPr>
            <w:tcW w:w="1325" w:type="dxa"/>
            <w:tcBorders>
              <w:top w:val="single" w:sz="6" w:space="0" w:color="auto"/>
              <w:bottom w:val="single" w:sz="6" w:space="0" w:color="auto"/>
            </w:tcBorders>
            <w:shd w:val="clear" w:color="auto" w:fill="EBEBEB" w:themeFill="background2"/>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1 000</w:t>
            </w:r>
          </w:p>
        </w:tc>
        <w:tc>
          <w:tcPr>
            <w:tcW w:w="1385" w:type="dxa"/>
            <w:tcBorders>
              <w:top w:val="single" w:sz="6" w:space="0" w:color="auto"/>
              <w:bottom w:val="single" w:sz="6" w:space="0" w:color="auto"/>
            </w:tcBorders>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275" w:type="dxa"/>
            <w:tcBorders>
              <w:top w:val="single" w:sz="6" w:space="0" w:color="auto"/>
              <w:bottom w:val="single" w:sz="6"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64 397</w:t>
            </w:r>
          </w:p>
        </w:tc>
        <w:tc>
          <w:tcPr>
            <w:tcW w:w="1469" w:type="dxa"/>
            <w:tcBorders>
              <w:top w:val="single" w:sz="6" w:space="0" w:color="auto"/>
              <w:bottom w:val="single" w:sz="6"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4 179</w:t>
            </w:r>
          </w:p>
        </w:tc>
        <w:tc>
          <w:tcPr>
            <w:tcW w:w="1219" w:type="dxa"/>
            <w:tcBorders>
              <w:top w:val="single" w:sz="6" w:space="0" w:color="auto"/>
              <w:bottom w:val="single" w:sz="6" w:space="0" w:color="auto"/>
            </w:tcBorders>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12" w:type="dxa"/>
            <w:tcBorders>
              <w:top w:val="single" w:sz="6" w:space="0" w:color="auto"/>
              <w:bottom w:val="single" w:sz="6"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69 576</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tcBorders>
              <w:top w:val="single" w:sz="6" w:space="0" w:color="auto"/>
            </w:tcBorders>
            <w:hideMark/>
          </w:tcPr>
          <w:p w:rsidR="00143717" w:rsidRPr="00892DE3" w:rsidRDefault="00143717" w:rsidP="00143717">
            <w:pPr>
              <w:rPr>
                <w:rFonts w:cstheme="majorHAnsi"/>
                <w:b/>
              </w:rPr>
            </w:pPr>
            <w:r w:rsidRPr="00892DE3">
              <w:rPr>
                <w:rFonts w:cstheme="majorHAnsi"/>
                <w:b/>
              </w:rPr>
              <w:t>Contractual financial liabilities</w:t>
            </w:r>
          </w:p>
        </w:tc>
        <w:tc>
          <w:tcPr>
            <w:tcW w:w="1325" w:type="dxa"/>
            <w:tcBorders>
              <w:top w:val="single" w:sz="6" w:space="0" w:color="auto"/>
            </w:tcBorders>
            <w:shd w:val="clear" w:color="auto" w:fill="EBEBEB" w:themeFill="background2"/>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385" w:type="dxa"/>
            <w:tcBorders>
              <w:top w:val="single" w:sz="6" w:space="0" w:color="auto"/>
            </w:tcBorders>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75" w:type="dxa"/>
            <w:tcBorders>
              <w:top w:val="single" w:sz="6"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69" w:type="dxa"/>
            <w:tcBorders>
              <w:top w:val="single" w:sz="6"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19" w:type="dxa"/>
            <w:tcBorders>
              <w:top w:val="single" w:sz="6"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2" w:type="dxa"/>
            <w:tcBorders>
              <w:top w:val="single" w:sz="6"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b/>
              </w:rPr>
            </w:pPr>
            <w:r w:rsidRPr="00892DE3">
              <w:rPr>
                <w:rFonts w:cstheme="majorHAnsi"/>
                <w:b/>
              </w:rPr>
              <w:t>Payables</w:t>
            </w:r>
            <w:r w:rsidR="00212818" w:rsidRPr="00892DE3">
              <w:rPr>
                <w:rFonts w:cstheme="majorHAnsi"/>
                <w:b/>
                <w:vertAlign w:val="superscript"/>
              </w:rPr>
              <w:t xml:space="preserve"> (a</w:t>
            </w:r>
            <w:r w:rsidRPr="00892DE3">
              <w:rPr>
                <w:rFonts w:cstheme="majorHAnsi"/>
                <w:b/>
                <w:vertAlign w:val="superscript"/>
              </w:rPr>
              <w:t>)</w:t>
            </w:r>
          </w:p>
        </w:tc>
        <w:tc>
          <w:tcPr>
            <w:tcW w:w="1325" w:type="dxa"/>
            <w:shd w:val="clear" w:color="auto" w:fill="EBEBEB" w:themeFill="background2"/>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385" w:type="dxa"/>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6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1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Supplies and services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4429A4" w:rsidP="00C74589">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3 430</w:t>
            </w:r>
          </w:p>
        </w:tc>
        <w:tc>
          <w:tcPr>
            <w:tcW w:w="712" w:type="dxa"/>
          </w:tcPr>
          <w:p w:rsidR="00143717" w:rsidRPr="00892DE3" w:rsidRDefault="004429A4" w:rsidP="00C74589">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3 430</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Amounts payable to government and agencies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4429A4" w:rsidP="00C74589">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1 796</w:t>
            </w:r>
          </w:p>
        </w:tc>
        <w:tc>
          <w:tcPr>
            <w:tcW w:w="712" w:type="dxa"/>
          </w:tcPr>
          <w:p w:rsidR="00143717" w:rsidRPr="00892DE3" w:rsidRDefault="004429A4" w:rsidP="00C74589">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1 796</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Other payables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F71C00" w:rsidP="00F71C00">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8 925</w:t>
            </w:r>
          </w:p>
        </w:tc>
        <w:tc>
          <w:tcPr>
            <w:tcW w:w="712" w:type="dxa"/>
          </w:tcPr>
          <w:p w:rsidR="00143717" w:rsidRPr="00892DE3" w:rsidRDefault="00F71C00" w:rsidP="00F71C00">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8 925</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b/>
              </w:rPr>
            </w:pPr>
            <w:r w:rsidRPr="00892DE3">
              <w:rPr>
                <w:rFonts w:cstheme="majorHAnsi"/>
                <w:b/>
              </w:rPr>
              <w:t>Borrowings</w:t>
            </w:r>
          </w:p>
        </w:tc>
        <w:tc>
          <w:tcPr>
            <w:tcW w:w="1325" w:type="dxa"/>
            <w:shd w:val="clear" w:color="auto" w:fill="EBEBEB" w:themeFill="background2"/>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1385" w:type="dxa"/>
            <w:noWrap/>
            <w:hideMark/>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27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146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121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Bank overdrafts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Finance lease liabilities</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20 062</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20 062</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Advances from government</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12 344</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12 344</w:t>
            </w:r>
          </w:p>
        </w:tc>
      </w:tr>
      <w:tr w:rsidR="00143717" w:rsidRPr="00892DE3" w:rsidTr="001C6249">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rPr>
            </w:pPr>
            <w:r w:rsidRPr="00892DE3">
              <w:rPr>
                <w:rFonts w:cstheme="majorHAnsi"/>
              </w:rPr>
              <w:t>Loans from TCV</w:t>
            </w:r>
          </w:p>
        </w:tc>
        <w:tc>
          <w:tcPr>
            <w:tcW w:w="1325" w:type="dxa"/>
            <w:shd w:val="clear" w:color="auto" w:fill="EBEBEB" w:themeFill="background2"/>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143717" w:rsidRPr="00892DE3" w:rsidRDefault="00212818"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27 705</w:t>
            </w:r>
          </w:p>
        </w:tc>
        <w:tc>
          <w:tcPr>
            <w:tcW w:w="712"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27 705</w:t>
            </w:r>
          </w:p>
        </w:tc>
      </w:tr>
      <w:tr w:rsidR="00143717" w:rsidRPr="00892DE3" w:rsidTr="001C62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hideMark/>
          </w:tcPr>
          <w:p w:rsidR="00143717" w:rsidRPr="00892DE3" w:rsidRDefault="00143717" w:rsidP="00143717">
            <w:pPr>
              <w:rPr>
                <w:rFonts w:cstheme="majorHAnsi"/>
                <w:b w:val="0"/>
              </w:rPr>
            </w:pPr>
            <w:r w:rsidRPr="00892DE3">
              <w:rPr>
                <w:rFonts w:cstheme="majorHAnsi"/>
              </w:rPr>
              <w:t>Total contractual financial liabilities</w:t>
            </w:r>
          </w:p>
        </w:tc>
        <w:tc>
          <w:tcPr>
            <w:tcW w:w="1325" w:type="dxa"/>
            <w:shd w:val="clear" w:color="auto" w:fill="EBEBEB" w:themeFill="background2"/>
            <w:noWrap/>
            <w:hideMark/>
          </w:tcPr>
          <w:p w:rsidR="00143717" w:rsidRPr="00892DE3" w:rsidRDefault="00212818" w:rsidP="0014371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385" w:type="dxa"/>
            <w:noWrap/>
            <w:hideMark/>
          </w:tcPr>
          <w:p w:rsidR="00143717" w:rsidRPr="00892DE3" w:rsidRDefault="00212818" w:rsidP="0014371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275" w:type="dxa"/>
          </w:tcPr>
          <w:p w:rsidR="00143717" w:rsidRPr="00892DE3" w:rsidRDefault="00212818" w:rsidP="0014371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469" w:type="dxa"/>
          </w:tcPr>
          <w:p w:rsidR="00143717" w:rsidRPr="00892DE3" w:rsidRDefault="00212818" w:rsidP="0014371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219" w:type="dxa"/>
          </w:tcPr>
          <w:p w:rsidR="00143717" w:rsidRPr="00892DE3" w:rsidRDefault="004429A4" w:rsidP="00C74589">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79 699</w:t>
            </w:r>
          </w:p>
        </w:tc>
        <w:tc>
          <w:tcPr>
            <w:tcW w:w="712" w:type="dxa"/>
          </w:tcPr>
          <w:p w:rsidR="00143717" w:rsidRPr="00892DE3" w:rsidRDefault="004429A4" w:rsidP="00C74589">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79 699</w:t>
            </w:r>
          </w:p>
        </w:tc>
      </w:tr>
    </w:tbl>
    <w:p w:rsidR="00143717" w:rsidRPr="00892DE3" w:rsidRDefault="00143717" w:rsidP="00143717">
      <w:pPr>
        <w:pStyle w:val="Note"/>
      </w:pPr>
      <w:r w:rsidRPr="00892DE3">
        <w:t>Note:</w:t>
      </w:r>
    </w:p>
    <w:p w:rsidR="00143717" w:rsidRPr="00892DE3" w:rsidRDefault="00212818" w:rsidP="00143717">
      <w:pPr>
        <w:pStyle w:val="Note"/>
      </w:pPr>
      <w:r w:rsidRPr="00892DE3">
        <w:t>(a</w:t>
      </w:r>
      <w:r w:rsidR="00143717" w:rsidRPr="00892DE3">
        <w:t>)</w:t>
      </w:r>
      <w:r w:rsidR="00143717" w:rsidRPr="00892DE3">
        <w:tab/>
        <w:t xml:space="preserve">The total amounts disclosed here exclude statutory amounts (e.g. amounts owing from Victorian government and GST input tax credit recoverable and taxes payable). </w:t>
      </w:r>
      <w:r w:rsidR="00143717" w:rsidRPr="00892DE3">
        <w:rPr>
          <w:rStyle w:val="SourceReference"/>
        </w:rPr>
        <w:t>[AASB 132.AG12]</w:t>
      </w:r>
    </w:p>
    <w:p w:rsidR="00143717" w:rsidRPr="00892DE3" w:rsidRDefault="00143717" w:rsidP="00143717"/>
    <w:p w:rsidR="00143717" w:rsidRPr="00892DE3" w:rsidRDefault="00143717">
      <w:pPr>
        <w:keepLines w:val="0"/>
        <w:rPr>
          <w:rFonts w:asciiTheme="majorHAnsi" w:hAnsiTheme="majorHAnsi"/>
          <w:b/>
          <w:szCs w:val="20"/>
        </w:rPr>
      </w:pPr>
      <w:r w:rsidRPr="00892DE3">
        <w:br w:type="page"/>
      </w:r>
    </w:p>
    <w:p w:rsidR="001C6249" w:rsidRPr="00892DE3" w:rsidRDefault="001C6249" w:rsidP="00D31BB8">
      <w:pPr>
        <w:pStyle w:val="Heading3"/>
      </w:pPr>
      <w:r w:rsidRPr="00892DE3">
        <w:t>Financial instruments –</w:t>
      </w:r>
      <w:r w:rsidR="00143717" w:rsidRPr="00892DE3">
        <w:t xml:space="preserve"> Net holding gain/(loss) on financial inst</w:t>
      </w:r>
      <w:r w:rsidRPr="00892DE3">
        <w:t>ruments by category</w:t>
      </w:r>
    </w:p>
    <w:p w:rsidR="00143717" w:rsidRPr="00892DE3" w:rsidRDefault="00143717" w:rsidP="001C6249">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11"/>
        <w:gridCol w:w="992"/>
        <w:gridCol w:w="1604"/>
        <w:gridCol w:w="1156"/>
        <w:gridCol w:w="979"/>
        <w:gridCol w:w="795"/>
      </w:tblGrid>
      <w:tr w:rsidR="00143717" w:rsidRPr="00892DE3" w:rsidTr="001C62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hideMark/>
          </w:tcPr>
          <w:p w:rsidR="00143717" w:rsidRPr="00892DE3" w:rsidRDefault="00143717" w:rsidP="00143717">
            <w:pPr>
              <w:ind w:left="0" w:firstLine="0"/>
            </w:pPr>
            <w:r w:rsidRPr="00892DE3">
              <w:br/>
              <w:t>2017</w:t>
            </w:r>
          </w:p>
        </w:tc>
        <w:tc>
          <w:tcPr>
            <w:tcW w:w="992" w:type="dxa"/>
            <w:hideMark/>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t>Net holding gain/(loss)</w:t>
            </w:r>
          </w:p>
        </w:tc>
        <w:tc>
          <w:tcPr>
            <w:tcW w:w="1604" w:type="dxa"/>
            <w:hideMark/>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t>Total interest income/(expense)</w:t>
            </w:r>
          </w:p>
        </w:tc>
        <w:tc>
          <w:tcPr>
            <w:tcW w:w="1156" w:type="dxa"/>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t>Fee income/ (expense)</w:t>
            </w:r>
          </w:p>
        </w:tc>
        <w:tc>
          <w:tcPr>
            <w:tcW w:w="979" w:type="dxa"/>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br/>
              <w:t>Impairment loss</w:t>
            </w:r>
          </w:p>
        </w:tc>
        <w:tc>
          <w:tcPr>
            <w:tcW w:w="795" w:type="dxa"/>
          </w:tcPr>
          <w:p w:rsidR="00143717" w:rsidRPr="00892DE3" w:rsidRDefault="00143717" w:rsidP="00143717">
            <w:pPr>
              <w:cnfStyle w:val="100000000000" w:firstRow="1" w:lastRow="0" w:firstColumn="0" w:lastColumn="0" w:oddVBand="0" w:evenVBand="0" w:oddHBand="0" w:evenHBand="0" w:firstRowFirstColumn="0" w:firstRowLastColumn="0" w:lastRowFirstColumn="0" w:lastRowLastColumn="0"/>
            </w:pPr>
            <w:r w:rsidRPr="00892DE3">
              <w:br/>
              <w:t>Total</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143717" w:rsidRPr="00892DE3" w:rsidRDefault="00143717" w:rsidP="00143717">
            <w:pPr>
              <w:rPr>
                <w:rFonts w:cstheme="majorHAnsi"/>
                <w:b/>
                <w:szCs w:val="20"/>
              </w:rPr>
            </w:pPr>
            <w:r w:rsidRPr="00892DE3">
              <w:rPr>
                <w:rFonts w:cstheme="majorHAnsi"/>
                <w:b/>
              </w:rPr>
              <w:t>Contractual financial assets</w:t>
            </w:r>
          </w:p>
        </w:tc>
        <w:tc>
          <w:tcPr>
            <w:tcW w:w="992"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604"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56"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7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9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143717" w:rsidRPr="00892DE3" w:rsidRDefault="00143717" w:rsidP="00143717">
            <w:pPr>
              <w:rPr>
                <w:rFonts w:cstheme="majorHAnsi"/>
                <w:szCs w:val="20"/>
              </w:rPr>
            </w:pPr>
            <w:r w:rsidRPr="00892DE3">
              <w:rPr>
                <w:rFonts w:cstheme="majorHAnsi"/>
              </w:rPr>
              <w:t>Financial assets designated at fair value through profit/loss</w:t>
            </w:r>
          </w:p>
        </w:tc>
        <w:tc>
          <w:tcPr>
            <w:tcW w:w="992"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65</w:t>
            </w:r>
          </w:p>
        </w:tc>
        <w:tc>
          <w:tcPr>
            <w:tcW w:w="1604"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1 689</w:t>
            </w:r>
          </w:p>
        </w:tc>
        <w:tc>
          <w:tcPr>
            <w:tcW w:w="1156"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7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1 754</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143717" w:rsidRPr="00892DE3" w:rsidRDefault="00143717" w:rsidP="00143717">
            <w:pPr>
              <w:rPr>
                <w:rFonts w:cstheme="majorHAnsi"/>
                <w:szCs w:val="20"/>
              </w:rPr>
            </w:pPr>
            <w:r w:rsidRPr="00892DE3">
              <w:rPr>
                <w:rFonts w:cstheme="majorHAnsi"/>
              </w:rPr>
              <w:t>Financial assets – loans and receivables</w:t>
            </w:r>
          </w:p>
        </w:tc>
        <w:tc>
          <w:tcPr>
            <w:tcW w:w="992"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(396)</w:t>
            </w:r>
          </w:p>
        </w:tc>
        <w:tc>
          <w:tcPr>
            <w:tcW w:w="1604"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2 175</w:t>
            </w:r>
          </w:p>
        </w:tc>
        <w:tc>
          <w:tcPr>
            <w:tcW w:w="1156"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7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(380)</w:t>
            </w:r>
          </w:p>
        </w:tc>
        <w:tc>
          <w:tcPr>
            <w:tcW w:w="79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1 399</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143717" w:rsidRPr="00892DE3" w:rsidRDefault="00143717" w:rsidP="00143717">
            <w:pPr>
              <w:rPr>
                <w:rFonts w:cstheme="majorHAnsi"/>
                <w:szCs w:val="20"/>
              </w:rPr>
            </w:pPr>
            <w:r w:rsidRPr="00892DE3">
              <w:rPr>
                <w:rFonts w:cstheme="majorHAnsi"/>
              </w:rPr>
              <w:t>Financial assets available</w:t>
            </w:r>
            <w:r w:rsidRPr="00892DE3">
              <w:rPr>
                <w:rFonts w:cstheme="majorHAnsi"/>
              </w:rPr>
              <w:noBreakHyphen/>
              <w:t>for</w:t>
            </w:r>
            <w:r w:rsidRPr="00892DE3">
              <w:rPr>
                <w:rFonts w:cstheme="majorHAnsi"/>
              </w:rPr>
              <w:noBreakHyphen/>
              <w:t>sale recognised in net result</w:t>
            </w:r>
          </w:p>
        </w:tc>
        <w:tc>
          <w:tcPr>
            <w:tcW w:w="992"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04"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6"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7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(920)</w:t>
            </w:r>
          </w:p>
        </w:tc>
        <w:tc>
          <w:tcPr>
            <w:tcW w:w="79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(920)</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tcPr>
          <w:p w:rsidR="00143717" w:rsidRPr="00892DE3" w:rsidRDefault="00143717" w:rsidP="00143717">
            <w:pPr>
              <w:rPr>
                <w:rFonts w:cstheme="majorHAnsi"/>
                <w:szCs w:val="20"/>
              </w:rPr>
            </w:pPr>
            <w:r w:rsidRPr="00892DE3">
              <w:rPr>
                <w:rFonts w:cstheme="majorHAnsi"/>
              </w:rPr>
              <w:t>Financial assets available</w:t>
            </w:r>
            <w:r w:rsidRPr="00892DE3">
              <w:rPr>
                <w:rFonts w:cstheme="majorHAnsi"/>
              </w:rPr>
              <w:noBreakHyphen/>
              <w:t>for</w:t>
            </w:r>
            <w:r w:rsidRPr="00892DE3">
              <w:rPr>
                <w:rFonts w:cstheme="majorHAnsi"/>
              </w:rPr>
              <w:noBreakHyphen/>
              <w:t>sale recognised in other comprehensive result</w:t>
            </w:r>
          </w:p>
        </w:tc>
        <w:tc>
          <w:tcPr>
            <w:tcW w:w="992" w:type="dxa"/>
            <w:tcBorders>
              <w:bottom w:val="single" w:sz="4"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(1 523)</w:t>
            </w:r>
          </w:p>
        </w:tc>
        <w:tc>
          <w:tcPr>
            <w:tcW w:w="1604" w:type="dxa"/>
            <w:tcBorders>
              <w:bottom w:val="single" w:sz="4"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56"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r w:rsidRPr="00892DE3">
              <w:rPr>
                <w:rFonts w:cstheme="majorHAnsi"/>
              </w:rPr>
              <w:br/>
            </w:r>
          </w:p>
        </w:tc>
        <w:tc>
          <w:tcPr>
            <w:tcW w:w="979"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(1 523)</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tcPr>
          <w:p w:rsidR="00143717" w:rsidRPr="00892DE3" w:rsidRDefault="00143717" w:rsidP="00143717">
            <w:pPr>
              <w:rPr>
                <w:rFonts w:cstheme="majorHAnsi"/>
                <w:b/>
                <w:szCs w:val="20"/>
              </w:rPr>
            </w:pPr>
            <w:r w:rsidRPr="00892DE3">
              <w:rPr>
                <w:rFonts w:cstheme="majorHAnsi"/>
                <w:b/>
              </w:rPr>
              <w:t>Total contractual financial assets</w:t>
            </w:r>
          </w:p>
        </w:tc>
        <w:tc>
          <w:tcPr>
            <w:tcW w:w="992" w:type="dxa"/>
            <w:tcBorders>
              <w:top w:val="single" w:sz="4" w:space="0" w:color="auto"/>
              <w:bottom w:val="single" w:sz="12"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(1 854)</w:t>
            </w:r>
          </w:p>
        </w:tc>
        <w:tc>
          <w:tcPr>
            <w:tcW w:w="1604" w:type="dxa"/>
            <w:tcBorders>
              <w:top w:val="single" w:sz="4" w:space="0" w:color="auto"/>
              <w:bottom w:val="single" w:sz="12"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3 864</w:t>
            </w:r>
          </w:p>
        </w:tc>
        <w:tc>
          <w:tcPr>
            <w:tcW w:w="1156" w:type="dxa"/>
            <w:tcBorders>
              <w:top w:val="single" w:sz="4" w:space="0" w:color="auto"/>
              <w:bottom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w:t>
            </w:r>
          </w:p>
        </w:tc>
        <w:tc>
          <w:tcPr>
            <w:tcW w:w="979" w:type="dxa"/>
            <w:tcBorders>
              <w:top w:val="single" w:sz="4" w:space="0" w:color="auto"/>
              <w:bottom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(1 300)</w:t>
            </w:r>
          </w:p>
        </w:tc>
        <w:tc>
          <w:tcPr>
            <w:tcW w:w="795" w:type="dxa"/>
            <w:tcBorders>
              <w:top w:val="single" w:sz="4" w:space="0" w:color="auto"/>
              <w:bottom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710</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tcPr>
          <w:p w:rsidR="00143717" w:rsidRPr="00892DE3" w:rsidRDefault="00143717" w:rsidP="00143717">
            <w:pPr>
              <w:rPr>
                <w:rFonts w:cstheme="majorHAnsi"/>
                <w:szCs w:val="20"/>
              </w:rPr>
            </w:pPr>
            <w:r w:rsidRPr="00892DE3">
              <w:rPr>
                <w:rFonts w:cstheme="majorHAnsi"/>
              </w:rPr>
              <w:t>Contractual financial liabilities</w:t>
            </w:r>
          </w:p>
        </w:tc>
        <w:tc>
          <w:tcPr>
            <w:tcW w:w="992" w:type="dxa"/>
            <w:tcBorders>
              <w:top w:val="single" w:sz="12"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604" w:type="dxa"/>
            <w:tcBorders>
              <w:top w:val="single" w:sz="12"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156" w:type="dxa"/>
            <w:tcBorders>
              <w:top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979" w:type="dxa"/>
            <w:tcBorders>
              <w:top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795" w:type="dxa"/>
            <w:tcBorders>
              <w:top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143717" w:rsidRPr="00892DE3" w:rsidRDefault="00143717" w:rsidP="00143717">
            <w:pPr>
              <w:rPr>
                <w:rFonts w:cstheme="majorHAnsi"/>
                <w:szCs w:val="20"/>
              </w:rPr>
            </w:pPr>
            <w:r w:rsidRPr="00892DE3">
              <w:rPr>
                <w:rFonts w:cstheme="majorHAnsi"/>
              </w:rPr>
              <w:t>Financial liabilities at amortised cost</w:t>
            </w:r>
          </w:p>
        </w:tc>
        <w:tc>
          <w:tcPr>
            <w:tcW w:w="992"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2 270</w:t>
            </w:r>
          </w:p>
        </w:tc>
        <w:tc>
          <w:tcPr>
            <w:tcW w:w="1604"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(1 789)</w:t>
            </w:r>
          </w:p>
        </w:tc>
        <w:tc>
          <w:tcPr>
            <w:tcW w:w="1156"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307</w:t>
            </w:r>
          </w:p>
        </w:tc>
        <w:tc>
          <w:tcPr>
            <w:tcW w:w="97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788</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tcPr>
          <w:p w:rsidR="00143717" w:rsidRPr="00892DE3" w:rsidRDefault="00143717" w:rsidP="00143717">
            <w:pPr>
              <w:rPr>
                <w:rFonts w:cstheme="majorHAnsi"/>
                <w:szCs w:val="20"/>
              </w:rPr>
            </w:pPr>
            <w:r w:rsidRPr="00892DE3">
              <w:rPr>
                <w:rFonts w:cstheme="majorHAnsi"/>
              </w:rPr>
              <w:t>Financial liabilities designated at fair value through profit/loss</w:t>
            </w:r>
          </w:p>
        </w:tc>
        <w:tc>
          <w:tcPr>
            <w:tcW w:w="992" w:type="dxa"/>
            <w:tcBorders>
              <w:bottom w:val="single" w:sz="4"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604" w:type="dxa"/>
            <w:tcBorders>
              <w:bottom w:val="single" w:sz="4"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56"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tcPr>
          <w:p w:rsidR="00143717" w:rsidRPr="00892DE3" w:rsidRDefault="00143717" w:rsidP="00143717">
            <w:pPr>
              <w:rPr>
                <w:rFonts w:cstheme="majorHAnsi"/>
                <w:b/>
                <w:szCs w:val="20"/>
              </w:rPr>
            </w:pPr>
            <w:r w:rsidRPr="00892DE3">
              <w:rPr>
                <w:rFonts w:cstheme="majorHAnsi"/>
                <w:b/>
              </w:rPr>
              <w:t>Total contractual financial liab</w:t>
            </w:r>
            <w:r w:rsidR="001C6249" w:rsidRPr="00892DE3">
              <w:rPr>
                <w:rFonts w:cstheme="majorHAnsi"/>
                <w:b/>
              </w:rPr>
              <w:t>i</w:t>
            </w:r>
            <w:r w:rsidRPr="00892DE3">
              <w:rPr>
                <w:rFonts w:cstheme="majorHAnsi"/>
                <w:b/>
              </w:rPr>
              <w:t>lities</w:t>
            </w:r>
          </w:p>
        </w:tc>
        <w:tc>
          <w:tcPr>
            <w:tcW w:w="992" w:type="dxa"/>
            <w:tcBorders>
              <w:top w:val="single" w:sz="4" w:space="0" w:color="auto"/>
              <w:bottom w:val="single" w:sz="12"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2 270</w:t>
            </w:r>
          </w:p>
        </w:tc>
        <w:tc>
          <w:tcPr>
            <w:tcW w:w="1604" w:type="dxa"/>
            <w:tcBorders>
              <w:top w:val="single" w:sz="4" w:space="0" w:color="auto"/>
              <w:bottom w:val="single" w:sz="12"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(1 789)</w:t>
            </w:r>
          </w:p>
        </w:tc>
        <w:tc>
          <w:tcPr>
            <w:tcW w:w="1156" w:type="dxa"/>
            <w:tcBorders>
              <w:top w:val="single" w:sz="4" w:space="0" w:color="auto"/>
              <w:bottom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307</w:t>
            </w:r>
          </w:p>
        </w:tc>
        <w:tc>
          <w:tcPr>
            <w:tcW w:w="979" w:type="dxa"/>
            <w:tcBorders>
              <w:top w:val="single" w:sz="4" w:space="0" w:color="auto"/>
              <w:bottom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w:t>
            </w:r>
          </w:p>
        </w:tc>
        <w:tc>
          <w:tcPr>
            <w:tcW w:w="795" w:type="dxa"/>
            <w:tcBorders>
              <w:top w:val="single" w:sz="4" w:space="0" w:color="auto"/>
              <w:bottom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788</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bottom w:val="nil"/>
            </w:tcBorders>
            <w:shd w:val="clear" w:color="auto" w:fill="FFFFFF" w:themeFill="background1"/>
          </w:tcPr>
          <w:p w:rsidR="00143717" w:rsidRPr="00892DE3" w:rsidRDefault="00143717" w:rsidP="00143717">
            <w:pPr>
              <w:rPr>
                <w:rFonts w:cstheme="majorHAnsi"/>
              </w:rPr>
            </w:pPr>
          </w:p>
        </w:tc>
        <w:tc>
          <w:tcPr>
            <w:tcW w:w="992" w:type="dxa"/>
            <w:tcBorders>
              <w:top w:val="single" w:sz="12" w:space="0" w:color="auto"/>
              <w:bottom w:val="nil"/>
            </w:tcBorders>
            <w:shd w:val="clear" w:color="auto" w:fill="FFFFFF" w:themeFill="background1"/>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604" w:type="dxa"/>
            <w:tcBorders>
              <w:top w:val="single" w:sz="12" w:space="0" w:color="auto"/>
              <w:bottom w:val="nil"/>
            </w:tcBorders>
            <w:shd w:val="clear" w:color="auto" w:fill="FFFFFF" w:themeFill="background1"/>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56" w:type="dxa"/>
            <w:tcBorders>
              <w:top w:val="single" w:sz="12" w:space="0" w:color="auto"/>
              <w:bottom w:val="nil"/>
            </w:tcBorders>
            <w:shd w:val="clear" w:color="auto" w:fill="FFFFFF" w:themeFill="background1"/>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79" w:type="dxa"/>
            <w:tcBorders>
              <w:top w:val="single" w:sz="12" w:space="0" w:color="auto"/>
              <w:bottom w:val="nil"/>
            </w:tcBorders>
            <w:shd w:val="clear" w:color="auto" w:fill="FFFFFF" w:themeFill="background1"/>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95" w:type="dxa"/>
            <w:tcBorders>
              <w:top w:val="single" w:sz="12" w:space="0" w:color="auto"/>
              <w:bottom w:val="nil"/>
            </w:tcBorders>
            <w:shd w:val="clear" w:color="auto" w:fill="FFFFFF" w:themeFill="background1"/>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nil"/>
            </w:tcBorders>
            <w:shd w:val="clear" w:color="auto" w:fill="000000" w:themeFill="text1"/>
          </w:tcPr>
          <w:p w:rsidR="00143717" w:rsidRPr="00892DE3" w:rsidRDefault="00143717" w:rsidP="00143717">
            <w:pPr>
              <w:rPr>
                <w:rFonts w:cstheme="majorHAnsi"/>
              </w:rPr>
            </w:pPr>
            <w:r w:rsidRPr="00892DE3">
              <w:rPr>
                <w:rFonts w:cstheme="majorHAnsi"/>
              </w:rPr>
              <w:t>2016</w:t>
            </w:r>
          </w:p>
        </w:tc>
        <w:tc>
          <w:tcPr>
            <w:tcW w:w="992" w:type="dxa"/>
            <w:tcBorders>
              <w:top w:val="nil"/>
            </w:tcBorders>
            <w:shd w:val="clear" w:color="auto" w:fill="000000" w:themeFill="text1"/>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604" w:type="dxa"/>
            <w:tcBorders>
              <w:top w:val="nil"/>
            </w:tcBorders>
            <w:shd w:val="clear" w:color="auto" w:fill="000000" w:themeFill="text1"/>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56" w:type="dxa"/>
            <w:tcBorders>
              <w:top w:val="nil"/>
            </w:tcBorders>
            <w:shd w:val="clear" w:color="auto" w:fill="000000" w:themeFill="text1"/>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79" w:type="dxa"/>
            <w:tcBorders>
              <w:top w:val="nil"/>
            </w:tcBorders>
            <w:shd w:val="clear" w:color="auto" w:fill="000000" w:themeFill="text1"/>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95" w:type="dxa"/>
            <w:tcBorders>
              <w:top w:val="nil"/>
            </w:tcBorders>
            <w:shd w:val="clear" w:color="auto" w:fill="000000" w:themeFill="text1"/>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rPr>
            </w:pP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143717" w:rsidRPr="00892DE3" w:rsidRDefault="00143717" w:rsidP="00143717">
            <w:pPr>
              <w:rPr>
                <w:rFonts w:cstheme="majorHAnsi"/>
                <w:b/>
                <w:szCs w:val="20"/>
              </w:rPr>
            </w:pPr>
            <w:r w:rsidRPr="00892DE3">
              <w:rPr>
                <w:rFonts w:cstheme="majorHAnsi"/>
                <w:b/>
              </w:rPr>
              <w:t>Contractual financial assets</w:t>
            </w:r>
          </w:p>
        </w:tc>
        <w:tc>
          <w:tcPr>
            <w:tcW w:w="992"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604"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156"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97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79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143717" w:rsidRPr="00892DE3" w:rsidRDefault="00143717" w:rsidP="00143717">
            <w:pPr>
              <w:rPr>
                <w:rFonts w:cstheme="majorHAnsi"/>
                <w:szCs w:val="20"/>
              </w:rPr>
            </w:pPr>
            <w:r w:rsidRPr="00892DE3">
              <w:rPr>
                <w:rFonts w:cstheme="majorHAnsi"/>
              </w:rPr>
              <w:t>Financial assets designated at fair value through profit/loss</w:t>
            </w:r>
          </w:p>
        </w:tc>
        <w:tc>
          <w:tcPr>
            <w:tcW w:w="992"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400</w:t>
            </w:r>
          </w:p>
        </w:tc>
        <w:tc>
          <w:tcPr>
            <w:tcW w:w="1604"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1 262</w:t>
            </w:r>
          </w:p>
        </w:tc>
        <w:tc>
          <w:tcPr>
            <w:tcW w:w="1156"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1 662</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143717" w:rsidRPr="00892DE3" w:rsidRDefault="00143717" w:rsidP="00143717">
            <w:pPr>
              <w:rPr>
                <w:rFonts w:cstheme="majorHAnsi"/>
                <w:szCs w:val="20"/>
              </w:rPr>
            </w:pPr>
            <w:r w:rsidRPr="00892DE3">
              <w:rPr>
                <w:rFonts w:cstheme="majorHAnsi"/>
              </w:rPr>
              <w:t>Financial assets – loans and receivables</w:t>
            </w:r>
          </w:p>
        </w:tc>
        <w:tc>
          <w:tcPr>
            <w:tcW w:w="992"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210</w:t>
            </w:r>
          </w:p>
        </w:tc>
        <w:tc>
          <w:tcPr>
            <w:tcW w:w="1604"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1 635</w:t>
            </w:r>
          </w:p>
        </w:tc>
        <w:tc>
          <w:tcPr>
            <w:tcW w:w="1156"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(276)</w:t>
            </w:r>
          </w:p>
        </w:tc>
        <w:tc>
          <w:tcPr>
            <w:tcW w:w="79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1 569</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143717" w:rsidRPr="00892DE3" w:rsidRDefault="00143717" w:rsidP="00143717">
            <w:pPr>
              <w:rPr>
                <w:rFonts w:cstheme="majorHAnsi"/>
                <w:szCs w:val="20"/>
              </w:rPr>
            </w:pPr>
            <w:r w:rsidRPr="00892DE3">
              <w:rPr>
                <w:rFonts w:cstheme="majorHAnsi"/>
              </w:rPr>
              <w:t>Financial assets available</w:t>
            </w:r>
            <w:r w:rsidRPr="00892DE3">
              <w:rPr>
                <w:rFonts w:cstheme="majorHAnsi"/>
              </w:rPr>
              <w:noBreakHyphen/>
              <w:t>for</w:t>
            </w:r>
            <w:r w:rsidRPr="00892DE3">
              <w:rPr>
                <w:rFonts w:cstheme="majorHAnsi"/>
              </w:rPr>
              <w:noBreakHyphen/>
              <w:t>sale recognised in net result</w:t>
            </w:r>
          </w:p>
        </w:tc>
        <w:tc>
          <w:tcPr>
            <w:tcW w:w="992"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604"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56"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tcPr>
          <w:p w:rsidR="00143717" w:rsidRPr="00892DE3" w:rsidRDefault="00143717" w:rsidP="00143717">
            <w:pPr>
              <w:rPr>
                <w:rFonts w:cstheme="majorHAnsi"/>
                <w:szCs w:val="20"/>
              </w:rPr>
            </w:pPr>
            <w:r w:rsidRPr="00892DE3">
              <w:rPr>
                <w:rFonts w:cstheme="majorHAnsi"/>
              </w:rPr>
              <w:t>Financial assets available</w:t>
            </w:r>
            <w:r w:rsidRPr="00892DE3">
              <w:rPr>
                <w:rFonts w:cstheme="majorHAnsi"/>
              </w:rPr>
              <w:noBreakHyphen/>
              <w:t>for</w:t>
            </w:r>
            <w:r w:rsidRPr="00892DE3">
              <w:rPr>
                <w:rFonts w:cstheme="majorHAnsi"/>
              </w:rPr>
              <w:noBreakHyphen/>
              <w:t>sale recognised in other comprehensive result</w:t>
            </w:r>
          </w:p>
        </w:tc>
        <w:tc>
          <w:tcPr>
            <w:tcW w:w="992" w:type="dxa"/>
            <w:tcBorders>
              <w:bottom w:val="single" w:sz="4"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1 146</w:t>
            </w:r>
          </w:p>
        </w:tc>
        <w:tc>
          <w:tcPr>
            <w:tcW w:w="1604" w:type="dxa"/>
            <w:tcBorders>
              <w:bottom w:val="single" w:sz="4"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56" w:type="dxa"/>
            <w:tcBorders>
              <w:bottom w:val="single" w:sz="4" w:space="0" w:color="auto"/>
            </w:tcBorders>
          </w:tcPr>
          <w:p w:rsidR="00143717" w:rsidRPr="00892DE3" w:rsidRDefault="00143717" w:rsidP="001C6249">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1 146</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tcPr>
          <w:p w:rsidR="00143717" w:rsidRPr="00892DE3" w:rsidRDefault="00143717" w:rsidP="00143717">
            <w:pPr>
              <w:rPr>
                <w:rFonts w:cstheme="majorHAnsi"/>
                <w:b/>
                <w:szCs w:val="20"/>
              </w:rPr>
            </w:pPr>
            <w:r w:rsidRPr="00892DE3">
              <w:rPr>
                <w:rFonts w:cstheme="majorHAnsi"/>
                <w:b/>
              </w:rPr>
              <w:t>Total contractual financial assets</w:t>
            </w:r>
          </w:p>
        </w:tc>
        <w:tc>
          <w:tcPr>
            <w:tcW w:w="992" w:type="dxa"/>
            <w:tcBorders>
              <w:top w:val="single" w:sz="4" w:space="0" w:color="auto"/>
              <w:bottom w:val="single" w:sz="12"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1 756</w:t>
            </w:r>
          </w:p>
        </w:tc>
        <w:tc>
          <w:tcPr>
            <w:tcW w:w="1604" w:type="dxa"/>
            <w:tcBorders>
              <w:top w:val="single" w:sz="4" w:space="0" w:color="auto"/>
              <w:bottom w:val="single" w:sz="12"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2 897</w:t>
            </w:r>
          </w:p>
        </w:tc>
        <w:tc>
          <w:tcPr>
            <w:tcW w:w="1156" w:type="dxa"/>
            <w:tcBorders>
              <w:top w:val="single" w:sz="4" w:space="0" w:color="auto"/>
              <w:bottom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w:t>
            </w:r>
          </w:p>
        </w:tc>
        <w:tc>
          <w:tcPr>
            <w:tcW w:w="979" w:type="dxa"/>
            <w:tcBorders>
              <w:top w:val="single" w:sz="4" w:space="0" w:color="auto"/>
              <w:bottom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(276)</w:t>
            </w:r>
          </w:p>
        </w:tc>
        <w:tc>
          <w:tcPr>
            <w:tcW w:w="795" w:type="dxa"/>
            <w:tcBorders>
              <w:top w:val="single" w:sz="4" w:space="0" w:color="auto"/>
              <w:bottom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4 377</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tcPr>
          <w:p w:rsidR="00143717" w:rsidRPr="00892DE3" w:rsidRDefault="00143717" w:rsidP="00143717">
            <w:pPr>
              <w:rPr>
                <w:rFonts w:cstheme="majorHAnsi"/>
                <w:b/>
                <w:szCs w:val="20"/>
              </w:rPr>
            </w:pPr>
            <w:r w:rsidRPr="00892DE3">
              <w:rPr>
                <w:rFonts w:cstheme="majorHAnsi"/>
                <w:b/>
              </w:rPr>
              <w:t>Contractual financial liabilities</w:t>
            </w:r>
          </w:p>
        </w:tc>
        <w:tc>
          <w:tcPr>
            <w:tcW w:w="992" w:type="dxa"/>
            <w:tcBorders>
              <w:top w:val="single" w:sz="12"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604" w:type="dxa"/>
            <w:tcBorders>
              <w:top w:val="single" w:sz="12"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156" w:type="dxa"/>
            <w:tcBorders>
              <w:top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979" w:type="dxa"/>
            <w:tcBorders>
              <w:top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795" w:type="dxa"/>
            <w:tcBorders>
              <w:top w:val="single" w:sz="12"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143717" w:rsidRPr="00892DE3" w:rsidRDefault="00143717" w:rsidP="00143717">
            <w:pPr>
              <w:rPr>
                <w:rFonts w:cstheme="majorHAnsi"/>
                <w:szCs w:val="20"/>
              </w:rPr>
            </w:pPr>
            <w:r w:rsidRPr="00892DE3">
              <w:rPr>
                <w:rFonts w:cstheme="majorHAnsi"/>
              </w:rPr>
              <w:t>Financial liabilities at amortised cost</w:t>
            </w:r>
          </w:p>
        </w:tc>
        <w:tc>
          <w:tcPr>
            <w:tcW w:w="992"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2 025</w:t>
            </w:r>
          </w:p>
        </w:tc>
        <w:tc>
          <w:tcPr>
            <w:tcW w:w="1604" w:type="dxa"/>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(1 904)</w:t>
            </w:r>
          </w:p>
        </w:tc>
        <w:tc>
          <w:tcPr>
            <w:tcW w:w="1156"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144</w:t>
            </w:r>
          </w:p>
        </w:tc>
        <w:tc>
          <w:tcPr>
            <w:tcW w:w="979"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265</w:t>
            </w:r>
          </w:p>
        </w:tc>
      </w:tr>
      <w:tr w:rsidR="00143717" w:rsidRPr="00892DE3" w:rsidTr="001C6249">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tcPr>
          <w:p w:rsidR="00143717" w:rsidRPr="00892DE3" w:rsidRDefault="00143717" w:rsidP="00143717">
            <w:pPr>
              <w:rPr>
                <w:rFonts w:cstheme="majorHAnsi"/>
                <w:szCs w:val="20"/>
              </w:rPr>
            </w:pPr>
            <w:r w:rsidRPr="00892DE3">
              <w:rPr>
                <w:rFonts w:cstheme="majorHAnsi"/>
              </w:rPr>
              <w:t>Financial liabilities designated at fair value through profit/loss</w:t>
            </w:r>
          </w:p>
        </w:tc>
        <w:tc>
          <w:tcPr>
            <w:tcW w:w="992" w:type="dxa"/>
            <w:tcBorders>
              <w:bottom w:val="single" w:sz="4"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604" w:type="dxa"/>
            <w:tcBorders>
              <w:bottom w:val="single" w:sz="4" w:space="0" w:color="auto"/>
            </w:tcBorders>
            <w:noWrap/>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56"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Borders>
              <w:bottom w:val="single" w:sz="4" w:space="0" w:color="auto"/>
            </w:tcBorders>
          </w:tcPr>
          <w:p w:rsidR="00143717" w:rsidRPr="00892DE3" w:rsidRDefault="00143717" w:rsidP="0014371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143717" w:rsidRPr="00892DE3" w:rsidTr="001C6249">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tcPr>
          <w:p w:rsidR="00143717" w:rsidRPr="00892DE3" w:rsidRDefault="00143717" w:rsidP="00143717">
            <w:pPr>
              <w:rPr>
                <w:rFonts w:cstheme="majorHAnsi"/>
                <w:b w:val="0"/>
              </w:rPr>
            </w:pPr>
            <w:r w:rsidRPr="00892DE3">
              <w:rPr>
                <w:rFonts w:cstheme="majorHAnsi"/>
              </w:rPr>
              <w:t>Total contractual financial liab</w:t>
            </w:r>
            <w:r w:rsidR="001C6249" w:rsidRPr="00892DE3">
              <w:rPr>
                <w:rFonts w:cstheme="majorHAnsi"/>
              </w:rPr>
              <w:t>i</w:t>
            </w:r>
            <w:r w:rsidRPr="00892DE3">
              <w:rPr>
                <w:rFonts w:cstheme="majorHAnsi"/>
              </w:rPr>
              <w:t>lities</w:t>
            </w:r>
          </w:p>
        </w:tc>
        <w:tc>
          <w:tcPr>
            <w:tcW w:w="992" w:type="dxa"/>
            <w:tcBorders>
              <w:top w:val="single" w:sz="4" w:space="0" w:color="auto"/>
              <w:bottom w:val="single" w:sz="12" w:space="0" w:color="auto"/>
            </w:tcBorders>
            <w:noWrap/>
          </w:tcPr>
          <w:p w:rsidR="00143717" w:rsidRPr="00892DE3" w:rsidRDefault="00143717" w:rsidP="00143717">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2 025</w:t>
            </w:r>
          </w:p>
        </w:tc>
        <w:tc>
          <w:tcPr>
            <w:tcW w:w="1604" w:type="dxa"/>
            <w:tcBorders>
              <w:top w:val="single" w:sz="4" w:space="0" w:color="auto"/>
              <w:bottom w:val="single" w:sz="12" w:space="0" w:color="auto"/>
            </w:tcBorders>
            <w:noWrap/>
          </w:tcPr>
          <w:p w:rsidR="00143717" w:rsidRPr="00892DE3" w:rsidRDefault="00143717" w:rsidP="00143717">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(1 904)</w:t>
            </w:r>
          </w:p>
        </w:tc>
        <w:tc>
          <w:tcPr>
            <w:tcW w:w="1156" w:type="dxa"/>
            <w:tcBorders>
              <w:top w:val="single" w:sz="4" w:space="0" w:color="auto"/>
              <w:bottom w:val="single" w:sz="12" w:space="0" w:color="auto"/>
            </w:tcBorders>
          </w:tcPr>
          <w:p w:rsidR="00143717" w:rsidRPr="00892DE3" w:rsidRDefault="00143717" w:rsidP="00143717">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144</w:t>
            </w:r>
          </w:p>
        </w:tc>
        <w:tc>
          <w:tcPr>
            <w:tcW w:w="979" w:type="dxa"/>
            <w:tcBorders>
              <w:top w:val="single" w:sz="4" w:space="0" w:color="auto"/>
              <w:bottom w:val="single" w:sz="12" w:space="0" w:color="auto"/>
            </w:tcBorders>
          </w:tcPr>
          <w:p w:rsidR="00143717" w:rsidRPr="00892DE3" w:rsidRDefault="00143717" w:rsidP="00143717">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w:t>
            </w:r>
          </w:p>
        </w:tc>
        <w:tc>
          <w:tcPr>
            <w:tcW w:w="795" w:type="dxa"/>
            <w:tcBorders>
              <w:top w:val="single" w:sz="4" w:space="0" w:color="auto"/>
              <w:bottom w:val="single" w:sz="12" w:space="0" w:color="auto"/>
            </w:tcBorders>
          </w:tcPr>
          <w:p w:rsidR="00143717" w:rsidRPr="00892DE3" w:rsidRDefault="00143717" w:rsidP="00143717">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265</w:t>
            </w:r>
          </w:p>
        </w:tc>
      </w:tr>
    </w:tbl>
    <w:p w:rsidR="00143717" w:rsidRPr="00892DE3" w:rsidRDefault="00143717" w:rsidP="00143717">
      <w:pPr>
        <w:pStyle w:val="Note"/>
      </w:pPr>
      <w:r w:rsidRPr="00892DE3">
        <w:t>[Note: Amounts disclosed in this table exclude holding gains and losses related to statutory financial assets and liabilities.]</w:t>
      </w:r>
    </w:p>
    <w:p w:rsidR="00892B10" w:rsidRPr="00892DE3" w:rsidRDefault="00892B10" w:rsidP="00143717"/>
    <w:p w:rsidR="00143717" w:rsidRPr="00892DE3" w:rsidRDefault="00143717" w:rsidP="00143717">
      <w:r w:rsidRPr="00892DE3">
        <w:t>The net holding gains or losses disclosed above are determined as follows:</w:t>
      </w:r>
    </w:p>
    <w:p w:rsidR="00143717" w:rsidRPr="00892DE3" w:rsidRDefault="00143717" w:rsidP="00143717">
      <w:pPr>
        <w:pStyle w:val="ListBullet"/>
      </w:pPr>
      <w:r w:rsidRPr="00892DE3">
        <w:t>for cash and cash equivalents, loans or receivables and available-for-sale financial assets, the net gain or loss is calculated by taking the movement in the fair value of the asset, the interest income, plus or minus foreign exchange gains or losses arising from revaluation of the financial assets, and minus any impairment recognised in the net result;</w:t>
      </w:r>
    </w:p>
    <w:p w:rsidR="00143717" w:rsidRPr="00892DE3" w:rsidRDefault="00143717" w:rsidP="00143717">
      <w:pPr>
        <w:pStyle w:val="ListBullet"/>
      </w:pPr>
      <w:r w:rsidRPr="00892DE3">
        <w:t>for financial liabilities measured at amortised cost, the net gain or loss is calculated by taking the interest expense, plus or minus foreign exchange gains or losses arising from the revaluation of financial liabilities measured at amortised cost; and</w:t>
      </w:r>
    </w:p>
    <w:p w:rsidR="00143717" w:rsidRPr="00892DE3" w:rsidRDefault="00143717" w:rsidP="00143717">
      <w:pPr>
        <w:pStyle w:val="ListBullet"/>
      </w:pPr>
      <w:r w:rsidRPr="00892DE3">
        <w:t>for financial asset and liabilities that are held for trading or designated at fair value through profit or loss, the net gain or loss is calculated by taking the movement in the fair value of the financial asset or liability.</w:t>
      </w:r>
    </w:p>
    <w:p w:rsidR="00143717" w:rsidRPr="00892DE3" w:rsidRDefault="00143717" w:rsidP="00143717"/>
    <w:p w:rsidR="00892B10" w:rsidRPr="00892DE3" w:rsidRDefault="00892B10">
      <w:r w:rsidRPr="00892DE3">
        <w:rPr>
          <w:b/>
        </w:rPr>
        <w:br w:type="page"/>
      </w:r>
    </w:p>
    <w:tbl>
      <w:tblPr>
        <w:tblStyle w:val="ModelReportGuidanceTable"/>
        <w:tblW w:w="0" w:type="auto"/>
        <w:tblLook w:val="04A0" w:firstRow="1" w:lastRow="0" w:firstColumn="1" w:lastColumn="0" w:noHBand="0" w:noVBand="1"/>
      </w:tblPr>
      <w:tblGrid>
        <w:gridCol w:w="9752"/>
      </w:tblGrid>
      <w:tr w:rsidR="00143717" w:rsidRPr="00892DE3" w:rsidTr="00892B10">
        <w:trPr>
          <w:cnfStyle w:val="100000000000" w:firstRow="1" w:lastRow="0" w:firstColumn="0" w:lastColumn="0" w:oddVBand="0" w:evenVBand="0" w:oddHBand="0" w:evenHBand="0" w:firstRowFirstColumn="0" w:firstRowLastColumn="0" w:lastRowFirstColumn="0" w:lastRowLastColumn="0"/>
        </w:trPr>
        <w:tc>
          <w:tcPr>
            <w:tcW w:w="9752" w:type="dxa"/>
          </w:tcPr>
          <w:p w:rsidR="00143717" w:rsidRPr="00892DE3" w:rsidRDefault="00143717" w:rsidP="00143717">
            <w:r w:rsidRPr="00892DE3">
              <w:t>Guidance – Categorisation of financial instruments</w:t>
            </w:r>
            <w:r w:rsidRPr="00892DE3">
              <w:rPr>
                <w:b w:val="0"/>
              </w:rPr>
              <w:t xml:space="preserve"> </w:t>
            </w:r>
            <w:r w:rsidRPr="00892DE3">
              <w:rPr>
                <w:rStyle w:val="SourceReference"/>
                <w:b w:val="0"/>
                <w:color w:val="FFFFFF" w:themeColor="background1"/>
              </w:rPr>
              <w:t>[AASB 7.8]</w:t>
            </w:r>
          </w:p>
        </w:tc>
      </w:tr>
      <w:tr w:rsidR="00143717" w:rsidRPr="00892DE3" w:rsidTr="00892B10">
        <w:tc>
          <w:tcPr>
            <w:tcW w:w="9752" w:type="dxa"/>
          </w:tcPr>
          <w:p w:rsidR="00143717" w:rsidRPr="00892DE3" w:rsidRDefault="00143717" w:rsidP="00143717">
            <w:pPr>
              <w:rPr>
                <w:b/>
              </w:rPr>
            </w:pPr>
            <w:r w:rsidRPr="00892DE3">
              <w:rPr>
                <w:b/>
              </w:rPr>
              <w:t>Categories of financial instruments</w:t>
            </w:r>
          </w:p>
          <w:p w:rsidR="00143717" w:rsidRPr="00892DE3" w:rsidRDefault="00143717" w:rsidP="00143717">
            <w:r w:rsidRPr="00892DE3">
              <w:t>An entity shall disclose the carrying amounts of the following categories either in the balance sheet or in the notes:</w:t>
            </w:r>
          </w:p>
          <w:p w:rsidR="00143717" w:rsidRPr="00892DE3" w:rsidRDefault="00143717" w:rsidP="00143717">
            <w:pPr>
              <w:pStyle w:val="List"/>
            </w:pPr>
            <w:r w:rsidRPr="00892DE3">
              <w:t>(a)</w:t>
            </w:r>
            <w:r w:rsidRPr="00892DE3">
              <w:tab/>
              <w:t xml:space="preserve">financial instruments (contractual financial assets or financial liabilities) at fair value through profit or loss, showing separately: </w:t>
            </w:r>
          </w:p>
          <w:p w:rsidR="00143717" w:rsidRPr="00892DE3" w:rsidRDefault="00143717" w:rsidP="00143717">
            <w:pPr>
              <w:pStyle w:val="List2"/>
            </w:pPr>
            <w:r w:rsidRPr="00892DE3">
              <w:t>(i)</w:t>
            </w:r>
            <w:r w:rsidRPr="00892DE3">
              <w:tab/>
              <w:t xml:space="preserve">those designated as such upon initial recognition; and </w:t>
            </w:r>
          </w:p>
          <w:p w:rsidR="00143717" w:rsidRPr="00892DE3" w:rsidRDefault="00143717" w:rsidP="00143717">
            <w:pPr>
              <w:pStyle w:val="List2"/>
            </w:pPr>
            <w:r w:rsidRPr="00892DE3">
              <w:t xml:space="preserve">(ii) </w:t>
            </w:r>
            <w:r w:rsidRPr="00892DE3">
              <w:tab/>
              <w:t>those classified as held for trading in accordance with AASB 139;</w:t>
            </w:r>
          </w:p>
          <w:p w:rsidR="00143717" w:rsidRPr="00892DE3" w:rsidRDefault="00143717" w:rsidP="00143717">
            <w:pPr>
              <w:pStyle w:val="List"/>
            </w:pPr>
            <w:r w:rsidRPr="00892DE3">
              <w:t>(b)</w:t>
            </w:r>
            <w:r w:rsidRPr="00892DE3">
              <w:tab/>
              <w:t xml:space="preserve">held to maturity investments; </w:t>
            </w:r>
            <w:r w:rsidRPr="00892DE3">
              <w:rPr>
                <w:rStyle w:val="SourceReference"/>
              </w:rPr>
              <w:t>[AASB 139.52, FRD 114A]</w:t>
            </w:r>
          </w:p>
          <w:p w:rsidR="00143717" w:rsidRPr="00892DE3" w:rsidRDefault="00143717" w:rsidP="00143717">
            <w:pPr>
              <w:pStyle w:val="List"/>
            </w:pPr>
            <w:r w:rsidRPr="00892DE3">
              <w:tab/>
              <w:t>(due to the risk of tainting and for consistency with the Government’s requirement to comply with AASB 1049, this category is only used in rare and exceptional circumstances);</w:t>
            </w:r>
          </w:p>
          <w:p w:rsidR="00143717" w:rsidRPr="00892DE3" w:rsidRDefault="00143717" w:rsidP="00143717">
            <w:pPr>
              <w:pStyle w:val="List"/>
            </w:pPr>
            <w:r w:rsidRPr="00892DE3">
              <w:t>(c)</w:t>
            </w:r>
            <w:r w:rsidRPr="00892DE3">
              <w:tab/>
              <w:t>loans and receivables;</w:t>
            </w:r>
          </w:p>
          <w:p w:rsidR="00143717" w:rsidRPr="00892DE3" w:rsidRDefault="00143717" w:rsidP="00143717">
            <w:pPr>
              <w:pStyle w:val="List"/>
            </w:pPr>
            <w:r w:rsidRPr="00892DE3">
              <w:t>(d)</w:t>
            </w:r>
            <w:r w:rsidRPr="00892DE3">
              <w:tab/>
              <w:t>available-for-sale financial assets;</w:t>
            </w:r>
            <w:r w:rsidR="00365635" w:rsidRPr="00892DE3">
              <w:t xml:space="preserve"> and</w:t>
            </w:r>
          </w:p>
          <w:p w:rsidR="00892B10" w:rsidRPr="00892DE3" w:rsidRDefault="00892B10" w:rsidP="00892B10">
            <w:pPr>
              <w:pStyle w:val="List"/>
            </w:pPr>
            <w:r w:rsidRPr="00892DE3">
              <w:t>(e)</w:t>
            </w:r>
            <w:r w:rsidRPr="00892DE3">
              <w:tab/>
              <w:t>financial liabilities measured at amortised cost</w:t>
            </w:r>
            <w:r w:rsidR="00365635" w:rsidRPr="00892DE3">
              <w:t>.</w:t>
            </w:r>
            <w:r w:rsidRPr="00892DE3">
              <w:t xml:space="preserve"> </w:t>
            </w:r>
          </w:p>
          <w:p w:rsidR="00892B10" w:rsidRPr="00892DE3" w:rsidRDefault="007A4336" w:rsidP="007A4336">
            <w:r w:rsidRPr="00892DE3">
              <w:t>E</w:t>
            </w:r>
            <w:r w:rsidR="00892B10" w:rsidRPr="00892DE3">
              <w:t>ntities in the general government sector and public non-financial corporations sector can refer to FRD 114A for further guidance on the categorisation of financial instruments (FRD 116 for entities in the public fin</w:t>
            </w:r>
            <w:r w:rsidRPr="00892DE3">
              <w:t>ancial corporations sector).</w:t>
            </w:r>
          </w:p>
          <w:p w:rsidR="00892B10" w:rsidRPr="00892DE3" w:rsidRDefault="00892B10" w:rsidP="007A4336">
            <w:r w:rsidRPr="00892DE3">
              <w:t>In relation to the il</w:t>
            </w:r>
            <w:r w:rsidR="003F558A" w:rsidRPr="00892DE3">
              <w:t>lustrative example in Table 8.</w:t>
            </w:r>
            <w:r w:rsidR="00CE172D" w:rsidRPr="00892DE3">
              <w:t>1</w:t>
            </w:r>
            <w:r w:rsidR="003F558A" w:rsidRPr="00892DE3">
              <w:t>.1</w:t>
            </w:r>
            <w:r w:rsidRPr="00892DE3">
              <w:t>, for departments, all trust balances in the Public Account should be included in the category ‘cash and deposit’.</w:t>
            </w:r>
          </w:p>
          <w:p w:rsidR="00892B10" w:rsidRPr="00892DE3" w:rsidRDefault="00892B10" w:rsidP="00892B10">
            <w:r w:rsidRPr="00892DE3">
              <w:rPr>
                <w:b/>
              </w:rPr>
              <w:t>Capital management objectives</w:t>
            </w:r>
            <w:r w:rsidRPr="00892DE3">
              <w:t xml:space="preserve"> </w:t>
            </w:r>
            <w:r w:rsidRPr="00892DE3">
              <w:rPr>
                <w:rStyle w:val="SourceReference"/>
              </w:rPr>
              <w:t>[AASB 101.Aus1.7]</w:t>
            </w:r>
          </w:p>
          <w:p w:rsidR="00892B10" w:rsidRPr="00892DE3" w:rsidRDefault="00892B10" w:rsidP="00892B10">
            <w:r w:rsidRPr="00892DE3">
              <w:t>Not-for-profit entities are exempt from the disclosure requirements of AASB 101.134 136, which would otherwise require an entity to disclose information that enables users of its financial statements to evaluate the entity’s objectives, policies and processes for managing capital.</w:t>
            </w:r>
          </w:p>
        </w:tc>
      </w:tr>
    </w:tbl>
    <w:p w:rsidR="00143717" w:rsidRPr="00892DE3" w:rsidRDefault="00143717" w:rsidP="00143717"/>
    <w:p w:rsidR="0036647D" w:rsidRPr="00892DE3" w:rsidRDefault="0036647D" w:rsidP="00D31BB8">
      <w:pPr>
        <w:pStyle w:val="Heading3"/>
      </w:pPr>
      <w:r w:rsidRPr="00892DE3">
        <w:t xml:space="preserve">Financial risk management objectives and policies </w:t>
      </w:r>
      <w:r w:rsidRPr="00892DE3">
        <w:rPr>
          <w:rStyle w:val="SourceReference"/>
          <w:b w:val="0"/>
        </w:rPr>
        <w:t>[AASB 7.21]</w:t>
      </w:r>
    </w:p>
    <w:p w:rsidR="0036647D" w:rsidRPr="00892DE3" w:rsidRDefault="0036647D" w:rsidP="0036647D">
      <w:r w:rsidRPr="00892DE3">
        <w:rPr>
          <w:noProof/>
          <w:lang w:eastAsia="en-AU"/>
        </w:rPr>
        <w:drawing>
          <wp:inline distT="0" distB="0" distL="0" distR="0" wp14:anchorId="3DDEA18A" wp14:editId="20E8117D">
            <wp:extent cx="3088640" cy="1709530"/>
            <wp:effectExtent l="0" t="0" r="0" b="24130"/>
            <wp:docPr id="414" name="Diagram 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36647D" w:rsidRPr="00892DE3" w:rsidRDefault="0036647D" w:rsidP="0036647D">
      <w:r w:rsidRPr="00892DE3">
        <w:t xml:space="preserve">As a whole, the Department’s financial risk management program seeks to manage these risks and the associated volatility of its financial performance. </w:t>
      </w:r>
    </w:p>
    <w:p w:rsidR="0036647D" w:rsidRPr="00892DE3" w:rsidRDefault="0036647D" w:rsidP="0036647D">
      <w:r w:rsidRPr="00892DE3">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w:t>
      </w:r>
      <w:r w:rsidR="005B5AC3" w:rsidRPr="00892DE3">
        <w:t xml:space="preserve">3 </w:t>
      </w:r>
      <w:r w:rsidRPr="00892DE3">
        <w:t>to the financial statements.</w:t>
      </w:r>
    </w:p>
    <w:p w:rsidR="0036647D" w:rsidRPr="00892DE3" w:rsidRDefault="0036647D" w:rsidP="0036647D">
      <w:r w:rsidRPr="00892DE3">
        <w:t xml:space="preserve">The main purpose in holding financial instruments is to prudentially manage the Department’s financial risks within the government policy parameters. </w:t>
      </w:r>
      <w:r w:rsidRPr="00892DE3">
        <w:rPr>
          <w:rStyle w:val="SourceReference"/>
        </w:rPr>
        <w:t>[AASB 7.33(a), (b)]</w:t>
      </w:r>
    </w:p>
    <w:p w:rsidR="0036647D" w:rsidRPr="00892DE3" w:rsidRDefault="0036647D" w:rsidP="0036647D">
      <w:r w:rsidRPr="00892DE3">
        <w:t xml:space="preserve">The Department’s main financial risks include credit risk, liquidity risk, interest rate risk, foreign currency risk and equity price risk. The Department manages these financial risks in accordance with its financial risk management policy. </w:t>
      </w:r>
    </w:p>
    <w:p w:rsidR="0036647D" w:rsidRPr="00892DE3" w:rsidRDefault="0036647D" w:rsidP="0036647D">
      <w:r w:rsidRPr="00892DE3">
        <w:t>The Department uses different methods to measure and manage the different risks to which it is exposed. Primary responsibility for the identification and management of financial risks rests with the financial risk management committee of the Department.</w:t>
      </w:r>
    </w:p>
    <w:p w:rsidR="0036647D" w:rsidRPr="00892DE3" w:rsidRDefault="0036647D" w:rsidP="0036647D"/>
    <w:p w:rsidR="0065310B" w:rsidRPr="00892DE3" w:rsidRDefault="0065310B">
      <w:r w:rsidRPr="00892DE3">
        <w:rPr>
          <w:b/>
        </w:rPr>
        <w:br w:type="page"/>
      </w:r>
    </w:p>
    <w:tbl>
      <w:tblPr>
        <w:tblStyle w:val="ModelReportGuidanceTable"/>
        <w:tblW w:w="0" w:type="auto"/>
        <w:tblLook w:val="04A0" w:firstRow="1" w:lastRow="0" w:firstColumn="1" w:lastColumn="0" w:noHBand="0" w:noVBand="1"/>
      </w:tblPr>
      <w:tblGrid>
        <w:gridCol w:w="9752"/>
      </w:tblGrid>
      <w:tr w:rsidR="0036647D" w:rsidRPr="00892DE3" w:rsidTr="0065310B">
        <w:trPr>
          <w:cnfStyle w:val="100000000000" w:firstRow="1" w:lastRow="0" w:firstColumn="0" w:lastColumn="0" w:oddVBand="0" w:evenVBand="0" w:oddHBand="0" w:evenHBand="0" w:firstRowFirstColumn="0" w:firstRowLastColumn="0" w:lastRowFirstColumn="0" w:lastRowLastColumn="0"/>
        </w:trPr>
        <w:tc>
          <w:tcPr>
            <w:tcW w:w="9752" w:type="dxa"/>
          </w:tcPr>
          <w:p w:rsidR="0036647D" w:rsidRPr="00892DE3" w:rsidRDefault="0036647D" w:rsidP="0036647D">
            <w:r w:rsidRPr="00892DE3">
              <w:t xml:space="preserve">Guidance – Financial risk management objectives and policies and nature and extent of disclosures </w:t>
            </w:r>
            <w:r w:rsidR="00ED1645" w:rsidRPr="00892DE3">
              <w:br/>
            </w:r>
            <w:r w:rsidRPr="00892DE3">
              <w:rPr>
                <w:rStyle w:val="SourceReference"/>
                <w:b w:val="0"/>
                <w:color w:val="FFFFFF" w:themeColor="background1"/>
              </w:rPr>
              <w:t>[AASB 7.21,31]</w:t>
            </w:r>
          </w:p>
        </w:tc>
      </w:tr>
      <w:tr w:rsidR="0036647D" w:rsidRPr="00892DE3" w:rsidTr="0065310B">
        <w:tc>
          <w:tcPr>
            <w:tcW w:w="9752" w:type="dxa"/>
          </w:tcPr>
          <w:p w:rsidR="0036647D" w:rsidRPr="00892DE3" w:rsidRDefault="0036647D" w:rsidP="0036647D">
            <w:r w:rsidRPr="00892DE3">
              <w:t>In accordance with paragraph 117 of AASB 101 Presentation of Financial Statements, an entity discloses, in the summary of significant accounting policies, the measurement basis (or bases) used in preparing the financial statements and the other accounting policies used that are relevant to an understanding of the financial statements.</w:t>
            </w:r>
          </w:p>
          <w:p w:rsidR="0036647D" w:rsidRPr="00892DE3" w:rsidRDefault="0036647D" w:rsidP="0036647D">
            <w:r w:rsidRPr="00892DE3">
              <w:t>AASB 7 requires comprehensive disclosure requirements for financial instruments including, but not limited to, the following:</w:t>
            </w:r>
          </w:p>
          <w:p w:rsidR="0036647D" w:rsidRPr="00892DE3" w:rsidRDefault="0036647D" w:rsidP="0036647D">
            <w:pPr>
              <w:pStyle w:val="List"/>
            </w:pPr>
            <w:r w:rsidRPr="00892DE3">
              <w:t>(a)</w:t>
            </w:r>
            <w:r w:rsidRPr="00892DE3">
              <w:tab/>
              <w:t>the measurement basis (bases) and the criteria used to determine classification for different types of financial instruments;</w:t>
            </w:r>
          </w:p>
          <w:p w:rsidR="0036647D" w:rsidRPr="00892DE3" w:rsidRDefault="0036647D" w:rsidP="0036647D">
            <w:pPr>
              <w:pStyle w:val="List"/>
            </w:pPr>
            <w:r w:rsidRPr="00892DE3">
              <w:t>(b)</w:t>
            </w:r>
            <w:r w:rsidRPr="00892DE3">
              <w:tab/>
              <w:t>the movements in fair value for financial instruments classified as fair value through profit or loss;</w:t>
            </w:r>
          </w:p>
          <w:p w:rsidR="0036647D" w:rsidRPr="00892DE3" w:rsidRDefault="0036647D" w:rsidP="0036647D">
            <w:pPr>
              <w:pStyle w:val="List"/>
            </w:pPr>
            <w:r w:rsidRPr="00892DE3">
              <w:t>(c)</w:t>
            </w:r>
            <w:r w:rsidRPr="00892DE3">
              <w:tab/>
              <w:t>an entity’s objectives, policies and processes for managing capital; and</w:t>
            </w:r>
          </w:p>
          <w:p w:rsidR="0036647D" w:rsidRPr="00892DE3" w:rsidRDefault="0036647D" w:rsidP="0036647D">
            <w:pPr>
              <w:pStyle w:val="List"/>
            </w:pPr>
            <w:r w:rsidRPr="00892DE3">
              <w:t>(d)</w:t>
            </w:r>
            <w:r w:rsidRPr="00892DE3">
              <w:tab/>
              <w:t>the qualitative and quantitative disclosures for each type of risk (e.g. credit risk, liquidity risk, and market risk) that the entity is exposed to.</w:t>
            </w:r>
          </w:p>
          <w:p w:rsidR="0065310B" w:rsidRPr="00892DE3" w:rsidRDefault="0065310B" w:rsidP="0065310B">
            <w:r w:rsidRPr="00892DE3">
              <w:t xml:space="preserve">AASB 7 requires that an entity provide qualitative and quantitative disclosures for each type of risk arising from financial instruments. </w:t>
            </w:r>
            <w:r w:rsidRPr="00892DE3">
              <w:rPr>
                <w:rStyle w:val="SourceReference"/>
              </w:rPr>
              <w:t>[AASB 7.31]</w:t>
            </w:r>
          </w:p>
          <w:p w:rsidR="0065310B" w:rsidRPr="00892DE3" w:rsidRDefault="0065310B" w:rsidP="0065310B">
            <w:r w:rsidRPr="00892DE3">
              <w:t>An entity shall disclose information that enables users of its financial statements to evaluate the nature and extent of risks arising from financial instruments to which the entity is exposed at the end of the reporting period.</w:t>
            </w:r>
          </w:p>
          <w:p w:rsidR="0065310B" w:rsidRPr="00892DE3" w:rsidRDefault="0065310B" w:rsidP="0065310B">
            <w:r w:rsidRPr="00892DE3">
              <w:rPr>
                <w:b/>
              </w:rPr>
              <w:t>Qualitative disclosure</w:t>
            </w:r>
            <w:r w:rsidRPr="00892DE3">
              <w:t xml:space="preserve"> </w:t>
            </w:r>
            <w:r w:rsidRPr="00892DE3">
              <w:rPr>
                <w:rStyle w:val="SourceReference"/>
              </w:rPr>
              <w:t>[AASB 7.33]</w:t>
            </w:r>
          </w:p>
          <w:p w:rsidR="0065310B" w:rsidRPr="00892DE3" w:rsidRDefault="0065310B" w:rsidP="0065310B">
            <w:r w:rsidRPr="00892DE3">
              <w:t>For each type of risk arising from financial instruments, an entity shall disclose:</w:t>
            </w:r>
          </w:p>
          <w:p w:rsidR="0065310B" w:rsidRPr="00892DE3" w:rsidRDefault="0065310B" w:rsidP="0065310B">
            <w:pPr>
              <w:pStyle w:val="List"/>
            </w:pPr>
            <w:r w:rsidRPr="00892DE3">
              <w:t>(a)</w:t>
            </w:r>
            <w:r w:rsidRPr="00892DE3">
              <w:tab/>
              <w:t>the exposures to risk and how they arise;</w:t>
            </w:r>
          </w:p>
          <w:p w:rsidR="0065310B" w:rsidRPr="00892DE3" w:rsidRDefault="0065310B" w:rsidP="0065310B">
            <w:pPr>
              <w:pStyle w:val="List"/>
            </w:pPr>
            <w:r w:rsidRPr="00892DE3">
              <w:t>(b)</w:t>
            </w:r>
            <w:r w:rsidRPr="00892DE3">
              <w:tab/>
              <w:t>its objectives, policies and processes for managing the risk and the methods used to measure the risk; and</w:t>
            </w:r>
          </w:p>
          <w:p w:rsidR="0065310B" w:rsidRPr="00892DE3" w:rsidRDefault="0065310B" w:rsidP="0065310B">
            <w:pPr>
              <w:pStyle w:val="List"/>
            </w:pPr>
            <w:r w:rsidRPr="00892DE3">
              <w:t>(c)</w:t>
            </w:r>
            <w:r w:rsidRPr="00892DE3">
              <w:tab/>
              <w:t>any changes in (a) or (b) from the previous reporting period.</w:t>
            </w:r>
          </w:p>
          <w:p w:rsidR="0065310B" w:rsidRPr="00892DE3" w:rsidRDefault="00782111" w:rsidP="0065310B">
            <w:r w:rsidRPr="00892DE3">
              <w:rPr>
                <w:b/>
              </w:rPr>
              <w:t>Quantitative</w:t>
            </w:r>
            <w:r w:rsidR="0065310B" w:rsidRPr="00892DE3">
              <w:rPr>
                <w:b/>
              </w:rPr>
              <w:t xml:space="preserve"> disclosure</w:t>
            </w:r>
            <w:r w:rsidR="0065310B" w:rsidRPr="00892DE3">
              <w:t xml:space="preserve"> </w:t>
            </w:r>
            <w:r w:rsidR="0065310B" w:rsidRPr="00892DE3">
              <w:rPr>
                <w:rStyle w:val="SourceReference"/>
              </w:rPr>
              <w:t>[</w:t>
            </w:r>
            <w:r w:rsidRPr="00892DE3">
              <w:rPr>
                <w:rStyle w:val="SourceReference"/>
              </w:rPr>
              <w:t xml:space="preserve">AASB </w:t>
            </w:r>
            <w:r w:rsidR="0065310B" w:rsidRPr="00892DE3">
              <w:rPr>
                <w:rStyle w:val="SourceReference"/>
              </w:rPr>
              <w:t>7.34-35]</w:t>
            </w:r>
          </w:p>
          <w:p w:rsidR="0065310B" w:rsidRPr="00892DE3" w:rsidRDefault="0065310B" w:rsidP="0065310B">
            <w:r w:rsidRPr="00892DE3">
              <w:t>For each type of risk arising from financial instruments, an entity shall disclose:</w:t>
            </w:r>
          </w:p>
          <w:p w:rsidR="0065310B" w:rsidRPr="00892DE3" w:rsidRDefault="0065310B" w:rsidP="0065310B">
            <w:pPr>
              <w:pStyle w:val="List"/>
            </w:pPr>
            <w:r w:rsidRPr="00892DE3">
              <w:t>(a)</w:t>
            </w:r>
            <w:r w:rsidRPr="00892DE3">
              <w:tab/>
              <w:t>summary quantitative data about its exposure to that risk at the end of the reporting period. This disclosure shall be based on the information provided internally to key management personnel of the entity (as defined in AASB 124 Related Party Disclosures); and</w:t>
            </w:r>
          </w:p>
          <w:p w:rsidR="0065310B" w:rsidRPr="00892DE3" w:rsidRDefault="0065310B" w:rsidP="0065310B">
            <w:pPr>
              <w:pStyle w:val="List"/>
            </w:pPr>
            <w:r w:rsidRPr="00892DE3">
              <w:t>(b)</w:t>
            </w:r>
            <w:r w:rsidRPr="00892DE3">
              <w:tab/>
              <w:t>specific disclosures as required for each type of risk (see credit, liquidity and market risks), to the extent not provided in (a), unless the risk is not material.</w:t>
            </w:r>
          </w:p>
          <w:p w:rsidR="0065310B" w:rsidRPr="00892DE3" w:rsidRDefault="0065310B" w:rsidP="0065310B">
            <w:r w:rsidRPr="00892DE3">
              <w:t>Disclosures provided in this Model only cover credit risk, liquidity risk, and market risk. Entities should consider whether there may be other type of risks that they may need to disclose, specific to their own circumstances.</w:t>
            </w:r>
          </w:p>
        </w:tc>
      </w:tr>
    </w:tbl>
    <w:p w:rsidR="0036647D" w:rsidRPr="00892DE3" w:rsidRDefault="0036647D" w:rsidP="0036647D"/>
    <w:p w:rsidR="0036647D" w:rsidRPr="00892DE3" w:rsidRDefault="0036647D" w:rsidP="005D652C">
      <w:pPr>
        <w:pStyle w:val="Heading30"/>
      </w:pPr>
      <w:r w:rsidRPr="00892DE3">
        <w:t xml:space="preserve">Financial instruments: Credit risk </w:t>
      </w:r>
      <w:r w:rsidRPr="00892DE3">
        <w:rPr>
          <w:rStyle w:val="SourceReference"/>
          <w:b w:val="0"/>
        </w:rPr>
        <w:t>[AASB 7.7,33]</w:t>
      </w:r>
    </w:p>
    <w:p w:rsidR="0036647D" w:rsidRPr="00892DE3" w:rsidRDefault="0036647D" w:rsidP="0036647D">
      <w:r w:rsidRPr="00892DE3">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rsidR="0036647D" w:rsidRPr="00892DE3" w:rsidRDefault="0036647D" w:rsidP="0036647D">
      <w:r w:rsidRPr="00892DE3">
        <w:t>Credit risk associated with the Department’s contractual financial assets is minimal because the main debtor is the Victorian Government. For debtors other than the Government, it is the Department’s policy to only deal with entities with high credit ratings of a minimum triple-B rating and to obtain sufficient collateral or credit enhancements, where appropriate.</w:t>
      </w:r>
    </w:p>
    <w:p w:rsidR="0036647D" w:rsidRPr="00892DE3" w:rsidRDefault="0036647D" w:rsidP="0036647D">
      <w:r w:rsidRPr="00892DE3">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rsidR="0036647D" w:rsidRPr="00892DE3" w:rsidRDefault="0036647D" w:rsidP="0036647D">
      <w:r w:rsidRPr="00892DE3">
        <w:t xml:space="preserve">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 </w:t>
      </w:r>
    </w:p>
    <w:p w:rsidR="0036647D" w:rsidRPr="00892DE3" w:rsidRDefault="0036647D" w:rsidP="0036647D">
      <w:r w:rsidRPr="00892DE3">
        <w:t>Except as otherwise detailed in the following table, the carrying amount of contractual financial assets recorded in the financial statements, net of any allowances for losses, represents the Department’s maximum exposure to credit risk without taking account of the value of any collateral obtained.</w:t>
      </w:r>
    </w:p>
    <w:p w:rsidR="0036647D" w:rsidRPr="00892DE3" w:rsidRDefault="0036647D" w:rsidP="0036647D">
      <w:r w:rsidRPr="00892DE3">
        <w:t>There has been no material change to the Department’s credit risk profile in 2016-17.</w:t>
      </w:r>
    </w:p>
    <w:p w:rsidR="0036647D" w:rsidRPr="00892DE3" w:rsidRDefault="0036647D" w:rsidP="0036647D">
      <w:pPr>
        <w:pStyle w:val="TableHeading"/>
      </w:pPr>
      <w:r w:rsidRPr="00892DE3">
        <w:t>Credit quality of contractual financial assets that are neither past due nor impaired</w:t>
      </w:r>
      <w:r w:rsidR="00AE6EFF" w:rsidRPr="00892DE3">
        <w:t xml:space="preserve"> </w:t>
      </w:r>
      <w:r w:rsidRPr="00892DE3">
        <w:rPr>
          <w:vertAlign w:val="superscript"/>
        </w:rPr>
        <w:t>(</w:t>
      </w:r>
      <w:r w:rsidR="00AE6EFF" w:rsidRPr="00892DE3">
        <w:rPr>
          <w:vertAlign w:val="superscript"/>
        </w:rPr>
        <w:t>a</w:t>
      </w:r>
      <w:r w:rsidRPr="00892DE3">
        <w:rPr>
          <w:vertAlign w:val="superscript"/>
        </w:rPr>
        <w:t>)(</w:t>
      </w:r>
      <w:r w:rsidR="00AE6EFF" w:rsidRPr="00892DE3">
        <w:rPr>
          <w:vertAlign w:val="superscript"/>
        </w:rPr>
        <w:t>b</w:t>
      </w:r>
      <w:r w:rsidRPr="00892DE3">
        <w:rPr>
          <w:vertAlign w:val="superscript"/>
        </w:rPr>
        <w:t>)</w:t>
      </w:r>
      <w:r w:rsidRPr="00892DE3">
        <w:t xml:space="preserve"> </w:t>
      </w:r>
      <w:r w:rsidRPr="00892DE3">
        <w:rPr>
          <w:rStyle w:val="SourceReference"/>
          <w:b w:val="0"/>
        </w:rPr>
        <w:t>[AASB 7.36(c)]</w:t>
      </w:r>
    </w:p>
    <w:p w:rsidR="0036647D" w:rsidRPr="00892DE3" w:rsidRDefault="0036647D" w:rsidP="0036647D">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859"/>
        <w:gridCol w:w="1132"/>
        <w:gridCol w:w="1199"/>
        <w:gridCol w:w="1199"/>
        <w:gridCol w:w="1132"/>
        <w:gridCol w:w="1116"/>
      </w:tblGrid>
      <w:tr w:rsidR="0036647D" w:rsidRPr="00892DE3" w:rsidTr="003664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9" w:type="dxa"/>
            <w:hideMark/>
          </w:tcPr>
          <w:p w:rsidR="0036647D" w:rsidRPr="00892DE3" w:rsidRDefault="0036647D" w:rsidP="0036647D">
            <w:pPr>
              <w:ind w:left="0" w:firstLine="0"/>
            </w:pPr>
            <w:r w:rsidRPr="00892DE3">
              <w:t>2017</w:t>
            </w:r>
          </w:p>
        </w:tc>
        <w:tc>
          <w:tcPr>
            <w:tcW w:w="1132" w:type="dxa"/>
            <w:hideMark/>
          </w:tcPr>
          <w:p w:rsidR="0036647D" w:rsidRPr="00892DE3" w:rsidRDefault="0036647D" w:rsidP="0036647D">
            <w:pPr>
              <w:cnfStyle w:val="100000000000" w:firstRow="1" w:lastRow="0" w:firstColumn="0" w:lastColumn="0" w:oddVBand="0" w:evenVBand="0" w:oddHBand="0" w:evenHBand="0" w:firstRowFirstColumn="0" w:firstRowLastColumn="0" w:lastRowFirstColumn="0" w:lastRowLastColumn="0"/>
            </w:pPr>
            <w:r w:rsidRPr="00892DE3">
              <w:t>Financial institutions</w:t>
            </w:r>
            <w:r w:rsidRPr="00892DE3">
              <w:br/>
              <w:t>(triple</w:t>
            </w:r>
            <w:r w:rsidRPr="00892DE3">
              <w:noBreakHyphen/>
              <w:t>A credit rating)</w:t>
            </w:r>
          </w:p>
        </w:tc>
        <w:tc>
          <w:tcPr>
            <w:tcW w:w="1199" w:type="dxa"/>
            <w:hideMark/>
          </w:tcPr>
          <w:p w:rsidR="0036647D" w:rsidRPr="00892DE3" w:rsidRDefault="0036647D" w:rsidP="0036647D">
            <w:pPr>
              <w:cnfStyle w:val="100000000000" w:firstRow="1" w:lastRow="0" w:firstColumn="0" w:lastColumn="0" w:oddVBand="0" w:evenVBand="0" w:oddHBand="0" w:evenHBand="0" w:firstRowFirstColumn="0" w:firstRowLastColumn="0" w:lastRowFirstColumn="0" w:lastRowLastColumn="0"/>
            </w:pPr>
            <w:r w:rsidRPr="00892DE3">
              <w:t>Government agencies</w:t>
            </w:r>
            <w:r w:rsidRPr="00892DE3">
              <w:br/>
              <w:t>(triple</w:t>
            </w:r>
            <w:r w:rsidRPr="00892DE3">
              <w:noBreakHyphen/>
              <w:t xml:space="preserve">A </w:t>
            </w:r>
            <w:r w:rsidR="00ED1645" w:rsidRPr="00892DE3">
              <w:br/>
            </w:r>
            <w:r w:rsidRPr="00892DE3">
              <w:t>credit rating)</w:t>
            </w:r>
          </w:p>
        </w:tc>
        <w:tc>
          <w:tcPr>
            <w:tcW w:w="1199" w:type="dxa"/>
            <w:hideMark/>
          </w:tcPr>
          <w:p w:rsidR="0036647D" w:rsidRPr="00892DE3" w:rsidRDefault="0036647D" w:rsidP="0036647D">
            <w:pPr>
              <w:cnfStyle w:val="100000000000" w:firstRow="1" w:lastRow="0" w:firstColumn="0" w:lastColumn="0" w:oddVBand="0" w:evenVBand="0" w:oddHBand="0" w:evenHBand="0" w:firstRowFirstColumn="0" w:firstRowLastColumn="0" w:lastRowFirstColumn="0" w:lastRowLastColumn="0"/>
            </w:pPr>
            <w:r w:rsidRPr="00892DE3">
              <w:t>Government agencies</w:t>
            </w:r>
            <w:r w:rsidRPr="00892DE3">
              <w:br/>
              <w:t>(triple</w:t>
            </w:r>
            <w:r w:rsidRPr="00892DE3">
              <w:noBreakHyphen/>
              <w:t xml:space="preserve">B </w:t>
            </w:r>
            <w:r w:rsidR="00ED1645" w:rsidRPr="00892DE3">
              <w:br/>
            </w:r>
            <w:r w:rsidRPr="00892DE3">
              <w:t>credit rating)</w:t>
            </w:r>
          </w:p>
        </w:tc>
        <w:tc>
          <w:tcPr>
            <w:tcW w:w="1132" w:type="dxa"/>
            <w:hideMark/>
          </w:tcPr>
          <w:p w:rsidR="0036647D" w:rsidRPr="00892DE3" w:rsidRDefault="0036647D" w:rsidP="0036647D">
            <w:pPr>
              <w:cnfStyle w:val="100000000000" w:firstRow="1" w:lastRow="0" w:firstColumn="0" w:lastColumn="0" w:oddVBand="0" w:evenVBand="0" w:oddHBand="0" w:evenHBand="0" w:firstRowFirstColumn="0" w:firstRowLastColumn="0" w:lastRowFirstColumn="0" w:lastRowLastColumn="0"/>
            </w:pPr>
            <w:r w:rsidRPr="00892DE3">
              <w:br/>
              <w:t xml:space="preserve">Other </w:t>
            </w:r>
            <w:r w:rsidRPr="00892DE3">
              <w:br/>
              <w:t>(min triple</w:t>
            </w:r>
            <w:r w:rsidRPr="00892DE3">
              <w:noBreakHyphen/>
              <w:t>B credit rating)</w:t>
            </w:r>
          </w:p>
        </w:tc>
        <w:tc>
          <w:tcPr>
            <w:tcW w:w="1116" w:type="dxa"/>
            <w:hideMark/>
          </w:tcPr>
          <w:p w:rsidR="0036647D" w:rsidRPr="00892DE3" w:rsidRDefault="0036647D" w:rsidP="0036647D">
            <w:pPr>
              <w:cnfStyle w:val="100000000000" w:firstRow="1" w:lastRow="0" w:firstColumn="0" w:lastColumn="0" w:oddVBand="0" w:evenVBand="0" w:oddHBand="0" w:evenHBand="0" w:firstRowFirstColumn="0" w:firstRowLastColumn="0" w:lastRowFirstColumn="0" w:lastRowLastColumn="0"/>
            </w:pPr>
            <w:r w:rsidRPr="00892DE3">
              <w:br/>
            </w:r>
            <w:r w:rsidRPr="00892DE3">
              <w:br/>
            </w:r>
            <w:r w:rsidRPr="00892DE3">
              <w:br/>
              <w:t>Total</w:t>
            </w:r>
          </w:p>
        </w:tc>
      </w:tr>
      <w:tr w:rsidR="0036647D" w:rsidRPr="00892DE3" w:rsidTr="0036647D">
        <w:tc>
          <w:tcPr>
            <w:cnfStyle w:val="001000000000" w:firstRow="0" w:lastRow="0" w:firstColumn="1" w:lastColumn="0" w:oddVBand="0" w:evenVBand="0" w:oddHBand="0" w:evenHBand="0" w:firstRowFirstColumn="0" w:firstRowLastColumn="0" w:lastRowFirstColumn="0" w:lastRowLastColumn="0"/>
            <w:tcW w:w="3859" w:type="dxa"/>
            <w:hideMark/>
          </w:tcPr>
          <w:p w:rsidR="0036647D" w:rsidRPr="00892DE3" w:rsidRDefault="0036647D" w:rsidP="0036647D">
            <w:pPr>
              <w:rPr>
                <w:rFonts w:cstheme="majorHAnsi"/>
              </w:rPr>
            </w:pPr>
            <w:r w:rsidRPr="00892DE3">
              <w:rPr>
                <w:rFonts w:cstheme="majorHAnsi"/>
              </w:rPr>
              <w:t>Cash and deposits</w:t>
            </w:r>
          </w:p>
        </w:tc>
        <w:tc>
          <w:tcPr>
            <w:tcW w:w="1132" w:type="dxa"/>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23 911</w:t>
            </w:r>
          </w:p>
        </w:tc>
        <w:tc>
          <w:tcPr>
            <w:tcW w:w="1199" w:type="dxa"/>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23 711</w:t>
            </w:r>
          </w:p>
        </w:tc>
        <w:tc>
          <w:tcPr>
            <w:tcW w:w="1199" w:type="dxa"/>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8 929</w:t>
            </w:r>
          </w:p>
        </w:tc>
        <w:tc>
          <w:tcPr>
            <w:tcW w:w="1132" w:type="dxa"/>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2 976</w:t>
            </w:r>
          </w:p>
        </w:tc>
        <w:tc>
          <w:tcPr>
            <w:tcW w:w="1116" w:type="dxa"/>
            <w:shd w:val="clear" w:color="auto" w:fill="EBEBEB" w:themeFill="background2"/>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r>
      <w:tr w:rsidR="0036647D" w:rsidRPr="00892DE3" w:rsidTr="0036647D">
        <w:tc>
          <w:tcPr>
            <w:cnfStyle w:val="001000000000" w:firstRow="0" w:lastRow="0" w:firstColumn="1" w:lastColumn="0" w:oddVBand="0" w:evenVBand="0" w:oddHBand="0" w:evenHBand="0" w:firstRowFirstColumn="0" w:firstRowLastColumn="0" w:lastRowFirstColumn="0" w:lastRowLastColumn="0"/>
            <w:tcW w:w="3859" w:type="dxa"/>
            <w:hideMark/>
          </w:tcPr>
          <w:p w:rsidR="0036647D" w:rsidRPr="00892DE3" w:rsidRDefault="0036647D" w:rsidP="0036647D">
            <w:pPr>
              <w:rPr>
                <w:rFonts w:cstheme="majorHAnsi"/>
              </w:rPr>
            </w:pPr>
            <w:r w:rsidRPr="00892DE3">
              <w:rPr>
                <w:rFonts w:cstheme="majorHAnsi"/>
              </w:rPr>
              <w:t xml:space="preserve">Receivables </w:t>
            </w:r>
            <w:r w:rsidR="00AE6EFF" w:rsidRPr="00892DE3">
              <w:rPr>
                <w:rFonts w:cstheme="majorHAnsi"/>
                <w:vertAlign w:val="superscript"/>
              </w:rPr>
              <w:t>(a</w:t>
            </w:r>
            <w:r w:rsidRPr="00892DE3">
              <w:rPr>
                <w:rFonts w:cstheme="majorHAnsi"/>
                <w:vertAlign w:val="superscript"/>
              </w:rPr>
              <w:t>)</w:t>
            </w:r>
          </w:p>
        </w:tc>
        <w:tc>
          <w:tcPr>
            <w:tcW w:w="1132" w:type="dxa"/>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1 694</w:t>
            </w:r>
          </w:p>
        </w:tc>
        <w:tc>
          <w:tcPr>
            <w:tcW w:w="1199" w:type="dxa"/>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1 294</w:t>
            </w:r>
          </w:p>
        </w:tc>
        <w:tc>
          <w:tcPr>
            <w:tcW w:w="1199" w:type="dxa"/>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560</w:t>
            </w:r>
          </w:p>
        </w:tc>
        <w:tc>
          <w:tcPr>
            <w:tcW w:w="1132" w:type="dxa"/>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187</w:t>
            </w:r>
          </w:p>
        </w:tc>
        <w:tc>
          <w:tcPr>
            <w:tcW w:w="1116" w:type="dxa"/>
            <w:shd w:val="clear" w:color="auto" w:fill="EBEBEB" w:themeFill="background2"/>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3 735</w:t>
            </w:r>
          </w:p>
        </w:tc>
      </w:tr>
      <w:tr w:rsidR="0036647D" w:rsidRPr="00892DE3" w:rsidTr="0036647D">
        <w:tc>
          <w:tcPr>
            <w:cnfStyle w:val="001000000000" w:firstRow="0" w:lastRow="0" w:firstColumn="1" w:lastColumn="0" w:oddVBand="0" w:evenVBand="0" w:oddHBand="0" w:evenHBand="0" w:firstRowFirstColumn="0" w:firstRowLastColumn="0" w:lastRowFirstColumn="0" w:lastRowLastColumn="0"/>
            <w:tcW w:w="3859" w:type="dxa"/>
            <w:tcBorders>
              <w:bottom w:val="single" w:sz="4" w:space="0" w:color="auto"/>
            </w:tcBorders>
            <w:hideMark/>
          </w:tcPr>
          <w:p w:rsidR="0036647D" w:rsidRPr="00892DE3" w:rsidRDefault="0036647D" w:rsidP="0036647D">
            <w:pPr>
              <w:rPr>
                <w:rFonts w:cstheme="majorHAnsi"/>
              </w:rPr>
            </w:pPr>
            <w:r w:rsidRPr="00892DE3">
              <w:rPr>
                <w:rFonts w:cstheme="majorHAnsi"/>
              </w:rPr>
              <w:t>Investments and other financial assets</w:t>
            </w:r>
          </w:p>
        </w:tc>
        <w:tc>
          <w:tcPr>
            <w:tcW w:w="1132" w:type="dxa"/>
            <w:tcBorders>
              <w:bottom w:val="single" w:sz="4" w:space="0" w:color="auto"/>
            </w:tcBorders>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5 750</w:t>
            </w:r>
          </w:p>
        </w:tc>
        <w:tc>
          <w:tcPr>
            <w:tcW w:w="1199" w:type="dxa"/>
            <w:tcBorders>
              <w:bottom w:val="single" w:sz="4" w:space="0" w:color="auto"/>
            </w:tcBorders>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5 430</w:t>
            </w:r>
          </w:p>
        </w:tc>
        <w:tc>
          <w:tcPr>
            <w:tcW w:w="1199" w:type="dxa"/>
            <w:tcBorders>
              <w:bottom w:val="single" w:sz="4" w:space="0" w:color="auto"/>
            </w:tcBorders>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2 096</w:t>
            </w:r>
          </w:p>
        </w:tc>
        <w:tc>
          <w:tcPr>
            <w:tcW w:w="1132" w:type="dxa"/>
            <w:tcBorders>
              <w:bottom w:val="single" w:sz="4" w:space="0" w:color="auto"/>
            </w:tcBorders>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699</w:t>
            </w:r>
          </w:p>
        </w:tc>
        <w:tc>
          <w:tcPr>
            <w:tcW w:w="1116" w:type="dxa"/>
            <w:tcBorders>
              <w:bottom w:val="single" w:sz="4" w:space="0" w:color="auto"/>
            </w:tcBorders>
            <w:shd w:val="clear" w:color="auto" w:fill="EBEBEB" w:themeFill="background2"/>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13 976</w:t>
            </w:r>
          </w:p>
        </w:tc>
      </w:tr>
      <w:tr w:rsidR="0036647D" w:rsidRPr="00892DE3" w:rsidTr="0036647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9" w:type="dxa"/>
            <w:tcBorders>
              <w:top w:val="single" w:sz="4" w:space="0" w:color="auto"/>
              <w:bottom w:val="single" w:sz="12" w:space="0" w:color="auto"/>
            </w:tcBorders>
            <w:hideMark/>
          </w:tcPr>
          <w:p w:rsidR="0036647D" w:rsidRPr="00892DE3" w:rsidRDefault="0036647D" w:rsidP="0036647D">
            <w:pPr>
              <w:rPr>
                <w:rFonts w:cstheme="majorHAnsi"/>
                <w:b w:val="0"/>
              </w:rPr>
            </w:pPr>
            <w:r w:rsidRPr="00892DE3">
              <w:rPr>
                <w:rFonts w:cstheme="majorHAnsi"/>
                <w:b w:val="0"/>
              </w:rPr>
              <w:t>Total contractual financial assets</w:t>
            </w:r>
          </w:p>
        </w:tc>
        <w:tc>
          <w:tcPr>
            <w:tcW w:w="1132" w:type="dxa"/>
            <w:tcBorders>
              <w:top w:val="single" w:sz="4" w:space="0" w:color="auto"/>
              <w:bottom w:val="single" w:sz="12" w:space="0" w:color="auto"/>
            </w:tcBorders>
            <w:shd w:val="clear" w:color="auto" w:fill="EBEBEB" w:themeFill="background2"/>
            <w:noWrap/>
            <w:hideMark/>
          </w:tcPr>
          <w:p w:rsidR="0036647D" w:rsidRPr="00892DE3" w:rsidRDefault="0036647D" w:rsidP="0036647D">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31 355</w:t>
            </w:r>
          </w:p>
        </w:tc>
        <w:tc>
          <w:tcPr>
            <w:tcW w:w="1199" w:type="dxa"/>
            <w:tcBorders>
              <w:top w:val="single" w:sz="4" w:space="0" w:color="auto"/>
              <w:bottom w:val="single" w:sz="12" w:space="0" w:color="auto"/>
            </w:tcBorders>
            <w:noWrap/>
            <w:hideMark/>
          </w:tcPr>
          <w:p w:rsidR="0036647D" w:rsidRPr="00892DE3" w:rsidRDefault="0036647D" w:rsidP="0036647D">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30 435</w:t>
            </w:r>
          </w:p>
        </w:tc>
        <w:tc>
          <w:tcPr>
            <w:tcW w:w="1199" w:type="dxa"/>
            <w:tcBorders>
              <w:top w:val="single" w:sz="4" w:space="0" w:color="auto"/>
              <w:bottom w:val="single" w:sz="12" w:space="0" w:color="auto"/>
            </w:tcBorders>
            <w:shd w:val="clear" w:color="auto" w:fill="EBEBEB" w:themeFill="background2"/>
            <w:noWrap/>
            <w:hideMark/>
          </w:tcPr>
          <w:p w:rsidR="0036647D" w:rsidRPr="00892DE3" w:rsidRDefault="0036647D" w:rsidP="0036647D">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11 586</w:t>
            </w:r>
          </w:p>
        </w:tc>
        <w:tc>
          <w:tcPr>
            <w:tcW w:w="1132" w:type="dxa"/>
            <w:tcBorders>
              <w:top w:val="single" w:sz="4" w:space="0" w:color="auto"/>
              <w:bottom w:val="single" w:sz="12" w:space="0" w:color="auto"/>
            </w:tcBorders>
            <w:noWrap/>
            <w:hideMark/>
          </w:tcPr>
          <w:p w:rsidR="0036647D" w:rsidRPr="00892DE3" w:rsidRDefault="0036647D" w:rsidP="0036647D">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3 862</w:t>
            </w:r>
          </w:p>
        </w:tc>
        <w:tc>
          <w:tcPr>
            <w:tcW w:w="1116" w:type="dxa"/>
            <w:tcBorders>
              <w:top w:val="single" w:sz="4" w:space="0" w:color="auto"/>
              <w:bottom w:val="single" w:sz="12" w:space="0" w:color="auto"/>
            </w:tcBorders>
            <w:shd w:val="clear" w:color="auto" w:fill="EBEBEB" w:themeFill="background2"/>
            <w:noWrap/>
            <w:hideMark/>
          </w:tcPr>
          <w:p w:rsidR="0036647D" w:rsidRPr="00892DE3" w:rsidRDefault="0036647D" w:rsidP="0036647D">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77 238</w:t>
            </w:r>
          </w:p>
        </w:tc>
      </w:tr>
    </w:tbl>
    <w:p w:rsidR="00ED1645" w:rsidRPr="00892DE3" w:rsidRDefault="00ED1645"/>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859"/>
        <w:gridCol w:w="1132"/>
        <w:gridCol w:w="1199"/>
        <w:gridCol w:w="1199"/>
        <w:gridCol w:w="1132"/>
        <w:gridCol w:w="1116"/>
      </w:tblGrid>
      <w:tr w:rsidR="0036647D" w:rsidRPr="00892DE3" w:rsidTr="00366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9" w:type="dxa"/>
            <w:tcBorders>
              <w:top w:val="single" w:sz="12" w:space="0" w:color="auto"/>
            </w:tcBorders>
            <w:hideMark/>
          </w:tcPr>
          <w:p w:rsidR="0036647D" w:rsidRPr="00892DE3" w:rsidRDefault="0036647D" w:rsidP="0036647D">
            <w:r w:rsidRPr="00892DE3">
              <w:t>2016</w:t>
            </w:r>
          </w:p>
        </w:tc>
        <w:tc>
          <w:tcPr>
            <w:tcW w:w="1132" w:type="dxa"/>
            <w:tcBorders>
              <w:top w:val="single" w:sz="12" w:space="0" w:color="auto"/>
            </w:tcBorders>
            <w:noWrap/>
            <w:hideMark/>
          </w:tcPr>
          <w:p w:rsidR="0036647D" w:rsidRPr="00892DE3" w:rsidRDefault="0036647D" w:rsidP="0036647D">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199" w:type="dxa"/>
            <w:tcBorders>
              <w:top w:val="single" w:sz="12" w:space="0" w:color="auto"/>
            </w:tcBorders>
            <w:noWrap/>
            <w:hideMark/>
          </w:tcPr>
          <w:p w:rsidR="0036647D" w:rsidRPr="00892DE3" w:rsidRDefault="0036647D" w:rsidP="0036647D">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199" w:type="dxa"/>
            <w:tcBorders>
              <w:top w:val="single" w:sz="12" w:space="0" w:color="auto"/>
            </w:tcBorders>
            <w:noWrap/>
            <w:hideMark/>
          </w:tcPr>
          <w:p w:rsidR="0036647D" w:rsidRPr="00892DE3" w:rsidRDefault="0036647D" w:rsidP="0036647D">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132" w:type="dxa"/>
            <w:tcBorders>
              <w:top w:val="single" w:sz="12" w:space="0" w:color="auto"/>
            </w:tcBorders>
            <w:noWrap/>
            <w:hideMark/>
          </w:tcPr>
          <w:p w:rsidR="0036647D" w:rsidRPr="00892DE3" w:rsidRDefault="0036647D" w:rsidP="0036647D">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116" w:type="dxa"/>
            <w:tcBorders>
              <w:top w:val="single" w:sz="12" w:space="0" w:color="auto"/>
            </w:tcBorders>
            <w:noWrap/>
            <w:hideMark/>
          </w:tcPr>
          <w:p w:rsidR="0036647D" w:rsidRPr="00892DE3" w:rsidRDefault="0036647D" w:rsidP="0036647D">
            <w:pPr>
              <w:cnfStyle w:val="100000000000" w:firstRow="1" w:lastRow="0" w:firstColumn="0" w:lastColumn="0" w:oddVBand="0" w:evenVBand="0" w:oddHBand="0" w:evenHBand="0" w:firstRowFirstColumn="0" w:firstRowLastColumn="0" w:lastRowFirstColumn="0" w:lastRowLastColumn="0"/>
            </w:pPr>
            <w:r w:rsidRPr="00892DE3">
              <w:t xml:space="preserve"> </w:t>
            </w:r>
          </w:p>
        </w:tc>
      </w:tr>
      <w:tr w:rsidR="0036647D" w:rsidRPr="00892DE3" w:rsidTr="0036647D">
        <w:tc>
          <w:tcPr>
            <w:cnfStyle w:val="001000000000" w:firstRow="0" w:lastRow="0" w:firstColumn="1" w:lastColumn="0" w:oddVBand="0" w:evenVBand="0" w:oddHBand="0" w:evenHBand="0" w:firstRowFirstColumn="0" w:firstRowLastColumn="0" w:lastRowFirstColumn="0" w:lastRowLastColumn="0"/>
            <w:tcW w:w="3859" w:type="dxa"/>
            <w:hideMark/>
          </w:tcPr>
          <w:p w:rsidR="0036647D" w:rsidRPr="00892DE3" w:rsidRDefault="0036647D" w:rsidP="0036647D">
            <w:pPr>
              <w:rPr>
                <w:rFonts w:cstheme="majorHAnsi"/>
              </w:rPr>
            </w:pPr>
            <w:r w:rsidRPr="00892DE3">
              <w:rPr>
                <w:rFonts w:cstheme="majorHAnsi"/>
              </w:rPr>
              <w:t>Cash and deposits</w:t>
            </w:r>
          </w:p>
        </w:tc>
        <w:tc>
          <w:tcPr>
            <w:tcW w:w="1132" w:type="dxa"/>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20 694</w:t>
            </w:r>
          </w:p>
        </w:tc>
        <w:tc>
          <w:tcPr>
            <w:tcW w:w="1199" w:type="dxa"/>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18 224</w:t>
            </w:r>
          </w:p>
        </w:tc>
        <w:tc>
          <w:tcPr>
            <w:tcW w:w="1199" w:type="dxa"/>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7 297</w:t>
            </w:r>
          </w:p>
        </w:tc>
        <w:tc>
          <w:tcPr>
            <w:tcW w:w="1132" w:type="dxa"/>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2 432</w:t>
            </w:r>
          </w:p>
        </w:tc>
        <w:tc>
          <w:tcPr>
            <w:tcW w:w="1116" w:type="dxa"/>
            <w:shd w:val="clear" w:color="auto" w:fill="EBEBEB" w:themeFill="background2"/>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r>
      <w:tr w:rsidR="0036647D" w:rsidRPr="00892DE3" w:rsidTr="0036647D">
        <w:tc>
          <w:tcPr>
            <w:cnfStyle w:val="001000000000" w:firstRow="0" w:lastRow="0" w:firstColumn="1" w:lastColumn="0" w:oddVBand="0" w:evenVBand="0" w:oddHBand="0" w:evenHBand="0" w:firstRowFirstColumn="0" w:firstRowLastColumn="0" w:lastRowFirstColumn="0" w:lastRowLastColumn="0"/>
            <w:tcW w:w="3859" w:type="dxa"/>
            <w:hideMark/>
          </w:tcPr>
          <w:p w:rsidR="0036647D" w:rsidRPr="00892DE3" w:rsidRDefault="0036647D" w:rsidP="0036647D">
            <w:pPr>
              <w:rPr>
                <w:rFonts w:cstheme="majorHAnsi"/>
              </w:rPr>
            </w:pPr>
            <w:r w:rsidRPr="00892DE3">
              <w:rPr>
                <w:rFonts w:cstheme="majorHAnsi"/>
              </w:rPr>
              <w:t xml:space="preserve">Receivables </w:t>
            </w:r>
            <w:r w:rsidR="00AE6EFF" w:rsidRPr="00892DE3">
              <w:rPr>
                <w:rFonts w:cstheme="majorHAnsi"/>
                <w:vertAlign w:val="superscript"/>
              </w:rPr>
              <w:t>(a</w:t>
            </w:r>
            <w:r w:rsidRPr="00892DE3">
              <w:rPr>
                <w:rFonts w:cstheme="majorHAnsi"/>
                <w:vertAlign w:val="superscript"/>
              </w:rPr>
              <w:t>)</w:t>
            </w:r>
          </w:p>
        </w:tc>
        <w:tc>
          <w:tcPr>
            <w:tcW w:w="1132" w:type="dxa"/>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1 531</w:t>
            </w:r>
          </w:p>
        </w:tc>
        <w:tc>
          <w:tcPr>
            <w:tcW w:w="1199" w:type="dxa"/>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1 215</w:t>
            </w:r>
          </w:p>
        </w:tc>
        <w:tc>
          <w:tcPr>
            <w:tcW w:w="1199" w:type="dxa"/>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515</w:t>
            </w:r>
          </w:p>
        </w:tc>
        <w:tc>
          <w:tcPr>
            <w:tcW w:w="1132" w:type="dxa"/>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172</w:t>
            </w:r>
          </w:p>
        </w:tc>
        <w:tc>
          <w:tcPr>
            <w:tcW w:w="1116" w:type="dxa"/>
            <w:shd w:val="clear" w:color="auto" w:fill="EBEBEB" w:themeFill="background2"/>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3 432</w:t>
            </w:r>
          </w:p>
        </w:tc>
      </w:tr>
      <w:tr w:rsidR="0036647D" w:rsidRPr="00892DE3" w:rsidTr="0036647D">
        <w:tc>
          <w:tcPr>
            <w:cnfStyle w:val="001000000000" w:firstRow="0" w:lastRow="0" w:firstColumn="1" w:lastColumn="0" w:oddVBand="0" w:evenVBand="0" w:oddHBand="0" w:evenHBand="0" w:firstRowFirstColumn="0" w:firstRowLastColumn="0" w:lastRowFirstColumn="0" w:lastRowLastColumn="0"/>
            <w:tcW w:w="3859" w:type="dxa"/>
            <w:tcBorders>
              <w:bottom w:val="single" w:sz="4" w:space="0" w:color="auto"/>
            </w:tcBorders>
            <w:hideMark/>
          </w:tcPr>
          <w:p w:rsidR="0036647D" w:rsidRPr="00892DE3" w:rsidRDefault="0036647D" w:rsidP="0036647D">
            <w:pPr>
              <w:rPr>
                <w:rFonts w:cstheme="majorHAnsi"/>
              </w:rPr>
            </w:pPr>
            <w:r w:rsidRPr="00892DE3">
              <w:rPr>
                <w:rFonts w:cstheme="majorHAnsi"/>
              </w:rPr>
              <w:t>Investments and other financial assets</w:t>
            </w:r>
          </w:p>
        </w:tc>
        <w:tc>
          <w:tcPr>
            <w:tcW w:w="1132" w:type="dxa"/>
            <w:tcBorders>
              <w:bottom w:val="single" w:sz="4" w:space="0" w:color="auto"/>
            </w:tcBorders>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6 457</w:t>
            </w:r>
          </w:p>
        </w:tc>
        <w:tc>
          <w:tcPr>
            <w:tcW w:w="1199" w:type="dxa"/>
            <w:tcBorders>
              <w:bottom w:val="single" w:sz="4" w:space="0" w:color="auto"/>
            </w:tcBorders>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6 927</w:t>
            </w:r>
          </w:p>
        </w:tc>
        <w:tc>
          <w:tcPr>
            <w:tcW w:w="1199" w:type="dxa"/>
            <w:tcBorders>
              <w:bottom w:val="single" w:sz="4" w:space="0" w:color="auto"/>
            </w:tcBorders>
            <w:shd w:val="clear" w:color="auto" w:fill="EBEBEB" w:themeFill="background2"/>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2 510</w:t>
            </w:r>
          </w:p>
        </w:tc>
        <w:tc>
          <w:tcPr>
            <w:tcW w:w="1132" w:type="dxa"/>
            <w:tcBorders>
              <w:bottom w:val="single" w:sz="4" w:space="0" w:color="auto"/>
            </w:tcBorders>
            <w:noWrap/>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837</w:t>
            </w:r>
          </w:p>
        </w:tc>
        <w:tc>
          <w:tcPr>
            <w:tcW w:w="1116" w:type="dxa"/>
            <w:tcBorders>
              <w:bottom w:val="single" w:sz="4" w:space="0" w:color="auto"/>
            </w:tcBorders>
            <w:shd w:val="clear" w:color="auto" w:fill="EBEBEB" w:themeFill="background2"/>
            <w:hideMark/>
          </w:tcPr>
          <w:p w:rsidR="0036647D" w:rsidRPr="00892DE3" w:rsidRDefault="0036647D" w:rsidP="0036647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16 731</w:t>
            </w:r>
          </w:p>
        </w:tc>
      </w:tr>
      <w:tr w:rsidR="0036647D" w:rsidRPr="00892DE3" w:rsidTr="0036647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9" w:type="dxa"/>
            <w:tcBorders>
              <w:top w:val="single" w:sz="4" w:space="0" w:color="auto"/>
              <w:bottom w:val="single" w:sz="12" w:space="0" w:color="auto"/>
            </w:tcBorders>
            <w:hideMark/>
          </w:tcPr>
          <w:p w:rsidR="0036647D" w:rsidRPr="00892DE3" w:rsidRDefault="0036647D" w:rsidP="0036647D">
            <w:pPr>
              <w:rPr>
                <w:rFonts w:cstheme="majorHAnsi"/>
                <w:b w:val="0"/>
              </w:rPr>
            </w:pPr>
            <w:r w:rsidRPr="00892DE3">
              <w:rPr>
                <w:rFonts w:cstheme="majorHAnsi"/>
              </w:rPr>
              <w:t>Total contractual financial assets</w:t>
            </w:r>
          </w:p>
        </w:tc>
        <w:tc>
          <w:tcPr>
            <w:tcW w:w="1132" w:type="dxa"/>
            <w:tcBorders>
              <w:top w:val="single" w:sz="4" w:space="0" w:color="auto"/>
              <w:bottom w:val="single" w:sz="12" w:space="0" w:color="auto"/>
            </w:tcBorders>
            <w:shd w:val="clear" w:color="auto" w:fill="EBEBEB" w:themeFill="background2"/>
            <w:noWrap/>
            <w:hideMark/>
          </w:tcPr>
          <w:p w:rsidR="0036647D" w:rsidRPr="00892DE3" w:rsidRDefault="0036647D" w:rsidP="0036647D">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28 682</w:t>
            </w:r>
          </w:p>
        </w:tc>
        <w:tc>
          <w:tcPr>
            <w:tcW w:w="1199" w:type="dxa"/>
            <w:tcBorders>
              <w:top w:val="single" w:sz="4" w:space="0" w:color="auto"/>
              <w:bottom w:val="single" w:sz="12" w:space="0" w:color="auto"/>
            </w:tcBorders>
            <w:noWrap/>
            <w:hideMark/>
          </w:tcPr>
          <w:p w:rsidR="0036647D" w:rsidRPr="00892DE3" w:rsidRDefault="0036647D" w:rsidP="0036647D">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26 366</w:t>
            </w:r>
          </w:p>
        </w:tc>
        <w:tc>
          <w:tcPr>
            <w:tcW w:w="1199" w:type="dxa"/>
            <w:tcBorders>
              <w:top w:val="single" w:sz="4" w:space="0" w:color="auto"/>
              <w:bottom w:val="single" w:sz="12" w:space="0" w:color="auto"/>
            </w:tcBorders>
            <w:shd w:val="clear" w:color="auto" w:fill="EBEBEB" w:themeFill="background2"/>
            <w:noWrap/>
            <w:hideMark/>
          </w:tcPr>
          <w:p w:rsidR="0036647D" w:rsidRPr="00892DE3" w:rsidRDefault="0036647D" w:rsidP="0036647D">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10 322</w:t>
            </w:r>
          </w:p>
        </w:tc>
        <w:tc>
          <w:tcPr>
            <w:tcW w:w="1132" w:type="dxa"/>
            <w:tcBorders>
              <w:top w:val="single" w:sz="4" w:space="0" w:color="auto"/>
              <w:bottom w:val="single" w:sz="12" w:space="0" w:color="auto"/>
            </w:tcBorders>
            <w:noWrap/>
            <w:hideMark/>
          </w:tcPr>
          <w:p w:rsidR="0036647D" w:rsidRPr="00892DE3" w:rsidRDefault="0036647D" w:rsidP="0036647D">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3 441</w:t>
            </w:r>
          </w:p>
        </w:tc>
        <w:tc>
          <w:tcPr>
            <w:tcW w:w="1116" w:type="dxa"/>
            <w:tcBorders>
              <w:top w:val="single" w:sz="4" w:space="0" w:color="auto"/>
              <w:bottom w:val="single" w:sz="12" w:space="0" w:color="auto"/>
            </w:tcBorders>
            <w:shd w:val="clear" w:color="auto" w:fill="EBEBEB" w:themeFill="background2"/>
            <w:noWrap/>
            <w:hideMark/>
          </w:tcPr>
          <w:p w:rsidR="0036647D" w:rsidRPr="00892DE3" w:rsidRDefault="0036647D" w:rsidP="0036647D">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68 811</w:t>
            </w:r>
          </w:p>
        </w:tc>
      </w:tr>
    </w:tbl>
    <w:p w:rsidR="0036647D" w:rsidRPr="00892DE3" w:rsidRDefault="0036647D" w:rsidP="0036647D">
      <w:pPr>
        <w:pStyle w:val="Note"/>
      </w:pPr>
      <w:r w:rsidRPr="00892DE3">
        <w:t xml:space="preserve">Notes: </w:t>
      </w:r>
      <w:r w:rsidRPr="00892DE3">
        <w:rPr>
          <w:rStyle w:val="SourceReference"/>
        </w:rPr>
        <w:t>[AASB 132.AG12]</w:t>
      </w:r>
    </w:p>
    <w:p w:rsidR="0036647D" w:rsidRPr="00892DE3" w:rsidRDefault="0036647D" w:rsidP="0036647D">
      <w:pPr>
        <w:pStyle w:val="Note"/>
      </w:pPr>
      <w:r w:rsidRPr="00892DE3">
        <w:t>(</w:t>
      </w:r>
      <w:r w:rsidR="00AE6EFF" w:rsidRPr="00892DE3">
        <w:t>a</w:t>
      </w:r>
      <w:r w:rsidRPr="00892DE3">
        <w:t>)</w:t>
      </w:r>
      <w:r w:rsidRPr="00892DE3">
        <w:tab/>
        <w:t>The total amounts disclosed here exclude statutory amounts (e.g. amounts owing from Victorian government and GST input tax credit recoverable).</w:t>
      </w:r>
    </w:p>
    <w:p w:rsidR="0036647D" w:rsidRPr="00892DE3" w:rsidRDefault="0036647D" w:rsidP="00C95F4A">
      <w:pPr>
        <w:pStyle w:val="Note"/>
      </w:pPr>
      <w:r w:rsidRPr="00892DE3">
        <w:t>(</w:t>
      </w:r>
      <w:r w:rsidR="00AE6EFF" w:rsidRPr="00892DE3">
        <w:t>b</w:t>
      </w:r>
      <w:r w:rsidRPr="00892DE3">
        <w:t>)</w:t>
      </w:r>
      <w:r w:rsidRPr="00892DE3">
        <w:tab/>
      </w:r>
      <w:r w:rsidRPr="00892DE3">
        <w:rPr>
          <w:rStyle w:val="SourceReference"/>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rsidR="00C95F4A" w:rsidRPr="00892DE3" w:rsidRDefault="00C95F4A" w:rsidP="0036647D"/>
    <w:tbl>
      <w:tblPr>
        <w:tblStyle w:val="ModelReportGuidanceTable"/>
        <w:tblW w:w="0" w:type="auto"/>
        <w:tblLook w:val="04A0" w:firstRow="1" w:lastRow="0" w:firstColumn="1" w:lastColumn="0" w:noHBand="0" w:noVBand="1"/>
      </w:tblPr>
      <w:tblGrid>
        <w:gridCol w:w="9752"/>
      </w:tblGrid>
      <w:tr w:rsidR="0036647D" w:rsidRPr="00892DE3" w:rsidTr="0036647D">
        <w:trPr>
          <w:cnfStyle w:val="100000000000" w:firstRow="1" w:lastRow="0" w:firstColumn="0" w:lastColumn="0" w:oddVBand="0" w:evenVBand="0" w:oddHBand="0" w:evenHBand="0" w:firstRowFirstColumn="0" w:firstRowLastColumn="0" w:lastRowFirstColumn="0" w:lastRowLastColumn="0"/>
        </w:trPr>
        <w:tc>
          <w:tcPr>
            <w:tcW w:w="9854" w:type="dxa"/>
          </w:tcPr>
          <w:p w:rsidR="0036647D" w:rsidRPr="00892DE3" w:rsidRDefault="0036647D" w:rsidP="0036647D">
            <w:r w:rsidRPr="00892DE3">
              <w:t>Guidance – Credit risk disclosures</w:t>
            </w:r>
          </w:p>
        </w:tc>
      </w:tr>
      <w:tr w:rsidR="0036647D" w:rsidRPr="00892DE3" w:rsidTr="0036647D">
        <w:tc>
          <w:tcPr>
            <w:tcW w:w="9854" w:type="dxa"/>
          </w:tcPr>
          <w:p w:rsidR="0036647D" w:rsidRPr="00892DE3" w:rsidRDefault="0036647D" w:rsidP="0036647D">
            <w:r w:rsidRPr="00892DE3">
              <w:rPr>
                <w:b/>
              </w:rPr>
              <w:t>Credit risk</w:t>
            </w:r>
            <w:r w:rsidRPr="00892DE3">
              <w:t xml:space="preserve"> </w:t>
            </w:r>
            <w:r w:rsidRPr="00892DE3">
              <w:rPr>
                <w:rStyle w:val="SourceReference"/>
              </w:rPr>
              <w:t>[AASB 7.36]</w:t>
            </w:r>
          </w:p>
          <w:p w:rsidR="0036647D" w:rsidRPr="00892DE3" w:rsidRDefault="0036647D" w:rsidP="0036647D">
            <w:r w:rsidRPr="00892DE3">
              <w:t>In addition to the required quantitative disclosure above, an entity shall disclose:</w:t>
            </w:r>
          </w:p>
          <w:p w:rsidR="0036647D" w:rsidRPr="00892DE3" w:rsidRDefault="0036647D" w:rsidP="0036647D">
            <w:pPr>
              <w:pStyle w:val="List"/>
            </w:pPr>
            <w:r w:rsidRPr="00892DE3">
              <w:t>(a)</w:t>
            </w:r>
            <w:r w:rsidRPr="00892DE3">
              <w:tab/>
              <w:t>the amount that best represents its maximum exposure to credit risk at the end of the reporting period without taking account of any collateral held or other credit enhancements (e.g. netting agreements that do not qualify for offset in accordance with AASB 132), either in narrative or tabular format;</w:t>
            </w:r>
          </w:p>
          <w:p w:rsidR="0036647D" w:rsidRPr="00892DE3" w:rsidRDefault="0036647D" w:rsidP="0036647D">
            <w:pPr>
              <w:pStyle w:val="List"/>
            </w:pPr>
            <w:r w:rsidRPr="00892DE3">
              <w:t>(b)</w:t>
            </w:r>
            <w:r w:rsidRPr="00892DE3">
              <w:tab/>
              <w:t>in respect of the amount disclosed in (a), a description of collateral held as security and other credit enhancements;</w:t>
            </w:r>
          </w:p>
          <w:p w:rsidR="0036647D" w:rsidRPr="00892DE3" w:rsidRDefault="0036647D" w:rsidP="0036647D">
            <w:pPr>
              <w:pStyle w:val="List"/>
            </w:pPr>
            <w:r w:rsidRPr="00892DE3">
              <w:t>(c)</w:t>
            </w:r>
            <w:r w:rsidRPr="00892DE3">
              <w:tab/>
              <w:t xml:space="preserve">information about the credit quality of contractual financial assets that are neither past due nor impaired; and </w:t>
            </w:r>
          </w:p>
          <w:p w:rsidR="0036647D" w:rsidRPr="00892DE3" w:rsidRDefault="0036647D" w:rsidP="0036647D">
            <w:pPr>
              <w:pStyle w:val="List"/>
            </w:pPr>
            <w:r w:rsidRPr="00892DE3">
              <w:t>(d)</w:t>
            </w:r>
            <w:r w:rsidRPr="00892DE3">
              <w:tab/>
              <w:t>the carrying amount of contractual financial assets that would otherwise be past due or impaired whose terms have been renegotiated.</w:t>
            </w:r>
          </w:p>
          <w:p w:rsidR="0036647D" w:rsidRPr="00892DE3" w:rsidRDefault="0036647D" w:rsidP="0036647D">
            <w:r w:rsidRPr="00892DE3">
              <w:rPr>
                <w:b/>
              </w:rPr>
              <w:t>Contractual financial assets that are either past due or impaired</w:t>
            </w:r>
            <w:r w:rsidRPr="00892DE3">
              <w:t xml:space="preserve"> </w:t>
            </w:r>
            <w:r w:rsidRPr="00892DE3">
              <w:rPr>
                <w:rStyle w:val="SourceReference"/>
              </w:rPr>
              <w:t>[AASB 7.37]</w:t>
            </w:r>
          </w:p>
          <w:p w:rsidR="0036647D" w:rsidRPr="00892DE3" w:rsidRDefault="0036647D" w:rsidP="0036647D">
            <w:r w:rsidRPr="00892DE3">
              <w:t>An entity shall disclose by class of contractual financial asset:</w:t>
            </w:r>
          </w:p>
          <w:p w:rsidR="0036647D" w:rsidRPr="00892DE3" w:rsidRDefault="0036647D" w:rsidP="0036647D">
            <w:pPr>
              <w:pStyle w:val="List"/>
            </w:pPr>
            <w:r w:rsidRPr="00892DE3">
              <w:t>(a)</w:t>
            </w:r>
            <w:r w:rsidRPr="00892DE3">
              <w:tab/>
              <w:t>an analysis of the age of financial assets that are past due as at the end of the reporting period but not impaired;</w:t>
            </w:r>
          </w:p>
          <w:p w:rsidR="0036647D" w:rsidRPr="00892DE3" w:rsidRDefault="0036647D" w:rsidP="0036647D">
            <w:pPr>
              <w:pStyle w:val="List"/>
            </w:pPr>
            <w:r w:rsidRPr="00892DE3">
              <w:t>(b)</w:t>
            </w:r>
            <w:r w:rsidRPr="00892DE3">
              <w:tab/>
              <w:t xml:space="preserve">the amount of any impairment loss </w:t>
            </w:r>
            <w:r w:rsidRPr="00892DE3">
              <w:rPr>
                <w:rStyle w:val="SourceReference"/>
              </w:rPr>
              <w:t>[AASB 7.20]</w:t>
            </w:r>
            <w:r w:rsidRPr="00892DE3">
              <w:t>;</w:t>
            </w:r>
          </w:p>
          <w:p w:rsidR="0036647D" w:rsidRPr="00892DE3" w:rsidRDefault="0036647D" w:rsidP="0036647D">
            <w:pPr>
              <w:pStyle w:val="List"/>
            </w:pPr>
            <w:r w:rsidRPr="00892DE3">
              <w:t>(c)</w:t>
            </w:r>
            <w:r w:rsidRPr="00892DE3">
              <w:tab/>
              <w:t xml:space="preserve">an analysis of financial assets that are individually determined to be impaired as at the end of the reporting period, including the factors the entity considered in determining that they are impaired; </w:t>
            </w:r>
            <w:r w:rsidRPr="00892DE3">
              <w:rPr>
                <w:rStyle w:val="SourceReference"/>
              </w:rPr>
              <w:t>[AASB 7.37]</w:t>
            </w:r>
            <w:r w:rsidRPr="00892DE3">
              <w:t xml:space="preserve"> and</w:t>
            </w:r>
          </w:p>
          <w:p w:rsidR="0036647D" w:rsidRPr="00892DE3" w:rsidRDefault="0036647D" w:rsidP="0036647D">
            <w:pPr>
              <w:pStyle w:val="List"/>
            </w:pPr>
            <w:r w:rsidRPr="00892DE3">
              <w:t>(d)</w:t>
            </w:r>
            <w:r w:rsidRPr="00892DE3">
              <w:tab/>
              <w:t>for the amounts disclosed in (a) and (b), a description of collateral held by the entity as security and other credit enhancements and, unless impracticable, an estimate of their fair value.</w:t>
            </w:r>
          </w:p>
          <w:p w:rsidR="0036647D" w:rsidRPr="00892DE3" w:rsidRDefault="0036647D" w:rsidP="0036647D">
            <w:r w:rsidRPr="00892DE3">
              <w:rPr>
                <w:b/>
              </w:rPr>
              <w:t>Collateral and other credit enhancements obtained</w:t>
            </w:r>
            <w:r w:rsidRPr="00892DE3">
              <w:t xml:space="preserve"> </w:t>
            </w:r>
            <w:r w:rsidRPr="00892DE3">
              <w:rPr>
                <w:rStyle w:val="SourceReference"/>
              </w:rPr>
              <w:t>[AASB 7.38]</w:t>
            </w:r>
          </w:p>
          <w:p w:rsidR="0036647D" w:rsidRPr="00892DE3" w:rsidRDefault="0036647D" w:rsidP="0036647D">
            <w:r w:rsidRPr="00892DE3">
              <w:t>When an entity obtains financial instruments or non-financial assets during the period by taking possession of collateral it holds as security or calling on other credit enhancements (e.g. guarantees), and such assets meet the recognition criteria in other AASs, an entity shall disclose:</w:t>
            </w:r>
          </w:p>
          <w:p w:rsidR="0036647D" w:rsidRPr="00892DE3" w:rsidRDefault="0036647D" w:rsidP="0036647D">
            <w:pPr>
              <w:pStyle w:val="List"/>
            </w:pPr>
            <w:r w:rsidRPr="00892DE3">
              <w:t>(a)</w:t>
            </w:r>
            <w:r w:rsidRPr="00892DE3">
              <w:tab/>
              <w:t>the nature and carrying amount of the assets obtained; and</w:t>
            </w:r>
          </w:p>
          <w:p w:rsidR="0036647D" w:rsidRPr="00892DE3" w:rsidRDefault="0036647D" w:rsidP="00ED1645">
            <w:pPr>
              <w:pStyle w:val="List"/>
            </w:pPr>
            <w:r w:rsidRPr="00892DE3">
              <w:t>(b)</w:t>
            </w:r>
            <w:r w:rsidRPr="00892DE3">
              <w:tab/>
              <w:t>when the assets are not readily convertible into cash, its policies for disposing of such assets or for using them in its operations.</w:t>
            </w:r>
          </w:p>
        </w:tc>
      </w:tr>
    </w:tbl>
    <w:p w:rsidR="000D207F" w:rsidRPr="00892DE3" w:rsidRDefault="000D207F"/>
    <w:p w:rsidR="000D207F" w:rsidRPr="00892DE3" w:rsidRDefault="000D207F"/>
    <w:p w:rsidR="00ED1645" w:rsidRPr="00892DE3" w:rsidRDefault="00ED1645">
      <w:r w:rsidRPr="00892DE3">
        <w:rPr>
          <w:b/>
        </w:rPr>
        <w:br w:type="page"/>
      </w:r>
    </w:p>
    <w:tbl>
      <w:tblPr>
        <w:tblStyle w:val="ModelReportGuidanceTable"/>
        <w:tblW w:w="0" w:type="auto"/>
        <w:tblLook w:val="04A0" w:firstRow="1" w:lastRow="0" w:firstColumn="1" w:lastColumn="0" w:noHBand="0" w:noVBand="1"/>
      </w:tblPr>
      <w:tblGrid>
        <w:gridCol w:w="9752"/>
      </w:tblGrid>
      <w:tr w:rsidR="000D207F" w:rsidRPr="00892DE3" w:rsidTr="00ED1645">
        <w:trPr>
          <w:cnfStyle w:val="100000000000" w:firstRow="1" w:lastRow="0" w:firstColumn="0" w:lastColumn="0" w:oddVBand="0" w:evenVBand="0" w:oddHBand="0" w:evenHBand="0" w:firstRowFirstColumn="0" w:firstRowLastColumn="0" w:lastRowFirstColumn="0" w:lastRowLastColumn="0"/>
        </w:trPr>
        <w:tc>
          <w:tcPr>
            <w:tcW w:w="9752" w:type="dxa"/>
          </w:tcPr>
          <w:p w:rsidR="000D207F" w:rsidRPr="00892DE3" w:rsidRDefault="000D207F" w:rsidP="0036647D">
            <w:r w:rsidRPr="00892DE3">
              <w:t>Guidance – Credit risk disclosures</w:t>
            </w:r>
            <w:r w:rsidR="006932C9">
              <w:t xml:space="preserve"> </w:t>
            </w:r>
            <w:r w:rsidR="006932C9" w:rsidRPr="006932C9">
              <w:rPr>
                <w:i/>
              </w:rPr>
              <w:t>(continued)</w:t>
            </w:r>
          </w:p>
        </w:tc>
      </w:tr>
      <w:tr w:rsidR="000D207F" w:rsidRPr="00892DE3" w:rsidTr="00ED1645">
        <w:tc>
          <w:tcPr>
            <w:tcW w:w="9752" w:type="dxa"/>
          </w:tcPr>
          <w:p w:rsidR="00ED1645" w:rsidRPr="00892DE3" w:rsidRDefault="00ED1645" w:rsidP="00ED1645">
            <w:r w:rsidRPr="00892DE3">
              <w:rPr>
                <w:b/>
              </w:rPr>
              <w:t>Financial instruments at fair value through profit or loss</w:t>
            </w:r>
            <w:r w:rsidRPr="00892DE3">
              <w:t xml:space="preserve"> </w:t>
            </w:r>
            <w:r w:rsidRPr="00892DE3">
              <w:rPr>
                <w:rStyle w:val="SourceReference"/>
              </w:rPr>
              <w:t>[AASB 7.9, 10]</w:t>
            </w:r>
          </w:p>
          <w:p w:rsidR="00ED1645" w:rsidRPr="00892DE3" w:rsidRDefault="00ED1645" w:rsidP="00ED1645">
            <w:r w:rsidRPr="00892DE3">
              <w:t>If the entity has designated a loan or receivable as at fair value through profit or loss, it shall disclose:</w:t>
            </w:r>
          </w:p>
          <w:p w:rsidR="00ED1645" w:rsidRPr="00892DE3" w:rsidRDefault="00ED1645" w:rsidP="00ED1645">
            <w:pPr>
              <w:pStyle w:val="List"/>
            </w:pPr>
            <w:r w:rsidRPr="00892DE3">
              <w:t>(a)</w:t>
            </w:r>
            <w:r w:rsidRPr="00892DE3">
              <w:tab/>
              <w:t>the maximum exposure to credit risk of the contractual financial asset at the end of the reporting period;</w:t>
            </w:r>
          </w:p>
          <w:p w:rsidR="00ED1645" w:rsidRPr="00892DE3" w:rsidRDefault="00ED1645" w:rsidP="00ED1645">
            <w:pPr>
              <w:pStyle w:val="List"/>
            </w:pPr>
            <w:r w:rsidRPr="00892DE3">
              <w:t>(b)</w:t>
            </w:r>
            <w:r w:rsidRPr="00892DE3">
              <w:tab/>
              <w:t>the amount by which any related credit derivatives or similar instruments mitigate that maximum exposure to credit risk;</w:t>
            </w:r>
          </w:p>
          <w:p w:rsidR="00ED1645" w:rsidRPr="00892DE3" w:rsidRDefault="00ED1645" w:rsidP="00ED1645">
            <w:pPr>
              <w:pStyle w:val="List"/>
            </w:pPr>
            <w:r w:rsidRPr="00892DE3">
              <w:t>(c)</w:t>
            </w:r>
            <w:r w:rsidRPr="00892DE3">
              <w:tab/>
              <w:t>the amount of change, during the period and cumulatively, in the fair value of the financial asset that is attributable to changes in the credit risk of the contractual financial asset determined either:</w:t>
            </w:r>
          </w:p>
          <w:p w:rsidR="00ED1645" w:rsidRPr="00892DE3" w:rsidRDefault="00ED1645" w:rsidP="00ED1645">
            <w:pPr>
              <w:pStyle w:val="List2"/>
            </w:pPr>
            <w:r w:rsidRPr="00892DE3">
              <w:t>(i)</w:t>
            </w:r>
            <w:r w:rsidRPr="00892DE3">
              <w:tab/>
              <w:t>as the amount of change in its fair value that is not attributable to changes in market conditions that give rise to market risk; or</w:t>
            </w:r>
          </w:p>
          <w:p w:rsidR="00ED1645" w:rsidRPr="00892DE3" w:rsidRDefault="00ED1645" w:rsidP="00ED1645">
            <w:pPr>
              <w:pStyle w:val="List2"/>
            </w:pPr>
            <w:r w:rsidRPr="00892DE3">
              <w:t>(ii)</w:t>
            </w:r>
            <w:r w:rsidRPr="00892DE3">
              <w:tab/>
              <w:t>using an alternative method the entity believes more faithfully represents the amount of change in its fair value that is attributable to changes in the credit risk of the asset.</w:t>
            </w:r>
          </w:p>
          <w:p w:rsidR="00ED1645" w:rsidRPr="00892DE3" w:rsidRDefault="00ED1645" w:rsidP="00ED1645">
            <w:pPr>
              <w:pStyle w:val="List"/>
            </w:pPr>
            <w:r w:rsidRPr="00892DE3">
              <w:t>(d)</w:t>
            </w:r>
            <w:r w:rsidRPr="00892DE3">
              <w:tab/>
              <w:t>changes in market conditions that give rise to market risk include changes in an observed (benchmark) interest rate, commodity price, foreign exchange rate or index of prices or rates; and</w:t>
            </w:r>
          </w:p>
          <w:p w:rsidR="00ED1645" w:rsidRPr="00892DE3" w:rsidRDefault="00ED1645" w:rsidP="005D652C">
            <w:pPr>
              <w:pStyle w:val="List"/>
            </w:pPr>
            <w:r w:rsidRPr="00892DE3">
              <w:t>(e)</w:t>
            </w:r>
            <w:r w:rsidRPr="00892DE3">
              <w:tab/>
              <w:t>the amount of the change in the fair value of any related credit derivatives or similar instruments that has occurred during the period and cumulatively since the loan or receivable was designated.</w:t>
            </w:r>
          </w:p>
          <w:p w:rsidR="000D207F" w:rsidRPr="00892DE3" w:rsidRDefault="000D207F" w:rsidP="000D207F">
            <w:r w:rsidRPr="00892DE3">
              <w:t>If the entity has designated a financial liability as at fair value through profit or loss in accordance with paragraph 9 of AASB 139, it shall disclose:</w:t>
            </w:r>
          </w:p>
          <w:p w:rsidR="000D207F" w:rsidRPr="00892DE3" w:rsidRDefault="000D207F" w:rsidP="000D207F">
            <w:pPr>
              <w:pStyle w:val="List"/>
            </w:pPr>
            <w:r w:rsidRPr="00892DE3">
              <w:t>(a)</w:t>
            </w:r>
            <w:r w:rsidRPr="00892DE3">
              <w:tab/>
              <w:t>the amount of change, during the period and cumulatively, in the fair value of the financial liability that is attributable to changes in the credit risk of that liability determined either:</w:t>
            </w:r>
          </w:p>
          <w:p w:rsidR="000D207F" w:rsidRPr="00892DE3" w:rsidRDefault="000D207F" w:rsidP="000D207F">
            <w:pPr>
              <w:pStyle w:val="List2"/>
            </w:pPr>
            <w:r w:rsidRPr="00892DE3">
              <w:t>(i)</w:t>
            </w:r>
            <w:r w:rsidRPr="00892DE3">
              <w:tab/>
              <w:t>as the amount of change in its fair value that is not attributable to changes in market conditions that give rise to market risk; or</w:t>
            </w:r>
          </w:p>
          <w:p w:rsidR="000D207F" w:rsidRPr="00892DE3" w:rsidRDefault="000D207F" w:rsidP="000D207F">
            <w:pPr>
              <w:pStyle w:val="List2"/>
            </w:pPr>
            <w:r w:rsidRPr="00892DE3">
              <w:t>(ii)</w:t>
            </w:r>
            <w:r w:rsidRPr="00892DE3">
              <w:tab/>
              <w:t>using an alternative method the entity believes more faithfully represents the amount of change in its fair value that is attributable to changes in the credit risk of the liability.</w:t>
            </w:r>
          </w:p>
          <w:p w:rsidR="000D207F" w:rsidRPr="00892DE3" w:rsidRDefault="005D652C" w:rsidP="005D652C">
            <w:pPr>
              <w:pStyle w:val="List"/>
            </w:pPr>
            <w:r w:rsidRPr="00892DE3">
              <w:tab/>
            </w:r>
            <w:r w:rsidR="000D207F" w:rsidRPr="00892DE3">
              <w:t>Changes in market conditions that give rise to market risk include changes in a benchmark interest rate, the price of another entity’s financial instrument, a commodity price, a foreign exchange rate or an index of prices or rates. For contracts that include a unit linking feature, changes in market conditions include changes in the performance of the related internal or external investment fund; and</w:t>
            </w:r>
          </w:p>
          <w:p w:rsidR="000D207F" w:rsidRPr="00892DE3" w:rsidRDefault="000D207F" w:rsidP="000D207F">
            <w:pPr>
              <w:pStyle w:val="List"/>
            </w:pPr>
            <w:r w:rsidRPr="00892DE3">
              <w:t>(b)</w:t>
            </w:r>
            <w:r w:rsidRPr="00892DE3">
              <w:tab/>
              <w:t>the difference between the financial liability’s carrying amount and the amount the entity would be contractually required to pay at maturity to the holder of the obligation.</w:t>
            </w:r>
          </w:p>
          <w:p w:rsidR="000D207F" w:rsidRPr="00892DE3" w:rsidRDefault="005D652C" w:rsidP="005D652C">
            <w:pPr>
              <w:pStyle w:val="List"/>
            </w:pPr>
            <w:r w:rsidRPr="00892DE3">
              <w:tab/>
            </w:r>
            <w:r w:rsidR="000D207F" w:rsidRPr="00892DE3">
              <w:t>In addition, it shall also disclose the difference between the financial liability’s carrying amount and the amount the entity would be contractually required to pay at maturity to the holder of the obligation.</w:t>
            </w:r>
          </w:p>
        </w:tc>
      </w:tr>
    </w:tbl>
    <w:p w:rsidR="00C95F4A" w:rsidRPr="00892DE3" w:rsidRDefault="00C95F4A" w:rsidP="006932C9">
      <w:pPr>
        <w:pStyle w:val="Heading30"/>
        <w:spacing w:after="120"/>
      </w:pPr>
      <w:r w:rsidRPr="00892DE3">
        <w:t xml:space="preserve">Assets </w:t>
      </w:r>
      <w:r w:rsidRPr="006932C9">
        <w:t>received</w:t>
      </w:r>
      <w:r w:rsidRPr="00892DE3">
        <w:t xml:space="preserve"> as collateral </w:t>
      </w:r>
    </w:p>
    <w:tbl>
      <w:tblPr>
        <w:tblStyle w:val="ModelReportGuidanceTable"/>
        <w:tblW w:w="0" w:type="auto"/>
        <w:tblLook w:val="04A0" w:firstRow="1" w:lastRow="0" w:firstColumn="1" w:lastColumn="0" w:noHBand="0" w:noVBand="1"/>
      </w:tblPr>
      <w:tblGrid>
        <w:gridCol w:w="9752"/>
      </w:tblGrid>
      <w:tr w:rsidR="00C95F4A" w:rsidRPr="00892DE3" w:rsidTr="00C95F4A">
        <w:trPr>
          <w:cnfStyle w:val="100000000000" w:firstRow="1" w:lastRow="0" w:firstColumn="0" w:lastColumn="0" w:oddVBand="0" w:evenVBand="0" w:oddHBand="0" w:evenHBand="0" w:firstRowFirstColumn="0" w:firstRowLastColumn="0" w:lastRowFirstColumn="0" w:lastRowLastColumn="0"/>
        </w:trPr>
        <w:tc>
          <w:tcPr>
            <w:tcW w:w="9752" w:type="dxa"/>
          </w:tcPr>
          <w:p w:rsidR="00C95F4A" w:rsidRPr="00892DE3" w:rsidRDefault="00C95F4A" w:rsidP="00C95F4A">
            <w:r w:rsidRPr="00892DE3">
              <w:t>Guidance – Assets received as collateral</w:t>
            </w:r>
            <w:r w:rsidRPr="00892DE3">
              <w:rPr>
                <w:b w:val="0"/>
              </w:rPr>
              <w:t xml:space="preserve"> </w:t>
            </w:r>
            <w:r w:rsidRPr="00892DE3">
              <w:rPr>
                <w:rStyle w:val="SourceReference"/>
                <w:b w:val="0"/>
                <w:color w:val="FFFFFF" w:themeColor="background1"/>
              </w:rPr>
              <w:t>[AASB 7.15]</w:t>
            </w:r>
          </w:p>
        </w:tc>
      </w:tr>
      <w:tr w:rsidR="00C95F4A" w:rsidRPr="00892DE3" w:rsidTr="00C95F4A">
        <w:trPr>
          <w:trHeight w:val="5079"/>
        </w:trPr>
        <w:tc>
          <w:tcPr>
            <w:tcW w:w="9752" w:type="dxa"/>
          </w:tcPr>
          <w:p w:rsidR="00C95F4A" w:rsidRPr="00892DE3" w:rsidRDefault="00C95F4A" w:rsidP="00C95F4A">
            <w:r w:rsidRPr="00892DE3">
              <w:t>When an entity holds collateral (of financial or non-financial assets) and is permitted to sell or repledge the collateral in the absence of default by the owner of the collateral, it shall disclose:</w:t>
            </w:r>
          </w:p>
          <w:p w:rsidR="00C95F4A" w:rsidRPr="00892DE3" w:rsidRDefault="00C95F4A" w:rsidP="00C95F4A">
            <w:pPr>
              <w:pStyle w:val="List"/>
            </w:pPr>
            <w:r w:rsidRPr="00892DE3">
              <w:t>(a)</w:t>
            </w:r>
            <w:r w:rsidRPr="00892DE3">
              <w:tab/>
              <w:t>the fair value of the collateral held;</w:t>
            </w:r>
          </w:p>
          <w:p w:rsidR="00C95F4A" w:rsidRPr="00892DE3" w:rsidRDefault="00C95F4A" w:rsidP="00C95F4A">
            <w:pPr>
              <w:pStyle w:val="List"/>
            </w:pPr>
            <w:r w:rsidRPr="00892DE3">
              <w:t>(b)</w:t>
            </w:r>
            <w:r w:rsidRPr="00892DE3">
              <w:tab/>
              <w:t>the fair value of any such collateral sold or repledged and whether the entity has an obligation to return it; and</w:t>
            </w:r>
          </w:p>
          <w:p w:rsidR="00C95F4A" w:rsidRPr="00892DE3" w:rsidRDefault="00C95F4A" w:rsidP="00C95F4A">
            <w:pPr>
              <w:pStyle w:val="List"/>
            </w:pPr>
            <w:r w:rsidRPr="00892DE3">
              <w:t>(c)</w:t>
            </w:r>
            <w:r w:rsidRPr="00892DE3">
              <w:tab/>
              <w:t xml:space="preserve">the terms and conditions associated with its use of the collateral. </w:t>
            </w:r>
            <w:r w:rsidRPr="00892DE3">
              <w:rPr>
                <w:rStyle w:val="SourceReference"/>
              </w:rPr>
              <w:t>[AASB 7.15]</w:t>
            </w:r>
          </w:p>
          <w:p w:rsidR="00C95F4A" w:rsidRPr="00892DE3" w:rsidRDefault="00C95F4A" w:rsidP="00C95F4A">
            <w:r w:rsidRPr="00892DE3">
              <w:t>If the owner of the collateral (i.e. transferor) provides non-cash collateral (such as debt or equity instruments) to the transferee, the accounting for the collateral by the transferor and the transferee depends on whether the transferee has the right to sell or repledge the collateral and on whether the transferor has defaulted. The transferor and transferee shall account for the collateral as follows:</w:t>
            </w:r>
          </w:p>
          <w:p w:rsidR="00C95F4A" w:rsidRPr="00892DE3" w:rsidRDefault="00C95F4A" w:rsidP="00C95F4A">
            <w:pPr>
              <w:pStyle w:val="List"/>
            </w:pPr>
            <w:r w:rsidRPr="00892DE3">
              <w:t>(a)</w:t>
            </w:r>
            <w:r w:rsidRPr="00892DE3">
              <w:tab/>
              <w:t>If the transferee has the right by contract or custom to sell or repledge the collateral, then the transferor shall reclassify that asset in its statement of financial position (e.g. as a loaned asset, pledged equity instruments or repurchase receivable) separately from other assets.</w:t>
            </w:r>
          </w:p>
          <w:p w:rsidR="00C95F4A" w:rsidRPr="00892DE3" w:rsidRDefault="00C95F4A" w:rsidP="00C95F4A">
            <w:pPr>
              <w:pStyle w:val="List"/>
            </w:pPr>
            <w:r w:rsidRPr="00892DE3">
              <w:t>(b)</w:t>
            </w:r>
            <w:r w:rsidRPr="00892DE3">
              <w:tab/>
              <w:t>If the transferee sells collateral pledged to it, it shall recognise the proceeds from the sale and a liability measured at fair value for its obligation to return the collateral.</w:t>
            </w:r>
          </w:p>
          <w:p w:rsidR="00C95F4A" w:rsidRPr="00892DE3" w:rsidRDefault="00C95F4A" w:rsidP="00C95F4A">
            <w:pPr>
              <w:pStyle w:val="List"/>
            </w:pPr>
            <w:r w:rsidRPr="00892DE3">
              <w:t>(c)</w:t>
            </w:r>
            <w:r w:rsidRPr="00892DE3">
              <w:tab/>
              <w:t>If the transferor defaults under the terms of the contract and is no longer entitled to redeem the collateral, it shall derecognise the collateral, and the transferee shall recognise the collateral as its asset initially measured at fair value or, if it has already sold the collateral, derecognise its obligation to return the collateral.</w:t>
            </w:r>
          </w:p>
          <w:p w:rsidR="00C95F4A" w:rsidRPr="00892DE3" w:rsidRDefault="00C95F4A" w:rsidP="006932C9">
            <w:pPr>
              <w:pStyle w:val="List"/>
            </w:pPr>
            <w:r w:rsidRPr="00892DE3">
              <w:t>(d)</w:t>
            </w:r>
            <w:r w:rsidRPr="00892DE3">
              <w:tab/>
              <w:t xml:space="preserve">Except as provided in (c), the transferor shall continue to carry the collateral as its asset, and the transferee shall not recognise the collateral as an asset. </w:t>
            </w:r>
            <w:r w:rsidRPr="00892DE3">
              <w:rPr>
                <w:rStyle w:val="SourceReference"/>
              </w:rPr>
              <w:t>[AASB 139.37]</w:t>
            </w:r>
          </w:p>
        </w:tc>
      </w:tr>
    </w:tbl>
    <w:p w:rsidR="000D207F" w:rsidRPr="00892DE3" w:rsidRDefault="000D207F" w:rsidP="005D652C">
      <w:pPr>
        <w:pStyle w:val="Heading30"/>
      </w:pPr>
      <w:r w:rsidRPr="00892DE3">
        <w:t xml:space="preserve">Financial instruments: Liquidity risk </w:t>
      </w:r>
      <w:r w:rsidRPr="00892DE3">
        <w:rPr>
          <w:rStyle w:val="SourceReference"/>
          <w:b w:val="0"/>
        </w:rPr>
        <w:t>[AASB 7.4, 33, 39]</w:t>
      </w:r>
    </w:p>
    <w:p w:rsidR="000D207F" w:rsidRPr="00892DE3" w:rsidRDefault="000D207F" w:rsidP="000D207F">
      <w:r w:rsidRPr="00892DE3">
        <w:t xml:space="preserve">Liquidity risk arises from being unable to meet financial obligations as they fall due. The Department operates under the Government fair payments policy of settling financial obligations within 30 days and in the event of a dispute, making payments within 30 days from the date of resolution. </w:t>
      </w:r>
    </w:p>
    <w:p w:rsidR="000D207F" w:rsidRPr="00892DE3" w:rsidRDefault="000D207F" w:rsidP="000D207F">
      <w:r w:rsidRPr="00892DE3">
        <w:t>The Department is exposed to liquidity risk mainly through the financial liabilities as disclosed in the face of the balance sheet and the amounts related to financial guarantees. The Department manages its liquidity risk by:</w:t>
      </w:r>
    </w:p>
    <w:p w:rsidR="000D207F" w:rsidRPr="00892DE3" w:rsidRDefault="000D207F" w:rsidP="000D207F">
      <w:pPr>
        <w:pStyle w:val="ListBullet"/>
      </w:pPr>
      <w:r w:rsidRPr="00892DE3">
        <w:t>close monitoring of its short-term and long-term borrowings by senior management, including monthly reviews on current and future borrowing levels and requirements;</w:t>
      </w:r>
    </w:p>
    <w:p w:rsidR="000D207F" w:rsidRPr="00892DE3" w:rsidRDefault="000D207F" w:rsidP="000D207F">
      <w:pPr>
        <w:pStyle w:val="ListBullet"/>
      </w:pPr>
      <w:r w:rsidRPr="00892DE3">
        <w:t>maintaining an adequate level of uncommitted funds that can be drawn at short notice to meet its short-term obligations;</w:t>
      </w:r>
    </w:p>
    <w:p w:rsidR="000D207F" w:rsidRPr="00892DE3" w:rsidRDefault="000D207F" w:rsidP="000D207F">
      <w:pPr>
        <w:pStyle w:val="ListBullet"/>
      </w:pPr>
      <w:r w:rsidRPr="00892DE3">
        <w:t>holding investments and other contractual financial assets that are readily tradeable in the financial markets;</w:t>
      </w:r>
    </w:p>
    <w:p w:rsidR="000D207F" w:rsidRPr="00892DE3" w:rsidRDefault="000D207F" w:rsidP="000D207F">
      <w:pPr>
        <w:pStyle w:val="ListBullet"/>
      </w:pPr>
      <w:r w:rsidRPr="00892DE3">
        <w:t>careful maturity planning of its financial obligations based on forecasts of future cash flows; and</w:t>
      </w:r>
    </w:p>
    <w:p w:rsidR="000D207F" w:rsidRPr="00892DE3" w:rsidRDefault="000D207F" w:rsidP="000D207F">
      <w:pPr>
        <w:pStyle w:val="ListBullet"/>
      </w:pPr>
      <w:r w:rsidRPr="00892DE3">
        <w:t>a high credit rating for the State of Victoria (Moody’s Investor Services and Standard &amp; Poor’s triple-A, which assists in accessing debt market at a lower interest rate).</w:t>
      </w:r>
    </w:p>
    <w:p w:rsidR="000D207F" w:rsidRPr="00892DE3" w:rsidRDefault="000D207F" w:rsidP="000D207F">
      <w:r w:rsidRPr="00892DE3">
        <w:t>The Department’s exposure to liquidity risk is deemed insignificant based on prior periods’ data and current assessment of risk. Cash for unexpected events is generally sourced from liquidation of available-for-sale financial investments.</w:t>
      </w:r>
    </w:p>
    <w:p w:rsidR="000D207F" w:rsidRPr="00892DE3" w:rsidRDefault="000D207F" w:rsidP="000D207F">
      <w:r w:rsidRPr="00892DE3">
        <w:t xml:space="preserve">The carrying amount detailed in the following table of contractual financial liabilities recorded in the financial statements, and $200 000 (2016: $200 000) in relation to financial guarantees granted for loans to other entities (refer to Note </w:t>
      </w:r>
      <w:r w:rsidR="0032109A" w:rsidRPr="00892DE3">
        <w:t>8.2</w:t>
      </w:r>
      <w:r w:rsidRPr="00892DE3">
        <w:t>), represents the Department’s maximum exposure to liquidity risk.</w:t>
      </w:r>
    </w:p>
    <w:p w:rsidR="000D207F" w:rsidRPr="00892DE3" w:rsidRDefault="000D207F"/>
    <w:p w:rsidR="00A048E6" w:rsidRPr="00892DE3" w:rsidRDefault="00A048E6">
      <w:r w:rsidRPr="00892DE3">
        <w:rPr>
          <w:b/>
        </w:rPr>
        <w:br w:type="page"/>
      </w:r>
    </w:p>
    <w:tbl>
      <w:tblPr>
        <w:tblStyle w:val="ModelReportGuidanceTable"/>
        <w:tblW w:w="0" w:type="auto"/>
        <w:tblLook w:val="04A0" w:firstRow="1" w:lastRow="0" w:firstColumn="1" w:lastColumn="0" w:noHBand="0" w:noVBand="1"/>
      </w:tblPr>
      <w:tblGrid>
        <w:gridCol w:w="9752"/>
      </w:tblGrid>
      <w:tr w:rsidR="000D207F" w:rsidRPr="00892DE3" w:rsidTr="00A048E6">
        <w:trPr>
          <w:cnfStyle w:val="100000000000" w:firstRow="1" w:lastRow="0" w:firstColumn="0" w:lastColumn="0" w:oddVBand="0" w:evenVBand="0" w:oddHBand="0" w:evenHBand="0" w:firstRowFirstColumn="0" w:firstRowLastColumn="0" w:lastRowFirstColumn="0" w:lastRowLastColumn="0"/>
        </w:trPr>
        <w:tc>
          <w:tcPr>
            <w:tcW w:w="9752" w:type="dxa"/>
          </w:tcPr>
          <w:p w:rsidR="000D207F" w:rsidRPr="00892DE3" w:rsidRDefault="000D207F" w:rsidP="000D207F">
            <w:r w:rsidRPr="00892DE3">
              <w:t>Guidance – Liquidity risk disclosures</w:t>
            </w:r>
          </w:p>
        </w:tc>
      </w:tr>
      <w:tr w:rsidR="000D207F" w:rsidRPr="00892DE3" w:rsidTr="00A048E6">
        <w:tc>
          <w:tcPr>
            <w:tcW w:w="9752" w:type="dxa"/>
          </w:tcPr>
          <w:p w:rsidR="000D207F" w:rsidRPr="00892DE3" w:rsidRDefault="000D207F" w:rsidP="000D207F">
            <w:pPr>
              <w:rPr>
                <w:b/>
              </w:rPr>
            </w:pPr>
            <w:r w:rsidRPr="00892DE3">
              <w:rPr>
                <w:b/>
              </w:rPr>
              <w:t xml:space="preserve">Liquidity risk </w:t>
            </w:r>
            <w:r w:rsidRPr="00892DE3">
              <w:rPr>
                <w:rStyle w:val="SourceReference"/>
              </w:rPr>
              <w:t>[AASB 7.39]</w:t>
            </w:r>
          </w:p>
          <w:p w:rsidR="000D207F" w:rsidRPr="00892DE3" w:rsidRDefault="000D207F" w:rsidP="000D207F">
            <w:r w:rsidRPr="00892DE3">
              <w:t>An entity shall disclose:</w:t>
            </w:r>
          </w:p>
          <w:p w:rsidR="000D207F" w:rsidRPr="00892DE3" w:rsidRDefault="000D207F" w:rsidP="000D207F">
            <w:pPr>
              <w:pStyle w:val="List"/>
            </w:pPr>
            <w:r w:rsidRPr="00892DE3">
              <w:t>(a)</w:t>
            </w:r>
            <w:r w:rsidRPr="00892DE3">
              <w:tab/>
              <w:t xml:space="preserve">a maturity analysis for non-derivative financial instrument liabilities (including issued financial guarantee contracts) that shows the remaining contractual maturities; </w:t>
            </w:r>
          </w:p>
          <w:p w:rsidR="000D207F" w:rsidRPr="00892DE3" w:rsidRDefault="000D207F" w:rsidP="000D207F">
            <w:pPr>
              <w:pStyle w:val="List"/>
            </w:pPr>
            <w:r w:rsidRPr="00892DE3">
              <w:t>(b)</w:t>
            </w:r>
            <w:r w:rsidRPr="00892DE3">
              <w:tab/>
              <w:t>a maturity analysis for derivative financial instrument liabilities. The maturity analysis shall include the remaining contractual maturities for those derivative financial instrument liabilities for which contractual maturities are essential for an understanding of the timing of the cash flows; and</w:t>
            </w:r>
          </w:p>
          <w:p w:rsidR="000D207F" w:rsidRPr="00892DE3" w:rsidRDefault="000D207F" w:rsidP="000D207F">
            <w:pPr>
              <w:pStyle w:val="List"/>
            </w:pPr>
            <w:r w:rsidRPr="00892DE3">
              <w:t>(c)</w:t>
            </w:r>
            <w:r w:rsidRPr="00892DE3">
              <w:tab/>
              <w:t>a description of how it manages the liquidity risk inherent in (a) and (b).</w:t>
            </w:r>
          </w:p>
          <w:p w:rsidR="00A048E6" w:rsidRPr="00892DE3" w:rsidRDefault="00A048E6" w:rsidP="00A048E6">
            <w:r w:rsidRPr="00892DE3">
              <w:t>The amounts disclosed in the maturity analysis are the contractual undiscounted cash flows. An entity shall use its judgement to determine an appropriate number of time bands. For example, an entity might determine that the following time bands are appropriate:</w:t>
            </w:r>
          </w:p>
          <w:p w:rsidR="00A048E6" w:rsidRPr="00892DE3" w:rsidRDefault="00A048E6" w:rsidP="00A048E6">
            <w:pPr>
              <w:pStyle w:val="List"/>
            </w:pPr>
            <w:r w:rsidRPr="00892DE3">
              <w:t>(a)</w:t>
            </w:r>
            <w:r w:rsidRPr="00892DE3">
              <w:tab/>
              <w:t>not later than one month;</w:t>
            </w:r>
          </w:p>
          <w:p w:rsidR="00A048E6" w:rsidRPr="00892DE3" w:rsidRDefault="00A048E6" w:rsidP="00A048E6">
            <w:pPr>
              <w:pStyle w:val="List"/>
            </w:pPr>
            <w:r w:rsidRPr="00892DE3">
              <w:t>(b)</w:t>
            </w:r>
            <w:r w:rsidRPr="00892DE3">
              <w:tab/>
              <w:t>later than one month and not later than three months;</w:t>
            </w:r>
          </w:p>
          <w:p w:rsidR="00A048E6" w:rsidRPr="00892DE3" w:rsidRDefault="00A048E6" w:rsidP="00A048E6">
            <w:pPr>
              <w:pStyle w:val="List"/>
            </w:pPr>
            <w:r w:rsidRPr="00892DE3">
              <w:t>(c)</w:t>
            </w:r>
            <w:r w:rsidRPr="00892DE3">
              <w:tab/>
              <w:t xml:space="preserve">later than three months and not later than one year; </w:t>
            </w:r>
          </w:p>
          <w:p w:rsidR="00A048E6" w:rsidRPr="00892DE3" w:rsidRDefault="00A048E6" w:rsidP="00A048E6">
            <w:pPr>
              <w:pStyle w:val="List"/>
            </w:pPr>
            <w:r w:rsidRPr="00892DE3">
              <w:t>(d)</w:t>
            </w:r>
            <w:r w:rsidRPr="00892DE3">
              <w:tab/>
              <w:t>later than one year and not later than five years; and</w:t>
            </w:r>
          </w:p>
          <w:p w:rsidR="00A048E6" w:rsidRPr="00892DE3" w:rsidRDefault="00A048E6" w:rsidP="00A048E6">
            <w:pPr>
              <w:pStyle w:val="List"/>
            </w:pPr>
            <w:r w:rsidRPr="00892DE3">
              <w:t>(e)</w:t>
            </w:r>
            <w:r w:rsidRPr="00892DE3">
              <w:tab/>
              <w:t xml:space="preserve">greater than five years. </w:t>
            </w:r>
            <w:r w:rsidRPr="00892DE3">
              <w:rPr>
                <w:rStyle w:val="SourceReference"/>
              </w:rPr>
              <w:t>[AASB 7.B11]</w:t>
            </w:r>
          </w:p>
          <w:p w:rsidR="00A048E6" w:rsidRPr="00892DE3" w:rsidRDefault="00A048E6" w:rsidP="00A048E6">
            <w:r w:rsidRPr="00892DE3">
              <w:t>An entity is required to disclose maturity analysis for financial liabilities that shows the remaining contractual maturities for some financial liabilities. In this disclosure:</w:t>
            </w:r>
          </w:p>
          <w:p w:rsidR="00A048E6" w:rsidRPr="00892DE3" w:rsidRDefault="00A048E6" w:rsidP="00A048E6">
            <w:pPr>
              <w:pStyle w:val="List"/>
            </w:pPr>
            <w:r w:rsidRPr="00892DE3">
              <w:t>(a)</w:t>
            </w:r>
            <w:r w:rsidRPr="00892DE3">
              <w:tab/>
              <w:t>when a counterparty has a choice of when an amount is paid, the liability is allocated to the earliest period in which the entity can be required to pay. For example, financial liabilities an entity can be required to repay on demand (e.g. demand deposits) are included in the earliest time band;</w:t>
            </w:r>
          </w:p>
          <w:p w:rsidR="00A048E6" w:rsidRPr="00892DE3" w:rsidRDefault="00A048E6" w:rsidP="00A048E6">
            <w:pPr>
              <w:pStyle w:val="List"/>
            </w:pPr>
            <w:r w:rsidRPr="00892DE3">
              <w:t>(b)</w:t>
            </w:r>
            <w:r w:rsidRPr="00892DE3">
              <w:tab/>
              <w:t>when an entity is committed to make amounts available in instalments, each instalment is allocated to the earliest period in which the entity can be required to pay. For example, an undrawn loan commitment is included in the time band containing the earliest date it can be drawn down; and</w:t>
            </w:r>
          </w:p>
          <w:p w:rsidR="00A048E6" w:rsidRPr="00892DE3" w:rsidRDefault="00A048E6" w:rsidP="00A048E6">
            <w:pPr>
              <w:pStyle w:val="List"/>
            </w:pPr>
            <w:r w:rsidRPr="00892DE3">
              <w:t>(c)</w:t>
            </w:r>
            <w:r w:rsidRPr="00892DE3">
              <w:tab/>
              <w:t xml:space="preserve">for issued financial guarantee contracts, the maximum amount of the guarantee is allocated to the earliest period in which the guarantee could be called. </w:t>
            </w:r>
            <w:r w:rsidRPr="00892DE3">
              <w:rPr>
                <w:rStyle w:val="SourceReference"/>
              </w:rPr>
              <w:t>[AASB 7.B11C]</w:t>
            </w:r>
          </w:p>
          <w:p w:rsidR="00A048E6" w:rsidRPr="00892DE3" w:rsidRDefault="00A048E6" w:rsidP="00A048E6">
            <w:r w:rsidRPr="00892DE3">
              <w:t>The contractual amounts disclosed in the maturity analysis are the contractual undiscounted cash flows, for example:</w:t>
            </w:r>
          </w:p>
          <w:p w:rsidR="00A048E6" w:rsidRPr="00892DE3" w:rsidRDefault="00A048E6" w:rsidP="00A048E6">
            <w:pPr>
              <w:pStyle w:val="List"/>
            </w:pPr>
            <w:r w:rsidRPr="00892DE3">
              <w:t>(a)</w:t>
            </w:r>
            <w:r w:rsidRPr="00892DE3">
              <w:tab/>
              <w:t>gross finance lease obligations (before deducting finance charges);</w:t>
            </w:r>
          </w:p>
          <w:p w:rsidR="00A048E6" w:rsidRPr="00892DE3" w:rsidRDefault="00A048E6" w:rsidP="00A048E6">
            <w:pPr>
              <w:pStyle w:val="List"/>
            </w:pPr>
            <w:r w:rsidRPr="00892DE3">
              <w:t>(b)</w:t>
            </w:r>
            <w:r w:rsidRPr="00892DE3">
              <w:tab/>
              <w:t>prices specified in forward agreements to purchase financial assets for cash;</w:t>
            </w:r>
          </w:p>
          <w:p w:rsidR="00A048E6" w:rsidRPr="00892DE3" w:rsidRDefault="00A048E6" w:rsidP="00A048E6">
            <w:pPr>
              <w:pStyle w:val="List"/>
            </w:pPr>
            <w:r w:rsidRPr="00892DE3">
              <w:t>(c)</w:t>
            </w:r>
            <w:r w:rsidRPr="00892DE3">
              <w:tab/>
              <w:t>net amounts for pay floating/receive fixed interest rate swaps for which net cash flows are exchanged;</w:t>
            </w:r>
          </w:p>
          <w:p w:rsidR="00A048E6" w:rsidRPr="00892DE3" w:rsidRDefault="00A048E6" w:rsidP="00A048E6">
            <w:pPr>
              <w:pStyle w:val="List"/>
            </w:pPr>
            <w:r w:rsidRPr="00892DE3">
              <w:t>(d)</w:t>
            </w:r>
            <w:r w:rsidRPr="00892DE3">
              <w:tab/>
              <w:t>contractual amounts to be exchanged in a derivative financial instrument (e.g. a currency swap) for which gross cash flows are exchanged; and</w:t>
            </w:r>
          </w:p>
          <w:p w:rsidR="00A048E6" w:rsidRPr="00892DE3" w:rsidRDefault="00A048E6" w:rsidP="00A048E6">
            <w:pPr>
              <w:pStyle w:val="List"/>
            </w:pPr>
            <w:r w:rsidRPr="00892DE3">
              <w:t>(e)</w:t>
            </w:r>
            <w:r w:rsidRPr="00892DE3">
              <w:tab/>
              <w:t xml:space="preserve">gross loan commitments. </w:t>
            </w:r>
            <w:r w:rsidRPr="00892DE3">
              <w:rPr>
                <w:rStyle w:val="SourceReference"/>
              </w:rPr>
              <w:t>[AASB 7.B11D]</w:t>
            </w:r>
          </w:p>
        </w:tc>
      </w:tr>
    </w:tbl>
    <w:p w:rsidR="000D207F" w:rsidRPr="00892DE3" w:rsidRDefault="000D207F" w:rsidP="000D207F"/>
    <w:p w:rsidR="000D207F" w:rsidRPr="00892DE3" w:rsidRDefault="000D207F" w:rsidP="000D207F">
      <w:pPr>
        <w:pStyle w:val="Heading30"/>
      </w:pPr>
      <w:r w:rsidRPr="00892DE3">
        <w:t>Financial instruments: Market risk</w:t>
      </w:r>
    </w:p>
    <w:p w:rsidR="000D207F" w:rsidRPr="00892DE3" w:rsidRDefault="000D207F" w:rsidP="000D207F">
      <w:r w:rsidRPr="00892DE3">
        <w:t>The Department’s exposures to market risk are primarily through interest rate risk, foreign currency risk and equity price risk. Objectives, policies and processes used to manage each of these risks are disclosed below.</w:t>
      </w:r>
    </w:p>
    <w:p w:rsidR="000D207F" w:rsidRPr="00892DE3" w:rsidRDefault="000D207F" w:rsidP="000D207F">
      <w:pPr>
        <w:pStyle w:val="Heading4"/>
      </w:pPr>
      <w:r w:rsidRPr="00892DE3">
        <w:t xml:space="preserve">Sensitivity disclosure analysis and assumptions </w:t>
      </w:r>
      <w:r w:rsidRPr="00892DE3">
        <w:rPr>
          <w:rStyle w:val="SourceReference"/>
          <w:i w:val="0"/>
        </w:rPr>
        <w:t>[AASB 7.40(b), 41, B17 B21]</w:t>
      </w:r>
    </w:p>
    <w:p w:rsidR="000D207F" w:rsidRPr="00892DE3" w:rsidRDefault="000D207F" w:rsidP="000D207F">
      <w:r w:rsidRPr="00892DE3">
        <w:t xml:space="preserve">The Department’s sensitivity to market risk is determined based on the observed range of actual historical data for the preceding five year period, with all variables other than the primary risk variable held constant. The Department’s fund managers cannot be expected to predict movements in market rates and prices. Sensitivity analyses shown are for illustrative purposes only. The following movements are ‘reasonably possible’ over the next 12 months: </w:t>
      </w:r>
    </w:p>
    <w:p w:rsidR="000D207F" w:rsidRPr="00892DE3" w:rsidRDefault="000D207F" w:rsidP="000D207F">
      <w:pPr>
        <w:pStyle w:val="ListBullet"/>
      </w:pPr>
      <w:r w:rsidRPr="00892DE3">
        <w:t>a movement of 100 basis points up and down (100 basis points up and down) in market interest rates (AUD);</w:t>
      </w:r>
    </w:p>
    <w:p w:rsidR="000D207F" w:rsidRPr="00892DE3" w:rsidRDefault="000D207F" w:rsidP="000D207F">
      <w:pPr>
        <w:pStyle w:val="ListBullet"/>
      </w:pPr>
      <w:r w:rsidRPr="00892DE3">
        <w:t>proportional exchange rate movement of 15 per cent down (2017: 15 per cent, depreciation of AUD) and 15</w:t>
      </w:r>
      <w:r w:rsidR="00C74589" w:rsidRPr="00892DE3">
        <w:t> </w:t>
      </w:r>
      <w:r w:rsidRPr="00892DE3">
        <w:t>per</w:t>
      </w:r>
      <w:r w:rsidR="00C74589" w:rsidRPr="00892DE3">
        <w:t> </w:t>
      </w:r>
      <w:r w:rsidRPr="00892DE3">
        <w:t>cent up (2016: 15 per cent, appreciation of AUD) against the USD, from the year end rate of 0.90 (2016: 0.90); and</w:t>
      </w:r>
    </w:p>
    <w:p w:rsidR="000D207F" w:rsidRPr="00892DE3" w:rsidRDefault="000D207F" w:rsidP="000D207F">
      <w:pPr>
        <w:pStyle w:val="ListBullet"/>
      </w:pPr>
      <w:r w:rsidRPr="00892DE3">
        <w:t>a movement of 15 per cent up and down (2016: 15 per cent) for the top ASX 200 index.</w:t>
      </w:r>
    </w:p>
    <w:p w:rsidR="000D207F" w:rsidRPr="00892DE3" w:rsidRDefault="000D207F" w:rsidP="000D207F">
      <w:r w:rsidRPr="00892DE3">
        <w:t>The tables that follow show the impact on the Department’s net result and equity for each category of financial instrument held by the Department at the end of the reporting period, if the above movements were to occur.</w:t>
      </w:r>
    </w:p>
    <w:p w:rsidR="000D207F" w:rsidRPr="00892DE3" w:rsidRDefault="000D207F" w:rsidP="000D207F">
      <w:r w:rsidRPr="00892DE3">
        <w:rPr>
          <w:rStyle w:val="SourceReference"/>
        </w:rPr>
        <w:t>[Entities should use basis points (interest rates) or percentages (foreign exchange and for equities/managed investment funds) relevant to their own situation at the end of the financial year.]</w:t>
      </w:r>
    </w:p>
    <w:p w:rsidR="000D207F" w:rsidRPr="00892DE3" w:rsidRDefault="000D207F" w:rsidP="000D207F">
      <w:pPr>
        <w:pStyle w:val="Heading4"/>
      </w:pPr>
      <w:r w:rsidRPr="00892DE3">
        <w:rPr>
          <w:b/>
          <w:bCs/>
          <w:i w:val="0"/>
          <w:iCs w:val="0"/>
          <w:spacing w:val="-2"/>
        </w:rPr>
        <w:t>Interest rate risk</w:t>
      </w:r>
      <w:r w:rsidRPr="00892DE3">
        <w:t xml:space="preserve"> </w:t>
      </w:r>
      <w:r w:rsidRPr="00892DE3">
        <w:rPr>
          <w:rStyle w:val="SourceReference"/>
          <w:i w:val="0"/>
        </w:rPr>
        <w:t>[AASB 7.33]</w:t>
      </w:r>
    </w:p>
    <w:p w:rsidR="000D207F" w:rsidRPr="00892DE3" w:rsidRDefault="000D207F" w:rsidP="000D207F">
      <w:r w:rsidRPr="00892DE3">
        <w:t>Fair value interest rate risk is the risk that the fair value of a financial instrument will fluctuate because of changes in market interest rates. The Department does not hold any interest bearing financial instruments that are measured at fair value, and therefore has no exposure to fair value interest rate risk.</w:t>
      </w:r>
    </w:p>
    <w:p w:rsidR="000D207F" w:rsidRPr="00892DE3" w:rsidRDefault="000D207F" w:rsidP="000D207F">
      <w:r w:rsidRPr="00892DE3">
        <w:t xml:space="preserve">Cash flow interest rate risk is the risk that the future cash flows of a financial instrument will fluctuate because of changes in market interest rates. The Department has minimal exposure to cash flow interest rate risks through cash and deposits, term deposits and bank overdrafts that are at floating rate. </w:t>
      </w:r>
    </w:p>
    <w:p w:rsidR="000D207F" w:rsidRPr="00892DE3" w:rsidRDefault="000D207F" w:rsidP="000D207F">
      <w:r w:rsidRPr="00892DE3">
        <w:t>The Department manages this risk by mainly undertaking fixed rate or non-interest 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bad risk, management monitors movement in interest rates on a daily basis.</w:t>
      </w:r>
    </w:p>
    <w:p w:rsidR="000D207F" w:rsidRPr="00892DE3" w:rsidRDefault="000D207F" w:rsidP="000D207F">
      <w:r w:rsidRPr="00892DE3">
        <w:t>The carrying amounts of financial assets and financial liabilities that are exposed to interest rates and the Department’s sensitivity to interest rate risk are set out in the table that follows.</w:t>
      </w:r>
    </w:p>
    <w:p w:rsidR="000D207F" w:rsidRPr="00892DE3" w:rsidRDefault="000D207F" w:rsidP="000D207F">
      <w:pPr>
        <w:pStyle w:val="TableHeading"/>
      </w:pPr>
      <w:r w:rsidRPr="00892DE3">
        <w:t xml:space="preserve">Interest rate exposure of financial instruments </w:t>
      </w:r>
      <w:r w:rsidRPr="00892DE3">
        <w:rPr>
          <w:rStyle w:val="SourceReference"/>
          <w:b w:val="0"/>
        </w:rPr>
        <w:t>[AASB 7.34(a)]</w:t>
      </w:r>
      <w:r w:rsidRPr="00892DE3">
        <w:rPr>
          <w:b w:val="0"/>
        </w:rPr>
        <w:t xml:space="preserve"> </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11"/>
        <w:gridCol w:w="1276"/>
        <w:gridCol w:w="992"/>
        <w:gridCol w:w="1068"/>
        <w:gridCol w:w="1058"/>
        <w:gridCol w:w="1132"/>
      </w:tblGrid>
      <w:tr w:rsidR="000D207F" w:rsidRPr="00892DE3" w:rsidTr="00A72B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noWrap/>
            <w:hideMark/>
          </w:tcPr>
          <w:p w:rsidR="000D207F" w:rsidRPr="00892DE3" w:rsidRDefault="000D207F" w:rsidP="000D207F">
            <w:pPr>
              <w:ind w:left="0" w:firstLine="0"/>
            </w:pPr>
            <w:r w:rsidRPr="00892DE3">
              <w:br/>
              <w:t>2017</w:t>
            </w:r>
          </w:p>
        </w:tc>
        <w:tc>
          <w:tcPr>
            <w:tcW w:w="1276" w:type="dxa"/>
            <w:noWrap/>
            <w:hideMark/>
          </w:tcPr>
          <w:p w:rsidR="000D207F" w:rsidRPr="00892DE3" w:rsidRDefault="000D207F" w:rsidP="000D207F">
            <w:pPr>
              <w:cnfStyle w:val="100000000000" w:firstRow="1" w:lastRow="0" w:firstColumn="0" w:lastColumn="0" w:oddVBand="0" w:evenVBand="0" w:oddHBand="0" w:evenHBand="0" w:firstRowFirstColumn="0" w:firstRowLastColumn="0" w:lastRowFirstColumn="0" w:lastRowLastColumn="0"/>
            </w:pPr>
            <w:r w:rsidRPr="00892DE3">
              <w:t xml:space="preserve">Weighted average </w:t>
            </w:r>
            <w:r w:rsidRPr="00892DE3">
              <w:br/>
              <w:t xml:space="preserve">interest rate </w:t>
            </w:r>
            <w:r w:rsidR="00923BB5" w:rsidRPr="00892DE3">
              <w:t>(</w:t>
            </w:r>
            <w:r w:rsidRPr="00892DE3">
              <w:t>%</w:t>
            </w:r>
            <w:r w:rsidR="00923BB5" w:rsidRPr="00892DE3">
              <w:t>)</w:t>
            </w:r>
          </w:p>
        </w:tc>
        <w:tc>
          <w:tcPr>
            <w:tcW w:w="992" w:type="dxa"/>
            <w:noWrap/>
            <w:hideMark/>
          </w:tcPr>
          <w:p w:rsidR="000D207F" w:rsidRPr="00892DE3" w:rsidRDefault="000D207F" w:rsidP="000D207F">
            <w:pPr>
              <w:cnfStyle w:val="100000000000" w:firstRow="1" w:lastRow="0" w:firstColumn="0" w:lastColumn="0" w:oddVBand="0" w:evenVBand="0" w:oddHBand="0" w:evenHBand="0" w:firstRowFirstColumn="0" w:firstRowLastColumn="0" w:lastRowFirstColumn="0" w:lastRowLastColumn="0"/>
            </w:pPr>
            <w:r w:rsidRPr="00892DE3">
              <w:t xml:space="preserve">Carrying </w:t>
            </w:r>
            <w:r w:rsidRPr="00892DE3">
              <w:br/>
              <w:t>amount</w:t>
            </w:r>
          </w:p>
        </w:tc>
        <w:tc>
          <w:tcPr>
            <w:tcW w:w="1068" w:type="dxa"/>
          </w:tcPr>
          <w:p w:rsidR="000D207F" w:rsidRPr="00892DE3" w:rsidRDefault="000D207F" w:rsidP="000D207F">
            <w:pPr>
              <w:cnfStyle w:val="100000000000" w:firstRow="1" w:lastRow="0" w:firstColumn="0" w:lastColumn="0" w:oddVBand="0" w:evenVBand="0" w:oddHBand="0" w:evenHBand="0" w:firstRowFirstColumn="0" w:firstRowLastColumn="0" w:lastRowFirstColumn="0" w:lastRowLastColumn="0"/>
            </w:pPr>
            <w:r w:rsidRPr="00892DE3">
              <w:t>Fixed interest rate</w:t>
            </w:r>
          </w:p>
        </w:tc>
        <w:tc>
          <w:tcPr>
            <w:tcW w:w="1058" w:type="dxa"/>
          </w:tcPr>
          <w:p w:rsidR="000D207F" w:rsidRPr="00892DE3" w:rsidRDefault="000D207F" w:rsidP="000D207F">
            <w:pPr>
              <w:cnfStyle w:val="100000000000" w:firstRow="1" w:lastRow="0" w:firstColumn="0" w:lastColumn="0" w:oddVBand="0" w:evenVBand="0" w:oddHBand="0" w:evenHBand="0" w:firstRowFirstColumn="0" w:firstRowLastColumn="0" w:lastRowFirstColumn="0" w:lastRowLastColumn="0"/>
            </w:pPr>
            <w:r w:rsidRPr="00892DE3">
              <w:t>Variable interest rate</w:t>
            </w:r>
          </w:p>
        </w:tc>
        <w:tc>
          <w:tcPr>
            <w:tcW w:w="1132" w:type="dxa"/>
          </w:tcPr>
          <w:p w:rsidR="000D207F" w:rsidRPr="00892DE3" w:rsidRDefault="000D207F" w:rsidP="000D207F">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t>interest bearing</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0D207F" w:rsidRPr="00892DE3" w:rsidRDefault="000D207F" w:rsidP="000D207F">
            <w:pPr>
              <w:rPr>
                <w:rFonts w:cstheme="majorHAnsi"/>
                <w:b/>
              </w:rPr>
            </w:pPr>
            <w:r w:rsidRPr="00892DE3">
              <w:rPr>
                <w:rFonts w:cstheme="majorHAnsi"/>
                <w:b/>
              </w:rPr>
              <w:t>Financial assets</w:t>
            </w:r>
          </w:p>
        </w:tc>
        <w:tc>
          <w:tcPr>
            <w:tcW w:w="1276" w:type="dxa"/>
            <w:shd w:val="clear" w:color="auto" w:fill="EBEBEB" w:themeFill="background2"/>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0D207F" w:rsidRPr="00892DE3" w:rsidRDefault="000D207F" w:rsidP="000D207F">
            <w:pPr>
              <w:rPr>
                <w:rFonts w:cstheme="majorHAnsi"/>
              </w:rPr>
            </w:pPr>
            <w:r w:rsidRPr="00892DE3">
              <w:rPr>
                <w:rFonts w:cstheme="majorHAnsi"/>
              </w:rPr>
              <w:t>Cash and deposits</w:t>
            </w:r>
          </w:p>
        </w:tc>
        <w:tc>
          <w:tcPr>
            <w:tcW w:w="1276" w:type="dxa"/>
            <w:shd w:val="clear" w:color="auto" w:fill="EBEBEB" w:themeFill="background2"/>
            <w:noWrap/>
            <w:hideMark/>
          </w:tcPr>
          <w:p w:rsidR="000D207F" w:rsidRPr="00892DE3" w:rsidRDefault="000D207F" w:rsidP="00923BB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2.50</w:t>
            </w: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0D207F" w:rsidRPr="00892DE3" w:rsidRDefault="000D207F" w:rsidP="000D207F">
            <w:pPr>
              <w:rPr>
                <w:rFonts w:cstheme="majorHAnsi"/>
              </w:rPr>
            </w:pPr>
            <w:r w:rsidRPr="00892DE3">
              <w:rPr>
                <w:rFonts w:cstheme="majorHAnsi"/>
              </w:rPr>
              <w:t>Receivables</w:t>
            </w:r>
            <w:r w:rsidR="00923BB5" w:rsidRPr="00892DE3">
              <w:rPr>
                <w:rFonts w:cstheme="majorHAnsi"/>
                <w:vertAlign w:val="superscript"/>
              </w:rPr>
              <w:t xml:space="preserve"> (a</w:t>
            </w:r>
            <w:r w:rsidRPr="00892DE3">
              <w:rPr>
                <w:rFonts w:cstheme="majorHAnsi"/>
                <w:vertAlign w:val="superscript"/>
              </w:rPr>
              <w:t>)</w:t>
            </w:r>
          </w:p>
        </w:tc>
        <w:tc>
          <w:tcPr>
            <w:tcW w:w="1276" w:type="dxa"/>
            <w:shd w:val="clear" w:color="auto" w:fill="EBEBEB" w:themeFill="background2"/>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Finance lease receivables</w:t>
            </w:r>
          </w:p>
        </w:tc>
        <w:tc>
          <w:tcPr>
            <w:tcW w:w="1276" w:type="dxa"/>
            <w:shd w:val="clear" w:color="auto" w:fill="EBEBEB" w:themeFill="background2"/>
            <w:noWrap/>
            <w:hideMark/>
          </w:tcPr>
          <w:p w:rsidR="000D207F" w:rsidRPr="00892DE3" w:rsidRDefault="000D207F" w:rsidP="00923BB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4.55</w:t>
            </w: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581</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581</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Sale of goods and services</w:t>
            </w:r>
          </w:p>
        </w:tc>
        <w:tc>
          <w:tcPr>
            <w:tcW w:w="1276" w:type="dxa"/>
            <w:shd w:val="clear" w:color="auto" w:fill="EBEBEB" w:themeFill="background2"/>
            <w:noWrap/>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1 253</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1 253</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Loans to third parties</w:t>
            </w:r>
          </w:p>
        </w:tc>
        <w:tc>
          <w:tcPr>
            <w:tcW w:w="1276" w:type="dxa"/>
            <w:shd w:val="clear" w:color="auto" w:fill="EBEBEB" w:themeFill="background2"/>
            <w:noWrap/>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146</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146</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Accrued investment income</w:t>
            </w:r>
          </w:p>
        </w:tc>
        <w:tc>
          <w:tcPr>
            <w:tcW w:w="1276" w:type="dxa"/>
            <w:shd w:val="clear" w:color="auto" w:fill="EBEBEB" w:themeFill="background2"/>
            <w:noWrap/>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Other receivables</w:t>
            </w:r>
          </w:p>
        </w:tc>
        <w:tc>
          <w:tcPr>
            <w:tcW w:w="1276" w:type="dxa"/>
            <w:shd w:val="clear" w:color="auto" w:fill="EBEBEB" w:themeFill="background2"/>
            <w:noWrap/>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0D207F" w:rsidRPr="00892DE3" w:rsidRDefault="000D207F" w:rsidP="000D207F">
            <w:pPr>
              <w:rPr>
                <w:rFonts w:cstheme="majorHAnsi"/>
              </w:rPr>
            </w:pPr>
            <w:r w:rsidRPr="00892DE3">
              <w:rPr>
                <w:rFonts w:cstheme="majorHAnsi"/>
              </w:rPr>
              <w:t>Investments and other contractual financial assets</w:t>
            </w:r>
          </w:p>
        </w:tc>
        <w:tc>
          <w:tcPr>
            <w:tcW w:w="1276" w:type="dxa"/>
            <w:shd w:val="clear" w:color="auto" w:fill="EBEBEB" w:themeFill="background2"/>
            <w:noWrap/>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Equities and managed investment schemes</w:t>
            </w:r>
          </w:p>
        </w:tc>
        <w:tc>
          <w:tcPr>
            <w:tcW w:w="1276" w:type="dxa"/>
            <w:shd w:val="clear" w:color="auto" w:fill="EBEBEB" w:themeFill="background2"/>
            <w:noWrap/>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2 065</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2 065</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Term deposits</w:t>
            </w:r>
          </w:p>
        </w:tc>
        <w:tc>
          <w:tcPr>
            <w:tcW w:w="1276" w:type="dxa"/>
            <w:shd w:val="clear" w:color="auto" w:fill="EBEBEB" w:themeFill="background2"/>
            <w:noWrap/>
            <w:hideMark/>
          </w:tcPr>
          <w:p w:rsidR="000D207F" w:rsidRPr="00892DE3" w:rsidRDefault="000D207F" w:rsidP="00923BB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3.65</w:t>
            </w: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hideMark/>
          </w:tcPr>
          <w:p w:rsidR="000D207F" w:rsidRPr="00892DE3" w:rsidRDefault="000D207F" w:rsidP="000D207F">
            <w:pPr>
              <w:ind w:left="340"/>
              <w:rPr>
                <w:rFonts w:cstheme="majorHAnsi"/>
              </w:rPr>
            </w:pPr>
            <w:r w:rsidRPr="00892DE3">
              <w:rPr>
                <w:rFonts w:cstheme="majorHAnsi"/>
              </w:rPr>
              <w:t>Debt securities</w:t>
            </w:r>
          </w:p>
        </w:tc>
        <w:tc>
          <w:tcPr>
            <w:tcW w:w="1276" w:type="dxa"/>
            <w:tcBorders>
              <w:bottom w:val="single" w:sz="4" w:space="0" w:color="auto"/>
            </w:tcBorders>
            <w:shd w:val="clear" w:color="auto" w:fill="EBEBEB" w:themeFill="background2"/>
            <w:noWrap/>
            <w:hideMark/>
          </w:tcPr>
          <w:p w:rsidR="000D207F" w:rsidRPr="00892DE3" w:rsidRDefault="000D207F" w:rsidP="00923BB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4.57</w:t>
            </w:r>
          </w:p>
        </w:tc>
        <w:tc>
          <w:tcPr>
            <w:tcW w:w="992" w:type="dxa"/>
            <w:tcBorders>
              <w:bottom w:val="single" w:sz="4" w:space="0" w:color="auto"/>
            </w:tcBorders>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9 021</w:t>
            </w:r>
          </w:p>
        </w:tc>
        <w:tc>
          <w:tcPr>
            <w:tcW w:w="1068" w:type="dxa"/>
            <w:tcBorders>
              <w:bottom w:val="single" w:sz="4"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5 198</w:t>
            </w:r>
          </w:p>
        </w:tc>
        <w:tc>
          <w:tcPr>
            <w:tcW w:w="1058" w:type="dxa"/>
            <w:tcBorders>
              <w:bottom w:val="single" w:sz="4"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3 823</w:t>
            </w:r>
          </w:p>
        </w:tc>
        <w:tc>
          <w:tcPr>
            <w:tcW w:w="1132" w:type="dxa"/>
            <w:tcBorders>
              <w:bottom w:val="single" w:sz="4"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hideMark/>
          </w:tcPr>
          <w:p w:rsidR="000D207F" w:rsidRPr="00892DE3" w:rsidRDefault="000D207F" w:rsidP="000D207F">
            <w:pPr>
              <w:rPr>
                <w:rFonts w:cstheme="majorHAnsi"/>
                <w:b/>
              </w:rPr>
            </w:pPr>
            <w:r w:rsidRPr="00892DE3">
              <w:rPr>
                <w:rFonts w:cstheme="majorHAnsi"/>
                <w:b/>
              </w:rPr>
              <w:t>Total financial assets</w:t>
            </w:r>
          </w:p>
        </w:tc>
        <w:tc>
          <w:tcPr>
            <w:tcW w:w="1276" w:type="dxa"/>
            <w:tcBorders>
              <w:top w:val="single" w:sz="4" w:space="0" w:color="auto"/>
              <w:bottom w:val="single" w:sz="12" w:space="0" w:color="auto"/>
            </w:tcBorders>
            <w:shd w:val="clear" w:color="auto" w:fill="EBEBEB" w:themeFill="background2"/>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Borders>
              <w:top w:val="single" w:sz="4" w:space="0" w:color="auto"/>
              <w:bottom w:val="single" w:sz="12" w:space="0" w:color="auto"/>
            </w:tcBorders>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77 681</w:t>
            </w:r>
          </w:p>
        </w:tc>
        <w:tc>
          <w:tcPr>
            <w:tcW w:w="1068" w:type="dxa"/>
            <w:tcBorders>
              <w:top w:val="single" w:sz="4" w:space="0" w:color="auto"/>
              <w:bottom w:val="single" w:sz="12"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5 779</w:t>
            </w:r>
          </w:p>
        </w:tc>
        <w:tc>
          <w:tcPr>
            <w:tcW w:w="1058" w:type="dxa"/>
            <w:tcBorders>
              <w:top w:val="single" w:sz="4" w:space="0" w:color="auto"/>
              <w:bottom w:val="single" w:sz="12"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66 241</w:t>
            </w:r>
          </w:p>
        </w:tc>
        <w:tc>
          <w:tcPr>
            <w:tcW w:w="1132" w:type="dxa"/>
            <w:tcBorders>
              <w:top w:val="single" w:sz="4" w:space="0" w:color="auto"/>
              <w:bottom w:val="single" w:sz="12"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5 662</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noWrap/>
            <w:hideMark/>
          </w:tcPr>
          <w:p w:rsidR="000D207F" w:rsidRPr="00892DE3" w:rsidRDefault="000D207F" w:rsidP="000D207F">
            <w:pPr>
              <w:rPr>
                <w:rFonts w:cstheme="majorHAnsi"/>
                <w:b/>
              </w:rPr>
            </w:pPr>
            <w:r w:rsidRPr="00892DE3">
              <w:rPr>
                <w:rFonts w:cstheme="majorHAnsi"/>
                <w:b/>
              </w:rPr>
              <w:t>Financial liabilities</w:t>
            </w:r>
          </w:p>
        </w:tc>
        <w:tc>
          <w:tcPr>
            <w:tcW w:w="1276" w:type="dxa"/>
            <w:tcBorders>
              <w:top w:val="single" w:sz="12" w:space="0" w:color="auto"/>
            </w:tcBorders>
            <w:shd w:val="clear" w:color="auto" w:fill="EBEBEB" w:themeFill="background2"/>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12" w:space="0" w:color="auto"/>
            </w:tcBorders>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Borders>
              <w:top w:val="single" w:sz="12"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Borders>
              <w:top w:val="single" w:sz="12"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Borders>
              <w:top w:val="single" w:sz="12"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0D207F" w:rsidRPr="00892DE3" w:rsidRDefault="000D207F" w:rsidP="00D701A0">
            <w:pPr>
              <w:rPr>
                <w:rFonts w:cstheme="majorHAnsi"/>
                <w:b/>
              </w:rPr>
            </w:pPr>
            <w:r w:rsidRPr="00892DE3">
              <w:rPr>
                <w:rFonts w:cstheme="majorHAnsi"/>
                <w:b/>
              </w:rPr>
              <w:t>Payables</w:t>
            </w:r>
            <w:r w:rsidRPr="00892DE3">
              <w:rPr>
                <w:rFonts w:cstheme="majorHAnsi"/>
                <w:b/>
                <w:vertAlign w:val="superscript"/>
              </w:rPr>
              <w:t xml:space="preserve"> (</w:t>
            </w:r>
            <w:r w:rsidR="00D701A0" w:rsidRPr="00892DE3">
              <w:rPr>
                <w:rFonts w:cstheme="majorHAnsi"/>
                <w:b/>
                <w:vertAlign w:val="superscript"/>
              </w:rPr>
              <w:t>a</w:t>
            </w:r>
            <w:r w:rsidRPr="00892DE3">
              <w:rPr>
                <w:rFonts w:cstheme="majorHAnsi"/>
                <w:b/>
                <w:vertAlign w:val="superscript"/>
              </w:rPr>
              <w:t>)</w:t>
            </w:r>
          </w:p>
        </w:tc>
        <w:tc>
          <w:tcPr>
            <w:tcW w:w="1276" w:type="dxa"/>
            <w:shd w:val="clear" w:color="auto" w:fill="EBEBEB" w:themeFill="background2"/>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Supplies and services</w:t>
            </w:r>
          </w:p>
        </w:tc>
        <w:tc>
          <w:tcPr>
            <w:tcW w:w="1276" w:type="dxa"/>
            <w:shd w:val="clear" w:color="auto" w:fill="EBEBEB" w:themeFill="background2"/>
            <w:noWrap/>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Amounts payable to government and agencies</w:t>
            </w:r>
          </w:p>
        </w:tc>
        <w:tc>
          <w:tcPr>
            <w:tcW w:w="1276" w:type="dxa"/>
            <w:shd w:val="clear" w:color="auto" w:fill="EBEBEB" w:themeFill="background2"/>
            <w:noWrap/>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10 890</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10 890</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Other payables</w:t>
            </w:r>
          </w:p>
        </w:tc>
        <w:tc>
          <w:tcPr>
            <w:tcW w:w="1276" w:type="dxa"/>
            <w:shd w:val="clear" w:color="auto" w:fill="EBEBEB" w:themeFill="background2"/>
            <w:noWrap/>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0D207F" w:rsidRPr="00892DE3" w:rsidRDefault="000D207F" w:rsidP="000D207F">
            <w:pPr>
              <w:rPr>
                <w:rFonts w:cstheme="majorHAnsi"/>
              </w:rPr>
            </w:pPr>
            <w:r w:rsidRPr="00892DE3">
              <w:rPr>
                <w:rFonts w:cstheme="majorHAnsi"/>
              </w:rPr>
              <w:t>Borrowings</w:t>
            </w:r>
          </w:p>
        </w:tc>
        <w:tc>
          <w:tcPr>
            <w:tcW w:w="1276" w:type="dxa"/>
            <w:shd w:val="clear" w:color="auto" w:fill="EBEBEB" w:themeFill="background2"/>
            <w:noWrap/>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Finance lease liabilities</w:t>
            </w:r>
          </w:p>
        </w:tc>
        <w:tc>
          <w:tcPr>
            <w:tcW w:w="1276" w:type="dxa"/>
            <w:shd w:val="clear" w:color="auto" w:fill="EBEBEB" w:themeFill="background2"/>
            <w:noWrap/>
            <w:hideMark/>
          </w:tcPr>
          <w:p w:rsidR="000D207F" w:rsidRPr="00892DE3" w:rsidRDefault="000D207F" w:rsidP="00923BB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4.52</w:t>
            </w: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8 064</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8 064</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0D207F" w:rsidRPr="00892DE3" w:rsidRDefault="000D207F" w:rsidP="000D207F">
            <w:pPr>
              <w:ind w:left="340"/>
              <w:rPr>
                <w:rFonts w:cstheme="majorHAnsi"/>
              </w:rPr>
            </w:pPr>
            <w:r w:rsidRPr="00892DE3">
              <w:rPr>
                <w:rFonts w:cstheme="majorHAnsi"/>
              </w:rPr>
              <w:t>Advances from government</w:t>
            </w:r>
          </w:p>
        </w:tc>
        <w:tc>
          <w:tcPr>
            <w:tcW w:w="1276" w:type="dxa"/>
            <w:shd w:val="clear" w:color="auto" w:fill="EBEBEB" w:themeFill="background2"/>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5 314</w:t>
            </w:r>
          </w:p>
        </w:tc>
        <w:tc>
          <w:tcPr>
            <w:tcW w:w="106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5 314</w:t>
            </w:r>
          </w:p>
        </w:tc>
      </w:tr>
      <w:tr w:rsidR="000D207F" w:rsidRPr="00892DE3" w:rsidTr="00A72B57">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hideMark/>
          </w:tcPr>
          <w:p w:rsidR="000D207F" w:rsidRPr="00892DE3" w:rsidRDefault="000D207F" w:rsidP="000D207F">
            <w:pPr>
              <w:ind w:left="340"/>
              <w:rPr>
                <w:rFonts w:cstheme="majorHAnsi"/>
              </w:rPr>
            </w:pPr>
            <w:r w:rsidRPr="00892DE3">
              <w:rPr>
                <w:rFonts w:cstheme="majorHAnsi"/>
              </w:rPr>
              <w:t>Loans from TCV</w:t>
            </w:r>
          </w:p>
        </w:tc>
        <w:tc>
          <w:tcPr>
            <w:tcW w:w="1276" w:type="dxa"/>
            <w:tcBorders>
              <w:bottom w:val="single" w:sz="4" w:space="0" w:color="auto"/>
            </w:tcBorders>
            <w:shd w:val="clear" w:color="auto" w:fill="EBEBEB" w:themeFill="background2"/>
            <w:noWrap/>
            <w:hideMark/>
          </w:tcPr>
          <w:p w:rsidR="000D207F" w:rsidRPr="00892DE3" w:rsidRDefault="000D207F" w:rsidP="00923BB5">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3.55</w:t>
            </w:r>
          </w:p>
        </w:tc>
        <w:tc>
          <w:tcPr>
            <w:tcW w:w="992" w:type="dxa"/>
            <w:tcBorders>
              <w:bottom w:val="single" w:sz="4" w:space="0" w:color="auto"/>
            </w:tcBorders>
            <w:noWrap/>
            <w:hideMark/>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c>
          <w:tcPr>
            <w:tcW w:w="1068" w:type="dxa"/>
            <w:tcBorders>
              <w:bottom w:val="single" w:sz="4"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c>
          <w:tcPr>
            <w:tcW w:w="1058" w:type="dxa"/>
            <w:tcBorders>
              <w:bottom w:val="single" w:sz="4"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Borders>
              <w:bottom w:val="single" w:sz="4" w:space="0" w:color="auto"/>
            </w:tcBorders>
          </w:tcPr>
          <w:p w:rsidR="000D207F" w:rsidRPr="00892DE3" w:rsidRDefault="000D207F" w:rsidP="000D207F">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0D207F" w:rsidRPr="00892DE3" w:rsidTr="00A72B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hideMark/>
          </w:tcPr>
          <w:p w:rsidR="000D207F" w:rsidRPr="00892DE3" w:rsidRDefault="000D207F" w:rsidP="000D207F">
            <w:pPr>
              <w:rPr>
                <w:rFonts w:cstheme="majorHAnsi"/>
                <w:b w:val="0"/>
              </w:rPr>
            </w:pPr>
            <w:r w:rsidRPr="00892DE3">
              <w:rPr>
                <w:rFonts w:cstheme="majorHAnsi"/>
              </w:rPr>
              <w:t>Total financial liabilities</w:t>
            </w:r>
          </w:p>
        </w:tc>
        <w:tc>
          <w:tcPr>
            <w:tcW w:w="1276" w:type="dxa"/>
            <w:tcBorders>
              <w:top w:val="single" w:sz="4" w:space="0" w:color="auto"/>
              <w:bottom w:val="single" w:sz="12" w:space="0" w:color="auto"/>
            </w:tcBorders>
            <w:shd w:val="clear" w:color="auto" w:fill="EBEBEB" w:themeFill="background2"/>
            <w:noWrap/>
            <w:hideMark/>
          </w:tcPr>
          <w:p w:rsidR="000D207F" w:rsidRPr="00892DE3" w:rsidRDefault="000D207F" w:rsidP="000D207F">
            <w:pPr>
              <w:cnfStyle w:val="010000000000" w:firstRow="0" w:lastRow="1" w:firstColumn="0" w:lastColumn="0" w:oddVBand="0" w:evenVBand="0" w:oddHBand="0" w:evenHBand="0" w:firstRowFirstColumn="0" w:firstRowLastColumn="0" w:lastRowFirstColumn="0" w:lastRowLastColumn="0"/>
              <w:rPr>
                <w:rFonts w:cstheme="majorHAnsi"/>
                <w:b w:val="0"/>
              </w:rPr>
            </w:pPr>
          </w:p>
        </w:tc>
        <w:tc>
          <w:tcPr>
            <w:tcW w:w="992" w:type="dxa"/>
            <w:tcBorders>
              <w:top w:val="single" w:sz="4" w:space="0" w:color="auto"/>
              <w:bottom w:val="single" w:sz="12" w:space="0" w:color="auto"/>
            </w:tcBorders>
            <w:noWrap/>
            <w:hideMark/>
          </w:tcPr>
          <w:p w:rsidR="000D207F" w:rsidRPr="00892DE3" w:rsidRDefault="004429A4" w:rsidP="000D207F">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78 247</w:t>
            </w:r>
          </w:p>
        </w:tc>
        <w:tc>
          <w:tcPr>
            <w:tcW w:w="1068" w:type="dxa"/>
            <w:tcBorders>
              <w:top w:val="single" w:sz="4" w:space="0" w:color="auto"/>
              <w:bottom w:val="single" w:sz="12" w:space="0" w:color="auto"/>
            </w:tcBorders>
          </w:tcPr>
          <w:p w:rsidR="000D207F" w:rsidRPr="00892DE3" w:rsidRDefault="000D207F" w:rsidP="000D207F">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56 760</w:t>
            </w:r>
          </w:p>
        </w:tc>
        <w:tc>
          <w:tcPr>
            <w:tcW w:w="1058" w:type="dxa"/>
            <w:tcBorders>
              <w:top w:val="single" w:sz="4" w:space="0" w:color="auto"/>
              <w:bottom w:val="single" w:sz="12" w:space="0" w:color="auto"/>
            </w:tcBorders>
          </w:tcPr>
          <w:p w:rsidR="000D207F" w:rsidRPr="00892DE3" w:rsidRDefault="000D207F" w:rsidP="000D207F">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132" w:type="dxa"/>
            <w:tcBorders>
              <w:top w:val="single" w:sz="4" w:space="0" w:color="auto"/>
              <w:bottom w:val="single" w:sz="12" w:space="0" w:color="auto"/>
            </w:tcBorders>
          </w:tcPr>
          <w:p w:rsidR="000D207F" w:rsidRPr="00892DE3" w:rsidRDefault="004429A4" w:rsidP="000D207F">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21 487</w:t>
            </w:r>
          </w:p>
        </w:tc>
      </w:tr>
    </w:tbl>
    <w:p w:rsidR="00A72B57" w:rsidRPr="00892DE3" w:rsidRDefault="00A72B57" w:rsidP="00A72B57">
      <w:pPr>
        <w:pStyle w:val="Note"/>
      </w:pPr>
      <w:r w:rsidRPr="00892DE3">
        <w:t xml:space="preserve">Note: </w:t>
      </w:r>
      <w:r w:rsidRPr="00892DE3">
        <w:rPr>
          <w:rStyle w:val="SourceReference"/>
          <w:i w:val="0"/>
        </w:rPr>
        <w:t>[AASB 132.AG12]</w:t>
      </w:r>
    </w:p>
    <w:p w:rsidR="000D207F" w:rsidRPr="00892DE3" w:rsidRDefault="00A72B57" w:rsidP="00A72B57">
      <w:pPr>
        <w:pStyle w:val="Note"/>
      </w:pPr>
      <w:r w:rsidRPr="00892DE3">
        <w:t>(</w:t>
      </w:r>
      <w:r w:rsidR="00D701A0" w:rsidRPr="00892DE3">
        <w:t>a</w:t>
      </w:r>
      <w:r w:rsidRPr="00892DE3">
        <w:t>)</w:t>
      </w:r>
      <w:r w:rsidRPr="00892DE3">
        <w:tab/>
        <w:t>The carrying amounts disclosed here exclude statutory amounts (e.g. amounts owing from Victorian government and GST input tax credit recoverable).</w:t>
      </w:r>
    </w:p>
    <w:p w:rsidR="00A72B57" w:rsidRPr="00892DE3" w:rsidRDefault="00A72B57" w:rsidP="00A72B57"/>
    <w:p w:rsidR="00A72B57" w:rsidRPr="00892DE3" w:rsidRDefault="00A72B57">
      <w:pPr>
        <w:keepLines w:val="0"/>
        <w:rPr>
          <w:rFonts w:asciiTheme="majorHAnsi" w:hAnsiTheme="majorHAnsi"/>
          <w:b/>
          <w:szCs w:val="20"/>
        </w:rPr>
      </w:pPr>
      <w:r w:rsidRPr="00892DE3">
        <w:br w:type="page"/>
      </w:r>
    </w:p>
    <w:p w:rsidR="00A72B57" w:rsidRPr="00892DE3" w:rsidRDefault="00A72B57" w:rsidP="001059F4">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11"/>
        <w:gridCol w:w="1276"/>
        <w:gridCol w:w="992"/>
        <w:gridCol w:w="1068"/>
        <w:gridCol w:w="1058"/>
        <w:gridCol w:w="1132"/>
      </w:tblGrid>
      <w:tr w:rsidR="00A72B57" w:rsidRPr="00892DE3" w:rsidTr="00A72B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noWrap/>
          </w:tcPr>
          <w:p w:rsidR="00A72B57" w:rsidRPr="00892DE3" w:rsidRDefault="00A72B57" w:rsidP="00A72B57">
            <w:pPr>
              <w:ind w:left="0" w:firstLine="0"/>
            </w:pPr>
          </w:p>
        </w:tc>
        <w:tc>
          <w:tcPr>
            <w:tcW w:w="1276" w:type="dxa"/>
            <w:noWrap/>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p>
        </w:tc>
        <w:tc>
          <w:tcPr>
            <w:tcW w:w="992" w:type="dxa"/>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p>
        </w:tc>
        <w:tc>
          <w:tcPr>
            <w:tcW w:w="3258" w:type="dxa"/>
            <w:gridSpan w:val="3"/>
          </w:tcPr>
          <w:p w:rsidR="00A72B57" w:rsidRPr="00892DE3" w:rsidRDefault="00A72B57" w:rsidP="00A72B57">
            <w:pPr>
              <w:jc w:val="center"/>
              <w:cnfStyle w:val="100000000000" w:firstRow="1" w:lastRow="0" w:firstColumn="0" w:lastColumn="0" w:oddVBand="0" w:evenVBand="0" w:oddHBand="0" w:evenHBand="0" w:firstRowFirstColumn="0" w:firstRowLastColumn="0" w:lastRowFirstColumn="0" w:lastRowLastColumn="0"/>
            </w:pPr>
            <w:r w:rsidRPr="00892DE3">
              <w:t>Interest rate exposure</w:t>
            </w:r>
          </w:p>
        </w:tc>
      </w:tr>
      <w:tr w:rsidR="00A72B57" w:rsidRPr="00892DE3" w:rsidTr="00A72B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noWrap/>
            <w:hideMark/>
          </w:tcPr>
          <w:p w:rsidR="00A72B57" w:rsidRPr="00892DE3" w:rsidRDefault="00A72B57" w:rsidP="00A72B57">
            <w:pPr>
              <w:ind w:left="0" w:firstLine="0"/>
            </w:pPr>
            <w:r w:rsidRPr="00892DE3">
              <w:br/>
              <w:t>2016</w:t>
            </w:r>
          </w:p>
        </w:tc>
        <w:tc>
          <w:tcPr>
            <w:tcW w:w="1276" w:type="dxa"/>
            <w:noWrap/>
            <w:hideMark/>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r w:rsidRPr="00892DE3">
              <w:t xml:space="preserve">Weighted average </w:t>
            </w:r>
            <w:r w:rsidRPr="00892DE3">
              <w:br/>
              <w:t xml:space="preserve">interest rate </w:t>
            </w:r>
            <w:r w:rsidR="00C95D19" w:rsidRPr="00892DE3">
              <w:t>(</w:t>
            </w:r>
            <w:r w:rsidRPr="00892DE3">
              <w:t>%</w:t>
            </w:r>
            <w:r w:rsidR="00C95D19" w:rsidRPr="00892DE3">
              <w:t>)</w:t>
            </w:r>
          </w:p>
        </w:tc>
        <w:tc>
          <w:tcPr>
            <w:tcW w:w="992" w:type="dxa"/>
            <w:noWrap/>
            <w:hideMark/>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r w:rsidRPr="00892DE3">
              <w:t xml:space="preserve">Carrying </w:t>
            </w:r>
            <w:r w:rsidRPr="00892DE3">
              <w:br/>
              <w:t>amount</w:t>
            </w:r>
          </w:p>
        </w:tc>
        <w:tc>
          <w:tcPr>
            <w:tcW w:w="1068" w:type="dxa"/>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r w:rsidRPr="00892DE3">
              <w:t>Fixed interest rate</w:t>
            </w:r>
          </w:p>
        </w:tc>
        <w:tc>
          <w:tcPr>
            <w:tcW w:w="1058" w:type="dxa"/>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r w:rsidRPr="00892DE3">
              <w:t>Variable interest rate</w:t>
            </w:r>
          </w:p>
        </w:tc>
        <w:tc>
          <w:tcPr>
            <w:tcW w:w="1132" w:type="dxa"/>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t>interest bearing</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A72B57" w:rsidRPr="00892DE3" w:rsidRDefault="00A72B57" w:rsidP="00A72B57">
            <w:pPr>
              <w:rPr>
                <w:rFonts w:cstheme="majorHAnsi"/>
                <w:b/>
              </w:rPr>
            </w:pPr>
            <w:r w:rsidRPr="00892DE3">
              <w:rPr>
                <w:rFonts w:cstheme="majorHAnsi"/>
                <w:b/>
              </w:rPr>
              <w:t>Financial assets</w:t>
            </w:r>
          </w:p>
        </w:tc>
        <w:tc>
          <w:tcPr>
            <w:tcW w:w="1276" w:type="dxa"/>
            <w:shd w:val="clear" w:color="auto" w:fill="EBEBEB" w:themeFill="background2"/>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szCs w:val="20"/>
              </w:rPr>
              <w:t xml:space="preserve"> </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szCs w:val="20"/>
              </w:rPr>
              <w:t xml:space="preserve"> </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szCs w:val="20"/>
              </w:rPr>
              <w:t xml:space="preserve"> </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A72B57" w:rsidRPr="00892DE3" w:rsidRDefault="00A72B57" w:rsidP="00A72B57">
            <w:pPr>
              <w:rPr>
                <w:rFonts w:cstheme="majorHAnsi"/>
              </w:rPr>
            </w:pPr>
            <w:r w:rsidRPr="00892DE3">
              <w:rPr>
                <w:rFonts w:cstheme="majorHAnsi"/>
              </w:rPr>
              <w:t>Cash and deposits</w:t>
            </w:r>
          </w:p>
        </w:tc>
        <w:tc>
          <w:tcPr>
            <w:tcW w:w="1276" w:type="dxa"/>
            <w:shd w:val="clear" w:color="auto" w:fill="EBEBEB" w:themeFill="background2"/>
            <w:noWrap/>
            <w:hideMark/>
          </w:tcPr>
          <w:p w:rsidR="00A72B57" w:rsidRPr="00892DE3" w:rsidRDefault="00A72B57" w:rsidP="00C95D19">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3.55</w:t>
            </w: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48 648</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48 648</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A72B57" w:rsidRPr="00892DE3" w:rsidRDefault="00A72B57" w:rsidP="009A165C">
            <w:pPr>
              <w:ind w:left="340"/>
              <w:rPr>
                <w:rFonts w:cstheme="majorHAnsi"/>
              </w:rPr>
            </w:pPr>
            <w:r w:rsidRPr="00892DE3">
              <w:rPr>
                <w:rFonts w:cstheme="majorHAnsi"/>
              </w:rPr>
              <w:t>Receivables</w:t>
            </w:r>
            <w:r w:rsidRPr="00892DE3">
              <w:rPr>
                <w:rFonts w:cstheme="majorHAnsi"/>
                <w:vertAlign w:val="superscript"/>
              </w:rPr>
              <w:t xml:space="preserve"> (</w:t>
            </w:r>
            <w:r w:rsidR="009A165C" w:rsidRPr="00892DE3">
              <w:rPr>
                <w:rFonts w:cstheme="majorHAnsi"/>
                <w:vertAlign w:val="superscript"/>
              </w:rPr>
              <w:t>a</w:t>
            </w:r>
            <w:r w:rsidRPr="00892DE3">
              <w:rPr>
                <w:rFonts w:cstheme="majorHAnsi"/>
                <w:vertAlign w:val="superscript"/>
              </w:rPr>
              <w:t>)</w:t>
            </w:r>
          </w:p>
        </w:tc>
        <w:tc>
          <w:tcPr>
            <w:tcW w:w="1276" w:type="dxa"/>
            <w:shd w:val="clear" w:color="auto" w:fill="EBEBEB" w:themeFill="background2"/>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A72B57" w:rsidRPr="00892DE3" w:rsidRDefault="00A72B57" w:rsidP="00A72B57">
            <w:pPr>
              <w:ind w:left="340"/>
              <w:rPr>
                <w:rFonts w:cstheme="majorHAnsi"/>
              </w:rPr>
            </w:pPr>
            <w:r w:rsidRPr="00892DE3">
              <w:rPr>
                <w:rFonts w:cstheme="majorHAnsi"/>
              </w:rPr>
              <w:t>Finance lease receivables</w:t>
            </w:r>
          </w:p>
        </w:tc>
        <w:tc>
          <w:tcPr>
            <w:tcW w:w="1276" w:type="dxa"/>
            <w:shd w:val="clear" w:color="auto" w:fill="EBEBEB" w:themeFill="background2"/>
            <w:noWrap/>
            <w:hideMark/>
          </w:tcPr>
          <w:p w:rsidR="00A72B57" w:rsidRPr="00892DE3" w:rsidRDefault="00A72B57" w:rsidP="00C95D19">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4.05</w:t>
            </w: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1 231</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1 231</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A72B57" w:rsidRPr="00892DE3" w:rsidRDefault="00A72B57" w:rsidP="00A72B57">
            <w:pPr>
              <w:ind w:left="340"/>
              <w:rPr>
                <w:rFonts w:cstheme="majorHAnsi"/>
              </w:rPr>
            </w:pPr>
            <w:r w:rsidRPr="00892DE3">
              <w:rPr>
                <w:rFonts w:cstheme="majorHAnsi"/>
              </w:rPr>
              <w:t>Sale of goods and services</w:t>
            </w:r>
          </w:p>
        </w:tc>
        <w:tc>
          <w:tcPr>
            <w:tcW w:w="1276" w:type="dxa"/>
            <w:shd w:val="clear" w:color="auto" w:fill="EBEBEB" w:themeFill="background2"/>
            <w:noWrap/>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902</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902</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A72B57" w:rsidRPr="00892DE3" w:rsidRDefault="00A72B57" w:rsidP="00A72B57">
            <w:pPr>
              <w:ind w:left="340"/>
              <w:rPr>
                <w:rFonts w:cstheme="majorHAnsi"/>
              </w:rPr>
            </w:pPr>
            <w:r w:rsidRPr="00892DE3">
              <w:rPr>
                <w:rFonts w:cstheme="majorHAnsi"/>
              </w:rPr>
              <w:t>Loans to third parties</w:t>
            </w:r>
          </w:p>
        </w:tc>
        <w:tc>
          <w:tcPr>
            <w:tcW w:w="1276" w:type="dxa"/>
            <w:shd w:val="clear" w:color="auto" w:fill="EBEBEB" w:themeFill="background2"/>
            <w:noWrap/>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241</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241</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A72B57" w:rsidRPr="00892DE3" w:rsidRDefault="00A72B57" w:rsidP="00A72B57">
            <w:pPr>
              <w:ind w:left="340"/>
              <w:rPr>
                <w:rFonts w:cstheme="majorHAnsi"/>
              </w:rPr>
            </w:pPr>
            <w:r w:rsidRPr="00892DE3">
              <w:rPr>
                <w:rFonts w:cstheme="majorHAnsi"/>
              </w:rPr>
              <w:t>Accrued investment income</w:t>
            </w:r>
          </w:p>
        </w:tc>
        <w:tc>
          <w:tcPr>
            <w:tcW w:w="1276" w:type="dxa"/>
            <w:shd w:val="clear" w:color="auto" w:fill="EBEBEB" w:themeFill="background2"/>
            <w:noWrap/>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1 058</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1 058</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A72B57" w:rsidRPr="00892DE3" w:rsidRDefault="00A72B57" w:rsidP="00A72B57">
            <w:pPr>
              <w:ind w:left="340"/>
              <w:rPr>
                <w:rFonts w:cstheme="majorHAnsi"/>
              </w:rPr>
            </w:pPr>
            <w:r w:rsidRPr="00892DE3">
              <w:rPr>
                <w:rFonts w:cstheme="majorHAnsi"/>
              </w:rPr>
              <w:t>Other receivables</w:t>
            </w:r>
          </w:p>
        </w:tc>
        <w:tc>
          <w:tcPr>
            <w:tcW w:w="1276" w:type="dxa"/>
            <w:shd w:val="clear" w:color="auto" w:fill="EBEBEB" w:themeFill="background2"/>
            <w:noWrap/>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438</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438</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A72B57" w:rsidRPr="00892DE3" w:rsidRDefault="00A72B57" w:rsidP="00A72B57">
            <w:pPr>
              <w:rPr>
                <w:rFonts w:cstheme="majorHAnsi"/>
              </w:rPr>
            </w:pPr>
            <w:r w:rsidRPr="00892DE3">
              <w:rPr>
                <w:rFonts w:cstheme="majorHAnsi"/>
              </w:rPr>
              <w:t>Investments and other contractual financial assets</w:t>
            </w:r>
          </w:p>
        </w:tc>
        <w:tc>
          <w:tcPr>
            <w:tcW w:w="1276" w:type="dxa"/>
            <w:shd w:val="clear" w:color="auto" w:fill="EBEBEB" w:themeFill="background2"/>
            <w:noWrap/>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A72B57" w:rsidRPr="00892DE3" w:rsidRDefault="00A72B57" w:rsidP="00A72B57">
            <w:pPr>
              <w:ind w:left="340"/>
              <w:rPr>
                <w:rFonts w:cstheme="majorHAnsi"/>
              </w:rPr>
            </w:pPr>
            <w:r w:rsidRPr="00892DE3">
              <w:rPr>
                <w:rFonts w:cstheme="majorHAnsi"/>
              </w:rPr>
              <w:t>Equities and managed investment schemes</w:t>
            </w:r>
          </w:p>
        </w:tc>
        <w:tc>
          <w:tcPr>
            <w:tcW w:w="1276" w:type="dxa"/>
            <w:shd w:val="clear" w:color="auto" w:fill="EBEBEB" w:themeFill="background2"/>
            <w:noWrap/>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4 179</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4 179</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A72B57" w:rsidRPr="00892DE3" w:rsidRDefault="00A72B57" w:rsidP="00A72B57">
            <w:pPr>
              <w:ind w:left="340"/>
              <w:rPr>
                <w:rFonts w:cstheme="majorHAnsi"/>
              </w:rPr>
            </w:pPr>
            <w:r w:rsidRPr="00892DE3">
              <w:rPr>
                <w:rFonts w:cstheme="majorHAnsi"/>
              </w:rPr>
              <w:t>Term deposits</w:t>
            </w:r>
          </w:p>
        </w:tc>
        <w:tc>
          <w:tcPr>
            <w:tcW w:w="1276" w:type="dxa"/>
            <w:shd w:val="clear" w:color="auto" w:fill="EBEBEB" w:themeFill="background2"/>
            <w:noWrap/>
            <w:hideMark/>
          </w:tcPr>
          <w:p w:rsidR="00A72B57" w:rsidRPr="00892DE3" w:rsidRDefault="00A72B57" w:rsidP="00C95D19">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4.05</w:t>
            </w: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5 130</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5 130</w:t>
            </w: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hideMark/>
          </w:tcPr>
          <w:p w:rsidR="00A72B57" w:rsidRPr="00892DE3" w:rsidRDefault="00A72B57" w:rsidP="00A72B57">
            <w:pPr>
              <w:ind w:left="340"/>
              <w:rPr>
                <w:rFonts w:cstheme="majorHAnsi"/>
              </w:rPr>
            </w:pPr>
            <w:r w:rsidRPr="00892DE3">
              <w:rPr>
                <w:rFonts w:cstheme="majorHAnsi"/>
              </w:rPr>
              <w:t>Debt securities</w:t>
            </w:r>
          </w:p>
        </w:tc>
        <w:tc>
          <w:tcPr>
            <w:tcW w:w="1276" w:type="dxa"/>
            <w:tcBorders>
              <w:bottom w:val="single" w:sz="4" w:space="0" w:color="auto"/>
            </w:tcBorders>
            <w:shd w:val="clear" w:color="auto" w:fill="EBEBEB" w:themeFill="background2"/>
            <w:noWrap/>
            <w:hideMark/>
          </w:tcPr>
          <w:p w:rsidR="00A72B57" w:rsidRPr="00892DE3" w:rsidRDefault="00A72B57" w:rsidP="00C95D19">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4.57</w:t>
            </w:r>
          </w:p>
        </w:tc>
        <w:tc>
          <w:tcPr>
            <w:tcW w:w="992" w:type="dxa"/>
            <w:tcBorders>
              <w:bottom w:val="single" w:sz="4" w:space="0" w:color="auto"/>
            </w:tcBorders>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7 422</w:t>
            </w:r>
          </w:p>
        </w:tc>
        <w:tc>
          <w:tcPr>
            <w:tcW w:w="1068" w:type="dxa"/>
            <w:tcBorders>
              <w:bottom w:val="single" w:sz="4" w:space="0" w:color="auto"/>
            </w:tcBorders>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5 013</w:t>
            </w:r>
          </w:p>
        </w:tc>
        <w:tc>
          <w:tcPr>
            <w:tcW w:w="1058" w:type="dxa"/>
            <w:tcBorders>
              <w:bottom w:val="single" w:sz="4" w:space="0" w:color="auto"/>
            </w:tcBorders>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2 409</w:t>
            </w:r>
          </w:p>
        </w:tc>
        <w:tc>
          <w:tcPr>
            <w:tcW w:w="1132" w:type="dxa"/>
            <w:tcBorders>
              <w:bottom w:val="single" w:sz="4" w:space="0" w:color="auto"/>
            </w:tcBorders>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hideMark/>
          </w:tcPr>
          <w:p w:rsidR="00A72B57" w:rsidRPr="00892DE3" w:rsidRDefault="00A72B57" w:rsidP="00A72B57">
            <w:pPr>
              <w:rPr>
                <w:rFonts w:cstheme="majorHAnsi"/>
                <w:b/>
              </w:rPr>
            </w:pPr>
            <w:r w:rsidRPr="00892DE3">
              <w:rPr>
                <w:rFonts w:cstheme="majorHAnsi"/>
                <w:b/>
              </w:rPr>
              <w:t>Total financial assets</w:t>
            </w:r>
          </w:p>
        </w:tc>
        <w:tc>
          <w:tcPr>
            <w:tcW w:w="1276" w:type="dxa"/>
            <w:tcBorders>
              <w:top w:val="single" w:sz="4" w:space="0" w:color="auto"/>
              <w:bottom w:val="single" w:sz="12" w:space="0" w:color="auto"/>
            </w:tcBorders>
            <w:shd w:val="clear" w:color="auto" w:fill="EBEBEB" w:themeFill="background2"/>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p>
        </w:tc>
        <w:tc>
          <w:tcPr>
            <w:tcW w:w="992" w:type="dxa"/>
            <w:tcBorders>
              <w:top w:val="single" w:sz="4" w:space="0" w:color="auto"/>
              <w:bottom w:val="single" w:sz="12" w:space="0" w:color="auto"/>
            </w:tcBorders>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69 249</w:t>
            </w:r>
          </w:p>
        </w:tc>
        <w:tc>
          <w:tcPr>
            <w:tcW w:w="1068" w:type="dxa"/>
            <w:tcBorders>
              <w:top w:val="single" w:sz="4" w:space="0" w:color="auto"/>
              <w:bottom w:val="single" w:sz="12" w:space="0" w:color="auto"/>
            </w:tcBorders>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6 244</w:t>
            </w:r>
          </w:p>
        </w:tc>
        <w:tc>
          <w:tcPr>
            <w:tcW w:w="1058" w:type="dxa"/>
            <w:tcBorders>
              <w:top w:val="single" w:sz="4" w:space="0" w:color="auto"/>
              <w:bottom w:val="single" w:sz="12" w:space="0" w:color="auto"/>
            </w:tcBorders>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56 186</w:t>
            </w:r>
          </w:p>
        </w:tc>
        <w:tc>
          <w:tcPr>
            <w:tcW w:w="1132" w:type="dxa"/>
            <w:tcBorders>
              <w:top w:val="single" w:sz="4" w:space="0" w:color="auto"/>
              <w:bottom w:val="single" w:sz="12" w:space="0" w:color="auto"/>
            </w:tcBorders>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6 818</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noWrap/>
            <w:hideMark/>
          </w:tcPr>
          <w:p w:rsidR="00A72B57" w:rsidRPr="00892DE3" w:rsidRDefault="00A72B57" w:rsidP="00A72B57">
            <w:pPr>
              <w:rPr>
                <w:rFonts w:cstheme="majorHAnsi"/>
                <w:b/>
              </w:rPr>
            </w:pPr>
            <w:r w:rsidRPr="00892DE3">
              <w:rPr>
                <w:rFonts w:cstheme="majorHAnsi"/>
                <w:b/>
              </w:rPr>
              <w:t>Financial liabilities</w:t>
            </w:r>
          </w:p>
        </w:tc>
        <w:tc>
          <w:tcPr>
            <w:tcW w:w="1276" w:type="dxa"/>
            <w:tcBorders>
              <w:top w:val="single" w:sz="12" w:space="0" w:color="auto"/>
            </w:tcBorders>
            <w:shd w:val="clear" w:color="auto" w:fill="EBEBEB" w:themeFill="background2"/>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p>
        </w:tc>
        <w:tc>
          <w:tcPr>
            <w:tcW w:w="992" w:type="dxa"/>
            <w:tcBorders>
              <w:top w:val="single" w:sz="12" w:space="0" w:color="auto"/>
            </w:tcBorders>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068" w:type="dxa"/>
            <w:tcBorders>
              <w:top w:val="single" w:sz="12" w:space="0" w:color="auto"/>
            </w:tcBorders>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058" w:type="dxa"/>
            <w:tcBorders>
              <w:top w:val="single" w:sz="12" w:space="0" w:color="auto"/>
            </w:tcBorders>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132" w:type="dxa"/>
            <w:tcBorders>
              <w:top w:val="single" w:sz="12" w:space="0" w:color="auto"/>
            </w:tcBorders>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A72B57" w:rsidRPr="00892DE3" w:rsidRDefault="00A72B57" w:rsidP="00A72B57">
            <w:pPr>
              <w:rPr>
                <w:rFonts w:cstheme="majorHAnsi"/>
              </w:rPr>
            </w:pPr>
            <w:r w:rsidRPr="00892DE3">
              <w:rPr>
                <w:rFonts w:cstheme="majorHAnsi"/>
              </w:rPr>
              <w:t>Payables</w:t>
            </w:r>
            <w:r w:rsidR="00D701A0" w:rsidRPr="00892DE3">
              <w:rPr>
                <w:rFonts w:cstheme="majorHAnsi"/>
                <w:vertAlign w:val="superscript"/>
              </w:rPr>
              <w:t xml:space="preserve"> (a</w:t>
            </w:r>
            <w:r w:rsidRPr="00892DE3">
              <w:rPr>
                <w:rFonts w:cstheme="majorHAnsi"/>
                <w:vertAlign w:val="superscript"/>
              </w:rPr>
              <w:t>)</w:t>
            </w:r>
          </w:p>
        </w:tc>
        <w:tc>
          <w:tcPr>
            <w:tcW w:w="1276" w:type="dxa"/>
            <w:shd w:val="clear" w:color="auto" w:fill="EBEBEB" w:themeFill="background2"/>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A72B57" w:rsidRPr="00892DE3" w:rsidRDefault="00A72B57" w:rsidP="00A72B57">
            <w:pPr>
              <w:ind w:left="340"/>
              <w:rPr>
                <w:rFonts w:cstheme="majorHAnsi"/>
              </w:rPr>
            </w:pPr>
            <w:r w:rsidRPr="00892DE3">
              <w:rPr>
                <w:rFonts w:cstheme="majorHAnsi"/>
              </w:rPr>
              <w:t>Supplies and services</w:t>
            </w:r>
          </w:p>
        </w:tc>
        <w:tc>
          <w:tcPr>
            <w:tcW w:w="1276" w:type="dxa"/>
            <w:shd w:val="clear" w:color="auto" w:fill="EBEBEB" w:themeFill="background2"/>
            <w:noWrap/>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A72B57"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3 430</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A72B57"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3 430</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A72B57" w:rsidRPr="00892DE3" w:rsidRDefault="00A72B57" w:rsidP="00A72B57">
            <w:pPr>
              <w:ind w:left="340"/>
              <w:rPr>
                <w:rFonts w:cstheme="majorHAnsi"/>
              </w:rPr>
            </w:pPr>
            <w:r w:rsidRPr="00892DE3">
              <w:rPr>
                <w:rFonts w:cstheme="majorHAnsi"/>
              </w:rPr>
              <w:t>Amounts payable to government and agencies</w:t>
            </w:r>
          </w:p>
        </w:tc>
        <w:tc>
          <w:tcPr>
            <w:tcW w:w="1276" w:type="dxa"/>
            <w:shd w:val="clear" w:color="auto" w:fill="EBEBEB" w:themeFill="background2"/>
            <w:noWrap/>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A72B57"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1 796</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A72B57"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1 796</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hideMark/>
          </w:tcPr>
          <w:p w:rsidR="00A72B57" w:rsidRPr="00892DE3" w:rsidRDefault="00A72B57" w:rsidP="00A72B57">
            <w:pPr>
              <w:ind w:left="340"/>
              <w:rPr>
                <w:rFonts w:cstheme="majorHAnsi"/>
              </w:rPr>
            </w:pPr>
            <w:r w:rsidRPr="00892DE3">
              <w:rPr>
                <w:rFonts w:cstheme="majorHAnsi"/>
              </w:rPr>
              <w:t>Other payables</w:t>
            </w:r>
          </w:p>
        </w:tc>
        <w:tc>
          <w:tcPr>
            <w:tcW w:w="1276" w:type="dxa"/>
            <w:shd w:val="clear" w:color="auto" w:fill="EBEBEB" w:themeFill="background2"/>
            <w:noWrap/>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A72B57"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szCs w:val="20"/>
              </w:rPr>
              <w:t>8 925</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132" w:type="dxa"/>
          </w:tcPr>
          <w:p w:rsidR="00A72B57"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8 925</w:t>
            </w:r>
          </w:p>
        </w:tc>
      </w:tr>
      <w:tr w:rsidR="00A72B57" w:rsidRPr="00892DE3" w:rsidTr="00A72B57">
        <w:tc>
          <w:tcPr>
            <w:cnfStyle w:val="001000000000" w:firstRow="0" w:lastRow="0" w:firstColumn="1" w:lastColumn="0" w:oddVBand="0" w:evenVBand="0" w:oddHBand="0" w:evenHBand="0" w:firstRowFirstColumn="0" w:firstRowLastColumn="0" w:lastRowFirstColumn="0" w:lastRowLastColumn="0"/>
            <w:tcW w:w="4111" w:type="dxa"/>
            <w:noWrap/>
            <w:hideMark/>
          </w:tcPr>
          <w:p w:rsidR="00A72B57" w:rsidRPr="00892DE3" w:rsidRDefault="00A72B57" w:rsidP="00A72B57">
            <w:pPr>
              <w:rPr>
                <w:rFonts w:cstheme="majorHAnsi"/>
                <w:b/>
              </w:rPr>
            </w:pPr>
            <w:r w:rsidRPr="00892DE3">
              <w:rPr>
                <w:rFonts w:cstheme="majorHAnsi"/>
                <w:b/>
              </w:rPr>
              <w:t>Borrowings</w:t>
            </w:r>
          </w:p>
        </w:tc>
        <w:tc>
          <w:tcPr>
            <w:tcW w:w="1276" w:type="dxa"/>
            <w:shd w:val="clear" w:color="auto" w:fill="EBEBEB" w:themeFill="background2"/>
            <w:noWrap/>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p>
        </w:tc>
        <w:tc>
          <w:tcPr>
            <w:tcW w:w="992" w:type="dxa"/>
            <w:noWrap/>
            <w:hideMark/>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06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p>
        </w:tc>
        <w:tc>
          <w:tcPr>
            <w:tcW w:w="1132"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szCs w:val="20"/>
              </w:rPr>
            </w:pPr>
          </w:p>
        </w:tc>
      </w:tr>
      <w:tr w:rsidR="004429A4" w:rsidRPr="00892DE3" w:rsidTr="00A72B57">
        <w:tc>
          <w:tcPr>
            <w:cnfStyle w:val="001000000000" w:firstRow="0" w:lastRow="0" w:firstColumn="1" w:lastColumn="0" w:oddVBand="0" w:evenVBand="0" w:oddHBand="0" w:evenHBand="0" w:firstRowFirstColumn="0" w:firstRowLastColumn="0" w:lastRowFirstColumn="0" w:lastRowLastColumn="0"/>
            <w:tcW w:w="4111" w:type="dxa"/>
          </w:tcPr>
          <w:p w:rsidR="004429A4" w:rsidRPr="00892DE3" w:rsidRDefault="004429A4" w:rsidP="00A72B57">
            <w:pPr>
              <w:ind w:left="340"/>
              <w:rPr>
                <w:rFonts w:cstheme="majorHAnsi"/>
              </w:rPr>
            </w:pPr>
            <w:r w:rsidRPr="00892DE3">
              <w:rPr>
                <w:rFonts w:cstheme="majorHAnsi"/>
              </w:rPr>
              <w:t>Bank overdraft</w:t>
            </w:r>
          </w:p>
        </w:tc>
        <w:tc>
          <w:tcPr>
            <w:tcW w:w="1276" w:type="dxa"/>
            <w:shd w:val="clear" w:color="auto" w:fill="EBEBEB" w:themeFill="background2"/>
            <w:noWrap/>
          </w:tcPr>
          <w:p w:rsidR="004429A4" w:rsidRPr="00892DE3" w:rsidRDefault="004429A4" w:rsidP="00C95D19">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10.25</w:t>
            </w:r>
          </w:p>
        </w:tc>
        <w:tc>
          <w:tcPr>
            <w:tcW w:w="992" w:type="dxa"/>
            <w:noWrap/>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c>
          <w:tcPr>
            <w:tcW w:w="1068" w:type="dxa"/>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rPr>
            </w:pPr>
          </w:p>
        </w:tc>
        <w:tc>
          <w:tcPr>
            <w:tcW w:w="1058" w:type="dxa"/>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rPr>
            </w:pPr>
          </w:p>
        </w:tc>
        <w:tc>
          <w:tcPr>
            <w:tcW w:w="1132" w:type="dxa"/>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1 145</w:t>
            </w:r>
          </w:p>
        </w:tc>
      </w:tr>
      <w:tr w:rsidR="004429A4" w:rsidRPr="00892DE3" w:rsidTr="004429A4">
        <w:tc>
          <w:tcPr>
            <w:cnfStyle w:val="001000000000" w:firstRow="0" w:lastRow="0" w:firstColumn="1" w:lastColumn="0" w:oddVBand="0" w:evenVBand="0" w:oddHBand="0" w:evenHBand="0" w:firstRowFirstColumn="0" w:firstRowLastColumn="0" w:lastRowFirstColumn="0" w:lastRowLastColumn="0"/>
            <w:tcW w:w="4111" w:type="dxa"/>
            <w:hideMark/>
          </w:tcPr>
          <w:p w:rsidR="004429A4" w:rsidRPr="00892DE3" w:rsidRDefault="004429A4" w:rsidP="00A72B57">
            <w:pPr>
              <w:ind w:left="340"/>
              <w:rPr>
                <w:rFonts w:cstheme="majorHAnsi"/>
              </w:rPr>
            </w:pPr>
            <w:r w:rsidRPr="00892DE3">
              <w:rPr>
                <w:rFonts w:cstheme="majorHAnsi"/>
              </w:rPr>
              <w:t>Finance lease liabilities</w:t>
            </w:r>
          </w:p>
        </w:tc>
        <w:tc>
          <w:tcPr>
            <w:tcW w:w="1276" w:type="dxa"/>
            <w:shd w:val="clear" w:color="auto" w:fill="EBEBEB" w:themeFill="background2"/>
            <w:noWrap/>
          </w:tcPr>
          <w:p w:rsidR="004429A4" w:rsidRPr="00892DE3" w:rsidRDefault="004429A4" w:rsidP="00C95D19">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4.52</w:t>
            </w:r>
          </w:p>
        </w:tc>
        <w:tc>
          <w:tcPr>
            <w:tcW w:w="992" w:type="dxa"/>
            <w:noWrap/>
            <w:hideMark/>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szCs w:val="20"/>
              </w:rPr>
              <w:t>20 062</w:t>
            </w:r>
          </w:p>
        </w:tc>
        <w:tc>
          <w:tcPr>
            <w:tcW w:w="1068" w:type="dxa"/>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szCs w:val="20"/>
              </w:rPr>
              <w:t>20 062</w:t>
            </w:r>
          </w:p>
        </w:tc>
        <w:tc>
          <w:tcPr>
            <w:tcW w:w="1058" w:type="dxa"/>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5 437</w:t>
            </w:r>
          </w:p>
        </w:tc>
        <w:tc>
          <w:tcPr>
            <w:tcW w:w="1132" w:type="dxa"/>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4429A4" w:rsidRPr="00892DE3" w:rsidTr="004429A4">
        <w:tc>
          <w:tcPr>
            <w:cnfStyle w:val="001000000000" w:firstRow="0" w:lastRow="0" w:firstColumn="1" w:lastColumn="0" w:oddVBand="0" w:evenVBand="0" w:oddHBand="0" w:evenHBand="0" w:firstRowFirstColumn="0" w:firstRowLastColumn="0" w:lastRowFirstColumn="0" w:lastRowLastColumn="0"/>
            <w:tcW w:w="4111" w:type="dxa"/>
            <w:hideMark/>
          </w:tcPr>
          <w:p w:rsidR="004429A4" w:rsidRPr="00892DE3" w:rsidRDefault="004429A4" w:rsidP="00A72B57">
            <w:pPr>
              <w:ind w:left="340"/>
              <w:rPr>
                <w:rFonts w:cstheme="majorHAnsi"/>
              </w:rPr>
            </w:pPr>
            <w:r w:rsidRPr="00892DE3">
              <w:rPr>
                <w:rFonts w:cstheme="majorHAnsi"/>
              </w:rPr>
              <w:t>Advances from government</w:t>
            </w:r>
          </w:p>
        </w:tc>
        <w:tc>
          <w:tcPr>
            <w:tcW w:w="1276" w:type="dxa"/>
            <w:shd w:val="clear" w:color="auto" w:fill="EBEBEB" w:themeFill="background2"/>
            <w:noWrap/>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12 344</w:t>
            </w:r>
          </w:p>
        </w:tc>
        <w:tc>
          <w:tcPr>
            <w:tcW w:w="1068" w:type="dxa"/>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12 344</w:t>
            </w:r>
          </w:p>
        </w:tc>
      </w:tr>
      <w:tr w:rsidR="004429A4" w:rsidRPr="00892DE3" w:rsidTr="00A72B57">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hideMark/>
          </w:tcPr>
          <w:p w:rsidR="004429A4" w:rsidRPr="00892DE3" w:rsidRDefault="004429A4" w:rsidP="00A72B57">
            <w:pPr>
              <w:ind w:left="340"/>
              <w:rPr>
                <w:rFonts w:cstheme="majorHAnsi"/>
              </w:rPr>
            </w:pPr>
            <w:r w:rsidRPr="00892DE3">
              <w:rPr>
                <w:rFonts w:cstheme="majorHAnsi"/>
              </w:rPr>
              <w:t>Loans from TCV</w:t>
            </w:r>
          </w:p>
        </w:tc>
        <w:tc>
          <w:tcPr>
            <w:tcW w:w="1276" w:type="dxa"/>
            <w:tcBorders>
              <w:bottom w:val="single" w:sz="4" w:space="0" w:color="auto"/>
            </w:tcBorders>
            <w:shd w:val="clear" w:color="auto" w:fill="EBEBEB" w:themeFill="background2"/>
            <w:noWrap/>
            <w:hideMark/>
          </w:tcPr>
          <w:p w:rsidR="004429A4" w:rsidRPr="00892DE3" w:rsidRDefault="004429A4" w:rsidP="00C95D19">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szCs w:val="20"/>
              </w:rPr>
              <w:t>5.00</w:t>
            </w:r>
          </w:p>
        </w:tc>
        <w:tc>
          <w:tcPr>
            <w:tcW w:w="992" w:type="dxa"/>
            <w:tcBorders>
              <w:bottom w:val="single" w:sz="4" w:space="0" w:color="auto"/>
            </w:tcBorders>
            <w:noWrap/>
            <w:hideMark/>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27 705</w:t>
            </w:r>
          </w:p>
        </w:tc>
        <w:tc>
          <w:tcPr>
            <w:tcW w:w="1068" w:type="dxa"/>
            <w:tcBorders>
              <w:bottom w:val="single" w:sz="4" w:space="0" w:color="auto"/>
            </w:tcBorders>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27 705</w:t>
            </w:r>
          </w:p>
        </w:tc>
        <w:tc>
          <w:tcPr>
            <w:tcW w:w="1058" w:type="dxa"/>
            <w:tcBorders>
              <w:bottom w:val="single" w:sz="4" w:space="0" w:color="auto"/>
            </w:tcBorders>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Borders>
              <w:bottom w:val="single" w:sz="4" w:space="0" w:color="auto"/>
            </w:tcBorders>
          </w:tcPr>
          <w:p w:rsidR="004429A4" w:rsidRPr="00892DE3" w:rsidRDefault="004429A4" w:rsidP="00A72B57">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4429A4" w:rsidRPr="00892DE3" w:rsidTr="00A72B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hideMark/>
          </w:tcPr>
          <w:p w:rsidR="004429A4" w:rsidRPr="00892DE3" w:rsidRDefault="004429A4" w:rsidP="00A72B57">
            <w:pPr>
              <w:rPr>
                <w:rFonts w:cstheme="majorHAnsi"/>
                <w:b w:val="0"/>
              </w:rPr>
            </w:pPr>
            <w:r w:rsidRPr="00892DE3">
              <w:rPr>
                <w:rFonts w:cstheme="majorHAnsi"/>
              </w:rPr>
              <w:t>Total financial liabilities</w:t>
            </w:r>
          </w:p>
        </w:tc>
        <w:tc>
          <w:tcPr>
            <w:tcW w:w="1276" w:type="dxa"/>
            <w:tcBorders>
              <w:top w:val="single" w:sz="4" w:space="0" w:color="auto"/>
              <w:bottom w:val="single" w:sz="12" w:space="0" w:color="auto"/>
            </w:tcBorders>
            <w:shd w:val="clear" w:color="auto" w:fill="EBEBEB" w:themeFill="background2"/>
            <w:noWrap/>
            <w:hideMark/>
          </w:tcPr>
          <w:p w:rsidR="004429A4" w:rsidRPr="00892DE3" w:rsidRDefault="004429A4" w:rsidP="00A72B57">
            <w:pPr>
              <w:cnfStyle w:val="010000000000" w:firstRow="0" w:lastRow="1" w:firstColumn="0" w:lastColumn="0" w:oddVBand="0" w:evenVBand="0" w:oddHBand="0" w:evenHBand="0" w:firstRowFirstColumn="0" w:firstRowLastColumn="0" w:lastRowFirstColumn="0" w:lastRowLastColumn="0"/>
              <w:rPr>
                <w:rFonts w:cstheme="majorHAnsi"/>
                <w:b w:val="0"/>
                <w:szCs w:val="20"/>
              </w:rPr>
            </w:pPr>
          </w:p>
        </w:tc>
        <w:tc>
          <w:tcPr>
            <w:tcW w:w="992" w:type="dxa"/>
            <w:tcBorders>
              <w:top w:val="single" w:sz="4" w:space="0" w:color="auto"/>
              <w:bottom w:val="single" w:sz="12" w:space="0" w:color="auto"/>
            </w:tcBorders>
            <w:noWrap/>
            <w:hideMark/>
          </w:tcPr>
          <w:p w:rsidR="004429A4" w:rsidRPr="00892DE3" w:rsidRDefault="00302541" w:rsidP="00C95D19">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szCs w:val="20"/>
              </w:rPr>
              <w:t>79 699</w:t>
            </w:r>
          </w:p>
        </w:tc>
        <w:tc>
          <w:tcPr>
            <w:tcW w:w="1068" w:type="dxa"/>
            <w:tcBorders>
              <w:top w:val="single" w:sz="4" w:space="0" w:color="auto"/>
              <w:bottom w:val="single" w:sz="12" w:space="0" w:color="auto"/>
            </w:tcBorders>
          </w:tcPr>
          <w:p w:rsidR="004429A4" w:rsidRPr="00892DE3" w:rsidRDefault="004429A4" w:rsidP="00A72B57">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47 767</w:t>
            </w:r>
          </w:p>
        </w:tc>
        <w:tc>
          <w:tcPr>
            <w:tcW w:w="1058" w:type="dxa"/>
            <w:tcBorders>
              <w:top w:val="single" w:sz="4" w:space="0" w:color="auto"/>
              <w:bottom w:val="single" w:sz="12" w:space="0" w:color="auto"/>
            </w:tcBorders>
          </w:tcPr>
          <w:p w:rsidR="004429A4" w:rsidRPr="00892DE3" w:rsidRDefault="004429A4" w:rsidP="00A72B57">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5 437</w:t>
            </w:r>
          </w:p>
        </w:tc>
        <w:tc>
          <w:tcPr>
            <w:tcW w:w="1132" w:type="dxa"/>
            <w:tcBorders>
              <w:top w:val="single" w:sz="4" w:space="0" w:color="auto"/>
              <w:bottom w:val="single" w:sz="12" w:space="0" w:color="auto"/>
            </w:tcBorders>
          </w:tcPr>
          <w:p w:rsidR="004429A4" w:rsidRPr="00892DE3" w:rsidRDefault="00302541" w:rsidP="00C95D19">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26 495</w:t>
            </w:r>
          </w:p>
        </w:tc>
      </w:tr>
    </w:tbl>
    <w:p w:rsidR="00A72B57" w:rsidRPr="00892DE3" w:rsidRDefault="00A72B57" w:rsidP="00A72B57">
      <w:pPr>
        <w:pStyle w:val="Note"/>
      </w:pPr>
      <w:r w:rsidRPr="00892DE3">
        <w:t xml:space="preserve">Note: </w:t>
      </w:r>
      <w:r w:rsidRPr="00892DE3">
        <w:rPr>
          <w:rStyle w:val="SourceReference"/>
          <w:i w:val="0"/>
        </w:rPr>
        <w:t>[AASB 132.AG12]</w:t>
      </w:r>
    </w:p>
    <w:p w:rsidR="00A72B57" w:rsidRPr="00892DE3" w:rsidRDefault="00D701A0" w:rsidP="00A72B57">
      <w:pPr>
        <w:pStyle w:val="Note"/>
      </w:pPr>
      <w:r w:rsidRPr="00892DE3">
        <w:t>(a</w:t>
      </w:r>
      <w:r w:rsidR="00A72B57" w:rsidRPr="00892DE3">
        <w:t>)</w:t>
      </w:r>
      <w:r w:rsidR="00A72B57" w:rsidRPr="00892DE3">
        <w:tab/>
        <w:t>The carrying amounts disclosed here exclude statutory amounts (e.g. amounts owing from Victorian government and GST input tax credit recoverable).</w:t>
      </w:r>
    </w:p>
    <w:p w:rsidR="00A72B57" w:rsidRPr="00892DE3" w:rsidRDefault="00A72B57" w:rsidP="00A72B57"/>
    <w:p w:rsidR="00A72B57" w:rsidRPr="00892DE3" w:rsidRDefault="00A72B57" w:rsidP="00A72B57">
      <w:pPr>
        <w:pStyle w:val="TableHeading"/>
      </w:pPr>
      <w:r w:rsidRPr="00892DE3">
        <w:t xml:space="preserve">Interest rate risk sensitivity </w:t>
      </w:r>
      <w:r w:rsidRPr="00892DE3">
        <w:rPr>
          <w:rStyle w:val="SourceReference"/>
        </w:rPr>
        <w:t>[AASB 7.31, 34, 40(a)]</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37"/>
        <w:gridCol w:w="1060"/>
        <w:gridCol w:w="997"/>
        <w:gridCol w:w="1058"/>
        <w:gridCol w:w="1132"/>
      </w:tblGrid>
      <w:tr w:rsidR="00A72B57" w:rsidRPr="00892DE3" w:rsidTr="00297C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ind w:left="0" w:firstLine="0"/>
            </w:pPr>
          </w:p>
        </w:tc>
        <w:tc>
          <w:tcPr>
            <w:tcW w:w="1137" w:type="dxa"/>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p>
        </w:tc>
        <w:tc>
          <w:tcPr>
            <w:tcW w:w="2057" w:type="dxa"/>
            <w:gridSpan w:val="2"/>
          </w:tcPr>
          <w:p w:rsidR="00A72B57" w:rsidRPr="00892DE3" w:rsidRDefault="00A72B57" w:rsidP="00A72B57">
            <w:pPr>
              <w:jc w:val="center"/>
              <w:cnfStyle w:val="100000000000" w:firstRow="1" w:lastRow="0" w:firstColumn="0" w:lastColumn="0" w:oddVBand="0" w:evenVBand="0" w:oddHBand="0" w:evenHBand="0" w:firstRowFirstColumn="0" w:firstRowLastColumn="0" w:lastRowFirstColumn="0" w:lastRowLastColumn="0"/>
            </w:pPr>
            <w:r w:rsidRPr="00892DE3">
              <w:noBreakHyphen/>
              <w:t>100 basis points</w:t>
            </w:r>
          </w:p>
        </w:tc>
        <w:tc>
          <w:tcPr>
            <w:tcW w:w="2190" w:type="dxa"/>
            <w:gridSpan w:val="2"/>
          </w:tcPr>
          <w:p w:rsidR="00A72B57" w:rsidRPr="00892DE3" w:rsidRDefault="00A72B57" w:rsidP="00A72B57">
            <w:pPr>
              <w:jc w:val="center"/>
              <w:cnfStyle w:val="100000000000" w:firstRow="1" w:lastRow="0" w:firstColumn="0" w:lastColumn="0" w:oddVBand="0" w:evenVBand="0" w:oddHBand="0" w:evenHBand="0" w:firstRowFirstColumn="0" w:firstRowLastColumn="0" w:lastRowFirstColumn="0" w:lastRowLastColumn="0"/>
            </w:pPr>
            <w:r w:rsidRPr="00892DE3">
              <w:t>+100 basis points</w:t>
            </w:r>
          </w:p>
        </w:tc>
      </w:tr>
      <w:tr w:rsidR="00A72B57" w:rsidRPr="00892DE3" w:rsidTr="00297C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ind w:left="0" w:firstLine="0"/>
            </w:pPr>
            <w:r w:rsidRPr="00892DE3">
              <w:t>2017</w:t>
            </w:r>
          </w:p>
        </w:tc>
        <w:tc>
          <w:tcPr>
            <w:tcW w:w="1137" w:type="dxa"/>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1060" w:type="dxa"/>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r w:rsidRPr="00892DE3">
              <w:br/>
            </w:r>
            <w:r w:rsidRPr="00892DE3">
              <w:br/>
              <w:t xml:space="preserve">Net </w:t>
            </w:r>
            <w:r w:rsidR="0020362C" w:rsidRPr="00892DE3">
              <w:br/>
            </w:r>
            <w:r w:rsidRPr="00892DE3">
              <w:t>result</w:t>
            </w:r>
          </w:p>
        </w:tc>
        <w:tc>
          <w:tcPr>
            <w:tcW w:w="997" w:type="dxa"/>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r w:rsidRPr="00892DE3">
              <w:t>Available</w:t>
            </w:r>
            <w:r w:rsidRPr="00892DE3">
              <w:noBreakHyphen/>
            </w:r>
            <w:r w:rsidRPr="00892DE3">
              <w:br/>
              <w:t>for</w:t>
            </w:r>
            <w:r w:rsidRPr="00892DE3">
              <w:noBreakHyphen/>
              <w:t>sale revaluation surplus</w:t>
            </w:r>
          </w:p>
        </w:tc>
        <w:tc>
          <w:tcPr>
            <w:tcW w:w="1058" w:type="dxa"/>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r w:rsidRPr="00892DE3">
              <w:br/>
            </w:r>
            <w:r w:rsidRPr="00892DE3">
              <w:br/>
              <w:t xml:space="preserve">Net </w:t>
            </w:r>
            <w:r w:rsidR="0020362C" w:rsidRPr="00892DE3">
              <w:br/>
            </w:r>
            <w:r w:rsidRPr="00892DE3">
              <w:t>result</w:t>
            </w:r>
          </w:p>
        </w:tc>
        <w:tc>
          <w:tcPr>
            <w:tcW w:w="1132" w:type="dxa"/>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pPr>
            <w:r w:rsidRPr="00892DE3">
              <w:t>Available</w:t>
            </w:r>
            <w:r w:rsidRPr="00892DE3">
              <w:noBreakHyphen/>
            </w:r>
            <w:r w:rsidRPr="00892DE3">
              <w:br/>
              <w:t>for</w:t>
            </w:r>
            <w:r w:rsidRPr="00892DE3">
              <w:noBreakHyphen/>
              <w:t>sale revaluation surplus</w:t>
            </w:r>
          </w:p>
        </w:tc>
      </w:tr>
      <w:tr w:rsidR="00A72B57" w:rsidRPr="00892DE3" w:rsidTr="00297CB0">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rPr>
                <w:rFonts w:cstheme="majorHAnsi"/>
              </w:rPr>
            </w:pPr>
            <w:r w:rsidRPr="00892DE3">
              <w:rPr>
                <w:rFonts w:cstheme="majorHAnsi"/>
              </w:rPr>
              <w:t>Contractual financial assets</w:t>
            </w:r>
          </w:p>
        </w:tc>
        <w:tc>
          <w:tcPr>
            <w:tcW w:w="113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0"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A72B57" w:rsidRPr="00892DE3" w:rsidTr="00297CB0">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rPr>
                <w:rFonts w:cstheme="majorHAnsi"/>
              </w:rPr>
            </w:pPr>
            <w:r w:rsidRPr="00892DE3">
              <w:rPr>
                <w:rFonts w:cstheme="majorHAnsi"/>
              </w:rPr>
              <w:t xml:space="preserve">Cash and deposits </w:t>
            </w:r>
            <w:r w:rsidR="00297CB0" w:rsidRPr="00892DE3">
              <w:rPr>
                <w:rFonts w:cstheme="majorHAnsi"/>
                <w:vertAlign w:val="superscript"/>
              </w:rPr>
              <w:t>(a</w:t>
            </w:r>
            <w:r w:rsidRPr="00892DE3">
              <w:rPr>
                <w:rFonts w:cstheme="majorHAnsi"/>
                <w:vertAlign w:val="superscript"/>
              </w:rPr>
              <w:t>)</w:t>
            </w:r>
          </w:p>
        </w:tc>
        <w:tc>
          <w:tcPr>
            <w:tcW w:w="113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1060"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(595)</w:t>
            </w:r>
          </w:p>
        </w:tc>
        <w:tc>
          <w:tcPr>
            <w:tcW w:w="99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(595)</w:t>
            </w:r>
          </w:p>
        </w:tc>
        <w:tc>
          <w:tcPr>
            <w:tcW w:w="1132"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72B57" w:rsidRPr="00892DE3" w:rsidTr="00297CB0">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rPr>
                <w:rFonts w:cstheme="majorHAnsi"/>
              </w:rPr>
            </w:pPr>
            <w:r w:rsidRPr="00892DE3">
              <w:rPr>
                <w:rFonts w:cstheme="majorHAnsi"/>
              </w:rPr>
              <w:t xml:space="preserve">Investments and other contractual financial assets </w:t>
            </w:r>
            <w:r w:rsidRPr="00892DE3">
              <w:rPr>
                <w:rFonts w:cstheme="majorHAnsi"/>
                <w:vertAlign w:val="superscript"/>
              </w:rPr>
              <w:t>(</w:t>
            </w:r>
            <w:r w:rsidR="00297CB0" w:rsidRPr="00892DE3">
              <w:rPr>
                <w:rFonts w:cstheme="majorHAnsi"/>
                <w:vertAlign w:val="superscript"/>
              </w:rPr>
              <w:t>b</w:t>
            </w:r>
            <w:r w:rsidRPr="00892DE3">
              <w:rPr>
                <w:rFonts w:cstheme="majorHAnsi"/>
                <w:vertAlign w:val="superscript"/>
              </w:rPr>
              <w:t>)</w:t>
            </w:r>
          </w:p>
        </w:tc>
        <w:tc>
          <w:tcPr>
            <w:tcW w:w="113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13 976</w:t>
            </w:r>
          </w:p>
        </w:tc>
        <w:tc>
          <w:tcPr>
            <w:tcW w:w="1060"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(67)</w:t>
            </w:r>
          </w:p>
        </w:tc>
        <w:tc>
          <w:tcPr>
            <w:tcW w:w="99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(67)</w:t>
            </w:r>
          </w:p>
        </w:tc>
        <w:tc>
          <w:tcPr>
            <w:tcW w:w="1132"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72B57" w:rsidRPr="00892DE3" w:rsidTr="00297CB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rsidR="00A72B57" w:rsidRPr="00892DE3" w:rsidRDefault="00A72B57" w:rsidP="00A72B57">
            <w:pPr>
              <w:rPr>
                <w:rFonts w:cstheme="majorHAnsi"/>
              </w:rPr>
            </w:pPr>
            <w:r w:rsidRPr="00892DE3">
              <w:rPr>
                <w:rFonts w:cstheme="majorHAnsi"/>
              </w:rPr>
              <w:t>Total impact</w:t>
            </w:r>
          </w:p>
        </w:tc>
        <w:tc>
          <w:tcPr>
            <w:tcW w:w="1137" w:type="dxa"/>
            <w:tcBorders>
              <w:bottom w:val="single" w:sz="12" w:space="0" w:color="auto"/>
            </w:tcBorders>
            <w:shd w:val="clear" w:color="auto" w:fill="EBEBEB" w:themeFill="background2"/>
          </w:tcPr>
          <w:p w:rsidR="00A72B57" w:rsidRPr="00892DE3" w:rsidRDefault="00A72B57" w:rsidP="00A72B5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 xml:space="preserve"> </w:t>
            </w:r>
          </w:p>
        </w:tc>
        <w:tc>
          <w:tcPr>
            <w:tcW w:w="1060" w:type="dxa"/>
            <w:tcBorders>
              <w:bottom w:val="single" w:sz="12" w:space="0" w:color="auto"/>
            </w:tcBorders>
          </w:tcPr>
          <w:p w:rsidR="00A72B57" w:rsidRPr="00892DE3" w:rsidRDefault="00A72B57" w:rsidP="00A72B5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(662)</w:t>
            </w:r>
          </w:p>
        </w:tc>
        <w:tc>
          <w:tcPr>
            <w:tcW w:w="997" w:type="dxa"/>
            <w:tcBorders>
              <w:bottom w:val="single" w:sz="12" w:space="0" w:color="auto"/>
            </w:tcBorders>
            <w:shd w:val="clear" w:color="auto" w:fill="EBEBEB" w:themeFill="background2"/>
          </w:tcPr>
          <w:p w:rsidR="00A72B57" w:rsidRPr="00892DE3" w:rsidRDefault="00A72B57" w:rsidP="00A72B5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58" w:type="dxa"/>
            <w:tcBorders>
              <w:bottom w:val="single" w:sz="12" w:space="0" w:color="auto"/>
            </w:tcBorders>
          </w:tcPr>
          <w:p w:rsidR="00A72B57" w:rsidRPr="00892DE3" w:rsidRDefault="00A72B57" w:rsidP="00A72B5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(662)</w:t>
            </w:r>
          </w:p>
        </w:tc>
        <w:tc>
          <w:tcPr>
            <w:tcW w:w="1132" w:type="dxa"/>
            <w:tcBorders>
              <w:bottom w:val="single" w:sz="12" w:space="0" w:color="auto"/>
            </w:tcBorders>
            <w:shd w:val="clear" w:color="auto" w:fill="EBEBEB" w:themeFill="background2"/>
          </w:tcPr>
          <w:p w:rsidR="00A72B57" w:rsidRPr="00892DE3" w:rsidRDefault="00A72B57" w:rsidP="00A72B5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A72B57" w:rsidRPr="00892DE3" w:rsidRDefault="00A72B57"/>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37"/>
        <w:gridCol w:w="993"/>
        <w:gridCol w:w="1064"/>
        <w:gridCol w:w="1058"/>
        <w:gridCol w:w="1132"/>
      </w:tblGrid>
      <w:tr w:rsidR="00A72B57" w:rsidRPr="00892DE3" w:rsidTr="00297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nil"/>
            </w:tcBorders>
          </w:tcPr>
          <w:p w:rsidR="00A72B57" w:rsidRPr="00892DE3" w:rsidRDefault="00A72B57" w:rsidP="00A72B57">
            <w:pPr>
              <w:rPr>
                <w:rFonts w:cstheme="majorHAnsi"/>
              </w:rPr>
            </w:pPr>
            <w:r w:rsidRPr="00892DE3">
              <w:rPr>
                <w:rFonts w:cstheme="majorHAnsi"/>
              </w:rPr>
              <w:t>2016</w:t>
            </w:r>
          </w:p>
        </w:tc>
        <w:tc>
          <w:tcPr>
            <w:tcW w:w="1137" w:type="dxa"/>
            <w:tcBorders>
              <w:top w:val="nil"/>
            </w:tcBorders>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rPr>
                <w:rFonts w:cstheme="majorHAnsi"/>
                <w:i w:val="0"/>
              </w:rPr>
            </w:pPr>
          </w:p>
        </w:tc>
        <w:tc>
          <w:tcPr>
            <w:tcW w:w="2057" w:type="dxa"/>
            <w:gridSpan w:val="2"/>
            <w:tcBorders>
              <w:top w:val="nil"/>
            </w:tcBorders>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rPr>
                <w:rFonts w:cstheme="majorHAnsi"/>
              </w:rPr>
            </w:pPr>
          </w:p>
        </w:tc>
        <w:tc>
          <w:tcPr>
            <w:tcW w:w="2190" w:type="dxa"/>
            <w:gridSpan w:val="2"/>
            <w:tcBorders>
              <w:top w:val="nil"/>
            </w:tcBorders>
          </w:tcPr>
          <w:p w:rsidR="00A72B57" w:rsidRPr="00892DE3" w:rsidRDefault="00A72B57" w:rsidP="00A72B57">
            <w:pPr>
              <w:cnfStyle w:val="100000000000" w:firstRow="1" w:lastRow="0" w:firstColumn="0" w:lastColumn="0" w:oddVBand="0" w:evenVBand="0" w:oddHBand="0" w:evenHBand="0" w:firstRowFirstColumn="0" w:firstRowLastColumn="0" w:lastRowFirstColumn="0" w:lastRowLastColumn="0"/>
              <w:rPr>
                <w:rFonts w:cstheme="majorHAnsi"/>
              </w:rPr>
            </w:pPr>
          </w:p>
        </w:tc>
      </w:tr>
      <w:tr w:rsidR="00A72B57" w:rsidRPr="00892DE3" w:rsidTr="00297CB0">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rPr>
                <w:rFonts w:cstheme="majorHAnsi"/>
              </w:rPr>
            </w:pPr>
            <w:r w:rsidRPr="00892DE3">
              <w:rPr>
                <w:rFonts w:cstheme="majorHAnsi"/>
              </w:rPr>
              <w:t>Contractual financial assets</w:t>
            </w:r>
          </w:p>
        </w:tc>
        <w:tc>
          <w:tcPr>
            <w:tcW w:w="113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3"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064"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32"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A72B57" w:rsidRPr="00892DE3" w:rsidTr="00297CB0">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rPr>
                <w:rFonts w:cstheme="majorHAnsi"/>
              </w:rPr>
            </w:pPr>
            <w:r w:rsidRPr="00892DE3">
              <w:rPr>
                <w:rFonts w:cstheme="majorHAnsi"/>
              </w:rPr>
              <w:t xml:space="preserve">Cash and deposits </w:t>
            </w:r>
            <w:r w:rsidR="00297CB0" w:rsidRPr="00892DE3">
              <w:rPr>
                <w:rFonts w:cstheme="majorHAnsi"/>
                <w:vertAlign w:val="superscript"/>
              </w:rPr>
              <w:t>(a</w:t>
            </w:r>
            <w:r w:rsidRPr="00892DE3">
              <w:rPr>
                <w:rFonts w:cstheme="majorHAnsi"/>
                <w:vertAlign w:val="superscript"/>
              </w:rPr>
              <w:t>)</w:t>
            </w:r>
          </w:p>
        </w:tc>
        <w:tc>
          <w:tcPr>
            <w:tcW w:w="113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c>
          <w:tcPr>
            <w:tcW w:w="993"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(486)</w:t>
            </w:r>
          </w:p>
        </w:tc>
        <w:tc>
          <w:tcPr>
            <w:tcW w:w="1064"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486</w:t>
            </w:r>
          </w:p>
        </w:tc>
        <w:tc>
          <w:tcPr>
            <w:tcW w:w="1132"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72B57" w:rsidRPr="00892DE3" w:rsidTr="00297CB0">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rPr>
                <w:rFonts w:cstheme="majorHAnsi"/>
              </w:rPr>
            </w:pPr>
            <w:r w:rsidRPr="00892DE3">
              <w:rPr>
                <w:rFonts w:cstheme="majorHAnsi"/>
              </w:rPr>
              <w:t xml:space="preserve">Investments and other contractual financial assets </w:t>
            </w:r>
            <w:r w:rsidR="00297CB0" w:rsidRPr="00892DE3">
              <w:rPr>
                <w:rFonts w:cstheme="majorHAnsi"/>
                <w:vertAlign w:val="superscript"/>
              </w:rPr>
              <w:t>(b</w:t>
            </w:r>
            <w:r w:rsidRPr="00892DE3">
              <w:rPr>
                <w:rFonts w:cstheme="majorHAnsi"/>
                <w:vertAlign w:val="superscript"/>
              </w:rPr>
              <w:t>)</w:t>
            </w:r>
          </w:p>
        </w:tc>
        <w:tc>
          <w:tcPr>
            <w:tcW w:w="113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16 731</w:t>
            </w:r>
          </w:p>
        </w:tc>
        <w:tc>
          <w:tcPr>
            <w:tcW w:w="993"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w:t>
            </w:r>
          </w:p>
        </w:tc>
        <w:tc>
          <w:tcPr>
            <w:tcW w:w="1064"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w:t>
            </w:r>
          </w:p>
        </w:tc>
        <w:tc>
          <w:tcPr>
            <w:tcW w:w="1132"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72B57" w:rsidRPr="00892DE3" w:rsidTr="00297CB0">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rPr>
                <w:rFonts w:cstheme="majorHAnsi"/>
              </w:rPr>
            </w:pPr>
            <w:r w:rsidRPr="00892DE3">
              <w:rPr>
                <w:rFonts w:cstheme="majorHAnsi"/>
              </w:rPr>
              <w:t>Total impact</w:t>
            </w:r>
          </w:p>
        </w:tc>
        <w:tc>
          <w:tcPr>
            <w:tcW w:w="113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93"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(562)</w:t>
            </w:r>
          </w:p>
        </w:tc>
        <w:tc>
          <w:tcPr>
            <w:tcW w:w="1064"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(562)</w:t>
            </w:r>
          </w:p>
        </w:tc>
        <w:tc>
          <w:tcPr>
            <w:tcW w:w="1132"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A72B57" w:rsidRPr="00892DE3" w:rsidTr="00297CB0">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rPr>
                <w:rFonts w:cstheme="majorHAnsi"/>
              </w:rPr>
            </w:pPr>
            <w:r w:rsidRPr="00892DE3">
              <w:rPr>
                <w:rFonts w:cstheme="majorHAnsi"/>
              </w:rPr>
              <w:t>Contractual financial liabilities</w:t>
            </w:r>
          </w:p>
        </w:tc>
        <w:tc>
          <w:tcPr>
            <w:tcW w:w="113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3"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4"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A72B57" w:rsidRPr="00892DE3" w:rsidTr="00297CB0">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rPr>
                <w:rFonts w:cstheme="majorHAnsi"/>
              </w:rPr>
            </w:pPr>
            <w:r w:rsidRPr="00892DE3">
              <w:rPr>
                <w:rFonts w:cstheme="majorHAnsi"/>
              </w:rPr>
              <w:t xml:space="preserve">Borrowings </w:t>
            </w:r>
            <w:r w:rsidR="00297CB0" w:rsidRPr="00892DE3">
              <w:rPr>
                <w:rFonts w:cstheme="majorHAnsi"/>
                <w:vertAlign w:val="superscript"/>
              </w:rPr>
              <w:t>(b</w:t>
            </w:r>
            <w:r w:rsidRPr="00892DE3">
              <w:rPr>
                <w:rFonts w:cstheme="majorHAnsi"/>
                <w:vertAlign w:val="superscript"/>
              </w:rPr>
              <w:t>)</w:t>
            </w:r>
          </w:p>
        </w:tc>
        <w:tc>
          <w:tcPr>
            <w:tcW w:w="1137"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65 548</w:t>
            </w:r>
          </w:p>
        </w:tc>
        <w:tc>
          <w:tcPr>
            <w:tcW w:w="993"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w:t>
            </w:r>
          </w:p>
        </w:tc>
        <w:tc>
          <w:tcPr>
            <w:tcW w:w="1064"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w:t>
            </w:r>
          </w:p>
        </w:tc>
        <w:tc>
          <w:tcPr>
            <w:tcW w:w="1132" w:type="dxa"/>
            <w:shd w:val="clear" w:color="auto" w:fill="EBEBEB" w:themeFill="background2"/>
          </w:tcPr>
          <w:p w:rsidR="00A72B57" w:rsidRPr="00892DE3" w:rsidRDefault="00A72B57" w:rsidP="00A72B5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72B57" w:rsidRPr="00892DE3" w:rsidTr="00297CB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A72B57" w:rsidRPr="00892DE3" w:rsidRDefault="00A72B57" w:rsidP="00A72B57">
            <w:pPr>
              <w:rPr>
                <w:rFonts w:cstheme="majorHAnsi"/>
              </w:rPr>
            </w:pPr>
            <w:r w:rsidRPr="00892DE3">
              <w:rPr>
                <w:rFonts w:cstheme="majorHAnsi"/>
              </w:rPr>
              <w:t>Total impact</w:t>
            </w:r>
          </w:p>
        </w:tc>
        <w:tc>
          <w:tcPr>
            <w:tcW w:w="1137" w:type="dxa"/>
            <w:shd w:val="clear" w:color="auto" w:fill="EBEBEB" w:themeFill="background2"/>
          </w:tcPr>
          <w:p w:rsidR="00A72B57" w:rsidRPr="00892DE3" w:rsidRDefault="00A72B57" w:rsidP="00A72B5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 xml:space="preserve"> </w:t>
            </w:r>
          </w:p>
        </w:tc>
        <w:tc>
          <w:tcPr>
            <w:tcW w:w="993" w:type="dxa"/>
          </w:tcPr>
          <w:p w:rsidR="00A72B57" w:rsidRPr="00892DE3" w:rsidRDefault="00A72B57" w:rsidP="00A72B5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54</w:t>
            </w:r>
          </w:p>
        </w:tc>
        <w:tc>
          <w:tcPr>
            <w:tcW w:w="1064" w:type="dxa"/>
            <w:shd w:val="clear" w:color="auto" w:fill="EBEBEB" w:themeFill="background2"/>
          </w:tcPr>
          <w:p w:rsidR="00A72B57" w:rsidRPr="00892DE3" w:rsidRDefault="00A72B57" w:rsidP="00A72B5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58" w:type="dxa"/>
          </w:tcPr>
          <w:p w:rsidR="00A72B57" w:rsidRPr="00892DE3" w:rsidRDefault="00A72B57" w:rsidP="00A72B5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54</w:t>
            </w:r>
          </w:p>
        </w:tc>
        <w:tc>
          <w:tcPr>
            <w:tcW w:w="1132" w:type="dxa"/>
            <w:shd w:val="clear" w:color="auto" w:fill="EBEBEB" w:themeFill="background2"/>
          </w:tcPr>
          <w:p w:rsidR="00A72B57" w:rsidRPr="00892DE3" w:rsidRDefault="00A72B57" w:rsidP="00A72B5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A72B57" w:rsidRPr="00892DE3" w:rsidRDefault="00A72B57" w:rsidP="00A72B57">
      <w:pPr>
        <w:pStyle w:val="Note"/>
      </w:pPr>
      <w:r w:rsidRPr="00892DE3">
        <w:t xml:space="preserve">Notes: </w:t>
      </w:r>
    </w:p>
    <w:p w:rsidR="00A72B57" w:rsidRPr="00892DE3" w:rsidRDefault="00297CB0" w:rsidP="00A72B57">
      <w:pPr>
        <w:pStyle w:val="Note"/>
      </w:pPr>
      <w:r w:rsidRPr="00892DE3">
        <w:t>(a</w:t>
      </w:r>
      <w:r w:rsidR="00A72B57" w:rsidRPr="00892DE3">
        <w:t>)</w:t>
      </w:r>
      <w:r w:rsidR="00A72B57" w:rsidRPr="00892DE3">
        <w:tab/>
        <w:t>Cash and deposits includes a deposit of $59 528 thousand (2014: $48 648 thousand) that is exposed to floating rates movements. Sensitivities to these movements are calculated as follows:</w:t>
      </w:r>
    </w:p>
    <w:p w:rsidR="00A72B57" w:rsidRPr="00892DE3" w:rsidRDefault="00A72B57" w:rsidP="00A72B57">
      <w:pPr>
        <w:pStyle w:val="NoteDash"/>
      </w:pPr>
      <w:r w:rsidRPr="00892DE3">
        <w:t xml:space="preserve">2016: $59 528 thousand </w:t>
      </w:r>
      <w:r w:rsidR="00297CB0" w:rsidRPr="00892DE3">
        <w:rPr>
          <w:rFonts w:cstheme="majorHAnsi"/>
        </w:rPr>
        <w:t>×</w:t>
      </w:r>
      <w:r w:rsidRPr="00892DE3">
        <w:t xml:space="preserve"> 0.01 = $595 thousand; and $59 528 thousand </w:t>
      </w:r>
      <w:r w:rsidR="00297CB0" w:rsidRPr="00892DE3">
        <w:rPr>
          <w:rFonts w:cstheme="majorHAnsi"/>
        </w:rPr>
        <w:t>×</w:t>
      </w:r>
      <w:r w:rsidRPr="00892DE3">
        <w:t xml:space="preserve"> 0.01 = $595 thousand; and</w:t>
      </w:r>
    </w:p>
    <w:p w:rsidR="00A72B57" w:rsidRPr="00892DE3" w:rsidRDefault="00A72B57" w:rsidP="00A72B57">
      <w:pPr>
        <w:pStyle w:val="NoteDash"/>
      </w:pPr>
      <w:r w:rsidRPr="00892DE3">
        <w:t xml:space="preserve">2015: $48 648 thousand </w:t>
      </w:r>
      <w:r w:rsidR="00297CB0" w:rsidRPr="00892DE3">
        <w:rPr>
          <w:rFonts w:cstheme="majorHAnsi"/>
        </w:rPr>
        <w:t>×</w:t>
      </w:r>
      <w:r w:rsidRPr="00892DE3">
        <w:t xml:space="preserve"> 0.01 = $486 thousand; and $48 648 thousand </w:t>
      </w:r>
      <w:r w:rsidR="00297CB0" w:rsidRPr="00892DE3">
        <w:rPr>
          <w:rFonts w:cstheme="majorHAnsi"/>
        </w:rPr>
        <w:t>×</w:t>
      </w:r>
      <w:r w:rsidRPr="00892DE3">
        <w:t xml:space="preserve"> 0.01 = $486 thousand. </w:t>
      </w:r>
      <w:r w:rsidRPr="00892DE3">
        <w:rPr>
          <w:rStyle w:val="SourceReference"/>
          <w:i w:val="0"/>
        </w:rPr>
        <w:t>[AASB 7.40(b)]</w:t>
      </w:r>
    </w:p>
    <w:p w:rsidR="00A72B57" w:rsidRPr="00892DE3" w:rsidRDefault="00A72B57" w:rsidP="00A72B57">
      <w:pPr>
        <w:pStyle w:val="Note"/>
      </w:pPr>
      <w:r w:rsidRPr="00892DE3">
        <w:t>(</w:t>
      </w:r>
      <w:r w:rsidR="00297CB0" w:rsidRPr="00892DE3">
        <w:t>b</w:t>
      </w:r>
      <w:r w:rsidRPr="00892DE3">
        <w:t>)</w:t>
      </w:r>
      <w:r w:rsidRPr="00892DE3">
        <w:tab/>
        <w:t>[Disclosures on amounts exposed to movements in foreign currencies and the method of calculations as per note (i)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A72B57" w:rsidRPr="00892DE3" w:rsidRDefault="00A72B57" w:rsidP="00A72B57"/>
    <w:p w:rsidR="00A72B57" w:rsidRPr="00892DE3" w:rsidRDefault="00A72B57" w:rsidP="00A72B57">
      <w:pPr>
        <w:pStyle w:val="Heading30"/>
      </w:pPr>
      <w:r w:rsidRPr="00892DE3">
        <w:t xml:space="preserve">Foreign currency risk </w:t>
      </w:r>
      <w:r w:rsidRPr="00892DE3">
        <w:rPr>
          <w:rStyle w:val="SourceReference"/>
          <w:b w:val="0"/>
        </w:rPr>
        <w:t>[AASB 7.33, 40(b)]</w:t>
      </w:r>
    </w:p>
    <w:p w:rsidR="00A72B57" w:rsidRPr="00892DE3" w:rsidRDefault="00A72B57" w:rsidP="00A72B57">
      <w:r w:rsidRPr="00892DE3">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w:t>
      </w:r>
      <w:r w:rsidR="00C95D19" w:rsidRPr="00892DE3">
        <w:t>,</w:t>
      </w:r>
      <w:r w:rsidRPr="00892DE3">
        <w:t xml:space="preserve"> are translated to the functional currency at the rates prevailing at the date when the fair value was determined.</w:t>
      </w:r>
    </w:p>
    <w:p w:rsidR="00A72B57" w:rsidRPr="00892DE3" w:rsidRDefault="00A72B57" w:rsidP="00A72B57">
      <w:r w:rsidRPr="00892DE3">
        <w:t>The Department is exposed to foreign currency risk mainly through its foreign currency term deposits, other receivables relating to the hire of the Department’s venue by overseas clients, and payables relating to purchases of supplies and consumables from overseas. The Department has a limited amount of transactions denominated in foreign currencies and there is a relatively short timeframe between commitment and settlement, therefore risk is minimal.</w:t>
      </w:r>
    </w:p>
    <w:p w:rsidR="00A72B57" w:rsidRPr="00892DE3" w:rsidRDefault="00A72B57" w:rsidP="00A72B57">
      <w:r w:rsidRPr="00892DE3">
        <w:t>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enter into any hedging arrangements to manage the risk.</w:t>
      </w:r>
    </w:p>
    <w:p w:rsidR="00A72B57" w:rsidRPr="00892DE3" w:rsidRDefault="00A72B57" w:rsidP="00A72B57">
      <w:r w:rsidRPr="00892DE3">
        <w:t>The Department’s sensitivity to foreign currency movements is set out below.</w:t>
      </w:r>
    </w:p>
    <w:p w:rsidR="00A72B57" w:rsidRPr="00892DE3" w:rsidRDefault="00A72B57" w:rsidP="00A72B57">
      <w:pPr>
        <w:pStyle w:val="TableHeading"/>
      </w:pPr>
      <w:r w:rsidRPr="00892DE3">
        <w:t xml:space="preserve">Foreign exchange risk sensitivity </w:t>
      </w:r>
      <w:r w:rsidRPr="00892DE3">
        <w:rPr>
          <w:rStyle w:val="SourceReference"/>
          <w:b w:val="0"/>
        </w:rPr>
        <w:t>[AASB 7.31, 34, 40(a)]</w:t>
      </w:r>
      <w:r w:rsidR="00181596"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34"/>
        <w:gridCol w:w="992"/>
        <w:gridCol w:w="1068"/>
        <w:gridCol w:w="1058"/>
        <w:gridCol w:w="1132"/>
      </w:tblGrid>
      <w:tr w:rsidR="00181596" w:rsidRPr="00892DE3" w:rsidTr="007A5F7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3" w:type="dxa"/>
          </w:tcPr>
          <w:p w:rsidR="00181596" w:rsidRPr="00892DE3" w:rsidRDefault="00181596" w:rsidP="00181596">
            <w:pPr>
              <w:ind w:left="0" w:firstLine="0"/>
              <w:rPr>
                <w:rFonts w:cstheme="majorHAnsi"/>
              </w:rPr>
            </w:pPr>
          </w:p>
        </w:tc>
        <w:tc>
          <w:tcPr>
            <w:tcW w:w="1134" w:type="dxa"/>
          </w:tcPr>
          <w:p w:rsidR="00181596" w:rsidRPr="00892DE3" w:rsidRDefault="00181596" w:rsidP="00181596">
            <w:pPr>
              <w:cnfStyle w:val="100000000000" w:firstRow="1" w:lastRow="0" w:firstColumn="0" w:lastColumn="0" w:oddVBand="0" w:evenVBand="0" w:oddHBand="0" w:evenHBand="0" w:firstRowFirstColumn="0" w:firstRowLastColumn="0" w:lastRowFirstColumn="0" w:lastRowLastColumn="0"/>
              <w:rPr>
                <w:rFonts w:cstheme="majorHAnsi"/>
              </w:rPr>
            </w:pPr>
          </w:p>
        </w:tc>
        <w:tc>
          <w:tcPr>
            <w:tcW w:w="2060" w:type="dxa"/>
            <w:gridSpan w:val="2"/>
          </w:tcPr>
          <w:p w:rsidR="00181596" w:rsidRPr="00892DE3" w:rsidRDefault="00181596" w:rsidP="00181596">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noBreakHyphen/>
              <w:t>15%</w:t>
            </w:r>
          </w:p>
        </w:tc>
        <w:tc>
          <w:tcPr>
            <w:tcW w:w="2190" w:type="dxa"/>
            <w:gridSpan w:val="2"/>
          </w:tcPr>
          <w:p w:rsidR="00181596" w:rsidRPr="00892DE3" w:rsidRDefault="00181596" w:rsidP="00181596">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+15%</w:t>
            </w:r>
          </w:p>
        </w:tc>
      </w:tr>
      <w:tr w:rsidR="00181596" w:rsidRPr="00892DE3" w:rsidTr="007A5F7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3" w:type="dxa"/>
          </w:tcPr>
          <w:p w:rsidR="00181596" w:rsidRPr="00892DE3" w:rsidRDefault="00181596" w:rsidP="00181596">
            <w:pPr>
              <w:ind w:left="0" w:firstLine="0"/>
              <w:rPr>
                <w:rFonts w:cstheme="majorHAnsi"/>
              </w:rPr>
            </w:pPr>
            <w:r w:rsidRPr="00892DE3">
              <w:rPr>
                <w:rFonts w:cstheme="majorHAnsi"/>
              </w:rPr>
              <w:t>2017</w:t>
            </w:r>
          </w:p>
        </w:tc>
        <w:tc>
          <w:tcPr>
            <w:tcW w:w="1134" w:type="dxa"/>
          </w:tcPr>
          <w:p w:rsidR="00181596" w:rsidRPr="00892DE3" w:rsidRDefault="00181596" w:rsidP="0018159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Carrying amount</w:t>
            </w:r>
          </w:p>
        </w:tc>
        <w:tc>
          <w:tcPr>
            <w:tcW w:w="992" w:type="dxa"/>
          </w:tcPr>
          <w:p w:rsidR="00181596" w:rsidRPr="00892DE3" w:rsidRDefault="00181596" w:rsidP="0018159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br/>
              <w:t xml:space="preserve">Net </w:t>
            </w:r>
            <w:r w:rsidR="0020362C" w:rsidRPr="00892DE3">
              <w:rPr>
                <w:rFonts w:cstheme="majorHAnsi"/>
              </w:rPr>
              <w:br/>
            </w:r>
            <w:r w:rsidRPr="00892DE3">
              <w:rPr>
                <w:rFonts w:cstheme="majorHAnsi"/>
              </w:rPr>
              <w:t>result</w:t>
            </w:r>
          </w:p>
        </w:tc>
        <w:tc>
          <w:tcPr>
            <w:tcW w:w="1068" w:type="dxa"/>
          </w:tcPr>
          <w:p w:rsidR="00181596" w:rsidRPr="00892DE3" w:rsidRDefault="00181596" w:rsidP="0018159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AFS revaluation surplus</w:t>
            </w:r>
          </w:p>
        </w:tc>
        <w:tc>
          <w:tcPr>
            <w:tcW w:w="1058" w:type="dxa"/>
          </w:tcPr>
          <w:p w:rsidR="00181596" w:rsidRPr="00892DE3" w:rsidRDefault="00181596" w:rsidP="0018159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br/>
              <w:t xml:space="preserve">Net </w:t>
            </w:r>
            <w:r w:rsidR="0020362C" w:rsidRPr="00892DE3">
              <w:rPr>
                <w:rFonts w:cstheme="majorHAnsi"/>
              </w:rPr>
              <w:br/>
            </w:r>
            <w:r w:rsidRPr="00892DE3">
              <w:rPr>
                <w:rFonts w:cstheme="majorHAnsi"/>
              </w:rPr>
              <w:t>result</w:t>
            </w:r>
          </w:p>
        </w:tc>
        <w:tc>
          <w:tcPr>
            <w:tcW w:w="1132" w:type="dxa"/>
          </w:tcPr>
          <w:p w:rsidR="00181596" w:rsidRPr="00892DE3" w:rsidRDefault="00181596" w:rsidP="00181596">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Available</w:t>
            </w:r>
            <w:r w:rsidRPr="00892DE3">
              <w:rPr>
                <w:rFonts w:cstheme="majorHAnsi"/>
              </w:rPr>
              <w:noBreakHyphen/>
            </w:r>
            <w:r w:rsidRPr="00892DE3">
              <w:rPr>
                <w:rFonts w:cstheme="majorHAnsi"/>
              </w:rPr>
              <w:br/>
              <w:t>for</w:t>
            </w:r>
            <w:r w:rsidRPr="00892DE3">
              <w:rPr>
                <w:rFonts w:cstheme="majorHAnsi"/>
              </w:rPr>
              <w:noBreakHyphen/>
              <w:t>sale revaluation surplus</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Pr>
          <w:p w:rsidR="00181596" w:rsidRPr="00892DE3" w:rsidRDefault="00181596" w:rsidP="00181596">
            <w:pPr>
              <w:rPr>
                <w:rFonts w:cstheme="majorHAnsi"/>
              </w:rPr>
            </w:pPr>
            <w:r w:rsidRPr="00892DE3">
              <w:rPr>
                <w:rFonts w:cstheme="majorHAnsi"/>
              </w:rPr>
              <w:t>Contractual financial assets</w:t>
            </w:r>
          </w:p>
        </w:tc>
        <w:tc>
          <w:tcPr>
            <w:tcW w:w="1134"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Pr>
          <w:p w:rsidR="00181596" w:rsidRPr="00892DE3" w:rsidRDefault="00181596" w:rsidP="001B74B1">
            <w:pPr>
              <w:rPr>
                <w:rFonts w:cstheme="majorHAnsi"/>
              </w:rPr>
            </w:pPr>
            <w:r w:rsidRPr="00892DE3">
              <w:rPr>
                <w:rFonts w:cstheme="majorHAnsi"/>
              </w:rPr>
              <w:t xml:space="preserve">Cash and deposits </w:t>
            </w:r>
            <w:r w:rsidRPr="00892DE3">
              <w:rPr>
                <w:rFonts w:cstheme="majorHAnsi"/>
                <w:vertAlign w:val="superscript"/>
              </w:rPr>
              <w:t>(</w:t>
            </w:r>
            <w:r w:rsidR="001B74B1" w:rsidRPr="00892DE3">
              <w:rPr>
                <w:rFonts w:cstheme="majorHAnsi"/>
                <w:vertAlign w:val="superscript"/>
              </w:rPr>
              <w:t>b</w:t>
            </w:r>
            <w:r w:rsidRPr="00892DE3">
              <w:rPr>
                <w:rFonts w:cstheme="majorHAnsi"/>
                <w:vertAlign w:val="superscript"/>
              </w:rPr>
              <w:t>)</w:t>
            </w:r>
          </w:p>
        </w:tc>
        <w:tc>
          <w:tcPr>
            <w:tcW w:w="1134"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992"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1 714</w:t>
            </w:r>
          </w:p>
        </w:tc>
        <w:tc>
          <w:tcPr>
            <w:tcW w:w="1068"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(1 267)</w:t>
            </w:r>
          </w:p>
        </w:tc>
        <w:tc>
          <w:tcPr>
            <w:tcW w:w="1132"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Pr>
          <w:p w:rsidR="00181596" w:rsidRPr="00892DE3" w:rsidRDefault="00181596" w:rsidP="001B74B1">
            <w:pPr>
              <w:rPr>
                <w:rFonts w:cstheme="majorHAnsi"/>
              </w:rPr>
            </w:pPr>
            <w:r w:rsidRPr="00892DE3">
              <w:rPr>
                <w:rFonts w:cstheme="majorHAnsi"/>
              </w:rPr>
              <w:t xml:space="preserve">Receivables </w:t>
            </w:r>
            <w:r w:rsidR="001B74B1" w:rsidRPr="00892DE3">
              <w:rPr>
                <w:rFonts w:cstheme="majorHAnsi"/>
                <w:vertAlign w:val="superscript"/>
              </w:rPr>
              <w:t>(a)(c</w:t>
            </w:r>
            <w:r w:rsidRPr="00892DE3">
              <w:rPr>
                <w:rFonts w:cstheme="majorHAnsi"/>
                <w:vertAlign w:val="superscript"/>
              </w:rPr>
              <w:t>)</w:t>
            </w:r>
          </w:p>
        </w:tc>
        <w:tc>
          <w:tcPr>
            <w:tcW w:w="1134"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4 178</w:t>
            </w:r>
          </w:p>
        </w:tc>
        <w:tc>
          <w:tcPr>
            <w:tcW w:w="992"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w:t>
            </w:r>
          </w:p>
        </w:tc>
        <w:tc>
          <w:tcPr>
            <w:tcW w:w="1068"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(66)</w:t>
            </w:r>
          </w:p>
        </w:tc>
        <w:tc>
          <w:tcPr>
            <w:tcW w:w="1132"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tcPr>
          <w:p w:rsidR="00181596" w:rsidRPr="00892DE3" w:rsidRDefault="00181596" w:rsidP="00181596">
            <w:r w:rsidRPr="00892DE3">
              <w:t xml:space="preserve">Investments and other contractual financial assets </w:t>
            </w:r>
            <w:r w:rsidR="001B74B1" w:rsidRPr="00892DE3">
              <w:rPr>
                <w:vertAlign w:val="superscript"/>
              </w:rPr>
              <w:t>(c</w:t>
            </w:r>
            <w:r w:rsidRPr="00892DE3">
              <w:rPr>
                <w:vertAlign w:val="superscript"/>
              </w:rPr>
              <w:t>)</w:t>
            </w:r>
          </w:p>
        </w:tc>
        <w:tc>
          <w:tcPr>
            <w:tcW w:w="1134" w:type="dxa"/>
            <w:tcBorders>
              <w:bottom w:val="single" w:sz="4"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13 976</w:t>
            </w:r>
          </w:p>
        </w:tc>
        <w:tc>
          <w:tcPr>
            <w:tcW w:w="992" w:type="dxa"/>
            <w:tcBorders>
              <w:bottom w:val="single" w:sz="4"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176</w:t>
            </w:r>
          </w:p>
        </w:tc>
        <w:tc>
          <w:tcPr>
            <w:tcW w:w="1068" w:type="dxa"/>
            <w:tcBorders>
              <w:bottom w:val="single" w:sz="4"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Borders>
              <w:bottom w:val="single" w:sz="4"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(130)</w:t>
            </w:r>
          </w:p>
        </w:tc>
        <w:tc>
          <w:tcPr>
            <w:tcW w:w="1132" w:type="dxa"/>
            <w:tcBorders>
              <w:bottom w:val="single" w:sz="4"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12" w:space="0" w:color="auto"/>
            </w:tcBorders>
          </w:tcPr>
          <w:p w:rsidR="00181596" w:rsidRPr="00892DE3" w:rsidRDefault="00181596" w:rsidP="00181596">
            <w:pPr>
              <w:rPr>
                <w:rFonts w:cstheme="majorHAnsi"/>
              </w:rPr>
            </w:pPr>
            <w:r w:rsidRPr="00892DE3">
              <w:rPr>
                <w:rFonts w:cstheme="majorHAnsi"/>
              </w:rPr>
              <w:t>Total impact</w:t>
            </w:r>
          </w:p>
        </w:tc>
        <w:tc>
          <w:tcPr>
            <w:tcW w:w="1134" w:type="dxa"/>
            <w:tcBorders>
              <w:top w:val="single" w:sz="4" w:space="0" w:color="auto"/>
              <w:bottom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4" w:space="0" w:color="auto"/>
              <w:bottom w:val="single" w:sz="12"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1 980</w:t>
            </w:r>
          </w:p>
        </w:tc>
        <w:tc>
          <w:tcPr>
            <w:tcW w:w="1068" w:type="dxa"/>
            <w:tcBorders>
              <w:top w:val="single" w:sz="4" w:space="0" w:color="auto"/>
              <w:bottom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058" w:type="dxa"/>
            <w:tcBorders>
              <w:top w:val="single" w:sz="4" w:space="0" w:color="auto"/>
              <w:bottom w:val="single" w:sz="12"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(1 463)</w:t>
            </w:r>
          </w:p>
        </w:tc>
        <w:tc>
          <w:tcPr>
            <w:tcW w:w="1132" w:type="dxa"/>
            <w:tcBorders>
              <w:top w:val="single" w:sz="4" w:space="0" w:color="auto"/>
              <w:bottom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Borders>
              <w:top w:val="single" w:sz="12" w:space="0" w:color="auto"/>
            </w:tcBorders>
          </w:tcPr>
          <w:p w:rsidR="00181596" w:rsidRPr="00892DE3" w:rsidRDefault="00181596" w:rsidP="00181596">
            <w:pPr>
              <w:rPr>
                <w:rFonts w:cstheme="majorHAnsi"/>
              </w:rPr>
            </w:pPr>
            <w:r w:rsidRPr="00892DE3">
              <w:rPr>
                <w:rFonts w:cstheme="majorHAnsi"/>
              </w:rPr>
              <w:t>Contractual financial liabilities</w:t>
            </w:r>
          </w:p>
        </w:tc>
        <w:tc>
          <w:tcPr>
            <w:tcW w:w="1134" w:type="dxa"/>
            <w:tcBorders>
              <w:top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12"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Borders>
              <w:top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Borders>
              <w:top w:val="single" w:sz="12"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Borders>
              <w:top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Pr>
          <w:p w:rsidR="00181596" w:rsidRPr="00892DE3" w:rsidRDefault="00181596" w:rsidP="001B74B1">
            <w:pPr>
              <w:rPr>
                <w:rFonts w:cstheme="majorHAnsi"/>
              </w:rPr>
            </w:pPr>
            <w:r w:rsidRPr="00892DE3">
              <w:rPr>
                <w:rFonts w:cstheme="majorHAnsi"/>
              </w:rPr>
              <w:t xml:space="preserve">Payables </w:t>
            </w:r>
            <w:r w:rsidRPr="00892DE3">
              <w:rPr>
                <w:rFonts w:cstheme="majorHAnsi"/>
                <w:vertAlign w:val="superscript"/>
              </w:rPr>
              <w:t>(</w:t>
            </w:r>
            <w:r w:rsidR="001B74B1" w:rsidRPr="00892DE3">
              <w:rPr>
                <w:rFonts w:cstheme="majorHAnsi"/>
                <w:vertAlign w:val="superscript"/>
              </w:rPr>
              <w:t>a</w:t>
            </w:r>
            <w:r w:rsidRPr="00892DE3">
              <w:rPr>
                <w:rFonts w:cstheme="majorHAnsi"/>
                <w:vertAlign w:val="superscript"/>
              </w:rPr>
              <w:t>)(</w:t>
            </w:r>
            <w:r w:rsidR="001B74B1" w:rsidRPr="00892DE3">
              <w:rPr>
                <w:rFonts w:cstheme="majorHAnsi"/>
                <w:vertAlign w:val="superscript"/>
              </w:rPr>
              <w:t>c</w:t>
            </w:r>
            <w:r w:rsidRPr="00892DE3">
              <w:rPr>
                <w:rFonts w:cstheme="majorHAnsi"/>
                <w:vertAlign w:val="superscript"/>
              </w:rPr>
              <w:t>)</w:t>
            </w:r>
          </w:p>
        </w:tc>
        <w:tc>
          <w:tcPr>
            <w:tcW w:w="1134"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17 318</w:t>
            </w:r>
          </w:p>
        </w:tc>
        <w:tc>
          <w:tcPr>
            <w:tcW w:w="992"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(129)</w:t>
            </w:r>
          </w:p>
        </w:tc>
        <w:tc>
          <w:tcPr>
            <w:tcW w:w="1068"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95</w:t>
            </w:r>
          </w:p>
        </w:tc>
        <w:tc>
          <w:tcPr>
            <w:tcW w:w="1132"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rsidR="00181596" w:rsidRPr="00892DE3" w:rsidRDefault="00181596" w:rsidP="00181596">
            <w:pPr>
              <w:rPr>
                <w:rFonts w:cstheme="majorHAnsi"/>
              </w:rPr>
            </w:pPr>
            <w:r w:rsidRPr="00892DE3">
              <w:rPr>
                <w:rFonts w:cstheme="majorHAnsi"/>
              </w:rPr>
              <w:t>Borrowings</w:t>
            </w:r>
          </w:p>
        </w:tc>
        <w:tc>
          <w:tcPr>
            <w:tcW w:w="1134" w:type="dxa"/>
            <w:tcBorders>
              <w:bottom w:val="single" w:sz="6"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62 074</w:t>
            </w:r>
          </w:p>
        </w:tc>
        <w:tc>
          <w:tcPr>
            <w:tcW w:w="992" w:type="dxa"/>
            <w:tcBorders>
              <w:bottom w:val="single" w:sz="6"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68" w:type="dxa"/>
            <w:tcBorders>
              <w:bottom w:val="single" w:sz="6"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Borders>
              <w:bottom w:val="single" w:sz="6"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Borders>
              <w:bottom w:val="single" w:sz="6"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181596" w:rsidRPr="00892DE3" w:rsidTr="007A5F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rsidR="00181596" w:rsidRPr="00892DE3" w:rsidRDefault="00181596" w:rsidP="00181596">
            <w:pPr>
              <w:rPr>
                <w:rFonts w:cstheme="majorHAnsi"/>
              </w:rPr>
            </w:pPr>
            <w:r w:rsidRPr="00892DE3">
              <w:rPr>
                <w:rFonts w:cstheme="majorHAnsi"/>
              </w:rPr>
              <w:t>Total impact</w:t>
            </w:r>
          </w:p>
        </w:tc>
        <w:tc>
          <w:tcPr>
            <w:tcW w:w="1134" w:type="dxa"/>
            <w:tcBorders>
              <w:top w:val="single" w:sz="6" w:space="0" w:color="auto"/>
              <w:bottom w:val="single" w:sz="12" w:space="0" w:color="auto"/>
            </w:tcBorders>
            <w:shd w:val="clear" w:color="auto" w:fill="EBEBEB" w:themeFill="background2"/>
          </w:tcPr>
          <w:p w:rsidR="00181596" w:rsidRPr="00892DE3" w:rsidRDefault="00181596" w:rsidP="00181596">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 xml:space="preserve"> </w:t>
            </w:r>
          </w:p>
        </w:tc>
        <w:tc>
          <w:tcPr>
            <w:tcW w:w="992" w:type="dxa"/>
            <w:tcBorders>
              <w:top w:val="single" w:sz="6" w:space="0" w:color="auto"/>
              <w:bottom w:val="single" w:sz="12" w:space="0" w:color="auto"/>
            </w:tcBorders>
          </w:tcPr>
          <w:p w:rsidR="00181596" w:rsidRPr="00892DE3" w:rsidRDefault="00181596" w:rsidP="00181596">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(129)</w:t>
            </w:r>
          </w:p>
        </w:tc>
        <w:tc>
          <w:tcPr>
            <w:tcW w:w="1068" w:type="dxa"/>
            <w:tcBorders>
              <w:top w:val="single" w:sz="6" w:space="0" w:color="auto"/>
              <w:bottom w:val="single" w:sz="12" w:space="0" w:color="auto"/>
            </w:tcBorders>
            <w:shd w:val="clear" w:color="auto" w:fill="EBEBEB" w:themeFill="background2"/>
          </w:tcPr>
          <w:p w:rsidR="00181596" w:rsidRPr="00892DE3" w:rsidRDefault="00181596" w:rsidP="00181596">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58" w:type="dxa"/>
            <w:tcBorders>
              <w:top w:val="single" w:sz="6" w:space="0" w:color="auto"/>
              <w:bottom w:val="single" w:sz="12" w:space="0" w:color="auto"/>
            </w:tcBorders>
          </w:tcPr>
          <w:p w:rsidR="00181596" w:rsidRPr="00892DE3" w:rsidRDefault="00181596" w:rsidP="00181596">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95</w:t>
            </w:r>
          </w:p>
        </w:tc>
        <w:tc>
          <w:tcPr>
            <w:tcW w:w="1132" w:type="dxa"/>
            <w:tcBorders>
              <w:top w:val="single" w:sz="6" w:space="0" w:color="auto"/>
              <w:bottom w:val="single" w:sz="12" w:space="0" w:color="auto"/>
            </w:tcBorders>
            <w:shd w:val="clear" w:color="auto" w:fill="EBEBEB" w:themeFill="background2"/>
          </w:tcPr>
          <w:p w:rsidR="00181596" w:rsidRPr="00892DE3" w:rsidRDefault="00181596" w:rsidP="00181596">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181596" w:rsidRPr="00892DE3" w:rsidRDefault="00181596"/>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34"/>
        <w:gridCol w:w="992"/>
        <w:gridCol w:w="1068"/>
        <w:gridCol w:w="1058"/>
        <w:gridCol w:w="1132"/>
      </w:tblGrid>
      <w:tr w:rsidR="00181596" w:rsidRPr="00892DE3" w:rsidTr="007A5F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Borders>
              <w:top w:val="nil"/>
            </w:tcBorders>
          </w:tcPr>
          <w:p w:rsidR="00181596" w:rsidRPr="00892DE3" w:rsidRDefault="00181596" w:rsidP="00181596">
            <w:pPr>
              <w:ind w:left="0" w:firstLine="0"/>
            </w:pPr>
            <w:r w:rsidRPr="00892DE3">
              <w:t>2016</w:t>
            </w:r>
          </w:p>
        </w:tc>
        <w:tc>
          <w:tcPr>
            <w:tcW w:w="1134" w:type="dxa"/>
            <w:tcBorders>
              <w:top w:val="nil"/>
            </w:tcBorders>
          </w:tcPr>
          <w:p w:rsidR="00181596" w:rsidRPr="00892DE3" w:rsidRDefault="00181596" w:rsidP="00181596">
            <w:pPr>
              <w:cnfStyle w:val="100000000000" w:firstRow="1" w:lastRow="0" w:firstColumn="0" w:lastColumn="0" w:oddVBand="0" w:evenVBand="0" w:oddHBand="0" w:evenHBand="0" w:firstRowFirstColumn="0" w:firstRowLastColumn="0" w:lastRowFirstColumn="0" w:lastRowLastColumn="0"/>
            </w:pPr>
          </w:p>
        </w:tc>
        <w:tc>
          <w:tcPr>
            <w:tcW w:w="2060" w:type="dxa"/>
            <w:gridSpan w:val="2"/>
            <w:tcBorders>
              <w:top w:val="nil"/>
            </w:tcBorders>
          </w:tcPr>
          <w:p w:rsidR="00181596" w:rsidRPr="00892DE3" w:rsidRDefault="00181596" w:rsidP="00181596">
            <w:pPr>
              <w:cnfStyle w:val="100000000000" w:firstRow="1" w:lastRow="0" w:firstColumn="0" w:lastColumn="0" w:oddVBand="0" w:evenVBand="0" w:oddHBand="0" w:evenHBand="0" w:firstRowFirstColumn="0" w:firstRowLastColumn="0" w:lastRowFirstColumn="0" w:lastRowLastColumn="0"/>
            </w:pPr>
          </w:p>
        </w:tc>
        <w:tc>
          <w:tcPr>
            <w:tcW w:w="2190" w:type="dxa"/>
            <w:gridSpan w:val="2"/>
            <w:tcBorders>
              <w:top w:val="nil"/>
            </w:tcBorders>
          </w:tcPr>
          <w:p w:rsidR="00181596" w:rsidRPr="00892DE3" w:rsidRDefault="00181596" w:rsidP="00181596">
            <w:pPr>
              <w:cnfStyle w:val="100000000000" w:firstRow="1" w:lastRow="0" w:firstColumn="0" w:lastColumn="0" w:oddVBand="0" w:evenVBand="0" w:oddHBand="0" w:evenHBand="0" w:firstRowFirstColumn="0" w:firstRowLastColumn="0" w:lastRowFirstColumn="0" w:lastRowLastColumn="0"/>
            </w:pP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Pr>
          <w:p w:rsidR="00181596" w:rsidRPr="00892DE3" w:rsidRDefault="00181596" w:rsidP="00181596">
            <w:pPr>
              <w:rPr>
                <w:rFonts w:cstheme="majorHAnsi"/>
              </w:rPr>
            </w:pPr>
            <w:r w:rsidRPr="00892DE3">
              <w:rPr>
                <w:rFonts w:cstheme="majorHAnsi"/>
              </w:rPr>
              <w:t>Contractual financial assets</w:t>
            </w:r>
          </w:p>
        </w:tc>
        <w:tc>
          <w:tcPr>
            <w:tcW w:w="1134"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32"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Pr>
          <w:p w:rsidR="00181596" w:rsidRPr="00892DE3" w:rsidRDefault="00181596" w:rsidP="00181596">
            <w:pPr>
              <w:rPr>
                <w:rFonts w:cstheme="majorHAnsi"/>
              </w:rPr>
            </w:pPr>
            <w:r w:rsidRPr="00892DE3">
              <w:rPr>
                <w:rFonts w:cstheme="majorHAnsi"/>
              </w:rPr>
              <w:t xml:space="preserve">Cash and deposits </w:t>
            </w:r>
            <w:r w:rsidR="001B74B1" w:rsidRPr="00892DE3">
              <w:rPr>
                <w:rFonts w:cstheme="majorHAnsi"/>
                <w:vertAlign w:val="superscript"/>
              </w:rPr>
              <w:t>(b</w:t>
            </w:r>
            <w:r w:rsidRPr="00892DE3">
              <w:rPr>
                <w:rFonts w:cstheme="majorHAnsi"/>
                <w:vertAlign w:val="superscript"/>
              </w:rPr>
              <w:t>)</w:t>
            </w:r>
          </w:p>
        </w:tc>
        <w:tc>
          <w:tcPr>
            <w:tcW w:w="1134"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c>
          <w:tcPr>
            <w:tcW w:w="992"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1 401</w:t>
            </w:r>
          </w:p>
        </w:tc>
        <w:tc>
          <w:tcPr>
            <w:tcW w:w="1068"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(1 035)</w:t>
            </w:r>
          </w:p>
        </w:tc>
        <w:tc>
          <w:tcPr>
            <w:tcW w:w="1132"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Pr>
          <w:p w:rsidR="00181596" w:rsidRPr="00892DE3" w:rsidRDefault="00181596" w:rsidP="00181596">
            <w:pPr>
              <w:rPr>
                <w:rFonts w:cstheme="majorHAnsi"/>
              </w:rPr>
            </w:pPr>
            <w:r w:rsidRPr="00892DE3">
              <w:rPr>
                <w:rFonts w:cstheme="majorHAnsi"/>
              </w:rPr>
              <w:t xml:space="preserve">Receivables </w:t>
            </w:r>
            <w:r w:rsidR="001B74B1" w:rsidRPr="00892DE3">
              <w:rPr>
                <w:rFonts w:cstheme="majorHAnsi"/>
                <w:vertAlign w:val="superscript"/>
              </w:rPr>
              <w:t>(a)(c</w:t>
            </w:r>
            <w:r w:rsidRPr="00892DE3">
              <w:rPr>
                <w:rFonts w:cstheme="majorHAnsi"/>
                <w:vertAlign w:val="superscript"/>
              </w:rPr>
              <w:t>)</w:t>
            </w:r>
          </w:p>
        </w:tc>
        <w:tc>
          <w:tcPr>
            <w:tcW w:w="1134"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3 870</w:t>
            </w:r>
          </w:p>
        </w:tc>
        <w:tc>
          <w:tcPr>
            <w:tcW w:w="992"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56</w:t>
            </w:r>
          </w:p>
        </w:tc>
        <w:tc>
          <w:tcPr>
            <w:tcW w:w="1068"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(42</w:t>
            </w:r>
          </w:p>
        </w:tc>
        <w:tc>
          <w:tcPr>
            <w:tcW w:w="1132" w:type="dxa"/>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tcPr>
          <w:p w:rsidR="00181596" w:rsidRPr="00892DE3" w:rsidRDefault="00181596" w:rsidP="00181596">
            <w:pPr>
              <w:rPr>
                <w:rFonts w:cstheme="majorHAnsi"/>
              </w:rPr>
            </w:pPr>
            <w:r w:rsidRPr="00892DE3">
              <w:rPr>
                <w:rFonts w:cstheme="majorHAnsi"/>
              </w:rPr>
              <w:t xml:space="preserve">Investments and other contractual financial assets </w:t>
            </w:r>
            <w:r w:rsidR="001B74B1" w:rsidRPr="00892DE3">
              <w:rPr>
                <w:rFonts w:cstheme="majorHAnsi"/>
                <w:vertAlign w:val="superscript"/>
              </w:rPr>
              <w:t>(c</w:t>
            </w:r>
            <w:r w:rsidRPr="00892DE3">
              <w:rPr>
                <w:rFonts w:cstheme="majorHAnsi"/>
                <w:vertAlign w:val="superscript"/>
              </w:rPr>
              <w:t>)</w:t>
            </w:r>
          </w:p>
        </w:tc>
        <w:tc>
          <w:tcPr>
            <w:tcW w:w="1134" w:type="dxa"/>
            <w:tcBorders>
              <w:bottom w:val="single" w:sz="4"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16 731</w:t>
            </w:r>
          </w:p>
        </w:tc>
        <w:tc>
          <w:tcPr>
            <w:tcW w:w="992" w:type="dxa"/>
            <w:tcBorders>
              <w:bottom w:val="single" w:sz="4"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132</w:t>
            </w:r>
          </w:p>
        </w:tc>
        <w:tc>
          <w:tcPr>
            <w:tcW w:w="1068" w:type="dxa"/>
            <w:tcBorders>
              <w:bottom w:val="single" w:sz="4"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Borders>
              <w:bottom w:val="single" w:sz="4"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w:t>
            </w:r>
          </w:p>
        </w:tc>
        <w:tc>
          <w:tcPr>
            <w:tcW w:w="1132" w:type="dxa"/>
            <w:tcBorders>
              <w:bottom w:val="single" w:sz="4"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12" w:space="0" w:color="auto"/>
            </w:tcBorders>
          </w:tcPr>
          <w:p w:rsidR="00181596" w:rsidRPr="00892DE3" w:rsidRDefault="00181596" w:rsidP="00181596">
            <w:pPr>
              <w:rPr>
                <w:rFonts w:cstheme="majorHAnsi"/>
              </w:rPr>
            </w:pPr>
            <w:r w:rsidRPr="00892DE3">
              <w:rPr>
                <w:rFonts w:cstheme="majorHAnsi"/>
              </w:rPr>
              <w:t>Total impact</w:t>
            </w:r>
          </w:p>
        </w:tc>
        <w:tc>
          <w:tcPr>
            <w:tcW w:w="1134" w:type="dxa"/>
            <w:tcBorders>
              <w:top w:val="single" w:sz="4" w:space="0" w:color="auto"/>
              <w:bottom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4" w:space="0" w:color="auto"/>
              <w:bottom w:val="single" w:sz="12"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1 589</w:t>
            </w:r>
          </w:p>
        </w:tc>
        <w:tc>
          <w:tcPr>
            <w:tcW w:w="1068" w:type="dxa"/>
            <w:tcBorders>
              <w:top w:val="single" w:sz="4" w:space="0" w:color="auto"/>
              <w:bottom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058" w:type="dxa"/>
            <w:tcBorders>
              <w:top w:val="single" w:sz="4" w:space="0" w:color="auto"/>
              <w:bottom w:val="single" w:sz="12"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(1 175)</w:t>
            </w:r>
          </w:p>
        </w:tc>
        <w:tc>
          <w:tcPr>
            <w:tcW w:w="1132" w:type="dxa"/>
            <w:tcBorders>
              <w:top w:val="single" w:sz="4" w:space="0" w:color="auto"/>
              <w:bottom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Borders>
              <w:top w:val="single" w:sz="12" w:space="0" w:color="auto"/>
            </w:tcBorders>
          </w:tcPr>
          <w:p w:rsidR="00181596" w:rsidRPr="00892DE3" w:rsidRDefault="00181596" w:rsidP="00181596">
            <w:pPr>
              <w:rPr>
                <w:rFonts w:cstheme="majorHAnsi"/>
              </w:rPr>
            </w:pPr>
            <w:r w:rsidRPr="00892DE3">
              <w:rPr>
                <w:rFonts w:cstheme="majorHAnsi"/>
              </w:rPr>
              <w:t>Contractual financial liabilities</w:t>
            </w:r>
          </w:p>
        </w:tc>
        <w:tc>
          <w:tcPr>
            <w:tcW w:w="1134" w:type="dxa"/>
            <w:tcBorders>
              <w:top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12"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Borders>
              <w:top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Borders>
              <w:top w:val="single" w:sz="12"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Borders>
              <w:top w:val="single" w:sz="12"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181596" w:rsidRPr="00892DE3" w:rsidTr="007A5F71">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tcPr>
          <w:p w:rsidR="00181596" w:rsidRPr="00892DE3" w:rsidRDefault="00181596" w:rsidP="001B74B1">
            <w:pPr>
              <w:rPr>
                <w:rFonts w:cstheme="majorHAnsi"/>
              </w:rPr>
            </w:pPr>
            <w:r w:rsidRPr="00892DE3">
              <w:rPr>
                <w:rFonts w:cstheme="majorHAnsi"/>
              </w:rPr>
              <w:t xml:space="preserve">Payables </w:t>
            </w:r>
            <w:r w:rsidRPr="00892DE3">
              <w:rPr>
                <w:rFonts w:cstheme="majorHAnsi"/>
                <w:vertAlign w:val="superscript"/>
              </w:rPr>
              <w:t>(</w:t>
            </w:r>
            <w:r w:rsidR="001B74B1" w:rsidRPr="00892DE3">
              <w:rPr>
                <w:rFonts w:cstheme="majorHAnsi"/>
                <w:vertAlign w:val="superscript"/>
              </w:rPr>
              <w:t>a</w:t>
            </w:r>
            <w:r w:rsidRPr="00892DE3">
              <w:rPr>
                <w:rFonts w:cstheme="majorHAnsi"/>
                <w:vertAlign w:val="superscript"/>
              </w:rPr>
              <w:t>)(</w:t>
            </w:r>
            <w:r w:rsidR="001B74B1" w:rsidRPr="00892DE3">
              <w:rPr>
                <w:rFonts w:cstheme="majorHAnsi"/>
                <w:vertAlign w:val="superscript"/>
              </w:rPr>
              <w:t>c</w:t>
            </w:r>
            <w:r w:rsidRPr="00892DE3">
              <w:rPr>
                <w:rFonts w:cstheme="majorHAnsi"/>
                <w:vertAlign w:val="superscript"/>
              </w:rPr>
              <w:t>)</w:t>
            </w:r>
          </w:p>
        </w:tc>
        <w:tc>
          <w:tcPr>
            <w:tcW w:w="1134" w:type="dxa"/>
            <w:tcBorders>
              <w:bottom w:val="single" w:sz="4"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16 141</w:t>
            </w:r>
          </w:p>
        </w:tc>
        <w:tc>
          <w:tcPr>
            <w:tcW w:w="992" w:type="dxa"/>
            <w:tcBorders>
              <w:bottom w:val="single" w:sz="4"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(153)</w:t>
            </w:r>
          </w:p>
        </w:tc>
        <w:tc>
          <w:tcPr>
            <w:tcW w:w="1068" w:type="dxa"/>
            <w:tcBorders>
              <w:bottom w:val="single" w:sz="4"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Borders>
              <w:bottom w:val="single" w:sz="4" w:space="0" w:color="auto"/>
            </w:tcBorders>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113</w:t>
            </w:r>
          </w:p>
        </w:tc>
        <w:tc>
          <w:tcPr>
            <w:tcW w:w="1132" w:type="dxa"/>
            <w:tcBorders>
              <w:bottom w:val="single" w:sz="4" w:space="0" w:color="auto"/>
            </w:tcBorders>
            <w:shd w:val="clear" w:color="auto" w:fill="EBEBEB" w:themeFill="background2"/>
          </w:tcPr>
          <w:p w:rsidR="00181596" w:rsidRPr="00892DE3" w:rsidRDefault="00181596" w:rsidP="00181596">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181596" w:rsidRPr="00892DE3" w:rsidTr="007A5F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12" w:space="0" w:color="auto"/>
            </w:tcBorders>
          </w:tcPr>
          <w:p w:rsidR="00181596" w:rsidRPr="00892DE3" w:rsidRDefault="00181596" w:rsidP="00181596">
            <w:pPr>
              <w:rPr>
                <w:rFonts w:cstheme="majorHAnsi"/>
              </w:rPr>
            </w:pPr>
            <w:r w:rsidRPr="00892DE3">
              <w:rPr>
                <w:rFonts w:cstheme="majorHAnsi"/>
              </w:rPr>
              <w:t>Total impact</w:t>
            </w:r>
          </w:p>
        </w:tc>
        <w:tc>
          <w:tcPr>
            <w:tcW w:w="1134" w:type="dxa"/>
            <w:tcBorders>
              <w:top w:val="single" w:sz="4" w:space="0" w:color="auto"/>
              <w:bottom w:val="single" w:sz="12" w:space="0" w:color="auto"/>
            </w:tcBorders>
            <w:shd w:val="clear" w:color="auto" w:fill="EBEBEB" w:themeFill="background2"/>
          </w:tcPr>
          <w:p w:rsidR="00181596" w:rsidRPr="00892DE3" w:rsidRDefault="00181596" w:rsidP="00181596">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 xml:space="preserve"> </w:t>
            </w:r>
          </w:p>
        </w:tc>
        <w:tc>
          <w:tcPr>
            <w:tcW w:w="992" w:type="dxa"/>
            <w:tcBorders>
              <w:top w:val="single" w:sz="4" w:space="0" w:color="auto"/>
              <w:bottom w:val="single" w:sz="12" w:space="0" w:color="auto"/>
            </w:tcBorders>
          </w:tcPr>
          <w:p w:rsidR="00181596" w:rsidRPr="00892DE3" w:rsidRDefault="00181596" w:rsidP="00181596">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(153)</w:t>
            </w:r>
          </w:p>
        </w:tc>
        <w:tc>
          <w:tcPr>
            <w:tcW w:w="1068" w:type="dxa"/>
            <w:tcBorders>
              <w:top w:val="single" w:sz="4" w:space="0" w:color="auto"/>
              <w:bottom w:val="single" w:sz="12" w:space="0" w:color="auto"/>
            </w:tcBorders>
            <w:shd w:val="clear" w:color="auto" w:fill="EBEBEB" w:themeFill="background2"/>
          </w:tcPr>
          <w:p w:rsidR="00181596" w:rsidRPr="00892DE3" w:rsidRDefault="00181596" w:rsidP="00181596">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58" w:type="dxa"/>
            <w:tcBorders>
              <w:top w:val="single" w:sz="4" w:space="0" w:color="auto"/>
              <w:bottom w:val="single" w:sz="12" w:space="0" w:color="auto"/>
            </w:tcBorders>
          </w:tcPr>
          <w:p w:rsidR="00181596" w:rsidRPr="00892DE3" w:rsidRDefault="00181596" w:rsidP="00181596">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113</w:t>
            </w:r>
          </w:p>
        </w:tc>
        <w:tc>
          <w:tcPr>
            <w:tcW w:w="1132" w:type="dxa"/>
            <w:tcBorders>
              <w:top w:val="single" w:sz="4" w:space="0" w:color="auto"/>
              <w:bottom w:val="single" w:sz="12" w:space="0" w:color="auto"/>
            </w:tcBorders>
            <w:shd w:val="clear" w:color="auto" w:fill="EBEBEB" w:themeFill="background2"/>
          </w:tcPr>
          <w:p w:rsidR="00181596" w:rsidRPr="00892DE3" w:rsidRDefault="00181596" w:rsidP="00181596">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181596" w:rsidRPr="00892DE3" w:rsidRDefault="002349B7" w:rsidP="002349B7">
      <w:pPr>
        <w:pStyle w:val="Note"/>
      </w:pPr>
      <w:r w:rsidRPr="00892DE3">
        <w:t>Notes:</w:t>
      </w:r>
    </w:p>
    <w:p w:rsidR="002349B7" w:rsidRPr="00892DE3" w:rsidRDefault="002349B7" w:rsidP="002349B7">
      <w:pPr>
        <w:pStyle w:val="Note"/>
      </w:pPr>
      <w:r w:rsidRPr="00892DE3">
        <w:t>(</w:t>
      </w:r>
      <w:r w:rsidR="001B74B1" w:rsidRPr="00892DE3">
        <w:t>a</w:t>
      </w:r>
      <w:r w:rsidRPr="00892DE3">
        <w:t>)</w:t>
      </w:r>
      <w:r w:rsidRPr="00892DE3">
        <w:tab/>
        <w:t xml:space="preserve">The carrying amounts disclosed here exclude statutory amounts (e.g. amounts owing from the Victorian Government, GST input tax credit recoverable, and GST payables). </w:t>
      </w:r>
      <w:r w:rsidRPr="00892DE3">
        <w:rPr>
          <w:rStyle w:val="SourceReference"/>
        </w:rPr>
        <w:t>[AASB 132.AG12]</w:t>
      </w:r>
    </w:p>
    <w:p w:rsidR="002349B7" w:rsidRPr="00892DE3" w:rsidRDefault="002349B7" w:rsidP="002349B7">
      <w:pPr>
        <w:pStyle w:val="Note"/>
      </w:pPr>
      <w:r w:rsidRPr="00892DE3">
        <w:t>(</w:t>
      </w:r>
      <w:r w:rsidR="001B74B1" w:rsidRPr="00892DE3">
        <w:t>b</w:t>
      </w:r>
      <w:r w:rsidRPr="00892DE3">
        <w:t>)</w:t>
      </w:r>
      <w:r w:rsidRPr="00892DE3">
        <w:tab/>
        <w:t>Cash and deposits includes a deposit of $9 712 thousand (2016: $7 936 thousand) that is exposed to USD foreign currency movements. Sensitivities to these movements are calculated as follows:</w:t>
      </w:r>
    </w:p>
    <w:p w:rsidR="002349B7" w:rsidRPr="00892DE3" w:rsidRDefault="002349B7" w:rsidP="002349B7">
      <w:pPr>
        <w:pStyle w:val="NoteDash"/>
      </w:pPr>
      <w:r w:rsidRPr="00892DE3">
        <w:t xml:space="preserve">2017: </w:t>
      </w:r>
      <w:r w:rsidRPr="00892DE3">
        <w:rPr>
          <w:rStyle w:val="SourceReference"/>
        </w:rPr>
        <w:t>[$9 712 thousand x 0.9/(0.9(1 0.15))]</w:t>
      </w:r>
      <w:r w:rsidRPr="00892DE3">
        <w:t xml:space="preserve"> – $9 712 thousand = $1 714 thousand; and </w:t>
      </w:r>
      <w:r w:rsidRPr="00892DE3">
        <w:rPr>
          <w:rStyle w:val="SourceReference"/>
        </w:rPr>
        <w:t>[$9 712 thousand x 0.9/(0.9(1+0.15))]</w:t>
      </w:r>
      <w:r w:rsidRPr="00892DE3">
        <w:t xml:space="preserve"> – $9 712 thousand = $1 267 thousand; and</w:t>
      </w:r>
    </w:p>
    <w:p w:rsidR="002349B7" w:rsidRPr="00892DE3" w:rsidRDefault="002349B7" w:rsidP="002349B7">
      <w:pPr>
        <w:pStyle w:val="NoteDash"/>
      </w:pPr>
      <w:r w:rsidRPr="00892DE3">
        <w:t xml:space="preserve">2016: </w:t>
      </w:r>
      <w:r w:rsidRPr="00892DE3">
        <w:rPr>
          <w:rStyle w:val="SourceReference"/>
        </w:rPr>
        <w:t>[$7 936 thousand x 0.9/(0.9(1 0.15))]</w:t>
      </w:r>
      <w:r w:rsidRPr="00892DE3">
        <w:t xml:space="preserve"> – $7 936 thousand = $1401 thousand; and </w:t>
      </w:r>
      <w:r w:rsidRPr="00892DE3">
        <w:rPr>
          <w:rStyle w:val="SourceReference"/>
        </w:rPr>
        <w:t>[$7 936 thousand x 0.9/(0.9(1+0.1))]</w:t>
      </w:r>
      <w:r w:rsidRPr="00892DE3">
        <w:t xml:space="preserve"> – $7 936 thousand = – $  035 thousand. </w:t>
      </w:r>
      <w:r w:rsidRPr="00892DE3">
        <w:rPr>
          <w:rStyle w:val="SourceReference"/>
        </w:rPr>
        <w:t>[AASB 7.40(b)]</w:t>
      </w:r>
    </w:p>
    <w:p w:rsidR="002349B7" w:rsidRPr="00892DE3" w:rsidRDefault="002349B7" w:rsidP="002349B7">
      <w:pPr>
        <w:pStyle w:val="Note"/>
      </w:pPr>
      <w:r w:rsidRPr="00892DE3">
        <w:t>(</w:t>
      </w:r>
      <w:r w:rsidR="001B74B1" w:rsidRPr="00892DE3">
        <w:t>c</w:t>
      </w:r>
      <w:r w:rsidRPr="00892DE3">
        <w:t>)</w:t>
      </w:r>
      <w:r w:rsidRPr="00892DE3">
        <w:tab/>
      </w:r>
      <w:r w:rsidRPr="00892DE3">
        <w:rPr>
          <w:rStyle w:val="SourceReference"/>
        </w:rPr>
        <w:t>[Disclosures on amounts exposed to movements in foreign currencies and the method of calculations as per note (i)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1B74B1" w:rsidRPr="00892DE3" w:rsidRDefault="001B74B1">
      <w:pPr>
        <w:keepLines w:val="0"/>
        <w:rPr>
          <w:rFonts w:asciiTheme="majorHAnsi" w:eastAsiaTheme="majorEastAsia" w:hAnsiTheme="majorHAnsi" w:cstheme="majorBidi"/>
          <w:b/>
          <w:bCs/>
          <w:spacing w:val="-2"/>
          <w:sz w:val="20"/>
          <w:szCs w:val="26"/>
        </w:rPr>
      </w:pPr>
      <w:r w:rsidRPr="00892DE3">
        <w:br w:type="page"/>
      </w:r>
    </w:p>
    <w:p w:rsidR="002349B7" w:rsidRPr="00892DE3" w:rsidRDefault="002349B7" w:rsidP="002349B7">
      <w:pPr>
        <w:pStyle w:val="Heading30"/>
      </w:pPr>
      <w:r w:rsidRPr="00892DE3">
        <w:t xml:space="preserve">Equity price risk </w:t>
      </w:r>
      <w:r w:rsidRPr="00892DE3">
        <w:rPr>
          <w:rStyle w:val="SourceReference"/>
          <w:b w:val="0"/>
        </w:rPr>
        <w:t>[AASB 7.33]</w:t>
      </w:r>
    </w:p>
    <w:p w:rsidR="002349B7" w:rsidRPr="00892DE3" w:rsidRDefault="002349B7" w:rsidP="002349B7">
      <w:r w:rsidRPr="00892DE3">
        <w:t>The Department is exposed to equity price risk through its investments in listed and unlisted shares and managed investment schemes. Such investments are allocated and traded to match the investment objectives appropriate for the Department’s liabilities.</w:t>
      </w:r>
    </w:p>
    <w:p w:rsidR="002349B7" w:rsidRPr="00892DE3" w:rsidRDefault="002349B7" w:rsidP="002349B7">
      <w:r w:rsidRPr="00892DE3">
        <w:t>The Department appointed a state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rsidR="002349B7" w:rsidRPr="00892DE3" w:rsidRDefault="002349B7" w:rsidP="002349B7">
      <w:r w:rsidRPr="00892DE3">
        <w:t>The Department’s sensitivity to equity price risk is set out below.</w:t>
      </w:r>
    </w:p>
    <w:p w:rsidR="002349B7" w:rsidRPr="00892DE3" w:rsidRDefault="002349B7" w:rsidP="002349B7">
      <w:pPr>
        <w:pStyle w:val="TableHeading"/>
      </w:pPr>
      <w:r w:rsidRPr="00892DE3">
        <w:t xml:space="preserve">Other price risk sensitivity </w:t>
      </w:r>
      <w:r w:rsidRPr="00892DE3">
        <w:rPr>
          <w:rStyle w:val="SourceReference"/>
          <w:b w:val="0"/>
        </w:rPr>
        <w:t>[AASB 7.31, 34, 40(a)]</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10"/>
        <w:gridCol w:w="1016"/>
        <w:gridCol w:w="1068"/>
        <w:gridCol w:w="1058"/>
        <w:gridCol w:w="1132"/>
      </w:tblGrid>
      <w:tr w:rsidR="002349B7" w:rsidRPr="00892DE3" w:rsidTr="001B74B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3" w:type="dxa"/>
          </w:tcPr>
          <w:p w:rsidR="002349B7" w:rsidRPr="00892DE3" w:rsidRDefault="002349B7" w:rsidP="002349B7">
            <w:pPr>
              <w:ind w:left="0" w:firstLine="0"/>
            </w:pPr>
          </w:p>
        </w:tc>
        <w:tc>
          <w:tcPr>
            <w:tcW w:w="1110" w:type="dxa"/>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pPr>
          </w:p>
        </w:tc>
        <w:tc>
          <w:tcPr>
            <w:tcW w:w="2084" w:type="dxa"/>
            <w:gridSpan w:val="2"/>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pPr>
            <w:r w:rsidRPr="00892DE3">
              <w:noBreakHyphen/>
              <w:t>15%</w:t>
            </w:r>
          </w:p>
        </w:tc>
        <w:tc>
          <w:tcPr>
            <w:tcW w:w="2190" w:type="dxa"/>
            <w:gridSpan w:val="2"/>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pPr>
            <w:r w:rsidRPr="00892DE3">
              <w:t>+15%</w:t>
            </w:r>
          </w:p>
        </w:tc>
      </w:tr>
      <w:tr w:rsidR="002349B7" w:rsidRPr="00892DE3" w:rsidTr="001B74B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3" w:type="dxa"/>
          </w:tcPr>
          <w:p w:rsidR="002349B7" w:rsidRPr="00892DE3" w:rsidRDefault="002349B7" w:rsidP="002349B7">
            <w:pPr>
              <w:ind w:left="0" w:firstLine="0"/>
            </w:pPr>
            <w:r w:rsidRPr="00892DE3">
              <w:t>2017</w:t>
            </w:r>
          </w:p>
        </w:tc>
        <w:tc>
          <w:tcPr>
            <w:tcW w:w="1110" w:type="dxa"/>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1016" w:type="dxa"/>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pPr>
            <w:r w:rsidRPr="00892DE3">
              <w:t xml:space="preserve">Net </w:t>
            </w:r>
            <w:r w:rsidRPr="00892DE3">
              <w:br/>
              <w:t>result</w:t>
            </w:r>
          </w:p>
        </w:tc>
        <w:tc>
          <w:tcPr>
            <w:tcW w:w="1068" w:type="dxa"/>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pPr>
            <w:r w:rsidRPr="00892DE3">
              <w:t>Available</w:t>
            </w:r>
            <w:r w:rsidRPr="00892DE3">
              <w:noBreakHyphen/>
            </w:r>
            <w:r w:rsidRPr="00892DE3">
              <w:br/>
              <w:t>for</w:t>
            </w:r>
            <w:r w:rsidRPr="00892DE3">
              <w:noBreakHyphen/>
              <w:t>sale revaluation surplus</w:t>
            </w:r>
          </w:p>
        </w:tc>
        <w:tc>
          <w:tcPr>
            <w:tcW w:w="1058" w:type="dxa"/>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pPr>
            <w:r w:rsidRPr="00892DE3">
              <w:t xml:space="preserve">Net </w:t>
            </w:r>
            <w:r w:rsidRPr="00892DE3">
              <w:br/>
              <w:t>result</w:t>
            </w:r>
          </w:p>
        </w:tc>
        <w:tc>
          <w:tcPr>
            <w:tcW w:w="1132" w:type="dxa"/>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pPr>
            <w:r w:rsidRPr="00892DE3">
              <w:t>Available</w:t>
            </w:r>
            <w:r w:rsidRPr="00892DE3">
              <w:noBreakHyphen/>
            </w:r>
            <w:r w:rsidRPr="00892DE3">
              <w:br/>
              <w:t>for</w:t>
            </w:r>
            <w:r w:rsidRPr="00892DE3">
              <w:noBreakHyphen/>
              <w:t>sale revaluation surplus</w:t>
            </w:r>
          </w:p>
        </w:tc>
      </w:tr>
      <w:tr w:rsidR="002349B7" w:rsidRPr="00892DE3" w:rsidTr="001B74B1">
        <w:tc>
          <w:tcPr>
            <w:cnfStyle w:val="001000000000" w:firstRow="0" w:lastRow="0" w:firstColumn="1" w:lastColumn="0" w:oddVBand="0" w:evenVBand="0" w:oddHBand="0" w:evenHBand="0" w:firstRowFirstColumn="0" w:firstRowLastColumn="0" w:lastRowFirstColumn="0" w:lastRowLastColumn="0"/>
            <w:tcW w:w="4253" w:type="dxa"/>
          </w:tcPr>
          <w:p w:rsidR="002349B7" w:rsidRPr="00892DE3" w:rsidRDefault="002349B7" w:rsidP="002349B7">
            <w:pPr>
              <w:rPr>
                <w:rFonts w:cstheme="majorHAnsi"/>
              </w:rPr>
            </w:pPr>
            <w:r w:rsidRPr="00892DE3">
              <w:rPr>
                <w:rFonts w:cstheme="majorHAnsi"/>
              </w:rPr>
              <w:t>Contractual financial assets</w:t>
            </w:r>
          </w:p>
        </w:tc>
        <w:tc>
          <w:tcPr>
            <w:tcW w:w="1110" w:type="dxa"/>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16" w:type="dxa"/>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2349B7" w:rsidRPr="00892DE3" w:rsidTr="001B74B1">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tcPr>
          <w:p w:rsidR="002349B7" w:rsidRPr="00892DE3" w:rsidRDefault="002349B7" w:rsidP="002349B7">
            <w:pPr>
              <w:rPr>
                <w:rFonts w:cstheme="majorHAnsi"/>
              </w:rPr>
            </w:pPr>
            <w:r w:rsidRPr="00892DE3">
              <w:rPr>
                <w:rFonts w:cstheme="majorHAnsi"/>
              </w:rPr>
              <w:t xml:space="preserve">Investments and other contractual financial assets </w:t>
            </w:r>
            <w:r w:rsidR="00782111" w:rsidRPr="00892DE3">
              <w:rPr>
                <w:rFonts w:cstheme="majorHAnsi"/>
                <w:vertAlign w:val="superscript"/>
              </w:rPr>
              <w:t>(i</w:t>
            </w:r>
            <w:r w:rsidRPr="00892DE3">
              <w:rPr>
                <w:rFonts w:cstheme="majorHAnsi"/>
                <w:vertAlign w:val="superscript"/>
              </w:rPr>
              <w:t>)</w:t>
            </w:r>
          </w:p>
        </w:tc>
        <w:tc>
          <w:tcPr>
            <w:tcW w:w="1110" w:type="dxa"/>
            <w:tcBorders>
              <w:bottom w:val="single" w:sz="4" w:space="0" w:color="auto"/>
            </w:tcBorders>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13 976</w:t>
            </w:r>
          </w:p>
        </w:tc>
        <w:tc>
          <w:tcPr>
            <w:tcW w:w="1016" w:type="dxa"/>
            <w:tcBorders>
              <w:bottom w:val="single" w:sz="4" w:space="0" w:color="auto"/>
            </w:tcBorders>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68" w:type="dxa"/>
            <w:tcBorders>
              <w:bottom w:val="single" w:sz="4" w:space="0" w:color="auto"/>
            </w:tcBorders>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(310)</w:t>
            </w:r>
          </w:p>
        </w:tc>
        <w:tc>
          <w:tcPr>
            <w:tcW w:w="1058" w:type="dxa"/>
            <w:tcBorders>
              <w:bottom w:val="single" w:sz="4" w:space="0" w:color="auto"/>
            </w:tcBorders>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Borders>
              <w:bottom w:val="single" w:sz="4" w:space="0" w:color="auto"/>
            </w:tcBorders>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310</w:t>
            </w:r>
          </w:p>
        </w:tc>
      </w:tr>
      <w:tr w:rsidR="002349B7" w:rsidRPr="00892DE3" w:rsidTr="001B74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12" w:space="0" w:color="auto"/>
            </w:tcBorders>
          </w:tcPr>
          <w:p w:rsidR="002349B7" w:rsidRPr="00892DE3" w:rsidRDefault="002349B7" w:rsidP="002349B7">
            <w:pPr>
              <w:rPr>
                <w:rFonts w:cstheme="majorHAnsi"/>
              </w:rPr>
            </w:pPr>
            <w:r w:rsidRPr="00892DE3">
              <w:rPr>
                <w:rFonts w:cstheme="majorHAnsi"/>
              </w:rPr>
              <w:t>Total impact</w:t>
            </w:r>
          </w:p>
        </w:tc>
        <w:tc>
          <w:tcPr>
            <w:tcW w:w="1110" w:type="dxa"/>
            <w:tcBorders>
              <w:top w:val="single" w:sz="4" w:space="0" w:color="auto"/>
              <w:bottom w:val="single" w:sz="12" w:space="0" w:color="auto"/>
            </w:tcBorders>
          </w:tcPr>
          <w:p w:rsidR="002349B7" w:rsidRPr="00892DE3" w:rsidRDefault="002349B7" w:rsidP="002349B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 xml:space="preserve"> </w:t>
            </w:r>
          </w:p>
        </w:tc>
        <w:tc>
          <w:tcPr>
            <w:tcW w:w="1016" w:type="dxa"/>
            <w:tcBorders>
              <w:top w:val="single" w:sz="4" w:space="0" w:color="auto"/>
              <w:bottom w:val="single" w:sz="12" w:space="0" w:color="auto"/>
            </w:tcBorders>
          </w:tcPr>
          <w:p w:rsidR="002349B7" w:rsidRPr="00892DE3" w:rsidRDefault="002349B7" w:rsidP="002349B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68" w:type="dxa"/>
            <w:tcBorders>
              <w:top w:val="single" w:sz="4" w:space="0" w:color="auto"/>
              <w:bottom w:val="single" w:sz="12" w:space="0" w:color="auto"/>
            </w:tcBorders>
          </w:tcPr>
          <w:p w:rsidR="002349B7" w:rsidRPr="00892DE3" w:rsidRDefault="002349B7" w:rsidP="002349B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(310)</w:t>
            </w:r>
          </w:p>
        </w:tc>
        <w:tc>
          <w:tcPr>
            <w:tcW w:w="1058" w:type="dxa"/>
            <w:tcBorders>
              <w:top w:val="single" w:sz="4" w:space="0" w:color="auto"/>
              <w:bottom w:val="single" w:sz="12" w:space="0" w:color="auto"/>
            </w:tcBorders>
          </w:tcPr>
          <w:p w:rsidR="002349B7" w:rsidRPr="00892DE3" w:rsidRDefault="002349B7" w:rsidP="002349B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132" w:type="dxa"/>
            <w:tcBorders>
              <w:top w:val="single" w:sz="4" w:space="0" w:color="auto"/>
              <w:bottom w:val="single" w:sz="12" w:space="0" w:color="auto"/>
            </w:tcBorders>
          </w:tcPr>
          <w:p w:rsidR="002349B7" w:rsidRPr="00892DE3" w:rsidRDefault="002349B7" w:rsidP="002349B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310</w:t>
            </w:r>
          </w:p>
        </w:tc>
      </w:tr>
    </w:tbl>
    <w:p w:rsidR="002349B7" w:rsidRPr="00892DE3" w:rsidRDefault="002349B7"/>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10"/>
        <w:gridCol w:w="1016"/>
        <w:gridCol w:w="1082"/>
        <w:gridCol w:w="1044"/>
        <w:gridCol w:w="1132"/>
      </w:tblGrid>
      <w:tr w:rsidR="002349B7" w:rsidRPr="00892DE3" w:rsidTr="001B7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Borders>
              <w:top w:val="nil"/>
            </w:tcBorders>
          </w:tcPr>
          <w:p w:rsidR="002349B7" w:rsidRPr="00892DE3" w:rsidRDefault="002349B7" w:rsidP="002349B7">
            <w:pPr>
              <w:ind w:left="0" w:firstLine="0"/>
              <w:rPr>
                <w:rFonts w:cstheme="majorHAnsi"/>
              </w:rPr>
            </w:pPr>
            <w:r w:rsidRPr="00892DE3">
              <w:rPr>
                <w:rFonts w:cstheme="majorHAnsi"/>
              </w:rPr>
              <w:t>2016</w:t>
            </w:r>
          </w:p>
        </w:tc>
        <w:tc>
          <w:tcPr>
            <w:tcW w:w="1110" w:type="dxa"/>
            <w:tcBorders>
              <w:top w:val="nil"/>
            </w:tcBorders>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rPr>
                <w:rFonts w:cstheme="majorHAnsi"/>
              </w:rPr>
            </w:pPr>
          </w:p>
        </w:tc>
        <w:tc>
          <w:tcPr>
            <w:tcW w:w="2098" w:type="dxa"/>
            <w:gridSpan w:val="2"/>
            <w:tcBorders>
              <w:top w:val="nil"/>
            </w:tcBorders>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rPr>
                <w:rFonts w:cstheme="majorHAnsi"/>
              </w:rPr>
            </w:pPr>
          </w:p>
        </w:tc>
        <w:tc>
          <w:tcPr>
            <w:tcW w:w="2176" w:type="dxa"/>
            <w:gridSpan w:val="2"/>
            <w:tcBorders>
              <w:top w:val="nil"/>
            </w:tcBorders>
          </w:tcPr>
          <w:p w:rsidR="002349B7" w:rsidRPr="00892DE3" w:rsidRDefault="002349B7" w:rsidP="002349B7">
            <w:pPr>
              <w:cnfStyle w:val="100000000000" w:firstRow="1" w:lastRow="0" w:firstColumn="0" w:lastColumn="0" w:oddVBand="0" w:evenVBand="0" w:oddHBand="0" w:evenHBand="0" w:firstRowFirstColumn="0" w:firstRowLastColumn="0" w:lastRowFirstColumn="0" w:lastRowLastColumn="0"/>
              <w:rPr>
                <w:rFonts w:cstheme="majorHAnsi"/>
              </w:rPr>
            </w:pPr>
          </w:p>
        </w:tc>
      </w:tr>
      <w:tr w:rsidR="002349B7" w:rsidRPr="00892DE3" w:rsidTr="001B74B1">
        <w:tc>
          <w:tcPr>
            <w:cnfStyle w:val="001000000000" w:firstRow="0" w:lastRow="0" w:firstColumn="1" w:lastColumn="0" w:oddVBand="0" w:evenVBand="0" w:oddHBand="0" w:evenHBand="0" w:firstRowFirstColumn="0" w:firstRowLastColumn="0" w:lastRowFirstColumn="0" w:lastRowLastColumn="0"/>
            <w:tcW w:w="4253" w:type="dxa"/>
          </w:tcPr>
          <w:p w:rsidR="002349B7" w:rsidRPr="00892DE3" w:rsidRDefault="002349B7" w:rsidP="002349B7">
            <w:pPr>
              <w:rPr>
                <w:rFonts w:cstheme="majorHAnsi"/>
              </w:rPr>
            </w:pPr>
            <w:r w:rsidRPr="00892DE3">
              <w:rPr>
                <w:rFonts w:cstheme="majorHAnsi"/>
              </w:rPr>
              <w:t>Contractual financial assets</w:t>
            </w:r>
          </w:p>
        </w:tc>
        <w:tc>
          <w:tcPr>
            <w:tcW w:w="1110" w:type="dxa"/>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16" w:type="dxa"/>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82" w:type="dxa"/>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44" w:type="dxa"/>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2349B7" w:rsidRPr="00892DE3" w:rsidTr="001B74B1">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tcPr>
          <w:p w:rsidR="002349B7" w:rsidRPr="00892DE3" w:rsidRDefault="002349B7" w:rsidP="002349B7">
            <w:pPr>
              <w:rPr>
                <w:rFonts w:cstheme="majorHAnsi"/>
              </w:rPr>
            </w:pPr>
            <w:r w:rsidRPr="00892DE3">
              <w:rPr>
                <w:rFonts w:cstheme="majorHAnsi"/>
              </w:rPr>
              <w:t xml:space="preserve">Investments and other contractual financial assets </w:t>
            </w:r>
            <w:r w:rsidR="00782111" w:rsidRPr="00892DE3">
              <w:rPr>
                <w:rFonts w:cstheme="majorHAnsi"/>
                <w:vertAlign w:val="superscript"/>
              </w:rPr>
              <w:t>(i</w:t>
            </w:r>
            <w:r w:rsidRPr="00892DE3">
              <w:rPr>
                <w:rFonts w:cstheme="majorHAnsi"/>
                <w:vertAlign w:val="superscript"/>
              </w:rPr>
              <w:t>)</w:t>
            </w:r>
          </w:p>
        </w:tc>
        <w:tc>
          <w:tcPr>
            <w:tcW w:w="1110" w:type="dxa"/>
            <w:tcBorders>
              <w:bottom w:val="single" w:sz="4" w:space="0" w:color="auto"/>
            </w:tcBorders>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16 731</w:t>
            </w:r>
          </w:p>
        </w:tc>
        <w:tc>
          <w:tcPr>
            <w:tcW w:w="1016" w:type="dxa"/>
            <w:tcBorders>
              <w:bottom w:val="single" w:sz="4" w:space="0" w:color="auto"/>
            </w:tcBorders>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82" w:type="dxa"/>
            <w:tcBorders>
              <w:bottom w:val="single" w:sz="4" w:space="0" w:color="auto"/>
            </w:tcBorders>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(627)</w:t>
            </w:r>
          </w:p>
        </w:tc>
        <w:tc>
          <w:tcPr>
            <w:tcW w:w="1044" w:type="dxa"/>
            <w:tcBorders>
              <w:bottom w:val="single" w:sz="4" w:space="0" w:color="auto"/>
            </w:tcBorders>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Borders>
              <w:bottom w:val="single" w:sz="4" w:space="0" w:color="auto"/>
            </w:tcBorders>
          </w:tcPr>
          <w:p w:rsidR="002349B7" w:rsidRPr="00892DE3" w:rsidRDefault="002349B7" w:rsidP="002349B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627</w:t>
            </w:r>
          </w:p>
        </w:tc>
      </w:tr>
      <w:tr w:rsidR="002349B7" w:rsidRPr="00892DE3" w:rsidTr="001B74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12" w:space="0" w:color="auto"/>
            </w:tcBorders>
          </w:tcPr>
          <w:p w:rsidR="002349B7" w:rsidRPr="00892DE3" w:rsidRDefault="002349B7" w:rsidP="002349B7">
            <w:pPr>
              <w:rPr>
                <w:rFonts w:cstheme="majorHAnsi"/>
              </w:rPr>
            </w:pPr>
            <w:r w:rsidRPr="00892DE3">
              <w:rPr>
                <w:rFonts w:cstheme="majorHAnsi"/>
              </w:rPr>
              <w:t>Total impact</w:t>
            </w:r>
          </w:p>
        </w:tc>
        <w:tc>
          <w:tcPr>
            <w:tcW w:w="1110" w:type="dxa"/>
            <w:tcBorders>
              <w:top w:val="single" w:sz="4" w:space="0" w:color="auto"/>
              <w:bottom w:val="single" w:sz="12" w:space="0" w:color="auto"/>
            </w:tcBorders>
          </w:tcPr>
          <w:p w:rsidR="002349B7" w:rsidRPr="00892DE3" w:rsidRDefault="002349B7" w:rsidP="002349B7">
            <w:pPr>
              <w:cnfStyle w:val="010000000000" w:firstRow="0" w:lastRow="1" w:firstColumn="0" w:lastColumn="0" w:oddVBand="0" w:evenVBand="0" w:oddHBand="0" w:evenHBand="0" w:firstRowFirstColumn="0" w:firstRowLastColumn="0" w:lastRowFirstColumn="0" w:lastRowLastColumn="0"/>
              <w:rPr>
                <w:rFonts w:cstheme="majorHAnsi"/>
                <w:b w:val="0"/>
              </w:rPr>
            </w:pPr>
          </w:p>
        </w:tc>
        <w:tc>
          <w:tcPr>
            <w:tcW w:w="1016" w:type="dxa"/>
            <w:tcBorders>
              <w:top w:val="single" w:sz="4" w:space="0" w:color="auto"/>
              <w:bottom w:val="single" w:sz="12" w:space="0" w:color="auto"/>
            </w:tcBorders>
          </w:tcPr>
          <w:p w:rsidR="002349B7" w:rsidRPr="00892DE3" w:rsidRDefault="002349B7" w:rsidP="002349B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82" w:type="dxa"/>
            <w:tcBorders>
              <w:top w:val="single" w:sz="4" w:space="0" w:color="auto"/>
              <w:bottom w:val="single" w:sz="12" w:space="0" w:color="auto"/>
            </w:tcBorders>
          </w:tcPr>
          <w:p w:rsidR="002349B7" w:rsidRPr="00892DE3" w:rsidRDefault="002349B7" w:rsidP="002349B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(627)</w:t>
            </w:r>
          </w:p>
        </w:tc>
        <w:tc>
          <w:tcPr>
            <w:tcW w:w="1044" w:type="dxa"/>
            <w:tcBorders>
              <w:top w:val="single" w:sz="4" w:space="0" w:color="auto"/>
              <w:bottom w:val="single" w:sz="12" w:space="0" w:color="auto"/>
            </w:tcBorders>
          </w:tcPr>
          <w:p w:rsidR="002349B7" w:rsidRPr="00892DE3" w:rsidRDefault="002349B7" w:rsidP="002349B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132" w:type="dxa"/>
            <w:tcBorders>
              <w:top w:val="single" w:sz="4" w:space="0" w:color="auto"/>
              <w:bottom w:val="single" w:sz="12" w:space="0" w:color="auto"/>
            </w:tcBorders>
          </w:tcPr>
          <w:p w:rsidR="002349B7" w:rsidRPr="00892DE3" w:rsidRDefault="002349B7" w:rsidP="002349B7">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627</w:t>
            </w:r>
          </w:p>
        </w:tc>
      </w:tr>
    </w:tbl>
    <w:p w:rsidR="002349B7" w:rsidRPr="00892DE3" w:rsidRDefault="002349B7" w:rsidP="002349B7">
      <w:pPr>
        <w:pStyle w:val="Note"/>
      </w:pPr>
      <w:r w:rsidRPr="00892DE3">
        <w:t xml:space="preserve">Notes: </w:t>
      </w:r>
    </w:p>
    <w:p w:rsidR="002349B7" w:rsidRPr="00892DE3" w:rsidRDefault="002349B7" w:rsidP="002349B7">
      <w:pPr>
        <w:pStyle w:val="Note"/>
      </w:pPr>
      <w:r w:rsidRPr="00892DE3">
        <w:t>(i)</w:t>
      </w:r>
      <w:r w:rsidRPr="00892DE3">
        <w:tab/>
        <w:t xml:space="preserve">Investments and other contractual financial assets includes equities and managed investment schemes to the value of $2 065 thousand </w:t>
      </w:r>
      <w:r w:rsidR="00C95D19" w:rsidRPr="00892DE3">
        <w:br/>
      </w:r>
      <w:r w:rsidRPr="00892DE3">
        <w:t>(</w:t>
      </w:r>
      <w:r w:rsidR="00900ED2" w:rsidRPr="00892DE3">
        <w:t>2015</w:t>
      </w:r>
      <w:r w:rsidRPr="00892DE3">
        <w:t>: $4 179 thousand) that are exposed to movements in equity prices. Sensitivities to these movements are calculated as follows:</w:t>
      </w:r>
    </w:p>
    <w:p w:rsidR="002349B7" w:rsidRPr="00892DE3" w:rsidRDefault="002349B7" w:rsidP="002349B7">
      <w:pPr>
        <w:pStyle w:val="NoteDash"/>
      </w:pPr>
      <w:r w:rsidRPr="00892DE3">
        <w:t xml:space="preserve">2016: $2 065 thousand </w:t>
      </w:r>
      <w:r w:rsidR="004E22B6" w:rsidRPr="00892DE3">
        <w:rPr>
          <w:rFonts w:cstheme="majorHAnsi"/>
        </w:rPr>
        <w:t>×</w:t>
      </w:r>
      <w:r w:rsidRPr="00892DE3">
        <w:t xml:space="preserve"> 0.15 =  $310 thousand; and $2065 thousand </w:t>
      </w:r>
      <w:r w:rsidR="004E22B6" w:rsidRPr="00892DE3">
        <w:rPr>
          <w:rFonts w:cstheme="majorHAnsi"/>
        </w:rPr>
        <w:t>×</w:t>
      </w:r>
      <w:r w:rsidRPr="00892DE3">
        <w:t xml:space="preserve"> 0.15 = $310 thousand; and </w:t>
      </w:r>
    </w:p>
    <w:p w:rsidR="002349B7" w:rsidRPr="00892DE3" w:rsidRDefault="002349B7" w:rsidP="002349B7">
      <w:pPr>
        <w:pStyle w:val="NoteDash"/>
      </w:pPr>
      <w:r w:rsidRPr="00892DE3">
        <w:t xml:space="preserve">2015: $4 179 thousand </w:t>
      </w:r>
      <w:r w:rsidR="004E22B6" w:rsidRPr="00892DE3">
        <w:rPr>
          <w:rFonts w:cstheme="majorHAnsi"/>
        </w:rPr>
        <w:t>×</w:t>
      </w:r>
      <w:r w:rsidRPr="00892DE3">
        <w:t xml:space="preserve"> 0.15 = $627 thousand; and $4 179 thousand </w:t>
      </w:r>
      <w:r w:rsidR="004E22B6" w:rsidRPr="00892DE3">
        <w:rPr>
          <w:rFonts w:cstheme="majorHAnsi"/>
        </w:rPr>
        <w:t>×</w:t>
      </w:r>
      <w:r w:rsidRPr="00892DE3">
        <w:t xml:space="preserve"> 0.15 = $627 thousand.</w:t>
      </w:r>
    </w:p>
    <w:p w:rsidR="002349B7" w:rsidRPr="00892DE3" w:rsidRDefault="003F6B49" w:rsidP="003F6B49">
      <w:pPr>
        <w:pStyle w:val="Note"/>
        <w:rPr>
          <w:i w:val="0"/>
        </w:rPr>
      </w:pPr>
      <w:r w:rsidRPr="00892DE3">
        <w:rPr>
          <w:rStyle w:val="SourceReference"/>
        </w:rPr>
        <w:tab/>
      </w:r>
      <w:r w:rsidR="002349B7" w:rsidRPr="00892DE3">
        <w:rPr>
          <w:rStyle w:val="SourceReference"/>
          <w:i w:val="0"/>
        </w:rPr>
        <w:t>[AASB 7.40(b)]</w:t>
      </w:r>
    </w:p>
    <w:p w:rsidR="002349B7" w:rsidRPr="00892DE3" w:rsidRDefault="002349B7" w:rsidP="002349B7">
      <w:pPr>
        <w:pStyle w:val="Note"/>
      </w:pPr>
      <w:r w:rsidRPr="00892DE3">
        <w:t>(ii)</w:t>
      </w:r>
      <w:r w:rsidRPr="00892DE3">
        <w:tab/>
      </w:r>
      <w:r w:rsidRPr="00892DE3">
        <w:rPr>
          <w:rStyle w:val="SourceReference"/>
        </w:rPr>
        <w:t>[Disclosures on amounts exposed to movements in foreign currencies and the method of calculations as per note (i)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2349B7" w:rsidRPr="00892DE3" w:rsidRDefault="002349B7" w:rsidP="002349B7">
      <w:r w:rsidRPr="00892DE3">
        <w:t>The balances for these calculations are to be gross of any income tax equivalents.</w:t>
      </w:r>
    </w:p>
    <w:p w:rsidR="002349B7" w:rsidRPr="00892DE3" w:rsidRDefault="002349B7" w:rsidP="002349B7"/>
    <w:tbl>
      <w:tblPr>
        <w:tblStyle w:val="ModelReportGuidanceTable"/>
        <w:tblW w:w="0" w:type="auto"/>
        <w:tblLook w:val="04A0" w:firstRow="1" w:lastRow="0" w:firstColumn="1" w:lastColumn="0" w:noHBand="0" w:noVBand="1"/>
      </w:tblPr>
      <w:tblGrid>
        <w:gridCol w:w="9752"/>
      </w:tblGrid>
      <w:tr w:rsidR="0010764F" w:rsidRPr="00892DE3" w:rsidTr="0010764F">
        <w:trPr>
          <w:cnfStyle w:val="100000000000" w:firstRow="1" w:lastRow="0" w:firstColumn="0" w:lastColumn="0" w:oddVBand="0" w:evenVBand="0" w:oddHBand="0" w:evenHBand="0" w:firstRowFirstColumn="0" w:firstRowLastColumn="0" w:lastRowFirstColumn="0" w:lastRowLastColumn="0"/>
        </w:trPr>
        <w:tc>
          <w:tcPr>
            <w:tcW w:w="9854" w:type="dxa"/>
          </w:tcPr>
          <w:p w:rsidR="0010764F" w:rsidRPr="00892DE3" w:rsidRDefault="0010764F" w:rsidP="002349B7">
            <w:r w:rsidRPr="00892DE3">
              <w:t>Guidance – Market risk disclosures</w:t>
            </w:r>
          </w:p>
        </w:tc>
      </w:tr>
      <w:tr w:rsidR="0010764F" w:rsidRPr="00892DE3" w:rsidTr="0010764F">
        <w:tc>
          <w:tcPr>
            <w:tcW w:w="9854" w:type="dxa"/>
          </w:tcPr>
          <w:p w:rsidR="0010764F" w:rsidRPr="00892DE3" w:rsidRDefault="0010764F" w:rsidP="0010764F">
            <w:pPr>
              <w:rPr>
                <w:b/>
              </w:rPr>
            </w:pPr>
            <w:r w:rsidRPr="00892DE3">
              <w:rPr>
                <w:b/>
              </w:rPr>
              <w:t xml:space="preserve">Market risk </w:t>
            </w:r>
            <w:r w:rsidRPr="00892DE3">
              <w:rPr>
                <w:rStyle w:val="SourceReference"/>
              </w:rPr>
              <w:t>[AASB 7.40]</w:t>
            </w:r>
          </w:p>
          <w:p w:rsidR="0010764F" w:rsidRPr="00892DE3" w:rsidRDefault="0010764F" w:rsidP="0010764F">
            <w:r w:rsidRPr="00892DE3">
              <w:t xml:space="preserve">Market risk comprises foreign currency risk, interest rate risk, and other price risk. </w:t>
            </w:r>
          </w:p>
          <w:p w:rsidR="0010764F" w:rsidRPr="00892DE3" w:rsidRDefault="0010764F" w:rsidP="0010764F">
            <w:r w:rsidRPr="00892DE3">
              <w:t>Unless an entity prepares a sensitivity analysis, such as value at risk, that reflects interdependencies between risk variables (e.g. interest rates and exchange rates) and uses it to manage financial risks, an entity shall disclose:</w:t>
            </w:r>
          </w:p>
          <w:p w:rsidR="0010764F" w:rsidRPr="00892DE3" w:rsidRDefault="0010764F" w:rsidP="0010764F">
            <w:pPr>
              <w:pStyle w:val="List"/>
            </w:pPr>
            <w:r w:rsidRPr="00892DE3">
              <w:t>(a)</w:t>
            </w:r>
            <w:r w:rsidRPr="00892DE3">
              <w:tab/>
              <w:t>a sensitivity analysis for each type of market risk to which the entity is exposed at the end of the reporting period, showing how profit or loss and equity would have been affected by changes in the relevant risk variable that were reasonably possible at that date;</w:t>
            </w:r>
          </w:p>
          <w:p w:rsidR="0010764F" w:rsidRPr="00892DE3" w:rsidRDefault="0010764F" w:rsidP="0010764F">
            <w:pPr>
              <w:pStyle w:val="List"/>
            </w:pPr>
            <w:r w:rsidRPr="00892DE3">
              <w:t>(b)</w:t>
            </w:r>
            <w:r w:rsidRPr="00892DE3">
              <w:tab/>
              <w:t>the methods and assumptions used in preparing the sensitivity analysis; and</w:t>
            </w:r>
          </w:p>
          <w:p w:rsidR="0010764F" w:rsidRPr="00892DE3" w:rsidRDefault="0010764F" w:rsidP="0010764F">
            <w:pPr>
              <w:pStyle w:val="List"/>
            </w:pPr>
            <w:r w:rsidRPr="00892DE3">
              <w:t>(c)</w:t>
            </w:r>
            <w:r w:rsidRPr="00892DE3">
              <w:tab/>
              <w:t>changes from the previous period in the methods and assumptions used, and the reasons for such changes.</w:t>
            </w:r>
          </w:p>
          <w:p w:rsidR="0010764F" w:rsidRPr="00892DE3" w:rsidRDefault="0010764F" w:rsidP="0010764F">
            <w:pPr>
              <w:rPr>
                <w:b/>
              </w:rPr>
            </w:pPr>
            <w:r w:rsidRPr="00892DE3">
              <w:rPr>
                <w:b/>
              </w:rPr>
              <w:t>Further guidance for preparation of sensitivity analysis</w:t>
            </w:r>
          </w:p>
          <w:p w:rsidR="0010764F" w:rsidRPr="00892DE3" w:rsidRDefault="0010764F" w:rsidP="003F6B49">
            <w:pPr>
              <w:rPr>
                <w:b/>
              </w:rPr>
            </w:pPr>
            <w:r w:rsidRPr="00892DE3">
              <w:rPr>
                <w:b/>
              </w:rPr>
              <w:t>Interest rate risk sensitivity</w:t>
            </w:r>
          </w:p>
          <w:p w:rsidR="0010764F" w:rsidRPr="00892DE3" w:rsidRDefault="0010764F" w:rsidP="0010764F">
            <w:pPr>
              <w:pStyle w:val="ListBullet"/>
            </w:pPr>
            <w:r w:rsidRPr="00892DE3">
              <w:t>The carrying value of a floating rate interest bearing instrument valued at fair value would not be impacted by a change in interest rates, however the change in interest rates would result in a change in the interest earned (if interest rates increase, the interest earned on the instrument would also increase).</w:t>
            </w:r>
          </w:p>
          <w:p w:rsidR="0010764F" w:rsidRPr="00892DE3" w:rsidRDefault="0010764F" w:rsidP="0010764F">
            <w:pPr>
              <w:pStyle w:val="ListBullet"/>
            </w:pPr>
            <w:r w:rsidRPr="00892DE3">
              <w:t xml:space="preserve">The carrying value of a fixed rate interest bearing instrument valued at fair value would be impacted by a change in interest rates (if interest rates increase, the carrying value of the instrument would decrease, but the interest earned would not be impacted). </w:t>
            </w:r>
          </w:p>
          <w:p w:rsidR="0010764F" w:rsidRPr="00892DE3" w:rsidRDefault="0010764F" w:rsidP="0010764F">
            <w:pPr>
              <w:pStyle w:val="ListBullet"/>
            </w:pPr>
            <w:r w:rsidRPr="00892DE3">
              <w:t xml:space="preserve">The carrying value of a fixed rate interest bearing instrument valued at amortised cost would not be impacted by a change in interest rates and neither would the interest earned. </w:t>
            </w:r>
          </w:p>
          <w:p w:rsidR="0010764F" w:rsidRPr="00892DE3" w:rsidRDefault="0010764F" w:rsidP="0010764F">
            <w:pPr>
              <w:pStyle w:val="ListBullet"/>
            </w:pPr>
            <w:r w:rsidRPr="00892DE3">
              <w:t>The impacts resulting from the above will change to the extent that interest rate risk was hedged.</w:t>
            </w:r>
          </w:p>
          <w:p w:rsidR="0010764F" w:rsidRPr="00892DE3" w:rsidRDefault="0010764F" w:rsidP="0010764F">
            <w:r w:rsidRPr="00892DE3">
              <w:t xml:space="preserve">The balances to be used for the interest rate sensitivity analysis should be the period end balances. Where the year end balances are not reflective of the balance held through the year, narrative explaining this and the impact on the sensitivity analysis should be included as an additional disclosure. </w:t>
            </w:r>
            <w:r w:rsidRPr="00892DE3">
              <w:rPr>
                <w:rStyle w:val="SourceReference"/>
              </w:rPr>
              <w:t>[AASB 7.42]</w:t>
            </w:r>
          </w:p>
        </w:tc>
      </w:tr>
    </w:tbl>
    <w:p w:rsidR="00473478" w:rsidRPr="00892DE3" w:rsidRDefault="00473478"/>
    <w:tbl>
      <w:tblPr>
        <w:tblStyle w:val="ModelReportGuidanceTable"/>
        <w:tblW w:w="0" w:type="auto"/>
        <w:tblLook w:val="04A0" w:firstRow="1" w:lastRow="0" w:firstColumn="1" w:lastColumn="0" w:noHBand="0" w:noVBand="1"/>
      </w:tblPr>
      <w:tblGrid>
        <w:gridCol w:w="9752"/>
      </w:tblGrid>
      <w:tr w:rsidR="00473478" w:rsidRPr="00892DE3" w:rsidTr="005156D6">
        <w:trPr>
          <w:cnfStyle w:val="100000000000" w:firstRow="1" w:lastRow="0" w:firstColumn="0" w:lastColumn="0" w:oddVBand="0" w:evenVBand="0" w:oddHBand="0" w:evenHBand="0" w:firstRowFirstColumn="0" w:firstRowLastColumn="0" w:lastRowFirstColumn="0" w:lastRowLastColumn="0"/>
        </w:trPr>
        <w:tc>
          <w:tcPr>
            <w:tcW w:w="9752" w:type="dxa"/>
          </w:tcPr>
          <w:p w:rsidR="00473478" w:rsidRPr="00892DE3" w:rsidRDefault="00473478" w:rsidP="00473478">
            <w:r w:rsidRPr="00892DE3">
              <w:t xml:space="preserve">Guidance – Market risk disclosures </w:t>
            </w:r>
            <w:r w:rsidRPr="006932C9">
              <w:rPr>
                <w:i/>
              </w:rPr>
              <w:t>(continued)</w:t>
            </w:r>
          </w:p>
        </w:tc>
      </w:tr>
      <w:tr w:rsidR="00473478" w:rsidRPr="00892DE3" w:rsidTr="005156D6">
        <w:tc>
          <w:tcPr>
            <w:tcW w:w="9752" w:type="dxa"/>
          </w:tcPr>
          <w:p w:rsidR="00B962F7" w:rsidRPr="00892DE3" w:rsidRDefault="00B962F7" w:rsidP="00473478">
            <w:pPr>
              <w:rPr>
                <w:color w:val="auto"/>
              </w:rPr>
            </w:pPr>
            <w:r w:rsidRPr="00892DE3">
              <w:rPr>
                <w:noProof/>
                <w:lang w:eastAsia="en-AU"/>
              </w:rPr>
              <w:drawing>
                <wp:inline distT="0" distB="0" distL="0" distR="0" wp14:anchorId="01F3A089" wp14:editId="7A625D1E">
                  <wp:extent cx="6113780" cy="4784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13780" cy="4784725"/>
                          </a:xfrm>
                          <a:prstGeom prst="rect">
                            <a:avLst/>
                          </a:prstGeom>
                          <a:noFill/>
                          <a:ln>
                            <a:noFill/>
                          </a:ln>
                        </pic:spPr>
                      </pic:pic>
                    </a:graphicData>
                  </a:graphic>
                </wp:inline>
              </w:drawing>
            </w:r>
          </w:p>
          <w:p w:rsidR="00473478" w:rsidRPr="00892DE3" w:rsidRDefault="00473478" w:rsidP="003F6B49">
            <w:pPr>
              <w:rPr>
                <w:b/>
              </w:rPr>
            </w:pPr>
            <w:r w:rsidRPr="00892DE3">
              <w:rPr>
                <w:b/>
              </w:rPr>
              <w:t>Foreign currency risk sensitivity</w:t>
            </w:r>
          </w:p>
          <w:p w:rsidR="00473478" w:rsidRPr="00892DE3" w:rsidRDefault="00473478" w:rsidP="00473478">
            <w:r w:rsidRPr="00892DE3">
              <w:t xml:space="preserve">The sensitivity analysis on foreign currency risk should include foreign currency denominated investments items, and adjust their translation at the period end by the percentage of change in foreign currency rates determined to be reasonably possible. </w:t>
            </w:r>
          </w:p>
          <w:p w:rsidR="00473478" w:rsidRPr="00892DE3" w:rsidRDefault="00473478" w:rsidP="00473478">
            <w:r w:rsidRPr="00892DE3">
              <w:t>A positive number indicates an increase in the net result where the Australian dollar strengthens against the respective currency.</w:t>
            </w:r>
          </w:p>
          <w:p w:rsidR="00473478" w:rsidRPr="00892DE3" w:rsidRDefault="00473478" w:rsidP="00473478">
            <w:r w:rsidRPr="00892DE3">
              <w:t xml:space="preserve">The balances to be used for the foreign currency sensitivity analysis should be the period end balances. Where the year end balances are not reflective of the balance held through the year, narrative explaining this and the impact on the sensitivity analysis should be included as an additional disclosure. </w:t>
            </w:r>
            <w:r w:rsidRPr="00892DE3">
              <w:rPr>
                <w:rStyle w:val="SourceReference"/>
              </w:rPr>
              <w:t>[AASB 7.42]</w:t>
            </w:r>
          </w:p>
          <w:p w:rsidR="00473478" w:rsidRPr="00892DE3" w:rsidRDefault="00473478" w:rsidP="003F6B49">
            <w:pPr>
              <w:rPr>
                <w:b/>
              </w:rPr>
            </w:pPr>
            <w:r w:rsidRPr="00892DE3">
              <w:rPr>
                <w:b/>
              </w:rPr>
              <w:t>Other price risk sensitivity</w:t>
            </w:r>
          </w:p>
          <w:p w:rsidR="00473478" w:rsidRPr="00892DE3" w:rsidRDefault="00473478" w:rsidP="00473478">
            <w:r w:rsidRPr="00892DE3">
              <w:t xml:space="preserve">Equity price risk arises from equity investments (comprising both shares and investments in managed investment schemes). This price risk arises from listed and/or unlisted Australian and/or overseas securities. </w:t>
            </w:r>
          </w:p>
          <w:p w:rsidR="00473478" w:rsidRPr="00892DE3" w:rsidRDefault="00473478" w:rsidP="00473478">
            <w:r w:rsidRPr="00892DE3">
              <w:t>The sensitivity data collection for price risk is based on the:</w:t>
            </w:r>
          </w:p>
          <w:p w:rsidR="00473478" w:rsidRPr="00892DE3" w:rsidRDefault="00473478" w:rsidP="00473478">
            <w:pPr>
              <w:pStyle w:val="ListBullet"/>
            </w:pPr>
            <w:r w:rsidRPr="00892DE3">
              <w:t>exposure to the prices of listed equities (including managed investment schemes), and also unlisted equities (including managed investment schemes) both in Australia and overseas markets, at the end of the reporting period; and</w:t>
            </w:r>
          </w:p>
          <w:p w:rsidR="00473478" w:rsidRPr="00892DE3" w:rsidRDefault="00473478" w:rsidP="00473478">
            <w:pPr>
              <w:pStyle w:val="ListBullet"/>
            </w:pPr>
            <w:r w:rsidRPr="00892DE3">
              <w:t>stipulated change taking place at the beginning of the financial year and held constant throughout the reporting period.</w:t>
            </w:r>
          </w:p>
          <w:p w:rsidR="00473478" w:rsidRPr="00892DE3" w:rsidRDefault="00473478" w:rsidP="005156D6">
            <w:r w:rsidRPr="00892DE3">
              <w:t xml:space="preserve">The balances to be used for the other price risk sensitivity analysis should be the period end balances. Where the year end balances do not reflect the balance held through the year, narrative explaining this and the impact on the sensitivity analysis should be included as an additional disclosure. </w:t>
            </w:r>
            <w:r w:rsidRPr="00892DE3">
              <w:rPr>
                <w:rStyle w:val="SourceReference"/>
              </w:rPr>
              <w:t>[AASB 7.42]</w:t>
            </w:r>
          </w:p>
        </w:tc>
      </w:tr>
    </w:tbl>
    <w:p w:rsidR="005156D6" w:rsidRPr="00892DE3" w:rsidRDefault="005156D6"/>
    <w:p w:rsidR="005156D6" w:rsidRPr="00892DE3" w:rsidRDefault="005156D6">
      <w:r w:rsidRPr="00892DE3">
        <w:rPr>
          <w:b/>
        </w:rPr>
        <w:br w:type="page"/>
      </w:r>
    </w:p>
    <w:tbl>
      <w:tblPr>
        <w:tblStyle w:val="ModelReportGuidanceTable"/>
        <w:tblW w:w="0" w:type="auto"/>
        <w:tblLook w:val="04A0" w:firstRow="1" w:lastRow="0" w:firstColumn="1" w:lastColumn="0" w:noHBand="0" w:noVBand="1"/>
      </w:tblPr>
      <w:tblGrid>
        <w:gridCol w:w="9752"/>
      </w:tblGrid>
      <w:tr w:rsidR="005156D6" w:rsidRPr="00892DE3" w:rsidTr="005156D6">
        <w:trPr>
          <w:cnfStyle w:val="100000000000" w:firstRow="1" w:lastRow="0" w:firstColumn="0" w:lastColumn="0" w:oddVBand="0" w:evenVBand="0" w:oddHBand="0" w:evenHBand="0" w:firstRowFirstColumn="0" w:firstRowLastColumn="0" w:lastRowFirstColumn="0" w:lastRowLastColumn="0"/>
        </w:trPr>
        <w:tc>
          <w:tcPr>
            <w:tcW w:w="9752" w:type="dxa"/>
          </w:tcPr>
          <w:p w:rsidR="005156D6" w:rsidRPr="00892DE3" w:rsidRDefault="005156D6" w:rsidP="00082D03">
            <w:r w:rsidRPr="00892DE3">
              <w:t xml:space="preserve">Guidance – Market risk disclosures </w:t>
            </w:r>
            <w:r w:rsidRPr="006932C9">
              <w:rPr>
                <w:i/>
              </w:rPr>
              <w:t>(continued)</w:t>
            </w:r>
          </w:p>
        </w:tc>
      </w:tr>
      <w:tr w:rsidR="005156D6" w:rsidRPr="00892DE3" w:rsidTr="005156D6">
        <w:tc>
          <w:tcPr>
            <w:tcW w:w="9752" w:type="dxa"/>
          </w:tcPr>
          <w:p w:rsidR="005156D6" w:rsidRPr="00892DE3" w:rsidRDefault="005156D6" w:rsidP="005156D6">
            <w:r w:rsidRPr="00892DE3">
              <w:rPr>
                <w:b/>
              </w:rPr>
              <w:t>Value-at-risk</w:t>
            </w:r>
            <w:r w:rsidRPr="00892DE3">
              <w:t xml:space="preserve"> </w:t>
            </w:r>
            <w:r w:rsidRPr="00892DE3">
              <w:rPr>
                <w:rStyle w:val="SourceReference"/>
              </w:rPr>
              <w:t>[AASB 7.41]</w:t>
            </w:r>
          </w:p>
          <w:p w:rsidR="005156D6" w:rsidRPr="00892DE3" w:rsidRDefault="005156D6" w:rsidP="005156D6">
            <w:r w:rsidRPr="00892DE3">
              <w:t>If an entity uses value-at-risk for its sensitivity analysis, which reflects interdependencies between risk variables, and uses it to manage financial risks, it may use that sensitivity analysis in place of the analysis specified above. The entity shall also disclose:</w:t>
            </w:r>
          </w:p>
          <w:p w:rsidR="005156D6" w:rsidRPr="00892DE3" w:rsidRDefault="005156D6" w:rsidP="005156D6">
            <w:pPr>
              <w:pStyle w:val="List"/>
            </w:pPr>
            <w:r w:rsidRPr="00892DE3">
              <w:t>(a)</w:t>
            </w:r>
            <w:r w:rsidRPr="00892DE3">
              <w:tab/>
              <w:t>an explanation of the method used in preparing such a sensitivity analysis, and of the main parameters and assumptions underlying the data provided; and</w:t>
            </w:r>
          </w:p>
          <w:p w:rsidR="005156D6" w:rsidRPr="00892DE3" w:rsidRDefault="005156D6" w:rsidP="005156D6">
            <w:pPr>
              <w:pStyle w:val="List"/>
            </w:pPr>
            <w:r w:rsidRPr="00892DE3">
              <w:t>(b)</w:t>
            </w:r>
            <w:r w:rsidRPr="00892DE3">
              <w:tab/>
              <w:t>an explanation of the objective of the method used and of limitations that may result in the information not fully reflecting the fair value of the assets and liabilities involved.</w:t>
            </w:r>
          </w:p>
          <w:p w:rsidR="005156D6" w:rsidRPr="00892DE3" w:rsidRDefault="005156D6" w:rsidP="005156D6">
            <w:pPr>
              <w:rPr>
                <w:b/>
              </w:rPr>
            </w:pPr>
            <w:r w:rsidRPr="00892DE3">
              <w:rPr>
                <w:b/>
              </w:rPr>
              <w:t>Investments held through trusts or managed investments</w:t>
            </w:r>
          </w:p>
          <w:p w:rsidR="005156D6" w:rsidRPr="00892DE3" w:rsidRDefault="005156D6" w:rsidP="005156D6">
            <w:r w:rsidRPr="00892DE3">
              <w:t>Entities are not required to prepare sensitivity analyses for such investments on a look through basis. Sensitivity for these investments may be prepared on the price per unit level only, not on the individual investments in the trust or portfolio, and disclosed as other price risk sensitivity.</w:t>
            </w:r>
          </w:p>
          <w:p w:rsidR="005156D6" w:rsidRPr="00892DE3" w:rsidRDefault="005156D6" w:rsidP="005156D6">
            <w:pPr>
              <w:rPr>
                <w:noProof/>
                <w:lang w:eastAsia="en-AU"/>
              </w:rPr>
            </w:pPr>
            <w:r w:rsidRPr="00892DE3">
              <w:t>However, an entity that holds investments in unlisted bond trusts shall disclose the fact that the market values of such investments are impacted by market expectations of future interest rate changes and changes to official interest rates. The entity’s other price risk sensitivity analysis shall account for potential interest rate changes and the related impact on unit market price.</w:t>
            </w:r>
          </w:p>
        </w:tc>
      </w:tr>
    </w:tbl>
    <w:p w:rsidR="0070785E" w:rsidRPr="00892DE3" w:rsidRDefault="0070785E" w:rsidP="0019303F">
      <w:pPr>
        <w:pStyle w:val="Heading2"/>
      </w:pPr>
      <w:bookmarkStart w:id="154" w:name="_Toc477880063"/>
      <w:bookmarkStart w:id="155" w:name="_Toc481590269"/>
      <w:r w:rsidRPr="00892DE3">
        <w:t>Contingent assets and contingent liabilities</w:t>
      </w:r>
      <w:bookmarkEnd w:id="154"/>
      <w:bookmarkEnd w:id="155"/>
    </w:p>
    <w:p w:rsidR="0070785E" w:rsidRPr="00892DE3" w:rsidRDefault="0070785E" w:rsidP="0070785E">
      <w:r w:rsidRPr="00892DE3">
        <w:t>Contingent assets and contingent liabilities are not recognised in the balance sheet but are disclosed and, if quantifiable, are measured at nominal value.</w:t>
      </w:r>
    </w:p>
    <w:p w:rsidR="0070785E" w:rsidRPr="00892DE3" w:rsidRDefault="0070785E" w:rsidP="0070785E">
      <w:r w:rsidRPr="00892DE3">
        <w:t>Contingent assets and liabilities are presented inclusive of GST receivable or payable respectively.</w:t>
      </w:r>
    </w:p>
    <w:p w:rsidR="0070785E" w:rsidRPr="00892DE3" w:rsidRDefault="0070785E" w:rsidP="000D4F14">
      <w:pPr>
        <w:pStyle w:val="Heading30"/>
      </w:pPr>
      <w:r w:rsidRPr="00892DE3">
        <w:t>Contingent assets</w:t>
      </w:r>
    </w:p>
    <w:p w:rsidR="0070785E" w:rsidRPr="00892DE3" w:rsidRDefault="0070785E" w:rsidP="0070785E">
      <w:r w:rsidRPr="00892DE3">
        <w:t>Contingent assets are possible assets that arise from past events, whose existence will be confirmed only by the occurrence or non-occurrence of one or more uncertain future events not wholly within the control of the entity.</w:t>
      </w:r>
    </w:p>
    <w:p w:rsidR="0070785E" w:rsidRPr="00892DE3" w:rsidRDefault="0070785E" w:rsidP="0070785E">
      <w:r w:rsidRPr="00892DE3">
        <w:t>These are classified as either quantifiable, where the potential economic benefit is known, or non-quantifiable.</w:t>
      </w:r>
    </w:p>
    <w:p w:rsidR="0070785E" w:rsidRPr="00892DE3" w:rsidRDefault="0070785E" w:rsidP="0070785E">
      <w:pPr>
        <w:keepNext/>
        <w:tabs>
          <w:tab w:val="left" w:pos="1134"/>
          <w:tab w:val="right" w:pos="9639"/>
          <w:tab w:val="right" w:pos="14572"/>
        </w:tabs>
        <w:spacing w:before="240" w:after="60"/>
        <w:ind w:left="1134" w:hanging="1134"/>
        <w:rPr>
          <w:rFonts w:asciiTheme="majorHAnsi" w:hAnsiTheme="majorHAnsi"/>
          <w:b/>
          <w:szCs w:val="20"/>
        </w:rPr>
      </w:pPr>
      <w:r w:rsidRPr="00892DE3">
        <w:rPr>
          <w:rFonts w:asciiTheme="majorHAnsi" w:hAnsiTheme="majorHAnsi"/>
          <w:b/>
          <w:szCs w:val="20"/>
        </w:rPr>
        <w:t>Quantifiable contingent assets (arising from outside of government)</w:t>
      </w:r>
      <w:r w:rsidRPr="00892DE3">
        <w:rPr>
          <w:rFonts w:asciiTheme="majorHAnsi" w:hAnsiTheme="majorHAnsi"/>
          <w:b/>
          <w:szCs w:val="20"/>
        </w:rPr>
        <w:tab/>
        <w:t>($ thousand)</w:t>
      </w:r>
    </w:p>
    <w:tbl>
      <w:tblPr>
        <w:tblStyle w:val="DTFTable"/>
        <w:tblW w:w="9637" w:type="dxa"/>
        <w:tblLayout w:type="fixed"/>
        <w:tblLook w:val="06E0" w:firstRow="1" w:lastRow="1" w:firstColumn="1" w:lastColumn="0" w:noHBand="1" w:noVBand="1"/>
      </w:tblPr>
      <w:tblGrid>
        <w:gridCol w:w="7677"/>
        <w:gridCol w:w="980"/>
        <w:gridCol w:w="980"/>
      </w:tblGrid>
      <w:tr w:rsidR="0070785E" w:rsidRPr="00892DE3" w:rsidTr="00C95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7" w:type="dxa"/>
            <w:hideMark/>
          </w:tcPr>
          <w:p w:rsidR="0070785E" w:rsidRPr="00892DE3" w:rsidRDefault="0070785E" w:rsidP="00C95D19"/>
        </w:tc>
        <w:tc>
          <w:tcPr>
            <w:tcW w:w="980" w:type="dxa"/>
            <w:tcBorders>
              <w:bottom w:val="nil"/>
            </w:tcBorders>
            <w:noWrap/>
            <w:hideMark/>
          </w:tcPr>
          <w:p w:rsidR="0070785E" w:rsidRPr="00892DE3" w:rsidRDefault="0070785E" w:rsidP="00C95D19">
            <w:pPr>
              <w:cnfStyle w:val="100000000000" w:firstRow="1" w:lastRow="0" w:firstColumn="0" w:lastColumn="0" w:oddVBand="0" w:evenVBand="0" w:oddHBand="0" w:evenHBand="0" w:firstRowFirstColumn="0" w:firstRowLastColumn="0" w:lastRowFirstColumn="0" w:lastRowLastColumn="0"/>
            </w:pPr>
            <w:r w:rsidRPr="00892DE3">
              <w:t>2017</w:t>
            </w:r>
          </w:p>
        </w:tc>
        <w:tc>
          <w:tcPr>
            <w:tcW w:w="980" w:type="dxa"/>
            <w:noWrap/>
            <w:hideMark/>
          </w:tcPr>
          <w:p w:rsidR="0070785E" w:rsidRPr="00892DE3" w:rsidRDefault="0070785E" w:rsidP="00C95D19">
            <w:pPr>
              <w:cnfStyle w:val="100000000000" w:firstRow="1" w:lastRow="0" w:firstColumn="0" w:lastColumn="0" w:oddVBand="0" w:evenVBand="0" w:oddHBand="0" w:evenHBand="0" w:firstRowFirstColumn="0" w:firstRowLastColumn="0" w:lastRowFirstColumn="0" w:lastRowLastColumn="0"/>
            </w:pPr>
            <w:r w:rsidRPr="00892DE3">
              <w:t>2016</w:t>
            </w:r>
          </w:p>
        </w:tc>
      </w:tr>
      <w:tr w:rsidR="0070785E" w:rsidRPr="00892DE3" w:rsidTr="00C95D19">
        <w:tc>
          <w:tcPr>
            <w:cnfStyle w:val="001000000000" w:firstRow="0" w:lastRow="0" w:firstColumn="1" w:lastColumn="0" w:oddVBand="0" w:evenVBand="0" w:oddHBand="0" w:evenHBand="0" w:firstRowFirstColumn="0" w:firstRowLastColumn="0" w:lastRowFirstColumn="0" w:lastRowLastColumn="0"/>
            <w:tcW w:w="7677" w:type="dxa"/>
          </w:tcPr>
          <w:p w:rsidR="0070785E" w:rsidRPr="00892DE3" w:rsidRDefault="0070785E" w:rsidP="00C95D19">
            <w:r w:rsidRPr="00892DE3">
              <w:t>Contingent assets</w:t>
            </w:r>
          </w:p>
        </w:tc>
        <w:tc>
          <w:tcPr>
            <w:tcW w:w="980" w:type="dxa"/>
            <w:shd w:val="clear" w:color="auto" w:fill="EBEBEB" w:themeFill="background2"/>
            <w:noWrap/>
          </w:tcPr>
          <w:p w:rsidR="0070785E" w:rsidRPr="00892DE3" w:rsidRDefault="0070785E" w:rsidP="00C95D19">
            <w:pPr>
              <w:cnfStyle w:val="000000000000" w:firstRow="0" w:lastRow="0" w:firstColumn="0" w:lastColumn="0" w:oddVBand="0" w:evenVBand="0" w:oddHBand="0" w:evenHBand="0" w:firstRowFirstColumn="0" w:firstRowLastColumn="0" w:lastRowFirstColumn="0" w:lastRowLastColumn="0"/>
            </w:pPr>
          </w:p>
        </w:tc>
        <w:tc>
          <w:tcPr>
            <w:tcW w:w="980" w:type="dxa"/>
            <w:noWrap/>
          </w:tcPr>
          <w:p w:rsidR="0070785E" w:rsidRPr="00892DE3" w:rsidRDefault="0070785E" w:rsidP="00C95D19">
            <w:pPr>
              <w:cnfStyle w:val="000000000000" w:firstRow="0" w:lastRow="0" w:firstColumn="0" w:lastColumn="0" w:oddVBand="0" w:evenVBand="0" w:oddHBand="0" w:evenHBand="0" w:firstRowFirstColumn="0" w:firstRowLastColumn="0" w:lastRowFirstColumn="0" w:lastRowLastColumn="0"/>
            </w:pPr>
          </w:p>
        </w:tc>
      </w:tr>
      <w:tr w:rsidR="0070785E" w:rsidRPr="00892DE3" w:rsidTr="00C95D19">
        <w:tc>
          <w:tcPr>
            <w:cnfStyle w:val="001000000000" w:firstRow="0" w:lastRow="0" w:firstColumn="1" w:lastColumn="0" w:oddVBand="0" w:evenVBand="0" w:oddHBand="0" w:evenHBand="0" w:firstRowFirstColumn="0" w:firstRowLastColumn="0" w:lastRowFirstColumn="0" w:lastRowLastColumn="0"/>
            <w:tcW w:w="7677" w:type="dxa"/>
          </w:tcPr>
          <w:p w:rsidR="0070785E" w:rsidRPr="00892DE3" w:rsidRDefault="0070785E" w:rsidP="00C95D19">
            <w:r w:rsidRPr="00892DE3">
              <w:t xml:space="preserve">Guarantees </w:t>
            </w:r>
            <w:r w:rsidRPr="00892DE3">
              <w:rPr>
                <w:vertAlign w:val="superscript"/>
              </w:rPr>
              <w:t>(a)</w:t>
            </w:r>
          </w:p>
        </w:tc>
        <w:tc>
          <w:tcPr>
            <w:tcW w:w="980" w:type="dxa"/>
            <w:shd w:val="clear" w:color="auto" w:fill="EBEBEB" w:themeFill="background2"/>
            <w:noWrap/>
          </w:tcPr>
          <w:p w:rsidR="0070785E" w:rsidRPr="00892DE3" w:rsidRDefault="0070785E" w:rsidP="00C95D19">
            <w:pPr>
              <w:cnfStyle w:val="000000000000" w:firstRow="0" w:lastRow="0" w:firstColumn="0" w:lastColumn="0" w:oddVBand="0" w:evenVBand="0" w:oddHBand="0" w:evenHBand="0" w:firstRowFirstColumn="0" w:firstRowLastColumn="0" w:lastRowFirstColumn="0" w:lastRowLastColumn="0"/>
            </w:pPr>
            <w:r w:rsidRPr="00892DE3">
              <w:t>140</w:t>
            </w:r>
          </w:p>
        </w:tc>
        <w:tc>
          <w:tcPr>
            <w:tcW w:w="980" w:type="dxa"/>
            <w:noWrap/>
          </w:tcPr>
          <w:p w:rsidR="0070785E" w:rsidRPr="00892DE3" w:rsidRDefault="0070785E" w:rsidP="00C95D19">
            <w:pPr>
              <w:cnfStyle w:val="000000000000" w:firstRow="0" w:lastRow="0" w:firstColumn="0" w:lastColumn="0" w:oddVBand="0" w:evenVBand="0" w:oddHBand="0" w:evenHBand="0" w:firstRowFirstColumn="0" w:firstRowLastColumn="0" w:lastRowFirstColumn="0" w:lastRowLastColumn="0"/>
            </w:pPr>
            <w:r w:rsidRPr="00892DE3">
              <w:t>..</w:t>
            </w:r>
          </w:p>
        </w:tc>
      </w:tr>
      <w:tr w:rsidR="0070785E" w:rsidRPr="00892DE3" w:rsidTr="00C95D19">
        <w:tc>
          <w:tcPr>
            <w:cnfStyle w:val="001000000000" w:firstRow="0" w:lastRow="0" w:firstColumn="1" w:lastColumn="0" w:oddVBand="0" w:evenVBand="0" w:oddHBand="0" w:evenHBand="0" w:firstRowFirstColumn="0" w:firstRowLastColumn="0" w:lastRowFirstColumn="0" w:lastRowLastColumn="0"/>
            <w:tcW w:w="7677" w:type="dxa"/>
          </w:tcPr>
          <w:p w:rsidR="0070785E" w:rsidRPr="00892DE3" w:rsidRDefault="0070785E" w:rsidP="00C95D19">
            <w:r w:rsidRPr="00892DE3">
              <w:t>Early termination of contractual arrangement</w:t>
            </w:r>
          </w:p>
        </w:tc>
        <w:tc>
          <w:tcPr>
            <w:tcW w:w="980" w:type="dxa"/>
            <w:shd w:val="clear" w:color="auto" w:fill="EBEBEB" w:themeFill="background2"/>
            <w:noWrap/>
          </w:tcPr>
          <w:p w:rsidR="0070785E" w:rsidRPr="00892DE3" w:rsidRDefault="0070785E" w:rsidP="00C95D19">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tcPr>
          <w:p w:rsidR="0070785E" w:rsidRPr="00892DE3" w:rsidDel="00C22320" w:rsidRDefault="0070785E" w:rsidP="00C95D19">
            <w:pPr>
              <w:cnfStyle w:val="000000000000" w:firstRow="0" w:lastRow="0" w:firstColumn="0" w:lastColumn="0" w:oddVBand="0" w:evenVBand="0" w:oddHBand="0" w:evenHBand="0" w:firstRowFirstColumn="0" w:firstRowLastColumn="0" w:lastRowFirstColumn="0" w:lastRowLastColumn="0"/>
            </w:pPr>
            <w:r w:rsidRPr="00892DE3">
              <w:t>..</w:t>
            </w:r>
          </w:p>
        </w:tc>
      </w:tr>
      <w:tr w:rsidR="0070785E" w:rsidRPr="00892DE3" w:rsidTr="00C95D1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7" w:type="dxa"/>
          </w:tcPr>
          <w:p w:rsidR="0070785E" w:rsidRPr="00892DE3" w:rsidRDefault="0070785E" w:rsidP="00C95D19"/>
        </w:tc>
        <w:tc>
          <w:tcPr>
            <w:tcW w:w="980" w:type="dxa"/>
            <w:shd w:val="clear" w:color="auto" w:fill="EBEBEB" w:themeFill="background2"/>
            <w:noWrap/>
          </w:tcPr>
          <w:p w:rsidR="0070785E" w:rsidRPr="00892DE3" w:rsidRDefault="0070785E" w:rsidP="00C95D19">
            <w:pPr>
              <w:cnfStyle w:val="010000000000" w:firstRow="0" w:lastRow="1" w:firstColumn="0" w:lastColumn="0" w:oddVBand="0" w:evenVBand="0" w:oddHBand="0" w:evenHBand="0" w:firstRowFirstColumn="0" w:firstRowLastColumn="0" w:lastRowFirstColumn="0" w:lastRowLastColumn="0"/>
            </w:pPr>
            <w:r w:rsidRPr="00892DE3">
              <w:t>140</w:t>
            </w:r>
          </w:p>
        </w:tc>
        <w:tc>
          <w:tcPr>
            <w:tcW w:w="980" w:type="dxa"/>
            <w:noWrap/>
          </w:tcPr>
          <w:p w:rsidR="0070785E" w:rsidRPr="00892DE3" w:rsidRDefault="0070785E" w:rsidP="00C95D19">
            <w:pPr>
              <w:cnfStyle w:val="010000000000" w:firstRow="0" w:lastRow="1" w:firstColumn="0" w:lastColumn="0" w:oddVBand="0" w:evenVBand="0" w:oddHBand="0" w:evenHBand="0" w:firstRowFirstColumn="0" w:firstRowLastColumn="0" w:lastRowFirstColumn="0" w:lastRowLastColumn="0"/>
            </w:pPr>
            <w:r w:rsidRPr="00892DE3">
              <w:t>..</w:t>
            </w:r>
          </w:p>
        </w:tc>
      </w:tr>
    </w:tbl>
    <w:p w:rsidR="0070785E" w:rsidRPr="00892DE3" w:rsidRDefault="0070785E" w:rsidP="0070785E">
      <w:pPr>
        <w:spacing w:before="20"/>
        <w:ind w:left="284" w:hanging="284"/>
        <w:contextualSpacing/>
        <w:rPr>
          <w:rFonts w:asciiTheme="majorHAnsi" w:hAnsiTheme="majorHAnsi"/>
          <w:i/>
          <w:spacing w:val="-2"/>
          <w:sz w:val="14"/>
        </w:rPr>
      </w:pPr>
      <w:r w:rsidRPr="00892DE3">
        <w:rPr>
          <w:rFonts w:asciiTheme="majorHAnsi" w:hAnsiTheme="majorHAnsi"/>
          <w:i/>
          <w:spacing w:val="-2"/>
          <w:sz w:val="14"/>
        </w:rPr>
        <w:t xml:space="preserve">Note: </w:t>
      </w:r>
    </w:p>
    <w:p w:rsidR="0070785E" w:rsidRPr="00892DE3" w:rsidRDefault="0070785E" w:rsidP="0070785E">
      <w:pPr>
        <w:spacing w:before="20"/>
        <w:ind w:left="284" w:hanging="284"/>
        <w:contextualSpacing/>
        <w:rPr>
          <w:rFonts w:asciiTheme="majorHAnsi" w:hAnsiTheme="majorHAnsi"/>
          <w:i/>
          <w:spacing w:val="-2"/>
          <w:sz w:val="14"/>
        </w:rPr>
      </w:pPr>
      <w:r w:rsidRPr="00892DE3">
        <w:rPr>
          <w:rFonts w:asciiTheme="majorHAnsi" w:hAnsiTheme="majorHAnsi"/>
          <w:i/>
          <w:spacing w:val="-2"/>
          <w:sz w:val="14"/>
        </w:rPr>
        <w:t>(a)</w:t>
      </w:r>
      <w:r w:rsidRPr="00892DE3">
        <w:rPr>
          <w:rFonts w:asciiTheme="majorHAnsi" w:hAnsiTheme="majorHAnsi"/>
          <w:i/>
          <w:spacing w:val="-2"/>
          <w:sz w:val="14"/>
        </w:rPr>
        <w:tab/>
        <w:t>The Department has a claim outstanding against a supplier for the supply of faulty products. Based on negotiations to date, management believe that it may be possible to recover this amount.</w:t>
      </w:r>
    </w:p>
    <w:p w:rsidR="0070785E" w:rsidRPr="00892DE3" w:rsidRDefault="0070785E" w:rsidP="0070785E"/>
    <w:p w:rsidR="0070785E" w:rsidRPr="00892DE3" w:rsidRDefault="0070785E" w:rsidP="000D4F14">
      <w:pPr>
        <w:pStyle w:val="Heading30"/>
      </w:pPr>
      <w:r w:rsidRPr="00892DE3">
        <w:t>Contingent liabilities</w:t>
      </w:r>
    </w:p>
    <w:p w:rsidR="0070785E" w:rsidRPr="00892DE3" w:rsidRDefault="0070785E" w:rsidP="0070785E">
      <w:r w:rsidRPr="00892DE3">
        <w:t>Contingent liabilities are:</w:t>
      </w:r>
    </w:p>
    <w:p w:rsidR="0070785E" w:rsidRPr="00892DE3" w:rsidRDefault="0070785E" w:rsidP="0070785E">
      <w:pPr>
        <w:numPr>
          <w:ilvl w:val="0"/>
          <w:numId w:val="7"/>
        </w:numPr>
        <w:spacing w:before="60"/>
        <w:contextualSpacing/>
      </w:pPr>
      <w:r w:rsidRPr="00892DE3">
        <w:t>possible obligations that arise from past events, whose existence will be confirmed only by the occurrence or non-occurrence of one or more uncertain future events not wholly within the control of the entity; or</w:t>
      </w:r>
    </w:p>
    <w:p w:rsidR="0070785E" w:rsidRPr="00892DE3" w:rsidRDefault="0070785E" w:rsidP="0070785E">
      <w:pPr>
        <w:numPr>
          <w:ilvl w:val="0"/>
          <w:numId w:val="7"/>
        </w:numPr>
        <w:spacing w:before="60"/>
        <w:contextualSpacing/>
      </w:pPr>
      <w:r w:rsidRPr="00892DE3">
        <w:t>present obligations that arise from past events but are not recognised because:</w:t>
      </w:r>
    </w:p>
    <w:p w:rsidR="0070785E" w:rsidRPr="00892DE3" w:rsidRDefault="0070785E" w:rsidP="0070785E">
      <w:pPr>
        <w:numPr>
          <w:ilvl w:val="1"/>
          <w:numId w:val="7"/>
        </w:numPr>
        <w:spacing w:before="60"/>
        <w:contextualSpacing/>
      </w:pPr>
      <w:r w:rsidRPr="00892DE3">
        <w:t>it is not probable that an outflow of resources embodying economic benefits will be required to settle the obligations; or</w:t>
      </w:r>
    </w:p>
    <w:p w:rsidR="0070785E" w:rsidRPr="00892DE3" w:rsidRDefault="0070785E" w:rsidP="0070785E">
      <w:pPr>
        <w:numPr>
          <w:ilvl w:val="1"/>
          <w:numId w:val="7"/>
        </w:numPr>
        <w:spacing w:before="60"/>
        <w:contextualSpacing/>
      </w:pPr>
      <w:r w:rsidRPr="00892DE3">
        <w:t>the amount of the obligations cannot be measured with sufficient reliability.</w:t>
      </w:r>
    </w:p>
    <w:p w:rsidR="0070785E" w:rsidRPr="00892DE3" w:rsidRDefault="0070785E" w:rsidP="0070785E">
      <w:r w:rsidRPr="00892DE3">
        <w:t>Contingent liabilities are also classified as either quantifiable or non-quantifiable.</w:t>
      </w:r>
    </w:p>
    <w:p w:rsidR="0070785E" w:rsidRPr="00892DE3" w:rsidRDefault="0070785E" w:rsidP="000D4F14">
      <w:pPr>
        <w:pStyle w:val="Heading4"/>
      </w:pPr>
      <w:r w:rsidRPr="00892DE3">
        <w:t>Non-quantifiable contingent liabilities</w:t>
      </w:r>
    </w:p>
    <w:p w:rsidR="0070785E" w:rsidRPr="00892DE3" w:rsidRDefault="0070785E" w:rsidP="0070785E">
      <w:r w:rsidRPr="00892DE3">
        <w:t>A number of potential obligations are non-quantifiable at this time arising from:</w:t>
      </w:r>
    </w:p>
    <w:p w:rsidR="0070785E" w:rsidRPr="00892DE3" w:rsidRDefault="0070785E" w:rsidP="0070785E">
      <w:pPr>
        <w:numPr>
          <w:ilvl w:val="0"/>
          <w:numId w:val="7"/>
        </w:numPr>
        <w:spacing w:before="60"/>
        <w:contextualSpacing/>
      </w:pPr>
      <w:r w:rsidRPr="00892DE3">
        <w:t>indemnities provided in relation to transactions, including financial arrangements and consultancy services, as well as for directors and administrators;</w:t>
      </w:r>
    </w:p>
    <w:p w:rsidR="0070785E" w:rsidRPr="00892DE3" w:rsidRDefault="0070785E" w:rsidP="0070785E">
      <w:pPr>
        <w:numPr>
          <w:ilvl w:val="0"/>
          <w:numId w:val="7"/>
        </w:numPr>
        <w:spacing w:before="60"/>
        <w:contextualSpacing/>
      </w:pPr>
      <w:r w:rsidRPr="00892DE3">
        <w:t>performance guarantees, warranties, letters of comfort and the like;</w:t>
      </w:r>
    </w:p>
    <w:p w:rsidR="0070785E" w:rsidRPr="00892DE3" w:rsidRDefault="0070785E" w:rsidP="0070785E">
      <w:pPr>
        <w:numPr>
          <w:ilvl w:val="0"/>
          <w:numId w:val="7"/>
        </w:numPr>
        <w:spacing w:before="60"/>
        <w:contextualSpacing/>
      </w:pPr>
      <w:r w:rsidRPr="00892DE3">
        <w:t>deeds in respect of certain obligations; and</w:t>
      </w:r>
    </w:p>
    <w:p w:rsidR="0070785E" w:rsidRPr="00892DE3" w:rsidRDefault="0070785E" w:rsidP="0070785E">
      <w:pPr>
        <w:numPr>
          <w:ilvl w:val="0"/>
          <w:numId w:val="7"/>
        </w:numPr>
        <w:spacing w:before="60"/>
        <w:contextualSpacing/>
      </w:pPr>
      <w:r w:rsidRPr="00892DE3">
        <w:t>unclaimed monies, which may be subject to future claims by the general public against the State.</w:t>
      </w:r>
    </w:p>
    <w:p w:rsidR="0070785E" w:rsidRPr="00892DE3" w:rsidRDefault="0070785E" w:rsidP="0070785E">
      <w:pPr>
        <w:keepLines w:val="0"/>
        <w:rPr>
          <w:rFonts w:asciiTheme="majorHAnsi" w:eastAsiaTheme="majorEastAsia" w:hAnsiTheme="majorHAnsi" w:cstheme="majorBidi"/>
          <w:i/>
          <w:iCs/>
          <w:spacing w:val="0"/>
          <w:sz w:val="22"/>
          <w:szCs w:val="26"/>
        </w:rPr>
      </w:pPr>
      <w:r w:rsidRPr="00892DE3">
        <w:br w:type="page"/>
      </w:r>
      <w:r w:rsidRPr="00892DE3">
        <w:rPr>
          <w:rFonts w:asciiTheme="majorHAnsi" w:eastAsiaTheme="majorEastAsia" w:hAnsiTheme="majorHAnsi" w:cstheme="majorBidi"/>
          <w:i/>
          <w:iCs/>
          <w:spacing w:val="0"/>
          <w:sz w:val="20"/>
          <w:szCs w:val="26"/>
        </w:rPr>
        <w:t>Quantifiable contingent liabilities</w:t>
      </w:r>
    </w:p>
    <w:p w:rsidR="0070785E" w:rsidRPr="00892DE3" w:rsidRDefault="0070785E" w:rsidP="0070785E">
      <w:pPr>
        <w:keepNext/>
        <w:spacing w:before="0" w:after="60"/>
        <w:jc w:val="right"/>
        <w:rPr>
          <w:rFonts w:asciiTheme="majorHAnsi" w:hAnsiTheme="majorHAnsi"/>
          <w:b/>
          <w:szCs w:val="20"/>
        </w:rPr>
      </w:pPr>
      <w:r w:rsidRPr="00892DE3">
        <w:rPr>
          <w:rFonts w:asciiTheme="majorHAnsi" w:hAnsiTheme="majorHAnsi"/>
          <w:b/>
          <w:szCs w:val="20"/>
        </w:rPr>
        <w:t>($ thousand)</w:t>
      </w:r>
    </w:p>
    <w:tbl>
      <w:tblPr>
        <w:tblStyle w:val="DTFTable"/>
        <w:tblW w:w="9637" w:type="dxa"/>
        <w:tblLayout w:type="fixed"/>
        <w:tblLook w:val="06E0" w:firstRow="1" w:lastRow="1" w:firstColumn="1" w:lastColumn="0" w:noHBand="1" w:noVBand="1"/>
      </w:tblPr>
      <w:tblGrid>
        <w:gridCol w:w="7751"/>
        <w:gridCol w:w="970"/>
        <w:gridCol w:w="916"/>
      </w:tblGrid>
      <w:tr w:rsidR="0070785E" w:rsidRPr="00892DE3" w:rsidTr="000D4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1" w:type="dxa"/>
            <w:hideMark/>
          </w:tcPr>
          <w:p w:rsidR="0070785E" w:rsidRPr="00892DE3" w:rsidRDefault="0070785E" w:rsidP="000D4F14"/>
        </w:tc>
        <w:tc>
          <w:tcPr>
            <w:tcW w:w="970" w:type="dxa"/>
            <w:tcBorders>
              <w:bottom w:val="nil"/>
            </w:tcBorders>
            <w:noWrap/>
            <w:hideMark/>
          </w:tcPr>
          <w:p w:rsidR="0070785E" w:rsidRPr="00892DE3" w:rsidRDefault="0070785E" w:rsidP="000D4F14">
            <w:pPr>
              <w:cnfStyle w:val="100000000000" w:firstRow="1" w:lastRow="0" w:firstColumn="0" w:lastColumn="0" w:oddVBand="0" w:evenVBand="0" w:oddHBand="0" w:evenHBand="0" w:firstRowFirstColumn="0" w:firstRowLastColumn="0" w:lastRowFirstColumn="0" w:lastRowLastColumn="0"/>
            </w:pPr>
            <w:r w:rsidRPr="00892DE3">
              <w:t>2017</w:t>
            </w:r>
          </w:p>
        </w:tc>
        <w:tc>
          <w:tcPr>
            <w:tcW w:w="916" w:type="dxa"/>
            <w:noWrap/>
            <w:hideMark/>
          </w:tcPr>
          <w:p w:rsidR="0070785E" w:rsidRPr="00892DE3" w:rsidRDefault="0070785E" w:rsidP="000D4F14">
            <w:pPr>
              <w:cnfStyle w:val="100000000000" w:firstRow="1" w:lastRow="0" w:firstColumn="0" w:lastColumn="0" w:oddVBand="0" w:evenVBand="0" w:oddHBand="0" w:evenHBand="0" w:firstRowFirstColumn="0" w:firstRowLastColumn="0" w:lastRowFirstColumn="0" w:lastRowLastColumn="0"/>
            </w:pPr>
            <w:r w:rsidRPr="00892DE3">
              <w:t>2016</w:t>
            </w:r>
          </w:p>
        </w:tc>
      </w:tr>
      <w:tr w:rsidR="0070785E" w:rsidRPr="00892DE3" w:rsidTr="000D4F14">
        <w:tc>
          <w:tcPr>
            <w:cnfStyle w:val="001000000000" w:firstRow="0" w:lastRow="0" w:firstColumn="1" w:lastColumn="0" w:oddVBand="0" w:evenVBand="0" w:oddHBand="0" w:evenHBand="0" w:firstRowFirstColumn="0" w:firstRowLastColumn="0" w:lastRowFirstColumn="0" w:lastRowLastColumn="0"/>
            <w:tcW w:w="7751" w:type="dxa"/>
          </w:tcPr>
          <w:p w:rsidR="0070785E" w:rsidRPr="00892DE3" w:rsidRDefault="0070785E" w:rsidP="000D4F14">
            <w:r w:rsidRPr="00892DE3">
              <w:t>Legal proceedings and disputes</w:t>
            </w:r>
            <w:r w:rsidR="00302541" w:rsidRPr="00892DE3">
              <w:rPr>
                <w:vertAlign w:val="superscript"/>
              </w:rPr>
              <w:t xml:space="preserve"> (</w:t>
            </w:r>
            <w:r w:rsidR="000D4F14" w:rsidRPr="00892DE3">
              <w:rPr>
                <w:vertAlign w:val="superscript"/>
              </w:rPr>
              <w:t>a</w:t>
            </w:r>
            <w:r w:rsidRPr="00892DE3">
              <w:rPr>
                <w:vertAlign w:val="superscript"/>
              </w:rPr>
              <w:t>)</w:t>
            </w:r>
          </w:p>
        </w:tc>
        <w:tc>
          <w:tcPr>
            <w:tcW w:w="970" w:type="dxa"/>
            <w:shd w:val="clear" w:color="auto" w:fill="EBEBEB" w:themeFill="background2"/>
            <w:noWrap/>
          </w:tcPr>
          <w:p w:rsidR="0070785E" w:rsidRPr="00892DE3" w:rsidRDefault="0070785E" w:rsidP="000D4F14">
            <w:pPr>
              <w:cnfStyle w:val="000000000000" w:firstRow="0" w:lastRow="0" w:firstColumn="0" w:lastColumn="0" w:oddVBand="0" w:evenVBand="0" w:oddHBand="0" w:evenHBand="0" w:firstRowFirstColumn="0" w:firstRowLastColumn="0" w:lastRowFirstColumn="0" w:lastRowLastColumn="0"/>
            </w:pPr>
            <w:r w:rsidRPr="00892DE3">
              <w:t>250</w:t>
            </w:r>
          </w:p>
        </w:tc>
        <w:tc>
          <w:tcPr>
            <w:tcW w:w="916" w:type="dxa"/>
            <w:noWrap/>
          </w:tcPr>
          <w:p w:rsidR="0070785E" w:rsidRPr="00892DE3" w:rsidRDefault="0070785E" w:rsidP="000D4F14">
            <w:pPr>
              <w:cnfStyle w:val="000000000000" w:firstRow="0" w:lastRow="0" w:firstColumn="0" w:lastColumn="0" w:oddVBand="0" w:evenVBand="0" w:oddHBand="0" w:evenHBand="0" w:firstRowFirstColumn="0" w:firstRowLastColumn="0" w:lastRowFirstColumn="0" w:lastRowLastColumn="0"/>
            </w:pPr>
            <w:r w:rsidRPr="00892DE3">
              <w:t>210</w:t>
            </w:r>
          </w:p>
        </w:tc>
      </w:tr>
      <w:tr w:rsidR="0070785E" w:rsidRPr="00892DE3" w:rsidTr="000D4F14">
        <w:tc>
          <w:tcPr>
            <w:cnfStyle w:val="001000000000" w:firstRow="0" w:lastRow="0" w:firstColumn="1" w:lastColumn="0" w:oddVBand="0" w:evenVBand="0" w:oddHBand="0" w:evenHBand="0" w:firstRowFirstColumn="0" w:firstRowLastColumn="0" w:lastRowFirstColumn="0" w:lastRowLastColumn="0"/>
            <w:tcW w:w="7751" w:type="dxa"/>
          </w:tcPr>
          <w:p w:rsidR="0070785E" w:rsidRPr="00892DE3" w:rsidRDefault="0070785E" w:rsidP="000D4F14">
            <w:r w:rsidRPr="00892DE3">
              <w:t xml:space="preserve">Share of an associate’s contingent liabilities </w:t>
            </w:r>
            <w:r w:rsidR="00302541" w:rsidRPr="00892DE3">
              <w:rPr>
                <w:vertAlign w:val="superscript"/>
              </w:rPr>
              <w:t>(</w:t>
            </w:r>
            <w:r w:rsidR="000D4F14" w:rsidRPr="00892DE3">
              <w:rPr>
                <w:vertAlign w:val="superscript"/>
              </w:rPr>
              <w:t>b</w:t>
            </w:r>
            <w:r w:rsidRPr="00892DE3">
              <w:rPr>
                <w:vertAlign w:val="superscript"/>
              </w:rPr>
              <w:t>)</w:t>
            </w:r>
          </w:p>
        </w:tc>
        <w:tc>
          <w:tcPr>
            <w:tcW w:w="970" w:type="dxa"/>
            <w:shd w:val="clear" w:color="auto" w:fill="EBEBEB" w:themeFill="background2"/>
            <w:noWrap/>
          </w:tcPr>
          <w:p w:rsidR="0070785E" w:rsidRPr="00892DE3" w:rsidRDefault="0070785E" w:rsidP="000D4F14">
            <w:pPr>
              <w:cnfStyle w:val="000000000000" w:firstRow="0" w:lastRow="0" w:firstColumn="0" w:lastColumn="0" w:oddVBand="0" w:evenVBand="0" w:oddHBand="0" w:evenHBand="0" w:firstRowFirstColumn="0" w:firstRowLastColumn="0" w:lastRowFirstColumn="0" w:lastRowLastColumn="0"/>
            </w:pPr>
            <w:r w:rsidRPr="00892DE3">
              <w:t>..</w:t>
            </w:r>
          </w:p>
        </w:tc>
        <w:tc>
          <w:tcPr>
            <w:tcW w:w="916" w:type="dxa"/>
            <w:noWrap/>
          </w:tcPr>
          <w:p w:rsidR="0070785E" w:rsidRPr="00892DE3" w:rsidRDefault="0070785E" w:rsidP="000D4F14">
            <w:pPr>
              <w:cnfStyle w:val="000000000000" w:firstRow="0" w:lastRow="0" w:firstColumn="0" w:lastColumn="0" w:oddVBand="0" w:evenVBand="0" w:oddHBand="0" w:evenHBand="0" w:firstRowFirstColumn="0" w:firstRowLastColumn="0" w:lastRowFirstColumn="0" w:lastRowLastColumn="0"/>
            </w:pPr>
            <w:r w:rsidRPr="00892DE3">
              <w:t>..</w:t>
            </w:r>
          </w:p>
        </w:tc>
      </w:tr>
      <w:tr w:rsidR="0070785E" w:rsidRPr="00892DE3" w:rsidTr="000D4F14">
        <w:tc>
          <w:tcPr>
            <w:cnfStyle w:val="001000000000" w:firstRow="0" w:lastRow="0" w:firstColumn="1" w:lastColumn="0" w:oddVBand="0" w:evenVBand="0" w:oddHBand="0" w:evenHBand="0" w:firstRowFirstColumn="0" w:firstRowLastColumn="0" w:lastRowFirstColumn="0" w:lastRowLastColumn="0"/>
            <w:tcW w:w="7751" w:type="dxa"/>
          </w:tcPr>
          <w:p w:rsidR="0070785E" w:rsidRPr="00892DE3" w:rsidRDefault="0070785E" w:rsidP="000D4F14">
            <w:r w:rsidRPr="00892DE3">
              <w:t>Share of a joint ventures’ contingent liabilities</w:t>
            </w:r>
          </w:p>
        </w:tc>
        <w:tc>
          <w:tcPr>
            <w:tcW w:w="970" w:type="dxa"/>
            <w:shd w:val="clear" w:color="auto" w:fill="EBEBEB" w:themeFill="background2"/>
            <w:noWrap/>
          </w:tcPr>
          <w:p w:rsidR="0070785E" w:rsidRPr="00892DE3" w:rsidRDefault="0070785E" w:rsidP="000D4F14">
            <w:pPr>
              <w:cnfStyle w:val="000000000000" w:firstRow="0" w:lastRow="0" w:firstColumn="0" w:lastColumn="0" w:oddVBand="0" w:evenVBand="0" w:oddHBand="0" w:evenHBand="0" w:firstRowFirstColumn="0" w:firstRowLastColumn="0" w:lastRowFirstColumn="0" w:lastRowLastColumn="0"/>
            </w:pPr>
            <w:r w:rsidRPr="00892DE3">
              <w:t>..</w:t>
            </w:r>
          </w:p>
        </w:tc>
        <w:tc>
          <w:tcPr>
            <w:tcW w:w="916" w:type="dxa"/>
            <w:noWrap/>
          </w:tcPr>
          <w:p w:rsidR="0070785E" w:rsidRPr="00892DE3" w:rsidRDefault="0070785E" w:rsidP="000D4F14">
            <w:pPr>
              <w:cnfStyle w:val="000000000000" w:firstRow="0" w:lastRow="0" w:firstColumn="0" w:lastColumn="0" w:oddVBand="0" w:evenVBand="0" w:oddHBand="0" w:evenHBand="0" w:firstRowFirstColumn="0" w:firstRowLastColumn="0" w:lastRowFirstColumn="0" w:lastRowLastColumn="0"/>
            </w:pPr>
            <w:r w:rsidRPr="00892DE3">
              <w:t>..</w:t>
            </w:r>
          </w:p>
        </w:tc>
      </w:tr>
      <w:tr w:rsidR="0070785E" w:rsidRPr="00892DE3" w:rsidTr="000D4F14">
        <w:tc>
          <w:tcPr>
            <w:cnfStyle w:val="001000000000" w:firstRow="0" w:lastRow="0" w:firstColumn="1" w:lastColumn="0" w:oddVBand="0" w:evenVBand="0" w:oddHBand="0" w:evenHBand="0" w:firstRowFirstColumn="0" w:firstRowLastColumn="0" w:lastRowFirstColumn="0" w:lastRowLastColumn="0"/>
            <w:tcW w:w="7751" w:type="dxa"/>
          </w:tcPr>
          <w:p w:rsidR="0070785E" w:rsidRPr="00892DE3" w:rsidRDefault="0070785E" w:rsidP="000D4F14">
            <w:r w:rsidRPr="00892DE3">
              <w:t xml:space="preserve">Guarantees for loans to other entities </w:t>
            </w:r>
            <w:r w:rsidR="000D4F14" w:rsidRPr="00892DE3">
              <w:rPr>
                <w:vertAlign w:val="superscript"/>
              </w:rPr>
              <w:t>(c</w:t>
            </w:r>
            <w:r w:rsidRPr="00892DE3">
              <w:rPr>
                <w:vertAlign w:val="superscript"/>
              </w:rPr>
              <w:t>)</w:t>
            </w:r>
          </w:p>
        </w:tc>
        <w:tc>
          <w:tcPr>
            <w:tcW w:w="970" w:type="dxa"/>
            <w:shd w:val="clear" w:color="auto" w:fill="EBEBEB" w:themeFill="background2"/>
            <w:noWrap/>
          </w:tcPr>
          <w:p w:rsidR="0070785E" w:rsidRPr="00892DE3" w:rsidRDefault="0070785E" w:rsidP="000D4F14">
            <w:pPr>
              <w:cnfStyle w:val="000000000000" w:firstRow="0" w:lastRow="0" w:firstColumn="0" w:lastColumn="0" w:oddVBand="0" w:evenVBand="0" w:oddHBand="0" w:evenHBand="0" w:firstRowFirstColumn="0" w:firstRowLastColumn="0" w:lastRowFirstColumn="0" w:lastRowLastColumn="0"/>
            </w:pPr>
            <w:r w:rsidRPr="00892DE3">
              <w:t>200</w:t>
            </w:r>
          </w:p>
        </w:tc>
        <w:tc>
          <w:tcPr>
            <w:tcW w:w="916" w:type="dxa"/>
            <w:noWrap/>
          </w:tcPr>
          <w:p w:rsidR="0070785E" w:rsidRPr="00892DE3" w:rsidRDefault="0070785E" w:rsidP="000D4F14">
            <w:pPr>
              <w:cnfStyle w:val="000000000000" w:firstRow="0" w:lastRow="0" w:firstColumn="0" w:lastColumn="0" w:oddVBand="0" w:evenVBand="0" w:oddHBand="0" w:evenHBand="0" w:firstRowFirstColumn="0" w:firstRowLastColumn="0" w:lastRowFirstColumn="0" w:lastRowLastColumn="0"/>
            </w:pPr>
            <w:r w:rsidRPr="00892DE3">
              <w:t>200</w:t>
            </w:r>
          </w:p>
        </w:tc>
      </w:tr>
      <w:tr w:rsidR="0070785E" w:rsidRPr="00892DE3" w:rsidTr="000D4F14">
        <w:tc>
          <w:tcPr>
            <w:cnfStyle w:val="001000000000" w:firstRow="0" w:lastRow="0" w:firstColumn="1" w:lastColumn="0" w:oddVBand="0" w:evenVBand="0" w:oddHBand="0" w:evenHBand="0" w:firstRowFirstColumn="0" w:firstRowLastColumn="0" w:lastRowFirstColumn="0" w:lastRowLastColumn="0"/>
            <w:tcW w:w="7751" w:type="dxa"/>
          </w:tcPr>
          <w:p w:rsidR="0070785E" w:rsidRPr="00892DE3" w:rsidRDefault="0070785E" w:rsidP="000D4F14">
            <w:pPr>
              <w:rPr>
                <w:b/>
              </w:rPr>
            </w:pPr>
            <w:r w:rsidRPr="00892DE3">
              <w:rPr>
                <w:b/>
              </w:rPr>
              <w:t>Total</w:t>
            </w:r>
          </w:p>
        </w:tc>
        <w:tc>
          <w:tcPr>
            <w:tcW w:w="970" w:type="dxa"/>
            <w:shd w:val="clear" w:color="auto" w:fill="EBEBEB" w:themeFill="background2"/>
            <w:noWrap/>
          </w:tcPr>
          <w:p w:rsidR="0070785E" w:rsidRPr="00892DE3" w:rsidRDefault="0070785E" w:rsidP="000D4F14">
            <w:pPr>
              <w:cnfStyle w:val="000000000000" w:firstRow="0" w:lastRow="0" w:firstColumn="0" w:lastColumn="0" w:oddVBand="0" w:evenVBand="0" w:oddHBand="0" w:evenHBand="0" w:firstRowFirstColumn="0" w:firstRowLastColumn="0" w:lastRowFirstColumn="0" w:lastRowLastColumn="0"/>
              <w:rPr>
                <w:b/>
              </w:rPr>
            </w:pPr>
            <w:r w:rsidRPr="00892DE3">
              <w:rPr>
                <w:b/>
              </w:rPr>
              <w:t>450</w:t>
            </w:r>
          </w:p>
        </w:tc>
        <w:tc>
          <w:tcPr>
            <w:tcW w:w="916" w:type="dxa"/>
            <w:noWrap/>
          </w:tcPr>
          <w:p w:rsidR="0070785E" w:rsidRPr="00892DE3" w:rsidRDefault="0070785E" w:rsidP="000D4F14">
            <w:pPr>
              <w:cnfStyle w:val="000000000000" w:firstRow="0" w:lastRow="0" w:firstColumn="0" w:lastColumn="0" w:oddVBand="0" w:evenVBand="0" w:oddHBand="0" w:evenHBand="0" w:firstRowFirstColumn="0" w:firstRowLastColumn="0" w:lastRowFirstColumn="0" w:lastRowLastColumn="0"/>
              <w:rPr>
                <w:b/>
              </w:rPr>
            </w:pPr>
            <w:r w:rsidRPr="00892DE3">
              <w:rPr>
                <w:b/>
              </w:rPr>
              <w:t>410</w:t>
            </w:r>
          </w:p>
        </w:tc>
      </w:tr>
      <w:tr w:rsidR="0070785E" w:rsidRPr="00892DE3" w:rsidTr="000D4F1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1" w:type="dxa"/>
          </w:tcPr>
          <w:p w:rsidR="0070785E" w:rsidRPr="00892DE3" w:rsidRDefault="0070785E" w:rsidP="000D4F14">
            <w:r w:rsidRPr="00892DE3">
              <w:t xml:space="preserve">The Department is severally liable for all/part of the liabilities of an associate, [name] </w:t>
            </w:r>
            <w:r w:rsidR="000D4F14" w:rsidRPr="00892DE3">
              <w:rPr>
                <w:vertAlign w:val="superscript"/>
              </w:rPr>
              <w:t>(d</w:t>
            </w:r>
            <w:r w:rsidRPr="00892DE3">
              <w:rPr>
                <w:vertAlign w:val="superscript"/>
              </w:rPr>
              <w:t>)</w:t>
            </w:r>
          </w:p>
        </w:tc>
        <w:tc>
          <w:tcPr>
            <w:tcW w:w="970" w:type="dxa"/>
            <w:shd w:val="clear" w:color="auto" w:fill="EBEBEB" w:themeFill="background2"/>
            <w:noWrap/>
          </w:tcPr>
          <w:p w:rsidR="0070785E" w:rsidRPr="00892DE3" w:rsidRDefault="0070785E" w:rsidP="000D4F14">
            <w:pPr>
              <w:cnfStyle w:val="010000000000" w:firstRow="0" w:lastRow="1" w:firstColumn="0" w:lastColumn="0" w:oddVBand="0" w:evenVBand="0" w:oddHBand="0" w:evenHBand="0" w:firstRowFirstColumn="0" w:firstRowLastColumn="0" w:lastRowFirstColumn="0" w:lastRowLastColumn="0"/>
            </w:pPr>
          </w:p>
        </w:tc>
        <w:tc>
          <w:tcPr>
            <w:tcW w:w="916" w:type="dxa"/>
            <w:noWrap/>
          </w:tcPr>
          <w:p w:rsidR="0070785E" w:rsidRPr="00892DE3" w:rsidRDefault="0070785E" w:rsidP="000D4F14">
            <w:pPr>
              <w:cnfStyle w:val="010000000000" w:firstRow="0" w:lastRow="1" w:firstColumn="0" w:lastColumn="0" w:oddVBand="0" w:evenVBand="0" w:oddHBand="0" w:evenHBand="0" w:firstRowFirstColumn="0" w:firstRowLastColumn="0" w:lastRowFirstColumn="0" w:lastRowLastColumn="0"/>
            </w:pPr>
          </w:p>
        </w:tc>
      </w:tr>
    </w:tbl>
    <w:p w:rsidR="0070785E" w:rsidRPr="00892DE3" w:rsidRDefault="0070785E" w:rsidP="0070785E">
      <w:pPr>
        <w:spacing w:before="20"/>
        <w:ind w:left="284" w:hanging="284"/>
        <w:contextualSpacing/>
        <w:rPr>
          <w:rFonts w:asciiTheme="majorHAnsi" w:hAnsiTheme="majorHAnsi"/>
          <w:i/>
          <w:spacing w:val="-2"/>
          <w:sz w:val="14"/>
        </w:rPr>
      </w:pPr>
      <w:r w:rsidRPr="00892DE3">
        <w:rPr>
          <w:rFonts w:asciiTheme="majorHAnsi" w:hAnsiTheme="majorHAnsi"/>
          <w:i/>
          <w:spacing w:val="-2"/>
          <w:sz w:val="14"/>
        </w:rPr>
        <w:t>Notes:</w:t>
      </w:r>
    </w:p>
    <w:p w:rsidR="0070785E" w:rsidRPr="00892DE3" w:rsidRDefault="00302541" w:rsidP="0070785E">
      <w:pPr>
        <w:spacing w:before="20"/>
        <w:ind w:left="284" w:hanging="284"/>
        <w:contextualSpacing/>
        <w:rPr>
          <w:rFonts w:asciiTheme="majorHAnsi" w:hAnsiTheme="majorHAnsi"/>
          <w:i/>
          <w:spacing w:val="-2"/>
          <w:sz w:val="14"/>
        </w:rPr>
      </w:pPr>
      <w:r w:rsidRPr="00892DE3">
        <w:rPr>
          <w:rFonts w:asciiTheme="majorHAnsi" w:hAnsiTheme="majorHAnsi"/>
          <w:i/>
          <w:spacing w:val="-2"/>
          <w:sz w:val="14"/>
        </w:rPr>
        <w:t>(</w:t>
      </w:r>
      <w:r w:rsidR="000D4F14" w:rsidRPr="00892DE3">
        <w:rPr>
          <w:rFonts w:asciiTheme="majorHAnsi" w:hAnsiTheme="majorHAnsi"/>
          <w:i/>
          <w:spacing w:val="-2"/>
          <w:sz w:val="14"/>
        </w:rPr>
        <w:t>a</w:t>
      </w:r>
      <w:r w:rsidR="0070785E" w:rsidRPr="00892DE3">
        <w:rPr>
          <w:rFonts w:asciiTheme="majorHAnsi" w:hAnsiTheme="majorHAnsi"/>
          <w:i/>
          <w:spacing w:val="-2"/>
          <w:sz w:val="14"/>
        </w:rPr>
        <w:t>)</w:t>
      </w:r>
      <w:r w:rsidR="0070785E" w:rsidRPr="00892DE3">
        <w:rPr>
          <w:rFonts w:asciiTheme="majorHAnsi" w:hAnsiTheme="majorHAnsi"/>
          <w:i/>
          <w:spacing w:val="-2"/>
          <w:sz w:val="14"/>
        </w:rPr>
        <w:tab/>
        <w:t>Claims for damages were lodged during the year against the Department and certain staff in relation to alleged non-performance under a technology contract. The Department has disclaimed liability and is defending the action.</w:t>
      </w:r>
    </w:p>
    <w:p w:rsidR="0070785E" w:rsidRPr="00892DE3" w:rsidRDefault="0070785E" w:rsidP="0070785E">
      <w:pPr>
        <w:spacing w:before="20"/>
        <w:ind w:left="284" w:hanging="284"/>
        <w:contextualSpacing/>
        <w:rPr>
          <w:rFonts w:asciiTheme="majorHAnsi" w:hAnsiTheme="majorHAnsi"/>
          <w:i/>
          <w:spacing w:val="-2"/>
          <w:sz w:val="14"/>
        </w:rPr>
      </w:pPr>
      <w:r w:rsidRPr="00892DE3">
        <w:rPr>
          <w:rFonts w:asciiTheme="majorHAnsi" w:hAnsiTheme="majorHAnsi"/>
          <w:i/>
          <w:spacing w:val="-2"/>
          <w:sz w:val="14"/>
        </w:rPr>
        <w:t>(</w:t>
      </w:r>
      <w:r w:rsidR="000D4F14" w:rsidRPr="00892DE3">
        <w:rPr>
          <w:rFonts w:asciiTheme="majorHAnsi" w:hAnsiTheme="majorHAnsi"/>
          <w:i/>
          <w:spacing w:val="-2"/>
          <w:sz w:val="14"/>
        </w:rPr>
        <w:t>b</w:t>
      </w:r>
      <w:r w:rsidRPr="00892DE3">
        <w:rPr>
          <w:rFonts w:asciiTheme="majorHAnsi" w:hAnsiTheme="majorHAnsi"/>
          <w:i/>
          <w:spacing w:val="-2"/>
          <w:sz w:val="14"/>
        </w:rPr>
        <w:t>)</w:t>
      </w:r>
      <w:r w:rsidRPr="00892DE3">
        <w:rPr>
          <w:rFonts w:asciiTheme="majorHAnsi" w:hAnsiTheme="majorHAnsi"/>
          <w:i/>
          <w:spacing w:val="-2"/>
          <w:sz w:val="14"/>
        </w:rPr>
        <w:tab/>
        <w:t>The extent to which an outflow of funds will be required is dependent on the future operations of the associate being more or less favourable than currently expected.</w:t>
      </w:r>
    </w:p>
    <w:p w:rsidR="0070785E" w:rsidRPr="00892DE3" w:rsidRDefault="000D4F14" w:rsidP="0070785E">
      <w:pPr>
        <w:spacing w:before="20"/>
        <w:ind w:left="284" w:hanging="284"/>
        <w:contextualSpacing/>
        <w:rPr>
          <w:rFonts w:asciiTheme="majorHAnsi" w:hAnsiTheme="majorHAnsi"/>
          <w:i/>
          <w:spacing w:val="-2"/>
          <w:sz w:val="14"/>
        </w:rPr>
      </w:pPr>
      <w:r w:rsidRPr="00892DE3">
        <w:rPr>
          <w:rFonts w:asciiTheme="majorHAnsi" w:hAnsiTheme="majorHAnsi"/>
          <w:i/>
          <w:spacing w:val="-2"/>
          <w:sz w:val="14"/>
        </w:rPr>
        <w:t>(c</w:t>
      </w:r>
      <w:r w:rsidR="0070785E" w:rsidRPr="00892DE3">
        <w:rPr>
          <w:rFonts w:asciiTheme="majorHAnsi" w:hAnsiTheme="majorHAnsi"/>
          <w:i/>
          <w:spacing w:val="-2"/>
          <w:sz w:val="14"/>
        </w:rPr>
        <w:t>)</w:t>
      </w:r>
      <w:r w:rsidR="0070785E" w:rsidRPr="00892DE3">
        <w:rPr>
          <w:rFonts w:asciiTheme="majorHAnsi" w:hAnsiTheme="majorHAnsi"/>
          <w:i/>
          <w:spacing w:val="-2"/>
          <w:sz w:val="14"/>
        </w:rPr>
        <w:tab/>
        <w:t>The amount disclosed for financial guarantee in this note is the nominal amount of the underlying loan that is guaranteed by the Department, not the fair value of the financial guarantee. The Department has reviewed its financial guarantees and determined there is no material liability to be recognised for financial guarantee contracts at 30 June 2016.</w:t>
      </w:r>
    </w:p>
    <w:p w:rsidR="0070785E" w:rsidRPr="00892DE3" w:rsidRDefault="0070785E" w:rsidP="0070785E">
      <w:pPr>
        <w:spacing w:before="20"/>
        <w:ind w:left="284" w:hanging="284"/>
        <w:contextualSpacing/>
        <w:rPr>
          <w:rFonts w:asciiTheme="majorHAnsi" w:hAnsiTheme="majorHAnsi"/>
          <w:i/>
          <w:spacing w:val="-2"/>
          <w:sz w:val="14"/>
        </w:rPr>
      </w:pPr>
      <w:r w:rsidRPr="00892DE3">
        <w:rPr>
          <w:rFonts w:asciiTheme="majorHAnsi" w:hAnsiTheme="majorHAnsi"/>
          <w:i/>
          <w:spacing w:val="-2"/>
          <w:sz w:val="14"/>
        </w:rPr>
        <w:t>(</w:t>
      </w:r>
      <w:r w:rsidR="000D4F14" w:rsidRPr="00892DE3">
        <w:rPr>
          <w:rFonts w:asciiTheme="majorHAnsi" w:hAnsiTheme="majorHAnsi"/>
          <w:i/>
          <w:spacing w:val="-2"/>
          <w:sz w:val="14"/>
        </w:rPr>
        <w:t>d</w:t>
      </w:r>
      <w:r w:rsidRPr="00892DE3">
        <w:rPr>
          <w:rFonts w:asciiTheme="majorHAnsi" w:hAnsiTheme="majorHAnsi"/>
          <w:i/>
          <w:spacing w:val="-2"/>
          <w:sz w:val="14"/>
        </w:rPr>
        <w:t>)</w:t>
      </w:r>
      <w:r w:rsidRPr="00892DE3">
        <w:rPr>
          <w:rFonts w:asciiTheme="majorHAnsi" w:hAnsiTheme="majorHAnsi"/>
          <w:i/>
          <w:spacing w:val="-2"/>
          <w:sz w:val="14"/>
        </w:rPr>
        <w:tab/>
        <w:t>The Department’s joint and several liabilities for the liabilities of [name] will only be called upon in the event of default by [name]. The term of this arrangement is indefinite. The amount disclosed as a contingent liability is the aggregate liabilities of [name] as at 30 June 2016. The extent to which an outflow of funds will be required is dependent on the future operations of [name] being more or less favourable than currently expected.</w:t>
      </w:r>
    </w:p>
    <w:p w:rsidR="0070785E" w:rsidRPr="00892DE3" w:rsidRDefault="0070785E" w:rsidP="0070785E"/>
    <w:tbl>
      <w:tblPr>
        <w:tblStyle w:val="ModelReportGuidanceTable"/>
        <w:tblW w:w="0" w:type="auto"/>
        <w:tblLook w:val="04A0" w:firstRow="1" w:lastRow="0" w:firstColumn="1" w:lastColumn="0" w:noHBand="0" w:noVBand="1"/>
      </w:tblPr>
      <w:tblGrid>
        <w:gridCol w:w="9752"/>
      </w:tblGrid>
      <w:tr w:rsidR="0070785E" w:rsidRPr="00892DE3" w:rsidTr="00C85AA1">
        <w:trPr>
          <w:cnfStyle w:val="100000000000" w:firstRow="1" w:lastRow="0" w:firstColumn="0" w:lastColumn="0" w:oddVBand="0" w:evenVBand="0" w:oddHBand="0" w:evenHBand="0" w:firstRowFirstColumn="0" w:firstRowLastColumn="0" w:lastRowFirstColumn="0" w:lastRowLastColumn="0"/>
        </w:trPr>
        <w:tc>
          <w:tcPr>
            <w:tcW w:w="9854" w:type="dxa"/>
          </w:tcPr>
          <w:p w:rsidR="0070785E" w:rsidRPr="00892DE3" w:rsidRDefault="0070785E" w:rsidP="0070785E">
            <w:pPr>
              <w:rPr>
                <w:b w:val="0"/>
                <w:color w:val="auto"/>
              </w:rPr>
            </w:pPr>
            <w:r w:rsidRPr="00892DE3">
              <w:t>Guidance – Contingent assets and contingent liabilities</w:t>
            </w:r>
          </w:p>
        </w:tc>
      </w:tr>
      <w:tr w:rsidR="0070785E" w:rsidRPr="00892DE3" w:rsidTr="00C85AA1">
        <w:tc>
          <w:tcPr>
            <w:tcW w:w="9854" w:type="dxa"/>
          </w:tcPr>
          <w:p w:rsidR="0070785E" w:rsidRPr="00892DE3" w:rsidRDefault="0070785E" w:rsidP="0070785E">
            <w:pPr>
              <w:rPr>
                <w:color w:val="auto"/>
              </w:rPr>
            </w:pPr>
            <w:r w:rsidRPr="00892DE3">
              <w:rPr>
                <w:b/>
              </w:rPr>
              <w:t>Contingent assets</w:t>
            </w:r>
            <w:r w:rsidRPr="00892DE3">
              <w:rPr>
                <w:color w:val="auto"/>
              </w:rPr>
              <w:t xml:space="preserve"> </w:t>
            </w:r>
            <w:r w:rsidRPr="00892DE3">
              <w:rPr>
                <w:noProof/>
                <w:sz w:val="14"/>
              </w:rPr>
              <w:t>[AASB 137.89-91]</w:t>
            </w:r>
          </w:p>
          <w:p w:rsidR="0070785E" w:rsidRPr="00892DE3" w:rsidRDefault="0070785E" w:rsidP="0070785E">
            <w:r w:rsidRPr="00892DE3">
              <w:t>Where an inflow of economic benefits is probable, an entity shall disclose a brief description of the nature of the contingent assets at the end of the reporting period, and where practicable, an estimate of their financial effect. Where any of this information is not disclosed because it is not practicable to do so, that fact shall be stated.</w:t>
            </w:r>
          </w:p>
          <w:p w:rsidR="0070785E" w:rsidRPr="00892DE3" w:rsidRDefault="0070785E" w:rsidP="0070785E">
            <w:r w:rsidRPr="00892DE3">
              <w:t xml:space="preserve">It is important disclosures for contingent assets avoid giving misleading indications of the likelihood of income arising. </w:t>
            </w:r>
          </w:p>
          <w:p w:rsidR="0070785E" w:rsidRPr="00892DE3" w:rsidRDefault="0070785E" w:rsidP="0070785E">
            <w:r w:rsidRPr="00892DE3">
              <w:t>For the purposes of providing illustrative disclosures that will assist users in preparing financial statements, the disclosures of contingent assets have been illustrated irrespective of whether a situation might give rise to future economic benefits, which are considered to be not probable.</w:t>
            </w:r>
          </w:p>
          <w:p w:rsidR="0070785E" w:rsidRPr="00892DE3" w:rsidRDefault="0070785E" w:rsidP="0070785E">
            <w:pPr>
              <w:rPr>
                <w:color w:val="auto"/>
              </w:rPr>
            </w:pPr>
            <w:r w:rsidRPr="00892DE3">
              <w:rPr>
                <w:b/>
              </w:rPr>
              <w:t>Exemptions</w:t>
            </w:r>
            <w:r w:rsidRPr="00892DE3">
              <w:rPr>
                <w:color w:val="auto"/>
              </w:rPr>
              <w:t xml:space="preserve"> </w:t>
            </w:r>
            <w:r w:rsidRPr="00892DE3">
              <w:rPr>
                <w:noProof/>
                <w:sz w:val="14"/>
              </w:rPr>
              <w:t>[AASB 137.92]</w:t>
            </w:r>
          </w:p>
          <w:p w:rsidR="0070785E" w:rsidRPr="00892DE3" w:rsidRDefault="0070785E" w:rsidP="0070785E">
            <w:r w:rsidRPr="00892DE3">
              <w:t xml:space="preserve">In extremely rare cases, disclosure of some or all of the information illustrated above may seriously prejudice the position of the entity in a dispute with other parties. In such cases, an entity need not disclose the information, but shall disclose the general nature of the dispute, together with the fact that, and reason why, the information has not been disclosed. </w:t>
            </w:r>
          </w:p>
          <w:p w:rsidR="0070785E" w:rsidRPr="00892DE3" w:rsidRDefault="0070785E" w:rsidP="0070785E">
            <w:pPr>
              <w:rPr>
                <w:color w:val="auto"/>
              </w:rPr>
            </w:pPr>
            <w:r w:rsidRPr="00892DE3">
              <w:rPr>
                <w:b/>
              </w:rPr>
              <w:t>Provisions</w:t>
            </w:r>
            <w:r w:rsidRPr="00892DE3">
              <w:rPr>
                <w:color w:val="auto"/>
              </w:rPr>
              <w:t xml:space="preserve"> </w:t>
            </w:r>
            <w:r w:rsidRPr="00892DE3">
              <w:rPr>
                <w:noProof/>
                <w:sz w:val="14"/>
              </w:rPr>
              <w:t>[AASB 137.88]</w:t>
            </w:r>
          </w:p>
          <w:p w:rsidR="0070785E" w:rsidRPr="00892DE3" w:rsidRDefault="0070785E" w:rsidP="0070785E">
            <w:r w:rsidRPr="00892DE3">
              <w:t xml:space="preserve">Where a provision and a contingent liability arise from the same set of circumstances, an entity makes the required disclosures in a way that shows the link between the provision and the contingent liability. </w:t>
            </w:r>
          </w:p>
          <w:p w:rsidR="0070785E" w:rsidRPr="00892DE3" w:rsidRDefault="0070785E" w:rsidP="0070785E">
            <w:pPr>
              <w:rPr>
                <w:color w:val="auto"/>
              </w:rPr>
            </w:pPr>
            <w:r w:rsidRPr="00892DE3">
              <w:rPr>
                <w:b/>
              </w:rPr>
              <w:t>Contingent liabilities</w:t>
            </w:r>
            <w:r w:rsidRPr="00892DE3">
              <w:rPr>
                <w:color w:val="auto"/>
              </w:rPr>
              <w:t xml:space="preserve"> </w:t>
            </w:r>
            <w:r w:rsidRPr="00892DE3">
              <w:rPr>
                <w:noProof/>
                <w:sz w:val="14"/>
              </w:rPr>
              <w:t>[AASB 137.86-87, 137.91]</w:t>
            </w:r>
          </w:p>
          <w:p w:rsidR="0070785E" w:rsidRPr="00892DE3" w:rsidRDefault="0070785E" w:rsidP="0070785E">
            <w:r w:rsidRPr="00892DE3">
              <w:t xml:space="preserve">Unless the possibility of any outflow in settlement is remote, an entity shall disclose for each class of contingent liability at the end of the reporting period a brief description of the nature of the contingent liability and, where practicable: </w:t>
            </w:r>
          </w:p>
          <w:p w:rsidR="0070785E" w:rsidRPr="00892DE3" w:rsidRDefault="0070785E" w:rsidP="000D4F14">
            <w:pPr>
              <w:pStyle w:val="List"/>
            </w:pPr>
            <w:r w:rsidRPr="00892DE3">
              <w:t>(a)</w:t>
            </w:r>
            <w:r w:rsidRPr="00892DE3">
              <w:tab/>
              <w:t xml:space="preserve">an estimate of its financial effect; </w:t>
            </w:r>
          </w:p>
          <w:p w:rsidR="0070785E" w:rsidRPr="00892DE3" w:rsidRDefault="0070785E" w:rsidP="000D4F14">
            <w:pPr>
              <w:pStyle w:val="List"/>
            </w:pPr>
            <w:r w:rsidRPr="00892DE3">
              <w:t>(b)</w:t>
            </w:r>
            <w:r w:rsidRPr="00892DE3">
              <w:tab/>
              <w:t>an indication of the uncertainties relating to the amount or timing of any outflow; and</w:t>
            </w:r>
          </w:p>
          <w:p w:rsidR="0070785E" w:rsidRPr="00892DE3" w:rsidRDefault="0070785E" w:rsidP="000D4F14">
            <w:pPr>
              <w:pStyle w:val="List"/>
            </w:pPr>
            <w:r w:rsidRPr="00892DE3">
              <w:t>(c)</w:t>
            </w:r>
            <w:r w:rsidRPr="00892DE3">
              <w:tab/>
              <w:t>the possibility of any reimbursement.</w:t>
            </w:r>
          </w:p>
          <w:p w:rsidR="0070785E" w:rsidRPr="00892DE3" w:rsidRDefault="0070785E" w:rsidP="0070785E">
            <w:r w:rsidRPr="00892DE3">
              <w:t xml:space="preserve">Where any of the information is not disclosed because it is not practicable to do so, that fact shall be stated. </w:t>
            </w:r>
          </w:p>
          <w:p w:rsidR="0070785E" w:rsidRPr="00892DE3" w:rsidRDefault="0070785E" w:rsidP="0070785E">
            <w:r w:rsidRPr="00892DE3">
              <w:t xml:space="preserve">In determining which contingent liabilities may be aggregated to form a class, it is necessary to consider whether the nature of the items is sufficiently similar for a single statement about them to fulfil the requirements of AASB 137.86(a) and (b) above. </w:t>
            </w:r>
          </w:p>
          <w:p w:rsidR="0070785E" w:rsidRPr="00892DE3" w:rsidRDefault="0070785E" w:rsidP="0070785E">
            <w:r w:rsidRPr="00892DE3">
              <w:t>For the purposes of providing illustrative disclosures that will assist users in preparing financial statements, the disclosures of contingent liabilities have been illustrated irrespective of whether a situation might give rise to future economic sacrifices, which are considered to be remote.</w:t>
            </w:r>
          </w:p>
          <w:p w:rsidR="0070785E" w:rsidRPr="00892DE3" w:rsidRDefault="0070785E" w:rsidP="0070785E">
            <w:pPr>
              <w:rPr>
                <w:b/>
              </w:rPr>
            </w:pPr>
            <w:r w:rsidRPr="00892DE3">
              <w:rPr>
                <w:b/>
              </w:rPr>
              <w:t>Financial guarantee</w:t>
            </w:r>
          </w:p>
          <w:p w:rsidR="0070785E" w:rsidRPr="00892DE3" w:rsidRDefault="0070785E" w:rsidP="0070785E">
            <w:pPr>
              <w:rPr>
                <w:color w:val="auto"/>
              </w:rPr>
            </w:pPr>
            <w:r w:rsidRPr="00892DE3">
              <w:t>Entities are encouraged to disclose the underlying nominal amounts of any loan, for which it provided financial guarantees, in this note under contingent liabilities.</w:t>
            </w:r>
          </w:p>
        </w:tc>
      </w:tr>
    </w:tbl>
    <w:p w:rsidR="000D4F14" w:rsidRPr="00892DE3" w:rsidRDefault="000D4F14" w:rsidP="000D4F14"/>
    <w:p w:rsidR="000D4F14" w:rsidRPr="00892DE3" w:rsidRDefault="000D4F14" w:rsidP="000D4F14">
      <w:r w:rsidRPr="00892DE3">
        <w:br w:type="page"/>
      </w:r>
    </w:p>
    <w:p w:rsidR="00473478" w:rsidRPr="00892DE3" w:rsidRDefault="00473478" w:rsidP="0019303F">
      <w:pPr>
        <w:pStyle w:val="Heading2"/>
      </w:pPr>
      <w:bookmarkStart w:id="156" w:name="_Toc477880064"/>
      <w:bookmarkStart w:id="157" w:name="_Toc481590270"/>
      <w:r w:rsidRPr="00892DE3">
        <w:t>Fair value determination</w:t>
      </w:r>
      <w:bookmarkEnd w:id="156"/>
      <w:bookmarkEnd w:id="157"/>
    </w:p>
    <w:p w:rsidR="00302541" w:rsidRPr="00892DE3" w:rsidRDefault="00302541" w:rsidP="00302541">
      <w:pPr>
        <w:pStyle w:val="HighlightBoxText"/>
        <w:rPr>
          <w:i/>
        </w:rPr>
      </w:pPr>
      <w:r w:rsidRPr="00892DE3">
        <w:rPr>
          <w:i/>
        </w:rPr>
        <w:t>Significant judgement: Fair value measurements of assets and liabilities</w:t>
      </w:r>
    </w:p>
    <w:p w:rsidR="00302541" w:rsidRPr="00892DE3" w:rsidRDefault="00302541" w:rsidP="00302541">
      <w:pPr>
        <w:pStyle w:val="HighlightBoxText"/>
      </w:pPr>
      <w:r w:rsidRPr="00892DE3">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rsidR="00473478" w:rsidRPr="00892DE3" w:rsidRDefault="00473478" w:rsidP="00473478">
      <w:r w:rsidRPr="00892DE3">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rsidR="00473478" w:rsidRPr="00892DE3" w:rsidRDefault="00302541" w:rsidP="00473478">
      <w:r w:rsidRPr="00892DE3">
        <w:t xml:space="preserve">The following </w:t>
      </w:r>
      <w:r w:rsidR="00473478" w:rsidRPr="00892DE3">
        <w:t>assets and liabilities</w:t>
      </w:r>
      <w:r w:rsidRPr="00892DE3">
        <w:t xml:space="preserve"> are</w:t>
      </w:r>
      <w:r w:rsidR="00473478" w:rsidRPr="00892DE3">
        <w:t xml:space="preserve"> carried at fair value: </w:t>
      </w:r>
    </w:p>
    <w:p w:rsidR="00473478" w:rsidRPr="00892DE3" w:rsidRDefault="00473478" w:rsidP="00473478">
      <w:pPr>
        <w:pStyle w:val="ListBullet"/>
      </w:pPr>
      <w:r w:rsidRPr="00892DE3">
        <w:t>financial assets and liabilities at fair value through operating result;</w:t>
      </w:r>
    </w:p>
    <w:p w:rsidR="00473478" w:rsidRPr="00892DE3" w:rsidRDefault="00473478" w:rsidP="00473478">
      <w:pPr>
        <w:pStyle w:val="ListBullet"/>
      </w:pPr>
      <w:r w:rsidRPr="00892DE3">
        <w:t>available-for-sale financial assets;</w:t>
      </w:r>
    </w:p>
    <w:p w:rsidR="00473478" w:rsidRPr="00892DE3" w:rsidRDefault="00473478" w:rsidP="00473478">
      <w:pPr>
        <w:pStyle w:val="ListBullet"/>
      </w:pPr>
      <w:r w:rsidRPr="00892DE3">
        <w:t>land, buildings, infrastructure, plant and equipment;</w:t>
      </w:r>
    </w:p>
    <w:p w:rsidR="00473478" w:rsidRPr="00892DE3" w:rsidRDefault="00473478" w:rsidP="00473478">
      <w:pPr>
        <w:pStyle w:val="ListBullet"/>
      </w:pPr>
      <w:r w:rsidRPr="00892DE3">
        <w:t>investment properties; and</w:t>
      </w:r>
    </w:p>
    <w:p w:rsidR="00473478" w:rsidRPr="00892DE3" w:rsidRDefault="00473478" w:rsidP="00473478">
      <w:pPr>
        <w:pStyle w:val="ListBullet"/>
      </w:pPr>
      <w:r w:rsidRPr="00892DE3">
        <w:t>biological assets.</w:t>
      </w:r>
    </w:p>
    <w:p w:rsidR="00473478" w:rsidRPr="00892DE3" w:rsidRDefault="00473478" w:rsidP="00473478">
      <w:r w:rsidRPr="00892DE3">
        <w:t>In addition, the fair values of other assets and liabilities</w:t>
      </w:r>
      <w:r w:rsidR="00302541" w:rsidRPr="00892DE3">
        <w:t xml:space="preserve"> </w:t>
      </w:r>
      <w:r w:rsidR="000D4F14" w:rsidRPr="00892DE3">
        <w:t>that</w:t>
      </w:r>
      <w:r w:rsidR="00302541" w:rsidRPr="00892DE3">
        <w:t xml:space="preserve"> are carried at amortised cost, also need to be determined for disclosure purposes.</w:t>
      </w:r>
      <w:r w:rsidRPr="00892DE3">
        <w:t xml:space="preserve"> </w:t>
      </w:r>
    </w:p>
    <w:p w:rsidR="00473478" w:rsidRPr="00892DE3" w:rsidRDefault="00473478" w:rsidP="00473478">
      <w:r w:rsidRPr="00892DE3">
        <w:t>The Department determines the policies and procedures for determining fair values for both financial and non-financial assets and liabilities as required.</w:t>
      </w:r>
    </w:p>
    <w:p w:rsidR="00473478" w:rsidRPr="00892DE3" w:rsidRDefault="00473478" w:rsidP="00473478">
      <w:pPr>
        <w:pStyle w:val="Heading30"/>
      </w:pPr>
      <w:r w:rsidRPr="00892DE3">
        <w:t>Fair value hierarchy</w:t>
      </w:r>
    </w:p>
    <w:p w:rsidR="00473478" w:rsidRPr="00892DE3" w:rsidRDefault="00473478" w:rsidP="00473478">
      <w:r w:rsidRPr="00892DE3">
        <w:t>In determining fair values a number of inputs are used. To increase consistency and comparability in the financial statements, these inputs are categorised into three levels, also known as the fair value hierarchy. The levels are as follows:</w:t>
      </w:r>
    </w:p>
    <w:p w:rsidR="00473478" w:rsidRPr="00892DE3" w:rsidRDefault="00473478" w:rsidP="00473478">
      <w:pPr>
        <w:pStyle w:val="ListBullet"/>
      </w:pPr>
      <w:r w:rsidRPr="00892DE3">
        <w:t>Level 1 – quoted (unadjusted) market prices in active markets for identical assets or liabilities;</w:t>
      </w:r>
    </w:p>
    <w:p w:rsidR="00473478" w:rsidRPr="00892DE3" w:rsidRDefault="00473478" w:rsidP="00473478">
      <w:pPr>
        <w:pStyle w:val="ListBullet"/>
      </w:pPr>
      <w:r w:rsidRPr="00892DE3">
        <w:t xml:space="preserve">Level 2 – valuation techniques for which the lowest level input that is significant to the fair value measurement is directly or indirectly observable; and </w:t>
      </w:r>
    </w:p>
    <w:p w:rsidR="00473478" w:rsidRPr="00892DE3" w:rsidRDefault="00473478" w:rsidP="00473478">
      <w:pPr>
        <w:pStyle w:val="ListBullet"/>
      </w:pPr>
      <w:r w:rsidRPr="00892DE3">
        <w:t>Level 3 – valuation techniques for which the lowest level input that is significant to the fair value measurement is unobservable.</w:t>
      </w:r>
    </w:p>
    <w:p w:rsidR="00473478" w:rsidRPr="00892DE3" w:rsidRDefault="00473478" w:rsidP="00473478">
      <w:r w:rsidRPr="00892DE3">
        <w:t xml:space="preserve">The Department determines whether transfers have occurred between levels in the hierarchy by reassessing categorisation (based on the lowest level input that is significant to the fair value measurement as a whole) at the end of each reporting period. </w:t>
      </w:r>
    </w:p>
    <w:p w:rsidR="00C23A04" w:rsidRPr="00892DE3" w:rsidRDefault="00C23A04" w:rsidP="00473478">
      <w:r w:rsidRPr="00892DE3">
        <w:t>The Valuer</w:t>
      </w:r>
      <w:r w:rsidRPr="00892DE3">
        <w:noBreakHyphen/>
        <w:t xml:space="preserve">General Victoria (VGV) is the Department’s independent valuation agency (or) The Department, in conjunction with VGV </w:t>
      </w:r>
      <w:r w:rsidRPr="00892DE3">
        <w:rPr>
          <w:i/>
        </w:rPr>
        <w:t>[and other external valuers, if applicable]</w:t>
      </w:r>
      <w:r w:rsidRPr="00892DE3">
        <w:t>, monitors changes in the fair value of each asset and liability through relevant data sources to determine whether revaluation is required.</w:t>
      </w:r>
    </w:p>
    <w:p w:rsidR="00473478" w:rsidRPr="00892DE3" w:rsidRDefault="00473478" w:rsidP="00473478">
      <w:pPr>
        <w:pStyle w:val="Heading30"/>
      </w:pPr>
      <w:r w:rsidRPr="00892DE3">
        <w:t>How this section is structured</w:t>
      </w:r>
    </w:p>
    <w:p w:rsidR="00473478" w:rsidRPr="00892DE3" w:rsidRDefault="00473478" w:rsidP="00473478">
      <w:r w:rsidRPr="00892DE3">
        <w:t>For those assets and liabilities for which fair value</w:t>
      </w:r>
      <w:r w:rsidR="00302541" w:rsidRPr="00892DE3">
        <w:t>s are</w:t>
      </w:r>
      <w:r w:rsidRPr="00892DE3">
        <w:t xml:space="preserve"> determined, the following disclosures are provided:</w:t>
      </w:r>
    </w:p>
    <w:p w:rsidR="00473478" w:rsidRPr="00892DE3" w:rsidRDefault="00473478" w:rsidP="00473478">
      <w:pPr>
        <w:pStyle w:val="ListBullet"/>
      </w:pPr>
      <w:r w:rsidRPr="00892DE3">
        <w:t>carrying amount and the fair value (which would be the same for those assets measured at fair value);</w:t>
      </w:r>
    </w:p>
    <w:p w:rsidR="00473478" w:rsidRPr="00892DE3" w:rsidRDefault="00473478" w:rsidP="00473478">
      <w:pPr>
        <w:pStyle w:val="ListBullet"/>
      </w:pPr>
      <w:r w:rsidRPr="00892DE3">
        <w:t>which level of the fair value hierarchy was used to determine the fair value; and</w:t>
      </w:r>
    </w:p>
    <w:p w:rsidR="00473478" w:rsidRPr="00892DE3" w:rsidRDefault="00473478" w:rsidP="00473478">
      <w:pPr>
        <w:pStyle w:val="ListBullet"/>
      </w:pPr>
      <w:r w:rsidRPr="00892DE3">
        <w:t>in respect of those assets and liabilities subject to fair value determination using Level 3 inputs:</w:t>
      </w:r>
    </w:p>
    <w:p w:rsidR="00473478" w:rsidRPr="00892DE3" w:rsidRDefault="00473478" w:rsidP="00473478">
      <w:pPr>
        <w:pStyle w:val="ListBullet2"/>
      </w:pPr>
      <w:r w:rsidRPr="00892DE3">
        <w:t>a reconciliation of the movements in fair values from the beginning of the year to the end; and</w:t>
      </w:r>
    </w:p>
    <w:p w:rsidR="00473478" w:rsidRPr="00892DE3" w:rsidRDefault="00473478" w:rsidP="00473478">
      <w:pPr>
        <w:pStyle w:val="ListBullet2"/>
      </w:pPr>
      <w:r w:rsidRPr="00892DE3">
        <w:t>details of significant unobservable inputs used in the fair value determination.</w:t>
      </w:r>
    </w:p>
    <w:p w:rsidR="00473478" w:rsidRPr="00892DE3" w:rsidRDefault="00473478" w:rsidP="00473478">
      <w:r w:rsidRPr="00892DE3">
        <w:t xml:space="preserve">This section is divided between </w:t>
      </w:r>
      <w:r w:rsidR="00302541" w:rsidRPr="00892DE3">
        <w:t xml:space="preserve">disclosures in connection with fair value determination for </w:t>
      </w:r>
      <w:r w:rsidRPr="00892DE3">
        <w:t>financial instruments</w:t>
      </w:r>
      <w:r w:rsidR="00302541" w:rsidRPr="00892DE3">
        <w:t xml:space="preserve"> (refer to Note 8.3.1)</w:t>
      </w:r>
      <w:r w:rsidRPr="00892DE3">
        <w:t xml:space="preserve"> and non-financial physical assets</w:t>
      </w:r>
      <w:r w:rsidR="00D912CF" w:rsidRPr="00892DE3">
        <w:t xml:space="preserve"> (refer to Note 8.3.2)</w:t>
      </w:r>
      <w:r w:rsidRPr="00892DE3">
        <w:t>.</w:t>
      </w:r>
    </w:p>
    <w:p w:rsidR="00473478" w:rsidRPr="00892DE3" w:rsidRDefault="00377C57" w:rsidP="00377C57">
      <w:pPr>
        <w:pStyle w:val="Heading2nonTOC"/>
      </w:pPr>
      <w:r w:rsidRPr="00892DE3">
        <w:t xml:space="preserve">8.3.1 </w:t>
      </w:r>
      <w:r w:rsidR="00473478" w:rsidRPr="00892DE3">
        <w:t>Fair value determination of financial assets and liabilities</w:t>
      </w:r>
    </w:p>
    <w:p w:rsidR="00473478" w:rsidRPr="00892DE3" w:rsidRDefault="00473478" w:rsidP="00473478">
      <w:r w:rsidRPr="00892DE3">
        <w:t xml:space="preserve">The fair values and net fair values of financial assets and liabilities are determined as follows: </w:t>
      </w:r>
      <w:r w:rsidRPr="00892DE3">
        <w:rPr>
          <w:rStyle w:val="SourceReference"/>
        </w:rPr>
        <w:t>[AASB 13.93(a)(b)]</w:t>
      </w:r>
      <w:r w:rsidRPr="00892DE3">
        <w:t xml:space="preserve"> </w:t>
      </w:r>
    </w:p>
    <w:p w:rsidR="00473478" w:rsidRPr="00892DE3" w:rsidRDefault="00473478" w:rsidP="00473478">
      <w:pPr>
        <w:pStyle w:val="ListBullet"/>
      </w:pPr>
      <w:r w:rsidRPr="00892DE3">
        <w:t>Level 1 – the fair value of financial instrument with standard terms and conditions and traded in active liquid markets are determined with reference to quoted market prices;</w:t>
      </w:r>
    </w:p>
    <w:p w:rsidR="00473478" w:rsidRPr="00892DE3" w:rsidRDefault="00473478" w:rsidP="00473478">
      <w:pPr>
        <w:pStyle w:val="ListBullet"/>
      </w:pPr>
      <w:r w:rsidRPr="00892DE3">
        <w:t>Level 2 – the fair value is determined using inputs other than quoted prices that are observable for the financial asset or liability, either directly or indirectly; and</w:t>
      </w:r>
    </w:p>
    <w:p w:rsidR="00473478" w:rsidRPr="00892DE3" w:rsidRDefault="00473478" w:rsidP="00473478">
      <w:pPr>
        <w:pStyle w:val="ListBullet"/>
      </w:pPr>
      <w:r w:rsidRPr="00892DE3">
        <w:t>Level 3 – the fair value is determined in accordance with generally accepted pricing models based on discounted cash flow analysis using unobservable market inputs.</w:t>
      </w:r>
    </w:p>
    <w:p w:rsidR="00473478" w:rsidRPr="00892DE3" w:rsidRDefault="00473478" w:rsidP="00473478">
      <w:r w:rsidRPr="00892DE3">
        <w:t xml:space="preserve">The Department currently holds a range of financial instruments that are recorded in the financial statements where the carrying amounts are a reasonable approximation of fair value, either due to their short-term nature or with the expectation that they will be paid in full by the end of the 2016-17 reporting period. </w:t>
      </w:r>
      <w:r w:rsidRPr="00892DE3">
        <w:rPr>
          <w:rStyle w:val="SourceReference"/>
        </w:rPr>
        <w:t>[AASB 7.29(a)]</w:t>
      </w:r>
    </w:p>
    <w:p w:rsidR="00EA1814" w:rsidRPr="00892DE3" w:rsidRDefault="00EA1814">
      <w:pPr>
        <w:keepLines w:val="0"/>
      </w:pPr>
      <w:r w:rsidRPr="00892DE3">
        <w:br w:type="page"/>
      </w:r>
    </w:p>
    <w:p w:rsidR="00473478" w:rsidRPr="00892DE3" w:rsidRDefault="00473478" w:rsidP="00473478">
      <w:pPr>
        <w:spacing w:after="120"/>
      </w:pPr>
      <w:r w:rsidRPr="00892DE3">
        <w:t>These financial instruments include:</w:t>
      </w:r>
    </w:p>
    <w:tbl>
      <w:tblPr>
        <w:tblStyle w:val="DTFTextTable"/>
        <w:tblW w:w="9637" w:type="dxa"/>
        <w:tblLayout w:type="fixed"/>
        <w:tblLook w:val="0620" w:firstRow="1" w:lastRow="0" w:firstColumn="0" w:lastColumn="0" w:noHBand="1" w:noVBand="1"/>
      </w:tblPr>
      <w:tblGrid>
        <w:gridCol w:w="4743"/>
        <w:gridCol w:w="4894"/>
      </w:tblGrid>
      <w:tr w:rsidR="00473478" w:rsidRPr="00892DE3" w:rsidTr="00473478">
        <w:trPr>
          <w:cnfStyle w:val="100000000000" w:firstRow="1" w:lastRow="0" w:firstColumn="0" w:lastColumn="0" w:oddVBand="0" w:evenVBand="0" w:oddHBand="0" w:evenHBand="0" w:firstRowFirstColumn="0" w:firstRowLastColumn="0" w:lastRowFirstColumn="0" w:lastRowLastColumn="0"/>
        </w:trPr>
        <w:tc>
          <w:tcPr>
            <w:tcW w:w="4788" w:type="dxa"/>
          </w:tcPr>
          <w:p w:rsidR="00473478" w:rsidRPr="00892DE3" w:rsidRDefault="00473478" w:rsidP="00473478">
            <w:r w:rsidRPr="00892DE3">
              <w:t>Financial assets</w:t>
            </w:r>
          </w:p>
        </w:tc>
        <w:tc>
          <w:tcPr>
            <w:tcW w:w="4940" w:type="dxa"/>
          </w:tcPr>
          <w:p w:rsidR="00473478" w:rsidRPr="00892DE3" w:rsidRDefault="00473478" w:rsidP="00473478">
            <w:r w:rsidRPr="00892DE3">
              <w:t>Financial liabilities</w:t>
            </w:r>
          </w:p>
        </w:tc>
      </w:tr>
      <w:tr w:rsidR="00473478" w:rsidRPr="00892DE3" w:rsidTr="00473478">
        <w:tc>
          <w:tcPr>
            <w:tcW w:w="4788" w:type="dxa"/>
          </w:tcPr>
          <w:p w:rsidR="00473478" w:rsidRPr="00892DE3" w:rsidRDefault="00473478" w:rsidP="00473478">
            <w:r w:rsidRPr="00892DE3">
              <w:t>Cash and deposits</w:t>
            </w:r>
          </w:p>
          <w:p w:rsidR="00473478" w:rsidRPr="00892DE3" w:rsidRDefault="00473478" w:rsidP="00473478">
            <w:r w:rsidRPr="00892DE3">
              <w:t xml:space="preserve">Receivables: </w:t>
            </w:r>
          </w:p>
          <w:p w:rsidR="00473478" w:rsidRPr="00892DE3" w:rsidRDefault="00473478" w:rsidP="00473478">
            <w:pPr>
              <w:pStyle w:val="ListBullet"/>
            </w:pPr>
            <w:r w:rsidRPr="00892DE3">
              <w:t xml:space="preserve">Sale of goods and services </w:t>
            </w:r>
          </w:p>
          <w:p w:rsidR="00473478" w:rsidRPr="00892DE3" w:rsidRDefault="00473478" w:rsidP="00473478">
            <w:pPr>
              <w:pStyle w:val="ListBullet"/>
            </w:pPr>
            <w:r w:rsidRPr="00892DE3">
              <w:t xml:space="preserve">Accrued investment income </w:t>
            </w:r>
          </w:p>
          <w:p w:rsidR="00473478" w:rsidRPr="00892DE3" w:rsidRDefault="00473478" w:rsidP="00473478">
            <w:pPr>
              <w:pStyle w:val="ListBullet"/>
            </w:pPr>
            <w:r w:rsidRPr="00892DE3">
              <w:t xml:space="preserve">Other receivables </w:t>
            </w:r>
          </w:p>
          <w:p w:rsidR="00473478" w:rsidRPr="00892DE3" w:rsidRDefault="00473478" w:rsidP="00473478">
            <w:r w:rsidRPr="00892DE3">
              <w:t xml:space="preserve">Investments and other contractual financial assets: </w:t>
            </w:r>
          </w:p>
          <w:p w:rsidR="00473478" w:rsidRPr="00892DE3" w:rsidRDefault="00473478" w:rsidP="00473478">
            <w:pPr>
              <w:pStyle w:val="ListBullet"/>
            </w:pPr>
            <w:r w:rsidRPr="00892DE3">
              <w:t>Term deposits</w:t>
            </w:r>
          </w:p>
        </w:tc>
        <w:tc>
          <w:tcPr>
            <w:tcW w:w="4940" w:type="dxa"/>
          </w:tcPr>
          <w:p w:rsidR="00473478" w:rsidRPr="00892DE3" w:rsidRDefault="00473478" w:rsidP="00473478">
            <w:r w:rsidRPr="00892DE3">
              <w:t>Payables:</w:t>
            </w:r>
          </w:p>
          <w:p w:rsidR="00473478" w:rsidRPr="00892DE3" w:rsidRDefault="00473478" w:rsidP="00473478">
            <w:pPr>
              <w:pStyle w:val="ListBullet"/>
            </w:pPr>
            <w:r w:rsidRPr="00892DE3">
              <w:t xml:space="preserve">For supplies and services </w:t>
            </w:r>
          </w:p>
          <w:p w:rsidR="00473478" w:rsidRPr="00892DE3" w:rsidRDefault="00473478" w:rsidP="00473478">
            <w:pPr>
              <w:pStyle w:val="ListBullet"/>
            </w:pPr>
            <w:r w:rsidRPr="00892DE3">
              <w:t xml:space="preserve">Amounts payable to government and agencies </w:t>
            </w:r>
          </w:p>
          <w:p w:rsidR="00473478" w:rsidRPr="00892DE3" w:rsidRDefault="00473478" w:rsidP="00473478">
            <w:pPr>
              <w:pStyle w:val="ListBullet"/>
            </w:pPr>
            <w:r w:rsidRPr="00892DE3">
              <w:t xml:space="preserve">Other payables </w:t>
            </w:r>
          </w:p>
          <w:p w:rsidR="00473478" w:rsidRPr="00892DE3" w:rsidRDefault="00473478" w:rsidP="00473478">
            <w:r w:rsidRPr="00892DE3">
              <w:t xml:space="preserve">Borrowings: </w:t>
            </w:r>
          </w:p>
          <w:p w:rsidR="00473478" w:rsidRPr="00892DE3" w:rsidRDefault="00473478" w:rsidP="00473478">
            <w:pPr>
              <w:pStyle w:val="ListBullet"/>
            </w:pPr>
            <w:r w:rsidRPr="00892DE3">
              <w:t>Bank overdraft</w:t>
            </w:r>
          </w:p>
        </w:tc>
      </w:tr>
    </w:tbl>
    <w:p w:rsidR="00473478" w:rsidRPr="00892DE3" w:rsidRDefault="00473478" w:rsidP="00473478"/>
    <w:p w:rsidR="00155455" w:rsidRPr="00892DE3" w:rsidRDefault="00155455" w:rsidP="00155455">
      <w:r w:rsidRPr="00892DE3">
        <w:t xml:space="preserve">Where the fair value of the financial instruments is different from the carrying amounts, the following information has been included to disclose the difference. </w:t>
      </w:r>
      <w:r w:rsidRPr="00892DE3">
        <w:rPr>
          <w:rStyle w:val="SourceReference"/>
        </w:rPr>
        <w:t>[AASB 7.25]</w:t>
      </w:r>
    </w:p>
    <w:p w:rsidR="00473478" w:rsidRPr="00892DE3" w:rsidRDefault="00155455" w:rsidP="00155455">
      <w:pPr>
        <w:pStyle w:val="TableHeading"/>
      </w:pPr>
      <w:r w:rsidRPr="00892DE3">
        <w:t xml:space="preserve">Fair value of financial instruments measured at amortised cost </w:t>
      </w:r>
      <w:r w:rsidRPr="00892DE3">
        <w:tab/>
        <w:t>($ thousand)</w:t>
      </w:r>
    </w:p>
    <w:tbl>
      <w:tblPr>
        <w:tblStyle w:val="ModelReportFinancialTable"/>
        <w:tblW w:w="9639" w:type="dxa"/>
        <w:tblLayout w:type="fixed"/>
        <w:tblLook w:val="06A0" w:firstRow="1" w:lastRow="0" w:firstColumn="1" w:lastColumn="0" w:noHBand="1" w:noVBand="1"/>
      </w:tblPr>
      <w:tblGrid>
        <w:gridCol w:w="1371"/>
        <w:gridCol w:w="4021"/>
        <w:gridCol w:w="1029"/>
        <w:gridCol w:w="1029"/>
        <w:gridCol w:w="1029"/>
        <w:gridCol w:w="1160"/>
      </w:tblGrid>
      <w:tr w:rsidR="00155455" w:rsidRPr="00892DE3" w:rsidTr="0015545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1" w:type="dxa"/>
            <w:tcBorders>
              <w:bottom w:val="nil"/>
            </w:tcBorders>
            <w:shd w:val="clear" w:color="auto" w:fill="auto"/>
          </w:tcPr>
          <w:p w:rsidR="00155455" w:rsidRPr="00892DE3" w:rsidRDefault="00155455" w:rsidP="00155455">
            <w:r w:rsidRPr="00892DE3">
              <w:t>Source reference</w:t>
            </w:r>
          </w:p>
        </w:tc>
        <w:tc>
          <w:tcPr>
            <w:tcW w:w="4021" w:type="dxa"/>
            <w:hideMark/>
          </w:tcPr>
          <w:p w:rsidR="00155455" w:rsidRPr="00892DE3" w:rsidRDefault="00155455" w:rsidP="00155455">
            <w:pPr>
              <w:jc w:val="left"/>
              <w:cnfStyle w:val="100000000000" w:firstRow="1" w:lastRow="0" w:firstColumn="0" w:lastColumn="0" w:oddVBand="0" w:evenVBand="0" w:oddHBand="0" w:evenHBand="0" w:firstRowFirstColumn="0" w:firstRowLastColumn="0" w:lastRowFirstColumn="0" w:lastRowLastColumn="0"/>
            </w:pPr>
          </w:p>
        </w:tc>
        <w:tc>
          <w:tcPr>
            <w:tcW w:w="1029" w:type="dxa"/>
            <w:noWrap/>
            <w:hideMark/>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1029" w:type="dxa"/>
            <w:noWrap/>
            <w:hideMark/>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r w:rsidRPr="00892DE3">
              <w:t xml:space="preserve">Fair </w:t>
            </w:r>
            <w:r w:rsidRPr="00892DE3">
              <w:br/>
              <w:t>value</w:t>
            </w:r>
          </w:p>
        </w:tc>
        <w:tc>
          <w:tcPr>
            <w:tcW w:w="1029" w:type="dxa"/>
            <w:noWrap/>
            <w:hideMark/>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1160" w:type="dxa"/>
            <w:noWrap/>
            <w:hideMark/>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r w:rsidRPr="00892DE3">
              <w:t xml:space="preserve">Fair </w:t>
            </w:r>
            <w:r w:rsidRPr="00892DE3">
              <w:br/>
              <w:t>value</w:t>
            </w:r>
          </w:p>
        </w:tc>
      </w:tr>
      <w:tr w:rsidR="00155455" w:rsidRPr="00892DE3" w:rsidTr="0015545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1" w:type="dxa"/>
            <w:tcBorders>
              <w:bottom w:val="nil"/>
            </w:tcBorders>
            <w:shd w:val="clear" w:color="auto" w:fill="auto"/>
          </w:tcPr>
          <w:p w:rsidR="00155455" w:rsidRPr="00892DE3" w:rsidRDefault="00155455" w:rsidP="005156D6">
            <w:pPr>
              <w:rPr>
                <w:i w:val="0"/>
              </w:rPr>
            </w:pPr>
            <w:r w:rsidRPr="00892DE3">
              <w:rPr>
                <w:i w:val="0"/>
              </w:rPr>
              <w:t>AASB 13.93(b)(d)</w:t>
            </w:r>
          </w:p>
        </w:tc>
        <w:tc>
          <w:tcPr>
            <w:tcW w:w="4021" w:type="dxa"/>
            <w:hideMark/>
          </w:tcPr>
          <w:p w:rsidR="00155455" w:rsidRPr="00892DE3" w:rsidRDefault="00155455" w:rsidP="00155455">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029" w:type="dxa"/>
            <w:noWrap/>
            <w:hideMark/>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r w:rsidRPr="00892DE3">
              <w:t>2017</w:t>
            </w:r>
          </w:p>
        </w:tc>
        <w:tc>
          <w:tcPr>
            <w:tcW w:w="1029" w:type="dxa"/>
            <w:noWrap/>
            <w:hideMark/>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r w:rsidRPr="00892DE3">
              <w:t>2017</w:t>
            </w:r>
          </w:p>
        </w:tc>
        <w:tc>
          <w:tcPr>
            <w:tcW w:w="1029" w:type="dxa"/>
            <w:noWrap/>
            <w:hideMark/>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r w:rsidRPr="00892DE3">
              <w:t>2016</w:t>
            </w:r>
          </w:p>
        </w:tc>
        <w:tc>
          <w:tcPr>
            <w:tcW w:w="1160" w:type="dxa"/>
            <w:noWrap/>
            <w:hideMark/>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r w:rsidRPr="00892DE3">
              <w:t>2016</w:t>
            </w:r>
          </w:p>
        </w:tc>
      </w:tr>
      <w:tr w:rsidR="00155455" w:rsidRPr="00892DE3" w:rsidTr="00155455">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155455" w:rsidRPr="00892DE3" w:rsidRDefault="00155455" w:rsidP="00155455"/>
        </w:tc>
        <w:tc>
          <w:tcPr>
            <w:tcW w:w="4021" w:type="dxa"/>
            <w:hideMark/>
          </w:tcPr>
          <w:p w:rsidR="00155455" w:rsidRPr="00892DE3" w:rsidRDefault="00155455" w:rsidP="00155455">
            <w:pPr>
              <w:tabs>
                <w:tab w:val="center" w:pos="1953"/>
              </w:tabs>
              <w:jc w:val="left"/>
              <w:cnfStyle w:val="000000000000" w:firstRow="0" w:lastRow="0" w:firstColumn="0" w:lastColumn="0" w:oddVBand="0" w:evenVBand="0" w:oddHBand="0" w:evenHBand="0" w:firstRowFirstColumn="0" w:firstRowLastColumn="0" w:lastRowFirstColumn="0" w:lastRowLastColumn="0"/>
              <w:rPr>
                <w:b/>
              </w:rPr>
            </w:pPr>
            <w:r w:rsidRPr="00892DE3">
              <w:rPr>
                <w:b/>
              </w:rPr>
              <w:t>Financial assets</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029"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160"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155455" w:rsidRPr="00892DE3" w:rsidTr="00155455">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155455" w:rsidRPr="00892DE3" w:rsidRDefault="00155455" w:rsidP="00155455"/>
        </w:tc>
        <w:tc>
          <w:tcPr>
            <w:tcW w:w="4021" w:type="dxa"/>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Receivables </w:t>
            </w:r>
            <w:r w:rsidR="005156D6" w:rsidRPr="00892DE3">
              <w:rPr>
                <w:b/>
                <w:vertAlign w:val="superscript"/>
              </w:rPr>
              <w:t>(a</w:t>
            </w:r>
            <w:r w:rsidRPr="00892DE3">
              <w:rPr>
                <w:b/>
                <w:vertAlign w:val="superscript"/>
              </w:rPr>
              <w:t>)</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029"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160"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155455" w:rsidRPr="00892DE3" w:rsidTr="00155455">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155455" w:rsidRPr="00892DE3" w:rsidRDefault="00155455" w:rsidP="00155455"/>
        </w:tc>
        <w:tc>
          <w:tcPr>
            <w:tcW w:w="4021" w:type="dxa"/>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Finance lease receivables</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581</w:t>
            </w:r>
          </w:p>
        </w:tc>
        <w:tc>
          <w:tcPr>
            <w:tcW w:w="1029"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590 </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1 231</w:t>
            </w:r>
          </w:p>
        </w:tc>
        <w:tc>
          <w:tcPr>
            <w:tcW w:w="1160"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1 450 </w:t>
            </w:r>
          </w:p>
        </w:tc>
      </w:tr>
      <w:tr w:rsidR="00155455" w:rsidRPr="00892DE3" w:rsidTr="00155455">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155455" w:rsidRPr="00892DE3" w:rsidRDefault="00155455" w:rsidP="00155455"/>
        </w:tc>
        <w:tc>
          <w:tcPr>
            <w:tcW w:w="4021" w:type="dxa"/>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Loans to third parties</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146</w:t>
            </w:r>
          </w:p>
        </w:tc>
        <w:tc>
          <w:tcPr>
            <w:tcW w:w="1029"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159</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241</w:t>
            </w:r>
          </w:p>
        </w:tc>
        <w:tc>
          <w:tcPr>
            <w:tcW w:w="1160"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250</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155455" w:rsidRPr="00892DE3" w:rsidRDefault="00155455" w:rsidP="00155455"/>
        </w:tc>
        <w:tc>
          <w:tcPr>
            <w:tcW w:w="4021" w:type="dxa"/>
            <w:hideMark/>
          </w:tcPr>
          <w:p w:rsidR="00155455" w:rsidRPr="00892DE3" w:rsidRDefault="00155455" w:rsidP="005156D6">
            <w:pPr>
              <w:jc w:val="left"/>
              <w:cnfStyle w:val="000000000000" w:firstRow="0" w:lastRow="0" w:firstColumn="0" w:lastColumn="0" w:oddVBand="0" w:evenVBand="0" w:oddHBand="0" w:evenHBand="0" w:firstRowFirstColumn="0" w:firstRowLastColumn="0" w:lastRowFirstColumn="0" w:lastRowLastColumn="0"/>
            </w:pPr>
            <w:r w:rsidRPr="00892DE3">
              <w:t>Debt securities</w:t>
            </w:r>
            <w:r w:rsidRPr="00892DE3">
              <w:rPr>
                <w:vertAlign w:val="superscript"/>
              </w:rPr>
              <w:t xml:space="preserve"> (</w:t>
            </w:r>
            <w:r w:rsidR="005156D6" w:rsidRPr="00892DE3">
              <w:rPr>
                <w:vertAlign w:val="superscript"/>
              </w:rPr>
              <w:t>a</w:t>
            </w:r>
            <w:r w:rsidRPr="00892DE3">
              <w:rPr>
                <w:vertAlign w:val="superscript"/>
              </w:rPr>
              <w:t>)</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5 198</w:t>
            </w:r>
          </w:p>
        </w:tc>
        <w:tc>
          <w:tcPr>
            <w:tcW w:w="1029"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5 222</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5 013</w:t>
            </w:r>
          </w:p>
        </w:tc>
        <w:tc>
          <w:tcPr>
            <w:tcW w:w="1160"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5 155</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155455" w:rsidRPr="00892DE3" w:rsidRDefault="00155455" w:rsidP="00155455"/>
        </w:tc>
        <w:tc>
          <w:tcPr>
            <w:tcW w:w="4021" w:type="dxa"/>
            <w:tcBorders>
              <w:bottom w:val="nil"/>
            </w:tcBorders>
            <w:hideMark/>
          </w:tcPr>
          <w:p w:rsidR="00155455" w:rsidRPr="00892DE3" w:rsidRDefault="00155455" w:rsidP="00155455">
            <w:pPr>
              <w:tabs>
                <w:tab w:val="center" w:pos="1953"/>
              </w:tabs>
              <w:jc w:val="left"/>
              <w:cnfStyle w:val="000000000000" w:firstRow="0" w:lastRow="0" w:firstColumn="0" w:lastColumn="0" w:oddVBand="0" w:evenVBand="0" w:oddHBand="0" w:evenHBand="0" w:firstRowFirstColumn="0" w:firstRowLastColumn="0" w:lastRowFirstColumn="0" w:lastRowLastColumn="0"/>
              <w:rPr>
                <w:b/>
              </w:rPr>
            </w:pPr>
            <w:r w:rsidRPr="00892DE3">
              <w:rPr>
                <w:b/>
              </w:rPr>
              <w:t>Financial liabilities</w:t>
            </w:r>
          </w:p>
        </w:tc>
        <w:tc>
          <w:tcPr>
            <w:tcW w:w="1029" w:type="dxa"/>
            <w:tcBorders>
              <w:bottom w:val="nil"/>
            </w:tcBorders>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029" w:type="dxa"/>
            <w:tcBorders>
              <w:bottom w:val="nil"/>
            </w:tcBorders>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029" w:type="dxa"/>
            <w:tcBorders>
              <w:bottom w:val="nil"/>
            </w:tcBorders>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160" w:type="dxa"/>
            <w:tcBorders>
              <w:bottom w:val="nil"/>
            </w:tcBorders>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155455" w:rsidRPr="00892DE3" w:rsidTr="00155455">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155455" w:rsidRPr="00892DE3" w:rsidRDefault="00155455" w:rsidP="00155455"/>
        </w:tc>
        <w:tc>
          <w:tcPr>
            <w:tcW w:w="4021" w:type="dxa"/>
            <w:tcBorders>
              <w:top w:val="nil"/>
            </w:tcBorders>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Finance lease liabilities</w:t>
            </w:r>
          </w:p>
        </w:tc>
        <w:tc>
          <w:tcPr>
            <w:tcW w:w="1029" w:type="dxa"/>
            <w:tcBorders>
              <w:top w:val="nil"/>
            </w:tcBorders>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8 064</w:t>
            </w:r>
          </w:p>
        </w:tc>
        <w:tc>
          <w:tcPr>
            <w:tcW w:w="1029" w:type="dxa"/>
            <w:tcBorders>
              <w:top w:val="nil"/>
            </w:tcBorders>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8 110 </w:t>
            </w:r>
          </w:p>
        </w:tc>
        <w:tc>
          <w:tcPr>
            <w:tcW w:w="1029" w:type="dxa"/>
            <w:tcBorders>
              <w:top w:val="nil"/>
            </w:tcBorders>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20 062</w:t>
            </w:r>
          </w:p>
        </w:tc>
        <w:tc>
          <w:tcPr>
            <w:tcW w:w="1160" w:type="dxa"/>
            <w:tcBorders>
              <w:top w:val="nil"/>
            </w:tcBorders>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21 500 </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155455" w:rsidRPr="00892DE3" w:rsidRDefault="00155455" w:rsidP="00155455"/>
        </w:tc>
        <w:tc>
          <w:tcPr>
            <w:tcW w:w="4021" w:type="dxa"/>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Advances from government</w:t>
            </w:r>
            <w:r w:rsidR="005156D6" w:rsidRPr="00892DE3">
              <w:rPr>
                <w:vertAlign w:val="superscript"/>
              </w:rPr>
              <w:t xml:space="preserve"> (b</w:t>
            </w:r>
            <w:r w:rsidRPr="00892DE3">
              <w:rPr>
                <w:vertAlign w:val="superscript"/>
              </w:rPr>
              <w:t>)</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5 314</w:t>
            </w:r>
          </w:p>
        </w:tc>
        <w:tc>
          <w:tcPr>
            <w:tcW w:w="1029"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5 579</w:t>
            </w:r>
          </w:p>
        </w:tc>
        <w:tc>
          <w:tcPr>
            <w:tcW w:w="1029" w:type="dxa"/>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12 344</w:t>
            </w:r>
          </w:p>
        </w:tc>
        <w:tc>
          <w:tcPr>
            <w:tcW w:w="1160" w:type="dxa"/>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12 961</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155455" w:rsidRPr="00892DE3" w:rsidRDefault="00155455" w:rsidP="00155455"/>
        </w:tc>
        <w:tc>
          <w:tcPr>
            <w:tcW w:w="4021" w:type="dxa"/>
            <w:tcBorders>
              <w:bottom w:val="single" w:sz="12" w:space="0" w:color="auto"/>
            </w:tcBorders>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Loans from TCV</w:t>
            </w:r>
          </w:p>
        </w:tc>
        <w:tc>
          <w:tcPr>
            <w:tcW w:w="1029" w:type="dxa"/>
            <w:tcBorders>
              <w:bottom w:val="single" w:sz="12" w:space="0" w:color="auto"/>
            </w:tcBorders>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48 696</w:t>
            </w:r>
          </w:p>
        </w:tc>
        <w:tc>
          <w:tcPr>
            <w:tcW w:w="1029" w:type="dxa"/>
            <w:tcBorders>
              <w:bottom w:val="single" w:sz="12" w:space="0" w:color="auto"/>
            </w:tcBorders>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47 500 </w:t>
            </w:r>
          </w:p>
        </w:tc>
        <w:tc>
          <w:tcPr>
            <w:tcW w:w="1029" w:type="dxa"/>
            <w:tcBorders>
              <w:bottom w:val="single" w:sz="12" w:space="0" w:color="auto"/>
            </w:tcBorders>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27 705</w:t>
            </w:r>
          </w:p>
        </w:tc>
        <w:tc>
          <w:tcPr>
            <w:tcW w:w="1160" w:type="dxa"/>
            <w:tcBorders>
              <w:bottom w:val="single" w:sz="12" w:space="0" w:color="auto"/>
            </w:tcBorders>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23 000 </w:t>
            </w:r>
          </w:p>
        </w:tc>
      </w:tr>
    </w:tbl>
    <w:p w:rsidR="00155455" w:rsidRPr="00892DE3" w:rsidRDefault="00155455" w:rsidP="00155455">
      <w:pPr>
        <w:pStyle w:val="Note"/>
      </w:pPr>
      <w:r w:rsidRPr="00892DE3">
        <w:t xml:space="preserve">Notes: </w:t>
      </w:r>
    </w:p>
    <w:p w:rsidR="00155455" w:rsidRPr="00892DE3" w:rsidRDefault="00155455" w:rsidP="00155455">
      <w:pPr>
        <w:pStyle w:val="Note"/>
      </w:pPr>
      <w:r w:rsidRPr="00892DE3">
        <w:t>(</w:t>
      </w:r>
      <w:r w:rsidR="005156D6" w:rsidRPr="00892DE3">
        <w:t>a</w:t>
      </w:r>
      <w:r w:rsidRPr="00892DE3">
        <w:t>)</w:t>
      </w:r>
      <w:r w:rsidR="000D4F14" w:rsidRPr="00892DE3">
        <w:tab/>
        <w:t>Debt securities include a five-</w:t>
      </w:r>
      <w:r w:rsidRPr="00892DE3">
        <w:t>year government bond that is intended to be held until maturity. Therefore it has been measured at amortised cost with the carrying amount of $5 198. The remaining portion of debt securities ($3 823) is designated as fair value through profit and loss.</w:t>
      </w:r>
    </w:p>
    <w:p w:rsidR="00155455" w:rsidRPr="00892DE3" w:rsidRDefault="00155455" w:rsidP="00155455">
      <w:pPr>
        <w:pStyle w:val="Note"/>
      </w:pPr>
      <w:r w:rsidRPr="00892DE3">
        <w:t>(</w:t>
      </w:r>
      <w:r w:rsidR="005156D6" w:rsidRPr="00892DE3">
        <w:t>b</w:t>
      </w:r>
      <w:r w:rsidRPr="00892DE3">
        <w:t>)</w:t>
      </w:r>
      <w:r w:rsidRPr="00892DE3">
        <w:tab/>
        <w:t xml:space="preserve">The fair value of advances from government is based on cash flows discounted using a rate based on the borrowing rate of 7.5 per cent </w:t>
      </w:r>
      <w:r w:rsidR="005156D6" w:rsidRPr="00892DE3">
        <w:br/>
      </w:r>
      <w:r w:rsidRPr="00892DE3">
        <w:t>(2015: 7.2 per cent). The discount rate equals to LIBOR plus appropriate credit rating. The fair value is within level 2 of the fair value hierarchy.</w:t>
      </w:r>
    </w:p>
    <w:p w:rsidR="00155455" w:rsidRPr="00892DE3" w:rsidRDefault="00155455" w:rsidP="00155455">
      <w:pPr>
        <w:pStyle w:val="TableHeading"/>
      </w:pPr>
      <w:r w:rsidRPr="00892DE3">
        <w:t xml:space="preserve">Financial </w:t>
      </w:r>
      <w:r w:rsidR="005156D6" w:rsidRPr="00892DE3">
        <w:t xml:space="preserve">assets measured at fair value </w:t>
      </w:r>
      <w:r w:rsidR="005156D6" w:rsidRPr="00892DE3">
        <w:rPr>
          <w:vertAlign w:val="superscript"/>
        </w:rPr>
        <w:t>(a</w:t>
      </w:r>
      <w:r w:rsidRPr="00892DE3">
        <w:rPr>
          <w:vertAlign w:val="superscript"/>
        </w:rPr>
        <w:t>)</w:t>
      </w:r>
      <w:r w:rsidRPr="00892DE3">
        <w:t xml:space="preserve"> </w:t>
      </w:r>
      <w:r w:rsidRPr="00892DE3">
        <w:tab/>
        <w:t>($ thousand)</w:t>
      </w:r>
    </w:p>
    <w:tbl>
      <w:tblPr>
        <w:tblStyle w:val="ModelReportFinancialTable"/>
        <w:tblW w:w="9639" w:type="dxa"/>
        <w:tblLayout w:type="fixed"/>
        <w:tblLook w:val="06E0" w:firstRow="1" w:lastRow="1" w:firstColumn="1" w:lastColumn="0" w:noHBand="1" w:noVBand="1"/>
      </w:tblPr>
      <w:tblGrid>
        <w:gridCol w:w="1221"/>
        <w:gridCol w:w="2389"/>
        <w:gridCol w:w="1706"/>
        <w:gridCol w:w="1448"/>
        <w:gridCol w:w="1450"/>
        <w:gridCol w:w="1425"/>
      </w:tblGrid>
      <w:tr w:rsidR="00155455" w:rsidRPr="00892DE3" w:rsidTr="00857142">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100" w:firstRow="0" w:lastRow="0" w:firstColumn="1" w:lastColumn="0" w:oddVBand="0" w:evenVBand="0" w:oddHBand="0" w:evenHBand="0" w:firstRowFirstColumn="1" w:firstRowLastColumn="0" w:lastRowFirstColumn="0" w:lastRowLastColumn="0"/>
            <w:tcW w:w="633" w:type="pct"/>
            <w:tcBorders>
              <w:bottom w:val="nil"/>
            </w:tcBorders>
            <w:shd w:val="clear" w:color="auto" w:fill="auto"/>
          </w:tcPr>
          <w:p w:rsidR="00155455" w:rsidRPr="00892DE3" w:rsidRDefault="00155455" w:rsidP="00155455">
            <w:r w:rsidRPr="00892DE3">
              <w:t>Source reference</w:t>
            </w:r>
          </w:p>
        </w:tc>
        <w:tc>
          <w:tcPr>
            <w:tcW w:w="1239" w:type="pct"/>
            <w:hideMark/>
          </w:tcPr>
          <w:p w:rsidR="00155455" w:rsidRPr="00892DE3" w:rsidRDefault="00155455" w:rsidP="00155455">
            <w:pPr>
              <w:cnfStyle w:val="100000000000" w:firstRow="1" w:lastRow="0" w:firstColumn="0" w:lastColumn="0" w:oddVBand="0" w:evenVBand="0" w:oddHBand="0" w:evenHBand="0" w:firstRowFirstColumn="0" w:firstRowLastColumn="0" w:lastRowFirstColumn="0" w:lastRowLastColumn="0"/>
            </w:pPr>
          </w:p>
        </w:tc>
        <w:tc>
          <w:tcPr>
            <w:tcW w:w="885" w:type="pct"/>
            <w:noWrap/>
          </w:tcPr>
          <w:p w:rsidR="00155455" w:rsidRPr="00892DE3" w:rsidRDefault="00155455" w:rsidP="00155455">
            <w:pPr>
              <w:cnfStyle w:val="100000000000" w:firstRow="1" w:lastRow="0" w:firstColumn="0" w:lastColumn="0" w:oddVBand="0" w:evenVBand="0" w:oddHBand="0" w:evenHBand="0" w:firstRowFirstColumn="0" w:firstRowLastColumn="0" w:lastRowFirstColumn="0" w:lastRowLastColumn="0"/>
            </w:pPr>
            <w:r w:rsidRPr="00892DE3">
              <w:t>Carrying amount as</w:t>
            </w:r>
          </w:p>
        </w:tc>
        <w:tc>
          <w:tcPr>
            <w:tcW w:w="2242" w:type="pct"/>
            <w:gridSpan w:val="3"/>
            <w:tcBorders>
              <w:bottom w:val="single" w:sz="6" w:space="0" w:color="FFFFFF" w:themeColor="background1"/>
            </w:tcBorders>
            <w:hideMark/>
          </w:tcPr>
          <w:p w:rsidR="00155455" w:rsidRPr="00892DE3" w:rsidRDefault="00155455" w:rsidP="003F5052">
            <w:pPr>
              <w:jc w:val="center"/>
              <w:cnfStyle w:val="100000000000" w:firstRow="1" w:lastRow="0" w:firstColumn="0" w:lastColumn="0" w:oddVBand="0" w:evenVBand="0" w:oddHBand="0" w:evenHBand="0" w:firstRowFirstColumn="0" w:firstRowLastColumn="0" w:lastRowFirstColumn="0" w:lastRowLastColumn="0"/>
            </w:pPr>
            <w:r w:rsidRPr="00892DE3">
              <w:t>Fair value measurement</w:t>
            </w:r>
            <w:r w:rsidR="003F5052" w:rsidRPr="00892DE3">
              <w:t xml:space="preserve"> a</w:t>
            </w:r>
            <w:r w:rsidRPr="00892DE3">
              <w:t xml:space="preserve">t </w:t>
            </w:r>
            <w:r w:rsidR="003F5052" w:rsidRPr="00892DE3">
              <w:br/>
              <w:t xml:space="preserve">end of reporting </w:t>
            </w:r>
            <w:r w:rsidRPr="00892DE3">
              <w:t>period using:</w:t>
            </w:r>
          </w:p>
        </w:tc>
      </w:tr>
      <w:tr w:rsidR="00155455" w:rsidRPr="00892DE3" w:rsidTr="008571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3" w:type="pct"/>
            <w:tcBorders>
              <w:bottom w:val="nil"/>
            </w:tcBorders>
            <w:shd w:val="clear" w:color="auto" w:fill="auto"/>
          </w:tcPr>
          <w:p w:rsidR="00155455" w:rsidRPr="00892DE3" w:rsidRDefault="00155455" w:rsidP="00155455">
            <w:pPr>
              <w:rPr>
                <w:i w:val="0"/>
              </w:rPr>
            </w:pPr>
            <w:r w:rsidRPr="00892DE3">
              <w:rPr>
                <w:i w:val="0"/>
              </w:rPr>
              <w:t>AASB 7.27B(a)</w:t>
            </w:r>
          </w:p>
        </w:tc>
        <w:tc>
          <w:tcPr>
            <w:tcW w:w="1239" w:type="pct"/>
            <w:hideMark/>
          </w:tcPr>
          <w:p w:rsidR="00155455" w:rsidRPr="00892DE3" w:rsidRDefault="00155455" w:rsidP="00155455">
            <w:pPr>
              <w:jc w:val="left"/>
              <w:cnfStyle w:val="100000000000" w:firstRow="1" w:lastRow="0" w:firstColumn="0" w:lastColumn="0" w:oddVBand="0" w:evenVBand="0" w:oddHBand="0" w:evenHBand="0" w:firstRowFirstColumn="0" w:firstRowLastColumn="0" w:lastRowFirstColumn="0" w:lastRowLastColumn="0"/>
            </w:pPr>
            <w:r w:rsidRPr="00892DE3">
              <w:t>2017</w:t>
            </w:r>
          </w:p>
        </w:tc>
        <w:tc>
          <w:tcPr>
            <w:tcW w:w="885" w:type="pct"/>
            <w:noWrap/>
            <w:hideMark/>
          </w:tcPr>
          <w:p w:rsidR="00155455" w:rsidRPr="00892DE3" w:rsidRDefault="00155455" w:rsidP="00857142">
            <w:pPr>
              <w:cnfStyle w:val="100000000000" w:firstRow="1" w:lastRow="0" w:firstColumn="0" w:lastColumn="0" w:oddVBand="0" w:evenVBand="0" w:oddHBand="0" w:evenHBand="0" w:firstRowFirstColumn="0" w:firstRowLastColumn="0" w:lastRowFirstColumn="0" w:lastRowLastColumn="0"/>
            </w:pPr>
            <w:r w:rsidRPr="00892DE3">
              <w:t xml:space="preserve">at </w:t>
            </w:r>
            <w:r w:rsidR="00857142" w:rsidRPr="00892DE3">
              <w:t>30 June</w:t>
            </w:r>
          </w:p>
        </w:tc>
        <w:tc>
          <w:tcPr>
            <w:tcW w:w="751" w:type="pct"/>
            <w:tcBorders>
              <w:top w:val="single" w:sz="6" w:space="0" w:color="FFFFFF" w:themeColor="background1"/>
            </w:tcBorders>
            <w:noWrap/>
            <w:hideMark/>
          </w:tcPr>
          <w:p w:rsidR="00155455" w:rsidRPr="00892DE3" w:rsidRDefault="00155455" w:rsidP="005156D6">
            <w:pPr>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w:t>
            </w:r>
            <w:r w:rsidR="005156D6" w:rsidRPr="00892DE3">
              <w:rPr>
                <w:vertAlign w:val="superscript"/>
              </w:rPr>
              <w:t>b</w:t>
            </w:r>
            <w:r w:rsidRPr="00892DE3">
              <w:rPr>
                <w:vertAlign w:val="superscript"/>
              </w:rPr>
              <w:t>)</w:t>
            </w:r>
          </w:p>
        </w:tc>
        <w:tc>
          <w:tcPr>
            <w:tcW w:w="752" w:type="pct"/>
            <w:tcBorders>
              <w:top w:val="single" w:sz="6" w:space="0" w:color="FFFFFF" w:themeColor="background1"/>
            </w:tcBorders>
            <w:noWrap/>
            <w:hideMark/>
          </w:tcPr>
          <w:p w:rsidR="00155455" w:rsidRPr="00892DE3" w:rsidRDefault="00155455" w:rsidP="005156D6">
            <w:pPr>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w:t>
            </w:r>
            <w:r w:rsidR="005156D6" w:rsidRPr="00892DE3">
              <w:rPr>
                <w:vertAlign w:val="superscript"/>
              </w:rPr>
              <w:t>b</w:t>
            </w:r>
            <w:r w:rsidRPr="00892DE3">
              <w:rPr>
                <w:vertAlign w:val="superscript"/>
              </w:rPr>
              <w:t>)</w:t>
            </w:r>
          </w:p>
        </w:tc>
        <w:tc>
          <w:tcPr>
            <w:tcW w:w="739" w:type="pct"/>
            <w:tcBorders>
              <w:top w:val="single" w:sz="6" w:space="0" w:color="FFFFFF" w:themeColor="background1"/>
            </w:tcBorders>
            <w:noWrap/>
            <w:hideMark/>
          </w:tcPr>
          <w:p w:rsidR="00155455" w:rsidRPr="00892DE3" w:rsidRDefault="00155455" w:rsidP="00155455">
            <w:pPr>
              <w:cnfStyle w:val="100000000000" w:firstRow="1" w:lastRow="0" w:firstColumn="0" w:lastColumn="0" w:oddVBand="0" w:evenVBand="0" w:oddHBand="0" w:evenHBand="0" w:firstRowFirstColumn="0" w:firstRowLastColumn="0" w:lastRowFirstColumn="0" w:lastRowLastColumn="0"/>
            </w:pPr>
            <w:r w:rsidRPr="00892DE3">
              <w:t>Level 3</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Financial assets at fair value through profit or loss</w:t>
            </w:r>
          </w:p>
        </w:tc>
        <w:tc>
          <w:tcPr>
            <w:tcW w:w="885"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1"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2"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39"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hideMark/>
          </w:tcPr>
          <w:p w:rsidR="00155455" w:rsidRPr="00892DE3" w:rsidRDefault="00F33E7A" w:rsidP="00155455">
            <w:pPr>
              <w:jc w:val="left"/>
              <w:cnfStyle w:val="000000000000" w:firstRow="0" w:lastRow="0" w:firstColumn="0" w:lastColumn="0" w:oddVBand="0" w:evenVBand="0" w:oddHBand="0" w:evenHBand="0" w:firstRowFirstColumn="0" w:firstRowLastColumn="0" w:lastRowFirstColumn="0" w:lastRowLastColumn="0"/>
            </w:pPr>
            <w:r w:rsidRPr="00892DE3">
              <w:t>Debt securities – five-</w:t>
            </w:r>
            <w:r w:rsidR="00155455" w:rsidRPr="00892DE3">
              <w:t>year government bonds</w:t>
            </w:r>
          </w:p>
        </w:tc>
        <w:tc>
          <w:tcPr>
            <w:tcW w:w="885"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3 823</w:t>
            </w:r>
          </w:p>
        </w:tc>
        <w:tc>
          <w:tcPr>
            <w:tcW w:w="751"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752"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3 823</w:t>
            </w:r>
          </w:p>
        </w:tc>
        <w:tc>
          <w:tcPr>
            <w:tcW w:w="739"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Available</w:t>
            </w:r>
            <w:r w:rsidRPr="00892DE3">
              <w:noBreakHyphen/>
              <w:t>for</w:t>
            </w:r>
            <w:r w:rsidRPr="00892DE3">
              <w:noBreakHyphen/>
              <w:t>sale securities</w:t>
            </w:r>
          </w:p>
        </w:tc>
        <w:tc>
          <w:tcPr>
            <w:tcW w:w="885"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1"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2"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39"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hideMark/>
          </w:tcPr>
          <w:p w:rsidR="00155455" w:rsidRPr="00892DE3" w:rsidRDefault="00155455" w:rsidP="00857142">
            <w:pPr>
              <w:ind w:left="170"/>
              <w:jc w:val="left"/>
              <w:cnfStyle w:val="000000000000" w:firstRow="0" w:lastRow="0" w:firstColumn="0" w:lastColumn="0" w:oddVBand="0" w:evenVBand="0" w:oddHBand="0" w:evenHBand="0" w:firstRowFirstColumn="0" w:firstRowLastColumn="0" w:lastRowFirstColumn="0" w:lastRowLastColumn="0"/>
            </w:pPr>
            <w:r w:rsidRPr="00892DE3">
              <w:t>Listed securities</w:t>
            </w:r>
          </w:p>
        </w:tc>
        <w:tc>
          <w:tcPr>
            <w:tcW w:w="885"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1 614</w:t>
            </w:r>
          </w:p>
        </w:tc>
        <w:tc>
          <w:tcPr>
            <w:tcW w:w="751"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1 614</w:t>
            </w:r>
          </w:p>
        </w:tc>
        <w:tc>
          <w:tcPr>
            <w:tcW w:w="752"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739"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hideMark/>
          </w:tcPr>
          <w:p w:rsidR="00155455" w:rsidRPr="00892DE3" w:rsidRDefault="00155455" w:rsidP="00857142">
            <w:pPr>
              <w:ind w:left="170"/>
              <w:jc w:val="left"/>
              <w:cnfStyle w:val="000000000000" w:firstRow="0" w:lastRow="0" w:firstColumn="0" w:lastColumn="0" w:oddVBand="0" w:evenVBand="0" w:oddHBand="0" w:evenHBand="0" w:firstRowFirstColumn="0" w:firstRowLastColumn="0" w:lastRowFirstColumn="0" w:lastRowLastColumn="0"/>
            </w:pPr>
            <w:r w:rsidRPr="00892DE3">
              <w:t>Unlisted securities</w:t>
            </w:r>
          </w:p>
        </w:tc>
        <w:tc>
          <w:tcPr>
            <w:tcW w:w="885"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222</w:t>
            </w:r>
          </w:p>
        </w:tc>
        <w:tc>
          <w:tcPr>
            <w:tcW w:w="751"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752"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739"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222</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tcBorders>
              <w:bottom w:val="single" w:sz="4" w:space="0" w:color="auto"/>
            </w:tcBorders>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Managed investment schemes</w:t>
            </w:r>
          </w:p>
        </w:tc>
        <w:tc>
          <w:tcPr>
            <w:tcW w:w="885" w:type="pct"/>
            <w:tcBorders>
              <w:bottom w:val="single" w:sz="4" w:space="0" w:color="auto"/>
            </w:tcBorders>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229</w:t>
            </w:r>
          </w:p>
        </w:tc>
        <w:tc>
          <w:tcPr>
            <w:tcW w:w="751" w:type="pct"/>
            <w:tcBorders>
              <w:bottom w:val="single" w:sz="4" w:space="0" w:color="auto"/>
            </w:tcBorders>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752" w:type="pct"/>
            <w:tcBorders>
              <w:bottom w:val="single" w:sz="4" w:space="0" w:color="auto"/>
            </w:tcBorders>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229</w:t>
            </w:r>
          </w:p>
        </w:tc>
        <w:tc>
          <w:tcPr>
            <w:tcW w:w="739" w:type="pct"/>
            <w:tcBorders>
              <w:bottom w:val="single" w:sz="4" w:space="0" w:color="auto"/>
            </w:tcBorders>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155455" w:rsidRPr="00892DE3" w:rsidTr="0085714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33" w:type="pct"/>
            <w:shd w:val="clear" w:color="auto" w:fill="auto"/>
          </w:tcPr>
          <w:p w:rsidR="00155455" w:rsidRPr="00892DE3" w:rsidRDefault="00155455" w:rsidP="00857142"/>
        </w:tc>
        <w:tc>
          <w:tcPr>
            <w:tcW w:w="1239" w:type="pct"/>
            <w:tcBorders>
              <w:top w:val="single" w:sz="4" w:space="0" w:color="auto"/>
            </w:tcBorders>
            <w:hideMark/>
          </w:tcPr>
          <w:p w:rsidR="00155455" w:rsidRPr="00892DE3" w:rsidRDefault="00155455" w:rsidP="00857142">
            <w:pPr>
              <w:jc w:val="left"/>
              <w:cnfStyle w:val="010000000000" w:firstRow="0" w:lastRow="1" w:firstColumn="0" w:lastColumn="0" w:oddVBand="0" w:evenVBand="0" w:oddHBand="0" w:evenHBand="0" w:firstRowFirstColumn="0" w:firstRowLastColumn="0" w:lastRowFirstColumn="0" w:lastRowLastColumn="0"/>
            </w:pPr>
            <w:r w:rsidRPr="00892DE3">
              <w:t>Total</w:t>
            </w:r>
          </w:p>
        </w:tc>
        <w:tc>
          <w:tcPr>
            <w:tcW w:w="885" w:type="pct"/>
            <w:tcBorders>
              <w:top w:val="single" w:sz="4" w:space="0" w:color="auto"/>
            </w:tcBorders>
            <w:shd w:val="clear" w:color="auto" w:fill="EBEBEB" w:themeFill="background2"/>
            <w:noWrap/>
            <w:hideMark/>
          </w:tcPr>
          <w:p w:rsidR="00155455" w:rsidRPr="00892DE3" w:rsidRDefault="00155455" w:rsidP="00857142">
            <w:pPr>
              <w:cnfStyle w:val="010000000000" w:firstRow="0" w:lastRow="1" w:firstColumn="0" w:lastColumn="0" w:oddVBand="0" w:evenVBand="0" w:oddHBand="0" w:evenHBand="0" w:firstRowFirstColumn="0" w:firstRowLastColumn="0" w:lastRowFirstColumn="0" w:lastRowLastColumn="0"/>
            </w:pPr>
            <w:r w:rsidRPr="00892DE3">
              <w:t>5 888</w:t>
            </w:r>
          </w:p>
        </w:tc>
        <w:tc>
          <w:tcPr>
            <w:tcW w:w="751" w:type="pct"/>
            <w:tcBorders>
              <w:top w:val="single" w:sz="4" w:space="0" w:color="auto"/>
            </w:tcBorders>
            <w:noWrap/>
            <w:hideMark/>
          </w:tcPr>
          <w:p w:rsidR="00155455" w:rsidRPr="00892DE3" w:rsidRDefault="00155455" w:rsidP="00857142">
            <w:pPr>
              <w:cnfStyle w:val="010000000000" w:firstRow="0" w:lastRow="1" w:firstColumn="0" w:lastColumn="0" w:oddVBand="0" w:evenVBand="0" w:oddHBand="0" w:evenHBand="0" w:firstRowFirstColumn="0" w:firstRowLastColumn="0" w:lastRowFirstColumn="0" w:lastRowLastColumn="0"/>
            </w:pPr>
            <w:r w:rsidRPr="00892DE3">
              <w:t>1 614</w:t>
            </w:r>
          </w:p>
        </w:tc>
        <w:tc>
          <w:tcPr>
            <w:tcW w:w="752" w:type="pct"/>
            <w:tcBorders>
              <w:top w:val="single" w:sz="4" w:space="0" w:color="auto"/>
            </w:tcBorders>
            <w:shd w:val="clear" w:color="auto" w:fill="EBEBEB" w:themeFill="background2"/>
            <w:noWrap/>
            <w:hideMark/>
          </w:tcPr>
          <w:p w:rsidR="00155455" w:rsidRPr="00892DE3" w:rsidRDefault="00155455" w:rsidP="00857142">
            <w:pPr>
              <w:cnfStyle w:val="010000000000" w:firstRow="0" w:lastRow="1" w:firstColumn="0" w:lastColumn="0" w:oddVBand="0" w:evenVBand="0" w:oddHBand="0" w:evenHBand="0" w:firstRowFirstColumn="0" w:firstRowLastColumn="0" w:lastRowFirstColumn="0" w:lastRowLastColumn="0"/>
            </w:pPr>
            <w:r w:rsidRPr="00892DE3">
              <w:t>4 052</w:t>
            </w:r>
          </w:p>
        </w:tc>
        <w:tc>
          <w:tcPr>
            <w:tcW w:w="739" w:type="pct"/>
            <w:tcBorders>
              <w:top w:val="single" w:sz="4" w:space="0" w:color="auto"/>
            </w:tcBorders>
            <w:noWrap/>
            <w:hideMark/>
          </w:tcPr>
          <w:p w:rsidR="00155455" w:rsidRPr="00892DE3" w:rsidRDefault="00155455" w:rsidP="00857142">
            <w:pPr>
              <w:cnfStyle w:val="010000000000" w:firstRow="0" w:lastRow="1" w:firstColumn="0" w:lastColumn="0" w:oddVBand="0" w:evenVBand="0" w:oddHBand="0" w:evenHBand="0" w:firstRowFirstColumn="0" w:firstRowLastColumn="0" w:lastRowFirstColumn="0" w:lastRowLastColumn="0"/>
            </w:pPr>
            <w:r w:rsidRPr="00892DE3">
              <w:t xml:space="preserve"> 222</w:t>
            </w:r>
          </w:p>
        </w:tc>
      </w:tr>
    </w:tbl>
    <w:p w:rsidR="00155455" w:rsidRPr="00892DE3" w:rsidRDefault="00155455"/>
    <w:tbl>
      <w:tblPr>
        <w:tblStyle w:val="ModelReportFinancialTable"/>
        <w:tblW w:w="9639" w:type="dxa"/>
        <w:tblLayout w:type="fixed"/>
        <w:tblLook w:val="06E0" w:firstRow="1" w:lastRow="1" w:firstColumn="1" w:lastColumn="0" w:noHBand="1" w:noVBand="1"/>
      </w:tblPr>
      <w:tblGrid>
        <w:gridCol w:w="1221"/>
        <w:gridCol w:w="2389"/>
        <w:gridCol w:w="1706"/>
        <w:gridCol w:w="1448"/>
        <w:gridCol w:w="1450"/>
        <w:gridCol w:w="1425"/>
      </w:tblGrid>
      <w:tr w:rsidR="00155455" w:rsidRPr="00892DE3" w:rsidTr="00857142">
        <w:trPr>
          <w:cnfStyle w:val="100000000000" w:firstRow="1" w:lastRow="0" w:firstColumn="0" w:lastColumn="0" w:oddVBand="0" w:evenVBand="0" w:oddHBand="0" w:evenHBand="0" w:firstRowFirstColumn="0" w:firstRowLastColumn="0" w:lastRowFirstColumn="0" w:lastRowLastColumn="0"/>
          <w:trHeight w:val="229"/>
        </w:trPr>
        <w:tc>
          <w:tcPr>
            <w:cnfStyle w:val="001000000100" w:firstRow="0" w:lastRow="0" w:firstColumn="1" w:lastColumn="0" w:oddVBand="0" w:evenVBand="0" w:oddHBand="0" w:evenHBand="0" w:firstRowFirstColumn="1" w:firstRowLastColumn="0" w:lastRowFirstColumn="0" w:lastRowLastColumn="0"/>
            <w:tcW w:w="633" w:type="pct"/>
            <w:tcBorders>
              <w:bottom w:val="nil"/>
            </w:tcBorders>
            <w:shd w:val="clear" w:color="auto" w:fill="auto"/>
          </w:tcPr>
          <w:p w:rsidR="00155455" w:rsidRPr="00892DE3" w:rsidRDefault="00155455" w:rsidP="00155455">
            <w:r w:rsidRPr="00892DE3">
              <w:t>Source reference</w:t>
            </w:r>
          </w:p>
        </w:tc>
        <w:tc>
          <w:tcPr>
            <w:tcW w:w="1239" w:type="pct"/>
            <w:hideMark/>
          </w:tcPr>
          <w:p w:rsidR="00155455" w:rsidRPr="00892DE3" w:rsidRDefault="00155455" w:rsidP="00155455">
            <w:pPr>
              <w:jc w:val="left"/>
              <w:cnfStyle w:val="100000000000" w:firstRow="1" w:lastRow="0" w:firstColumn="0" w:lastColumn="0" w:oddVBand="0" w:evenVBand="0" w:oddHBand="0" w:evenHBand="0" w:firstRowFirstColumn="0" w:firstRowLastColumn="0" w:lastRowFirstColumn="0" w:lastRowLastColumn="0"/>
            </w:pPr>
            <w:r w:rsidRPr="00892DE3">
              <w:t>2016</w:t>
            </w:r>
          </w:p>
        </w:tc>
        <w:tc>
          <w:tcPr>
            <w:tcW w:w="885" w:type="pct"/>
            <w:noWrap/>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p>
        </w:tc>
        <w:tc>
          <w:tcPr>
            <w:tcW w:w="751" w:type="pct"/>
            <w:noWrap/>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p>
        </w:tc>
        <w:tc>
          <w:tcPr>
            <w:tcW w:w="752" w:type="pct"/>
            <w:noWrap/>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p>
        </w:tc>
        <w:tc>
          <w:tcPr>
            <w:tcW w:w="739" w:type="pct"/>
            <w:noWrap/>
          </w:tcPr>
          <w:p w:rsidR="00155455" w:rsidRPr="00892DE3" w:rsidRDefault="00155455" w:rsidP="004B76C7">
            <w:pPr>
              <w:cnfStyle w:val="100000000000" w:firstRow="1" w:lastRow="0" w:firstColumn="0" w:lastColumn="0" w:oddVBand="0" w:evenVBand="0" w:oddHBand="0" w:evenHBand="0" w:firstRowFirstColumn="0" w:firstRowLastColumn="0" w:lastRowFirstColumn="0" w:lastRowLastColumn="0"/>
            </w:pP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3F5052" w:rsidP="00155455">
            <w:r w:rsidRPr="00892DE3">
              <w:t>AASB 7.27B(a)</w:t>
            </w:r>
          </w:p>
        </w:tc>
        <w:tc>
          <w:tcPr>
            <w:tcW w:w="1239" w:type="pct"/>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Financial assets at fair value through profit or loss</w:t>
            </w:r>
          </w:p>
        </w:tc>
        <w:tc>
          <w:tcPr>
            <w:tcW w:w="885"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1"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2"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39"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hideMark/>
          </w:tcPr>
          <w:p w:rsidR="00155455" w:rsidRPr="00892DE3" w:rsidRDefault="00F33E7A" w:rsidP="00155455">
            <w:pPr>
              <w:jc w:val="left"/>
              <w:cnfStyle w:val="000000000000" w:firstRow="0" w:lastRow="0" w:firstColumn="0" w:lastColumn="0" w:oddVBand="0" w:evenVBand="0" w:oddHBand="0" w:evenHBand="0" w:firstRowFirstColumn="0" w:firstRowLastColumn="0" w:lastRowFirstColumn="0" w:lastRowLastColumn="0"/>
            </w:pPr>
            <w:r w:rsidRPr="00892DE3">
              <w:t>Debt securities – five-</w:t>
            </w:r>
            <w:r w:rsidR="00155455" w:rsidRPr="00892DE3">
              <w:t>year government bonds</w:t>
            </w:r>
          </w:p>
        </w:tc>
        <w:tc>
          <w:tcPr>
            <w:tcW w:w="885"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2 409</w:t>
            </w:r>
          </w:p>
        </w:tc>
        <w:tc>
          <w:tcPr>
            <w:tcW w:w="751"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p>
        </w:tc>
        <w:tc>
          <w:tcPr>
            <w:tcW w:w="752"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rPr>
                <w:noProof/>
              </w:rPr>
            </w:pPr>
            <w:r w:rsidRPr="00892DE3">
              <w:t>2 409</w:t>
            </w:r>
          </w:p>
        </w:tc>
        <w:tc>
          <w:tcPr>
            <w:tcW w:w="739"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Available</w:t>
            </w:r>
            <w:r w:rsidRPr="00892DE3">
              <w:noBreakHyphen/>
              <w:t>for</w:t>
            </w:r>
            <w:r w:rsidRPr="00892DE3">
              <w:noBreakHyphen/>
              <w:t>sale securities</w:t>
            </w:r>
          </w:p>
        </w:tc>
        <w:tc>
          <w:tcPr>
            <w:tcW w:w="885"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1"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2"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39"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hideMark/>
          </w:tcPr>
          <w:p w:rsidR="00155455" w:rsidRPr="00892DE3" w:rsidRDefault="00155455" w:rsidP="00857142">
            <w:pPr>
              <w:ind w:left="170"/>
              <w:jc w:val="left"/>
              <w:cnfStyle w:val="000000000000" w:firstRow="0" w:lastRow="0" w:firstColumn="0" w:lastColumn="0" w:oddVBand="0" w:evenVBand="0" w:oddHBand="0" w:evenHBand="0" w:firstRowFirstColumn="0" w:firstRowLastColumn="0" w:lastRowFirstColumn="0" w:lastRowLastColumn="0"/>
            </w:pPr>
            <w:r w:rsidRPr="00892DE3">
              <w:t>Listed securities</w:t>
            </w:r>
          </w:p>
        </w:tc>
        <w:tc>
          <w:tcPr>
            <w:tcW w:w="885"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1 492</w:t>
            </w:r>
          </w:p>
        </w:tc>
        <w:tc>
          <w:tcPr>
            <w:tcW w:w="751"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1 492</w:t>
            </w:r>
          </w:p>
        </w:tc>
        <w:tc>
          <w:tcPr>
            <w:tcW w:w="752"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739"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hideMark/>
          </w:tcPr>
          <w:p w:rsidR="00155455" w:rsidRPr="00892DE3" w:rsidRDefault="00155455" w:rsidP="00857142">
            <w:pPr>
              <w:ind w:left="170"/>
              <w:jc w:val="left"/>
              <w:cnfStyle w:val="000000000000" w:firstRow="0" w:lastRow="0" w:firstColumn="0" w:lastColumn="0" w:oddVBand="0" w:evenVBand="0" w:oddHBand="0" w:evenHBand="0" w:firstRowFirstColumn="0" w:firstRowLastColumn="0" w:lastRowFirstColumn="0" w:lastRowLastColumn="0"/>
            </w:pPr>
            <w:r w:rsidRPr="00892DE3">
              <w:t>Unlisted securities</w:t>
            </w:r>
          </w:p>
        </w:tc>
        <w:tc>
          <w:tcPr>
            <w:tcW w:w="885"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538</w:t>
            </w:r>
          </w:p>
        </w:tc>
        <w:tc>
          <w:tcPr>
            <w:tcW w:w="751"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752" w:type="pct"/>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739" w:type="pct"/>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 xml:space="preserve"> 538</w:t>
            </w:r>
          </w:p>
        </w:tc>
      </w:tr>
      <w:tr w:rsidR="00155455" w:rsidRPr="00892DE3" w:rsidTr="00857142">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155455" w:rsidRPr="00892DE3" w:rsidRDefault="00155455" w:rsidP="00155455"/>
        </w:tc>
        <w:tc>
          <w:tcPr>
            <w:tcW w:w="1239" w:type="pct"/>
            <w:tcBorders>
              <w:bottom w:val="single" w:sz="4" w:space="0" w:color="auto"/>
            </w:tcBorders>
            <w:hideMark/>
          </w:tcPr>
          <w:p w:rsidR="00155455" w:rsidRPr="00892DE3" w:rsidRDefault="00155455" w:rsidP="00155455">
            <w:pPr>
              <w:jc w:val="left"/>
              <w:cnfStyle w:val="000000000000" w:firstRow="0" w:lastRow="0" w:firstColumn="0" w:lastColumn="0" w:oddVBand="0" w:evenVBand="0" w:oddHBand="0" w:evenHBand="0" w:firstRowFirstColumn="0" w:firstRowLastColumn="0" w:lastRowFirstColumn="0" w:lastRowLastColumn="0"/>
            </w:pPr>
            <w:r w:rsidRPr="00892DE3">
              <w:t>Equities and managed investment schemes</w:t>
            </w:r>
          </w:p>
        </w:tc>
        <w:tc>
          <w:tcPr>
            <w:tcW w:w="885" w:type="pct"/>
            <w:tcBorders>
              <w:bottom w:val="single" w:sz="4" w:space="0" w:color="auto"/>
            </w:tcBorders>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2 149</w:t>
            </w:r>
          </w:p>
        </w:tc>
        <w:tc>
          <w:tcPr>
            <w:tcW w:w="751" w:type="pct"/>
            <w:tcBorders>
              <w:bottom w:val="single" w:sz="4" w:space="0" w:color="auto"/>
            </w:tcBorders>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752" w:type="pct"/>
            <w:tcBorders>
              <w:bottom w:val="single" w:sz="4" w:space="0" w:color="auto"/>
            </w:tcBorders>
            <w:shd w:val="clear" w:color="auto" w:fill="EBEBEB" w:themeFill="background2"/>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2 149</w:t>
            </w:r>
          </w:p>
        </w:tc>
        <w:tc>
          <w:tcPr>
            <w:tcW w:w="739" w:type="pct"/>
            <w:tcBorders>
              <w:bottom w:val="single" w:sz="4" w:space="0" w:color="auto"/>
            </w:tcBorders>
            <w:noWrap/>
            <w:hideMark/>
          </w:tcPr>
          <w:p w:rsidR="00155455" w:rsidRPr="00892DE3" w:rsidRDefault="00155455"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155455" w:rsidRPr="00892DE3" w:rsidTr="0085714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33" w:type="pct"/>
            <w:shd w:val="clear" w:color="auto" w:fill="auto"/>
          </w:tcPr>
          <w:p w:rsidR="00155455" w:rsidRPr="00892DE3" w:rsidRDefault="00155455" w:rsidP="00857142"/>
        </w:tc>
        <w:tc>
          <w:tcPr>
            <w:tcW w:w="1239" w:type="pct"/>
            <w:tcBorders>
              <w:top w:val="single" w:sz="4" w:space="0" w:color="auto"/>
            </w:tcBorders>
            <w:hideMark/>
          </w:tcPr>
          <w:p w:rsidR="00155455" w:rsidRPr="00892DE3" w:rsidRDefault="00155455" w:rsidP="00857142">
            <w:pPr>
              <w:jc w:val="left"/>
              <w:cnfStyle w:val="010000000000" w:firstRow="0" w:lastRow="1" w:firstColumn="0" w:lastColumn="0" w:oddVBand="0" w:evenVBand="0" w:oddHBand="0" w:evenHBand="0" w:firstRowFirstColumn="0" w:firstRowLastColumn="0" w:lastRowFirstColumn="0" w:lastRowLastColumn="0"/>
            </w:pPr>
            <w:r w:rsidRPr="00892DE3">
              <w:t>Total</w:t>
            </w:r>
          </w:p>
        </w:tc>
        <w:tc>
          <w:tcPr>
            <w:tcW w:w="885" w:type="pct"/>
            <w:tcBorders>
              <w:top w:val="single" w:sz="4" w:space="0" w:color="auto"/>
            </w:tcBorders>
            <w:shd w:val="clear" w:color="auto" w:fill="EBEBEB" w:themeFill="background2"/>
            <w:noWrap/>
            <w:hideMark/>
          </w:tcPr>
          <w:p w:rsidR="00155455" w:rsidRPr="00892DE3" w:rsidRDefault="00155455" w:rsidP="00857142">
            <w:pPr>
              <w:cnfStyle w:val="010000000000" w:firstRow="0" w:lastRow="1" w:firstColumn="0" w:lastColumn="0" w:oddVBand="0" w:evenVBand="0" w:oddHBand="0" w:evenHBand="0" w:firstRowFirstColumn="0" w:firstRowLastColumn="0" w:lastRowFirstColumn="0" w:lastRowLastColumn="0"/>
            </w:pPr>
            <w:r w:rsidRPr="00892DE3">
              <w:t>6 589</w:t>
            </w:r>
          </w:p>
        </w:tc>
        <w:tc>
          <w:tcPr>
            <w:tcW w:w="751" w:type="pct"/>
            <w:tcBorders>
              <w:top w:val="single" w:sz="4" w:space="0" w:color="auto"/>
            </w:tcBorders>
            <w:noWrap/>
            <w:hideMark/>
          </w:tcPr>
          <w:p w:rsidR="00155455" w:rsidRPr="00892DE3" w:rsidRDefault="00155455" w:rsidP="00857142">
            <w:pPr>
              <w:cnfStyle w:val="010000000000" w:firstRow="0" w:lastRow="1" w:firstColumn="0" w:lastColumn="0" w:oddVBand="0" w:evenVBand="0" w:oddHBand="0" w:evenHBand="0" w:firstRowFirstColumn="0" w:firstRowLastColumn="0" w:lastRowFirstColumn="0" w:lastRowLastColumn="0"/>
            </w:pPr>
            <w:r w:rsidRPr="00892DE3">
              <w:t>3 901</w:t>
            </w:r>
          </w:p>
        </w:tc>
        <w:tc>
          <w:tcPr>
            <w:tcW w:w="752" w:type="pct"/>
            <w:tcBorders>
              <w:top w:val="single" w:sz="4" w:space="0" w:color="auto"/>
            </w:tcBorders>
            <w:shd w:val="clear" w:color="auto" w:fill="EBEBEB" w:themeFill="background2"/>
            <w:noWrap/>
            <w:hideMark/>
          </w:tcPr>
          <w:p w:rsidR="00155455" w:rsidRPr="00892DE3" w:rsidRDefault="00155455" w:rsidP="00857142">
            <w:pPr>
              <w:cnfStyle w:val="010000000000" w:firstRow="0" w:lastRow="1" w:firstColumn="0" w:lastColumn="0" w:oddVBand="0" w:evenVBand="0" w:oddHBand="0" w:evenHBand="0" w:firstRowFirstColumn="0" w:firstRowLastColumn="0" w:lastRowFirstColumn="0" w:lastRowLastColumn="0"/>
            </w:pPr>
            <w:r w:rsidRPr="00892DE3">
              <w:t>2 149</w:t>
            </w:r>
          </w:p>
        </w:tc>
        <w:tc>
          <w:tcPr>
            <w:tcW w:w="739" w:type="pct"/>
            <w:tcBorders>
              <w:top w:val="single" w:sz="4" w:space="0" w:color="auto"/>
            </w:tcBorders>
            <w:noWrap/>
            <w:hideMark/>
          </w:tcPr>
          <w:p w:rsidR="00155455" w:rsidRPr="00892DE3" w:rsidRDefault="00155455" w:rsidP="00857142">
            <w:pPr>
              <w:cnfStyle w:val="010000000000" w:firstRow="0" w:lastRow="1" w:firstColumn="0" w:lastColumn="0" w:oddVBand="0" w:evenVBand="0" w:oddHBand="0" w:evenHBand="0" w:firstRowFirstColumn="0" w:firstRowLastColumn="0" w:lastRowFirstColumn="0" w:lastRowLastColumn="0"/>
            </w:pPr>
            <w:r w:rsidRPr="00892DE3">
              <w:t xml:space="preserve"> 538</w:t>
            </w:r>
          </w:p>
        </w:tc>
      </w:tr>
    </w:tbl>
    <w:p w:rsidR="003F5052" w:rsidRPr="00892DE3" w:rsidRDefault="003F5052" w:rsidP="003F5052">
      <w:pPr>
        <w:pStyle w:val="Note"/>
      </w:pPr>
      <w:r w:rsidRPr="00892DE3">
        <w:t xml:space="preserve">Notes: </w:t>
      </w:r>
    </w:p>
    <w:p w:rsidR="003F5052" w:rsidRPr="00892DE3" w:rsidRDefault="003F5052" w:rsidP="003F5052">
      <w:pPr>
        <w:pStyle w:val="Note"/>
      </w:pPr>
      <w:r w:rsidRPr="00892DE3">
        <w:t>(</w:t>
      </w:r>
      <w:r w:rsidR="00857142" w:rsidRPr="00892DE3">
        <w:t>a</w:t>
      </w:r>
      <w:r w:rsidRPr="00892DE3">
        <w:t>)</w:t>
      </w:r>
      <w:r w:rsidRPr="00892DE3">
        <w:tab/>
        <w:t>[The fair value hierarchy disclosures shall be disclosed by class of financial instrument where class is the lowest level disclosed in the financial statements or notes, and is distinct from a category of financial instrument as specified in AASB 139 paragraph 9.][AASB 7.27B(b)]</w:t>
      </w:r>
    </w:p>
    <w:p w:rsidR="00155455" w:rsidRPr="00892DE3" w:rsidRDefault="003F5052" w:rsidP="003F5052">
      <w:pPr>
        <w:pStyle w:val="Note"/>
      </w:pPr>
      <w:r w:rsidRPr="00892DE3">
        <w:t>(</w:t>
      </w:r>
      <w:r w:rsidR="00857142" w:rsidRPr="00892DE3">
        <w:t>b</w:t>
      </w:r>
      <w:r w:rsidRPr="00892DE3">
        <w:t>)</w:t>
      </w:r>
      <w:r w:rsidRPr="00892DE3">
        <w:tab/>
        <w:t>There is no significant transfer between Level 1 and Level 2.</w:t>
      </w:r>
    </w:p>
    <w:p w:rsidR="00EA1814" w:rsidRPr="00892DE3" w:rsidRDefault="00EA1814">
      <w:pPr>
        <w:keepLines w:val="0"/>
      </w:pPr>
      <w:r w:rsidRPr="00892DE3">
        <w:br w:type="page"/>
      </w:r>
    </w:p>
    <w:p w:rsidR="003F5052" w:rsidRPr="00892DE3" w:rsidRDefault="003F5052" w:rsidP="003F5052">
      <w:r w:rsidRPr="00892DE3">
        <w:t xml:space="preserve">There have been no transfers between levels during the period. </w:t>
      </w:r>
      <w:r w:rsidRPr="00892DE3">
        <w:rPr>
          <w:rStyle w:val="SourceReference"/>
        </w:rPr>
        <w:t>[AASB 13.93(c)]</w:t>
      </w:r>
    </w:p>
    <w:p w:rsidR="003F5052" w:rsidRPr="00892DE3" w:rsidRDefault="003F5052" w:rsidP="003F5052">
      <w:r w:rsidRPr="00892DE3">
        <w:t xml:space="preserve">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 </w:t>
      </w:r>
      <w:r w:rsidRPr="00892DE3">
        <w:rPr>
          <w:rStyle w:val="SourceReference"/>
        </w:rPr>
        <w:t>[AASB 13.93(d)]</w:t>
      </w:r>
    </w:p>
    <w:p w:rsidR="003F5052" w:rsidRPr="00892DE3" w:rsidRDefault="003F5052" w:rsidP="003F5052">
      <w:r w:rsidRPr="00892DE3">
        <w:rPr>
          <w:b/>
        </w:rPr>
        <w:t>Listed securities</w:t>
      </w:r>
      <w:r w:rsidRPr="00892DE3">
        <w:t>: The listed share assets are valued at fair value with reference to a quoted (unadjusted) market price from an active market. The Department categorises these instruments as Level 1.</w:t>
      </w:r>
    </w:p>
    <w:p w:rsidR="003F5052" w:rsidRPr="00892DE3" w:rsidRDefault="003F5052" w:rsidP="003F5052">
      <w:r w:rsidRPr="00892DE3">
        <w:rPr>
          <w:b/>
        </w:rPr>
        <w:t>Debt securities</w:t>
      </w:r>
      <w:r w:rsidRPr="00892DE3">
        <w:t>: In the absence of an active market, the fair value of the Department’s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instrument’s terms. To the extent that the significant inputs are observable, the Department categorises these investments as Level 2.</w:t>
      </w:r>
    </w:p>
    <w:p w:rsidR="003F5052" w:rsidRPr="00892DE3" w:rsidRDefault="003F5052" w:rsidP="003F5052">
      <w:r w:rsidRPr="00892DE3">
        <w:rPr>
          <w:b/>
        </w:rPr>
        <w:t>Unlisted securities</w:t>
      </w:r>
      <w:r w:rsidRPr="00892DE3">
        <w:t>: 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rsidR="003F5052" w:rsidRPr="00892DE3" w:rsidRDefault="003F5052" w:rsidP="003F5052">
      <w:r w:rsidRPr="00892DE3">
        <w:rPr>
          <w:b/>
        </w:rPr>
        <w:t>Managed investment schemes</w:t>
      </w:r>
      <w:r w:rsidRPr="00892DE3">
        <w:t>: The Department invests in managed funds, which are not quoted in an active market and which may be subject to restricti</w:t>
      </w:r>
      <w:r w:rsidR="00F33E7A" w:rsidRPr="00892DE3">
        <w:t>ons on redemptions such as lock-</w:t>
      </w:r>
      <w:r w:rsidRPr="00892DE3">
        <w:t xml:space="preserve">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commitments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 </w:t>
      </w:r>
    </w:p>
    <w:p w:rsidR="003F5052" w:rsidRPr="00892DE3" w:rsidRDefault="003F5052" w:rsidP="003F5052">
      <w:pPr>
        <w:pStyle w:val="TableHeading"/>
      </w:pPr>
      <w:r w:rsidRPr="00892DE3">
        <w:t>Reconciliation of Level 3 fair value mo</w:t>
      </w:r>
      <w:r w:rsidR="00857142" w:rsidRPr="00892DE3">
        <w:t xml:space="preserve">vements </w:t>
      </w:r>
      <w:r w:rsidR="00857142" w:rsidRPr="00892DE3">
        <w:rPr>
          <w:vertAlign w:val="superscript"/>
        </w:rPr>
        <w:t>(a</w:t>
      </w:r>
      <w:r w:rsidRPr="00892DE3">
        <w:rPr>
          <w:vertAlign w:val="superscript"/>
        </w:rPr>
        <w:t>)</w:t>
      </w:r>
      <w:r w:rsidRPr="00892DE3">
        <w:t xml:space="preserve"> </w:t>
      </w:r>
      <w:r w:rsidRPr="00892DE3">
        <w:tab/>
        <w:t>($ thousand)</w:t>
      </w:r>
    </w:p>
    <w:tbl>
      <w:tblPr>
        <w:tblStyle w:val="ModelReportFinancialTable"/>
        <w:tblW w:w="5000" w:type="pct"/>
        <w:tblLayout w:type="fixed"/>
        <w:tblLook w:val="06E0" w:firstRow="1" w:lastRow="1" w:firstColumn="1" w:lastColumn="0" w:noHBand="1" w:noVBand="1"/>
      </w:tblPr>
      <w:tblGrid>
        <w:gridCol w:w="1387"/>
        <w:gridCol w:w="4585"/>
        <w:gridCol w:w="987"/>
        <w:gridCol w:w="997"/>
        <w:gridCol w:w="899"/>
        <w:gridCol w:w="897"/>
      </w:tblGrid>
      <w:tr w:rsidR="003F5052" w:rsidRPr="00892DE3" w:rsidTr="003F505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11" w:type="pct"/>
            <w:tcBorders>
              <w:bottom w:val="nil"/>
            </w:tcBorders>
            <w:shd w:val="clear" w:color="auto" w:fill="auto"/>
          </w:tcPr>
          <w:p w:rsidR="003F5052" w:rsidRPr="00892DE3" w:rsidRDefault="003F5052" w:rsidP="003F5052">
            <w:r w:rsidRPr="00892DE3">
              <w:t>Source reference</w:t>
            </w:r>
          </w:p>
        </w:tc>
        <w:tc>
          <w:tcPr>
            <w:tcW w:w="2351" w:type="pct"/>
            <w:hideMark/>
          </w:tcPr>
          <w:p w:rsidR="003F5052" w:rsidRPr="00892DE3" w:rsidRDefault="003F5052" w:rsidP="003F5052">
            <w:pPr>
              <w:jc w:val="left"/>
              <w:cnfStyle w:val="100000000000" w:firstRow="1" w:lastRow="0" w:firstColumn="0" w:lastColumn="0" w:oddVBand="0" w:evenVBand="0" w:oddHBand="0" w:evenHBand="0" w:firstRowFirstColumn="0" w:firstRowLastColumn="0" w:lastRowFirstColumn="0" w:lastRowLastColumn="0"/>
            </w:pPr>
          </w:p>
        </w:tc>
        <w:tc>
          <w:tcPr>
            <w:tcW w:w="1017" w:type="pct"/>
            <w:gridSpan w:val="2"/>
            <w:noWrap/>
            <w:hideMark/>
          </w:tcPr>
          <w:p w:rsidR="003F5052" w:rsidRPr="00892DE3" w:rsidRDefault="003F5052" w:rsidP="003F5052">
            <w:pPr>
              <w:jc w:val="center"/>
              <w:cnfStyle w:val="100000000000" w:firstRow="1" w:lastRow="0" w:firstColumn="0" w:lastColumn="0" w:oddVBand="0" w:evenVBand="0" w:oddHBand="0" w:evenHBand="0" w:firstRowFirstColumn="0" w:firstRowLastColumn="0" w:lastRowFirstColumn="0" w:lastRowLastColumn="0"/>
            </w:pPr>
            <w:r w:rsidRPr="00892DE3">
              <w:t>Available</w:t>
            </w:r>
            <w:r w:rsidRPr="00892DE3">
              <w:noBreakHyphen/>
              <w:t>for</w:t>
            </w:r>
            <w:r w:rsidRPr="00892DE3">
              <w:noBreakHyphen/>
              <w:t xml:space="preserve">sale </w:t>
            </w:r>
            <w:r w:rsidRPr="00892DE3">
              <w:br/>
              <w:t>financial assets</w:t>
            </w:r>
          </w:p>
        </w:tc>
        <w:tc>
          <w:tcPr>
            <w:tcW w:w="921" w:type="pct"/>
            <w:gridSpan w:val="2"/>
            <w:noWrap/>
            <w:hideMark/>
          </w:tcPr>
          <w:p w:rsidR="003F5052" w:rsidRPr="00892DE3" w:rsidRDefault="003F5052" w:rsidP="00857142">
            <w:pPr>
              <w:jc w:val="center"/>
              <w:cnfStyle w:val="100000000000" w:firstRow="1" w:lastRow="0" w:firstColumn="0" w:lastColumn="0" w:oddVBand="0" w:evenVBand="0" w:oddHBand="0" w:evenHBand="0" w:firstRowFirstColumn="0" w:firstRowLastColumn="0" w:lastRowFirstColumn="0" w:lastRowLastColumn="0"/>
            </w:pPr>
          </w:p>
        </w:tc>
      </w:tr>
      <w:tr w:rsidR="00857142" w:rsidRPr="00892DE3" w:rsidTr="00857142">
        <w:trPr>
          <w:cnfStyle w:val="100000000000" w:firstRow="1" w:lastRow="0" w:firstColumn="0" w:lastColumn="0" w:oddVBand="0" w:evenVBand="0" w:oddHBand="0" w:evenHBand="0" w:firstRowFirstColumn="0" w:firstRowLastColumn="0" w:lastRowFirstColumn="0" w:lastRowLastColumn="0"/>
          <w:trHeight w:val="74"/>
          <w:tblHeader/>
        </w:trPr>
        <w:tc>
          <w:tcPr>
            <w:cnfStyle w:val="001000000100" w:firstRow="0" w:lastRow="0" w:firstColumn="1" w:lastColumn="0" w:oddVBand="0" w:evenVBand="0" w:oddHBand="0" w:evenHBand="0" w:firstRowFirstColumn="1" w:firstRowLastColumn="0" w:lastRowFirstColumn="0" w:lastRowLastColumn="0"/>
            <w:tcW w:w="711" w:type="pct"/>
            <w:tcBorders>
              <w:bottom w:val="nil"/>
            </w:tcBorders>
            <w:shd w:val="clear" w:color="auto" w:fill="auto"/>
          </w:tcPr>
          <w:p w:rsidR="00857142" w:rsidRPr="00892DE3" w:rsidRDefault="00857142" w:rsidP="003F5052">
            <w:pPr>
              <w:rPr>
                <w:i w:val="0"/>
              </w:rPr>
            </w:pPr>
            <w:r w:rsidRPr="00892DE3">
              <w:rPr>
                <w:i w:val="0"/>
              </w:rPr>
              <w:t>AASB 7.27B(c)</w:t>
            </w:r>
          </w:p>
        </w:tc>
        <w:tc>
          <w:tcPr>
            <w:tcW w:w="2351" w:type="pct"/>
            <w:hideMark/>
          </w:tcPr>
          <w:p w:rsidR="00857142" w:rsidRPr="00892DE3" w:rsidRDefault="00857142" w:rsidP="003F5052">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017" w:type="pct"/>
            <w:gridSpan w:val="2"/>
            <w:noWrap/>
            <w:hideMark/>
          </w:tcPr>
          <w:p w:rsidR="00857142" w:rsidRPr="00892DE3" w:rsidRDefault="00857142" w:rsidP="003F5052">
            <w:pPr>
              <w:jc w:val="center"/>
              <w:cnfStyle w:val="100000000000" w:firstRow="1" w:lastRow="0" w:firstColumn="0" w:lastColumn="0" w:oddVBand="0" w:evenVBand="0" w:oddHBand="0" w:evenHBand="0" w:firstRowFirstColumn="0" w:firstRowLastColumn="0" w:lastRowFirstColumn="0" w:lastRowLastColumn="0"/>
            </w:pPr>
            <w:r w:rsidRPr="00892DE3">
              <w:t>Unlisted securities</w:t>
            </w:r>
          </w:p>
        </w:tc>
        <w:tc>
          <w:tcPr>
            <w:tcW w:w="921" w:type="pct"/>
            <w:gridSpan w:val="2"/>
            <w:noWrap/>
            <w:hideMark/>
          </w:tcPr>
          <w:p w:rsidR="00857142" w:rsidRPr="00892DE3" w:rsidRDefault="00857142" w:rsidP="00857142">
            <w:pPr>
              <w:jc w:val="center"/>
              <w:cnfStyle w:val="100000000000" w:firstRow="1" w:lastRow="0" w:firstColumn="0" w:lastColumn="0" w:oddVBand="0" w:evenVBand="0" w:oddHBand="0" w:evenHBand="0" w:firstRowFirstColumn="0" w:firstRowLastColumn="0" w:lastRowFirstColumn="0" w:lastRowLastColumn="0"/>
            </w:pPr>
            <w:r w:rsidRPr="00892DE3">
              <w:t xml:space="preserve">Total </w:t>
            </w:r>
          </w:p>
        </w:tc>
      </w:tr>
      <w:tr w:rsidR="003F5052" w:rsidRPr="00892DE3" w:rsidTr="003F505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11" w:type="pct"/>
            <w:tcBorders>
              <w:bottom w:val="nil"/>
            </w:tcBorders>
            <w:shd w:val="clear" w:color="auto" w:fill="auto"/>
          </w:tcPr>
          <w:p w:rsidR="003F5052" w:rsidRPr="00892DE3" w:rsidRDefault="003F5052" w:rsidP="003F5052"/>
        </w:tc>
        <w:tc>
          <w:tcPr>
            <w:tcW w:w="2351" w:type="pct"/>
            <w:hideMark/>
          </w:tcPr>
          <w:p w:rsidR="003F5052" w:rsidRPr="00892DE3" w:rsidRDefault="003F5052" w:rsidP="003F5052">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506" w:type="pct"/>
            <w:noWrap/>
            <w:hideMark/>
          </w:tcPr>
          <w:p w:rsidR="003F5052" w:rsidRPr="00892DE3" w:rsidRDefault="003F5052" w:rsidP="003F5052">
            <w:pPr>
              <w:cnfStyle w:val="100000000000" w:firstRow="1" w:lastRow="0" w:firstColumn="0" w:lastColumn="0" w:oddVBand="0" w:evenVBand="0" w:oddHBand="0" w:evenHBand="0" w:firstRowFirstColumn="0" w:firstRowLastColumn="0" w:lastRowFirstColumn="0" w:lastRowLastColumn="0"/>
            </w:pPr>
            <w:r w:rsidRPr="00892DE3">
              <w:t>2017</w:t>
            </w:r>
          </w:p>
        </w:tc>
        <w:tc>
          <w:tcPr>
            <w:tcW w:w="511" w:type="pct"/>
            <w:noWrap/>
            <w:hideMark/>
          </w:tcPr>
          <w:p w:rsidR="003F5052" w:rsidRPr="00892DE3" w:rsidRDefault="003F5052" w:rsidP="003F5052">
            <w:pPr>
              <w:cnfStyle w:val="100000000000" w:firstRow="1" w:lastRow="0" w:firstColumn="0" w:lastColumn="0" w:oddVBand="0" w:evenVBand="0" w:oddHBand="0" w:evenHBand="0" w:firstRowFirstColumn="0" w:firstRowLastColumn="0" w:lastRowFirstColumn="0" w:lastRowLastColumn="0"/>
            </w:pPr>
            <w:r w:rsidRPr="00892DE3">
              <w:t>2016</w:t>
            </w:r>
          </w:p>
        </w:tc>
        <w:tc>
          <w:tcPr>
            <w:tcW w:w="461" w:type="pct"/>
            <w:noWrap/>
            <w:hideMark/>
          </w:tcPr>
          <w:p w:rsidR="003F5052" w:rsidRPr="00892DE3" w:rsidRDefault="003F5052" w:rsidP="003F5052">
            <w:pPr>
              <w:cnfStyle w:val="100000000000" w:firstRow="1" w:lastRow="0" w:firstColumn="0" w:lastColumn="0" w:oddVBand="0" w:evenVBand="0" w:oddHBand="0" w:evenHBand="0" w:firstRowFirstColumn="0" w:firstRowLastColumn="0" w:lastRowFirstColumn="0" w:lastRowLastColumn="0"/>
            </w:pPr>
            <w:r w:rsidRPr="00892DE3">
              <w:t>2017</w:t>
            </w:r>
          </w:p>
        </w:tc>
        <w:tc>
          <w:tcPr>
            <w:tcW w:w="460" w:type="pct"/>
            <w:noWrap/>
            <w:hideMark/>
          </w:tcPr>
          <w:p w:rsidR="003F5052" w:rsidRPr="00892DE3" w:rsidRDefault="003F5052" w:rsidP="003F5052">
            <w:pPr>
              <w:cnfStyle w:val="100000000000" w:firstRow="1" w:lastRow="0" w:firstColumn="0" w:lastColumn="0" w:oddVBand="0" w:evenVBand="0" w:oddHBand="0" w:evenHBand="0" w:firstRowFirstColumn="0" w:firstRowLastColumn="0" w:lastRowFirstColumn="0" w:lastRowLastColumn="0"/>
            </w:pPr>
            <w:r w:rsidRPr="00892DE3">
              <w:t>2016</w:t>
            </w: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hideMark/>
          </w:tcPr>
          <w:p w:rsidR="003F5052" w:rsidRPr="00892DE3" w:rsidRDefault="003F5052" w:rsidP="003F5052">
            <w:pPr>
              <w:jc w:val="left"/>
              <w:cnfStyle w:val="000000000000" w:firstRow="0" w:lastRow="0" w:firstColumn="0" w:lastColumn="0" w:oddVBand="0" w:evenVBand="0" w:oddHBand="0" w:evenHBand="0" w:firstRowFirstColumn="0" w:firstRowLastColumn="0" w:lastRowFirstColumn="0" w:lastRowLastColumn="0"/>
            </w:pPr>
            <w:r w:rsidRPr="00892DE3">
              <w:t>Opening balance</w:t>
            </w:r>
          </w:p>
        </w:tc>
        <w:tc>
          <w:tcPr>
            <w:tcW w:w="506"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rPr>
                <w:b/>
              </w:rPr>
            </w:pPr>
            <w:r w:rsidRPr="00892DE3">
              <w:rPr>
                <w:b/>
              </w:rPr>
              <w:t>538</w:t>
            </w:r>
          </w:p>
        </w:tc>
        <w:tc>
          <w:tcPr>
            <w:tcW w:w="511"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rPr>
                <w:b/>
              </w:rPr>
            </w:pPr>
            <w:r w:rsidRPr="00892DE3">
              <w:rPr>
                <w:b/>
              </w:rPr>
              <w:t>509</w:t>
            </w:r>
          </w:p>
        </w:tc>
        <w:tc>
          <w:tcPr>
            <w:tcW w:w="461"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rPr>
                <w:b/>
              </w:rPr>
            </w:pPr>
            <w:r w:rsidRPr="00892DE3">
              <w:rPr>
                <w:b/>
              </w:rPr>
              <w:t>538</w:t>
            </w:r>
          </w:p>
        </w:tc>
        <w:tc>
          <w:tcPr>
            <w:tcW w:w="460"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rPr>
                <w:b/>
              </w:rPr>
            </w:pPr>
            <w:r w:rsidRPr="00892DE3">
              <w:rPr>
                <w:b/>
              </w:rPr>
              <w:t>509</w:t>
            </w: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hideMark/>
          </w:tcPr>
          <w:p w:rsidR="003F5052" w:rsidRPr="00892DE3" w:rsidRDefault="003F5052" w:rsidP="003F5052">
            <w:pPr>
              <w:jc w:val="left"/>
              <w:cnfStyle w:val="000000000000" w:firstRow="0" w:lastRow="0" w:firstColumn="0" w:lastColumn="0" w:oddVBand="0" w:evenVBand="0" w:oddHBand="0" w:evenHBand="0" w:firstRowFirstColumn="0" w:firstRowLastColumn="0" w:lastRowFirstColumn="0" w:lastRowLastColumn="0"/>
            </w:pPr>
            <w:r w:rsidRPr="00892DE3">
              <w:t>Total gains or losses recognised in:</w:t>
            </w:r>
          </w:p>
        </w:tc>
        <w:tc>
          <w:tcPr>
            <w:tcW w:w="506"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 </w:t>
            </w:r>
          </w:p>
        </w:tc>
        <w:tc>
          <w:tcPr>
            <w:tcW w:w="511"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p>
        </w:tc>
        <w:tc>
          <w:tcPr>
            <w:tcW w:w="461"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 </w:t>
            </w:r>
          </w:p>
        </w:tc>
        <w:tc>
          <w:tcPr>
            <w:tcW w:w="460"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hideMark/>
          </w:tcPr>
          <w:p w:rsidR="003F5052" w:rsidRPr="00892DE3" w:rsidRDefault="003F5052" w:rsidP="00857142">
            <w:pPr>
              <w:ind w:left="170"/>
              <w:jc w:val="left"/>
              <w:cnfStyle w:val="000000000000" w:firstRow="0" w:lastRow="0" w:firstColumn="0" w:lastColumn="0" w:oddVBand="0" w:evenVBand="0" w:oddHBand="0" w:evenHBand="0" w:firstRowFirstColumn="0" w:firstRowLastColumn="0" w:lastRowFirstColumn="0" w:lastRowLastColumn="0"/>
            </w:pPr>
            <w:r w:rsidRPr="00892DE3">
              <w:t>net result</w:t>
            </w:r>
          </w:p>
        </w:tc>
        <w:tc>
          <w:tcPr>
            <w:tcW w:w="506"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511"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460"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hideMark/>
          </w:tcPr>
          <w:p w:rsidR="003F5052" w:rsidRPr="00892DE3" w:rsidRDefault="003F5052" w:rsidP="00857142">
            <w:pPr>
              <w:ind w:left="170"/>
              <w:jc w:val="left"/>
              <w:cnfStyle w:val="000000000000" w:firstRow="0" w:lastRow="0" w:firstColumn="0" w:lastColumn="0" w:oddVBand="0" w:evenVBand="0" w:oddHBand="0" w:evenHBand="0" w:firstRowFirstColumn="0" w:firstRowLastColumn="0" w:lastRowFirstColumn="0" w:lastRowLastColumn="0"/>
            </w:pPr>
            <w:r w:rsidRPr="00892DE3">
              <w:t>other comprehensive income</w:t>
            </w:r>
          </w:p>
        </w:tc>
        <w:tc>
          <w:tcPr>
            <w:tcW w:w="506"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511"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460"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hideMark/>
          </w:tcPr>
          <w:p w:rsidR="003F5052" w:rsidRPr="00892DE3" w:rsidRDefault="003F5052" w:rsidP="003F5052">
            <w:pPr>
              <w:jc w:val="left"/>
              <w:cnfStyle w:val="000000000000" w:firstRow="0" w:lastRow="0" w:firstColumn="0" w:lastColumn="0" w:oddVBand="0" w:evenVBand="0" w:oddHBand="0" w:evenHBand="0" w:firstRowFirstColumn="0" w:firstRowLastColumn="0" w:lastRowFirstColumn="0" w:lastRowLastColumn="0"/>
            </w:pPr>
            <w:r w:rsidRPr="00892DE3">
              <w:t>Purchases</w:t>
            </w:r>
          </w:p>
        </w:tc>
        <w:tc>
          <w:tcPr>
            <w:tcW w:w="506"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349</w:t>
            </w:r>
          </w:p>
        </w:tc>
        <w:tc>
          <w:tcPr>
            <w:tcW w:w="511"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202</w:t>
            </w:r>
          </w:p>
        </w:tc>
        <w:tc>
          <w:tcPr>
            <w:tcW w:w="461"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349</w:t>
            </w:r>
          </w:p>
        </w:tc>
        <w:tc>
          <w:tcPr>
            <w:tcW w:w="460"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202</w:t>
            </w: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hideMark/>
          </w:tcPr>
          <w:p w:rsidR="003F5052" w:rsidRPr="00892DE3" w:rsidRDefault="003F5052" w:rsidP="003F5052">
            <w:pPr>
              <w:jc w:val="left"/>
              <w:cnfStyle w:val="000000000000" w:firstRow="0" w:lastRow="0" w:firstColumn="0" w:lastColumn="0" w:oddVBand="0" w:evenVBand="0" w:oddHBand="0" w:evenHBand="0" w:firstRowFirstColumn="0" w:firstRowLastColumn="0" w:lastRowFirstColumn="0" w:lastRowLastColumn="0"/>
            </w:pPr>
            <w:r w:rsidRPr="00892DE3">
              <w:t>Machinery of government transfer in</w:t>
            </w:r>
          </w:p>
        </w:tc>
        <w:tc>
          <w:tcPr>
            <w:tcW w:w="506"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108</w:t>
            </w:r>
          </w:p>
        </w:tc>
        <w:tc>
          <w:tcPr>
            <w:tcW w:w="511"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108</w:t>
            </w:r>
          </w:p>
        </w:tc>
        <w:tc>
          <w:tcPr>
            <w:tcW w:w="460"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hideMark/>
          </w:tcPr>
          <w:p w:rsidR="003F5052" w:rsidRPr="00892DE3" w:rsidRDefault="003F5052" w:rsidP="003F5052">
            <w:pPr>
              <w:jc w:val="left"/>
              <w:cnfStyle w:val="000000000000" w:firstRow="0" w:lastRow="0" w:firstColumn="0" w:lastColumn="0" w:oddVBand="0" w:evenVBand="0" w:oddHBand="0" w:evenHBand="0" w:firstRowFirstColumn="0" w:firstRowLastColumn="0" w:lastRowFirstColumn="0" w:lastRowLastColumn="0"/>
            </w:pPr>
            <w:r w:rsidRPr="00892DE3">
              <w:t>Machinery of government transfer out</w:t>
            </w:r>
          </w:p>
        </w:tc>
        <w:tc>
          <w:tcPr>
            <w:tcW w:w="506"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(406)</w:t>
            </w:r>
          </w:p>
        </w:tc>
        <w:tc>
          <w:tcPr>
            <w:tcW w:w="511"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(406)</w:t>
            </w:r>
          </w:p>
        </w:tc>
        <w:tc>
          <w:tcPr>
            <w:tcW w:w="460"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hideMark/>
          </w:tcPr>
          <w:p w:rsidR="003F5052" w:rsidRPr="00892DE3" w:rsidRDefault="003F5052" w:rsidP="003F5052">
            <w:pPr>
              <w:jc w:val="left"/>
              <w:cnfStyle w:val="000000000000" w:firstRow="0" w:lastRow="0" w:firstColumn="0" w:lastColumn="0" w:oddVBand="0" w:evenVBand="0" w:oddHBand="0" w:evenHBand="0" w:firstRowFirstColumn="0" w:firstRowLastColumn="0" w:lastRowFirstColumn="0" w:lastRowLastColumn="0"/>
            </w:pPr>
            <w:r w:rsidRPr="00892DE3">
              <w:t>Settlements</w:t>
            </w:r>
          </w:p>
        </w:tc>
        <w:tc>
          <w:tcPr>
            <w:tcW w:w="506"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(330)</w:t>
            </w:r>
          </w:p>
        </w:tc>
        <w:tc>
          <w:tcPr>
            <w:tcW w:w="511"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(173)</w:t>
            </w:r>
          </w:p>
        </w:tc>
        <w:tc>
          <w:tcPr>
            <w:tcW w:w="461"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(330)</w:t>
            </w:r>
          </w:p>
        </w:tc>
        <w:tc>
          <w:tcPr>
            <w:tcW w:w="460"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(173)</w:t>
            </w: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hideMark/>
          </w:tcPr>
          <w:p w:rsidR="003F5052" w:rsidRPr="00892DE3" w:rsidRDefault="003F5052" w:rsidP="003F5052">
            <w:pPr>
              <w:jc w:val="left"/>
              <w:cnfStyle w:val="000000000000" w:firstRow="0" w:lastRow="0" w:firstColumn="0" w:lastColumn="0" w:oddVBand="0" w:evenVBand="0" w:oddHBand="0" w:evenHBand="0" w:firstRowFirstColumn="0" w:firstRowLastColumn="0" w:lastRowFirstColumn="0" w:lastRowLastColumn="0"/>
            </w:pPr>
            <w:r w:rsidRPr="00892DE3">
              <w:t>Transfers from other categories</w:t>
            </w:r>
          </w:p>
        </w:tc>
        <w:tc>
          <w:tcPr>
            <w:tcW w:w="506"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511"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460" w:type="pct"/>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tcBorders>
              <w:bottom w:val="single" w:sz="4" w:space="0" w:color="auto"/>
            </w:tcBorders>
            <w:hideMark/>
          </w:tcPr>
          <w:p w:rsidR="003F5052" w:rsidRPr="00892DE3" w:rsidRDefault="003F5052" w:rsidP="00857142">
            <w:pPr>
              <w:jc w:val="left"/>
              <w:cnfStyle w:val="000000000000" w:firstRow="0" w:lastRow="0" w:firstColumn="0" w:lastColumn="0" w:oddVBand="0" w:evenVBand="0" w:oddHBand="0" w:evenHBand="0" w:firstRowFirstColumn="0" w:firstRowLastColumn="0" w:lastRowFirstColumn="0" w:lastRowLastColumn="0"/>
            </w:pPr>
            <w:r w:rsidRPr="00892DE3">
              <w:t xml:space="preserve">Transfers out of Level 3 </w:t>
            </w:r>
            <w:r w:rsidRPr="00892DE3">
              <w:rPr>
                <w:vertAlign w:val="superscript"/>
              </w:rPr>
              <w:t>(</w:t>
            </w:r>
            <w:r w:rsidR="00857142" w:rsidRPr="00892DE3">
              <w:rPr>
                <w:vertAlign w:val="superscript"/>
              </w:rPr>
              <w:t>b</w:t>
            </w:r>
            <w:r w:rsidRPr="00892DE3">
              <w:rPr>
                <w:vertAlign w:val="superscript"/>
              </w:rPr>
              <w:t>)</w:t>
            </w:r>
          </w:p>
        </w:tc>
        <w:tc>
          <w:tcPr>
            <w:tcW w:w="506" w:type="pct"/>
            <w:tcBorders>
              <w:bottom w:val="single" w:sz="4" w:space="0" w:color="auto"/>
            </w:tcBorders>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(37)</w:t>
            </w:r>
          </w:p>
        </w:tc>
        <w:tc>
          <w:tcPr>
            <w:tcW w:w="511" w:type="pct"/>
            <w:tcBorders>
              <w:bottom w:val="single" w:sz="4" w:space="0" w:color="auto"/>
            </w:tcBorders>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tcBorders>
              <w:bottom w:val="single" w:sz="4" w:space="0" w:color="auto"/>
            </w:tcBorders>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(37)</w:t>
            </w:r>
          </w:p>
        </w:tc>
        <w:tc>
          <w:tcPr>
            <w:tcW w:w="460" w:type="pct"/>
            <w:tcBorders>
              <w:bottom w:val="single" w:sz="4" w:space="0" w:color="auto"/>
            </w:tcBorders>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pPr>
            <w:r w:rsidRPr="00892DE3">
              <w:t>..</w:t>
            </w:r>
          </w:p>
        </w:tc>
      </w:tr>
      <w:tr w:rsidR="003F5052" w:rsidRPr="00892DE3" w:rsidTr="003F5052">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3F5052" w:rsidRPr="00892DE3" w:rsidRDefault="003F5052" w:rsidP="003F5052"/>
        </w:tc>
        <w:tc>
          <w:tcPr>
            <w:tcW w:w="2351" w:type="pct"/>
            <w:tcBorders>
              <w:top w:val="single" w:sz="4" w:space="0" w:color="auto"/>
              <w:bottom w:val="single" w:sz="4" w:space="0" w:color="auto"/>
            </w:tcBorders>
            <w:hideMark/>
          </w:tcPr>
          <w:p w:rsidR="003F5052" w:rsidRPr="00892DE3" w:rsidRDefault="003F5052" w:rsidP="003F5052">
            <w:pPr>
              <w:jc w:val="left"/>
              <w:cnfStyle w:val="000000000000" w:firstRow="0" w:lastRow="0" w:firstColumn="0" w:lastColumn="0" w:oddVBand="0" w:evenVBand="0" w:oddHBand="0" w:evenHBand="0" w:firstRowFirstColumn="0" w:firstRowLastColumn="0" w:lastRowFirstColumn="0" w:lastRowLastColumn="0"/>
            </w:pPr>
            <w:r w:rsidRPr="00892DE3">
              <w:t>Closing balance</w:t>
            </w:r>
          </w:p>
        </w:tc>
        <w:tc>
          <w:tcPr>
            <w:tcW w:w="506" w:type="pct"/>
            <w:tcBorders>
              <w:top w:val="single" w:sz="4" w:space="0" w:color="auto"/>
              <w:bottom w:val="single" w:sz="4" w:space="0" w:color="auto"/>
            </w:tcBorders>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rPr>
                <w:b/>
              </w:rPr>
            </w:pPr>
            <w:r w:rsidRPr="00892DE3">
              <w:rPr>
                <w:b/>
              </w:rPr>
              <w:t>222</w:t>
            </w:r>
          </w:p>
        </w:tc>
        <w:tc>
          <w:tcPr>
            <w:tcW w:w="511" w:type="pct"/>
            <w:tcBorders>
              <w:top w:val="single" w:sz="4" w:space="0" w:color="auto"/>
              <w:bottom w:val="single" w:sz="4" w:space="0" w:color="auto"/>
            </w:tcBorders>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rPr>
                <w:b/>
              </w:rPr>
            </w:pPr>
            <w:r w:rsidRPr="00892DE3">
              <w:rPr>
                <w:b/>
              </w:rPr>
              <w:t>538</w:t>
            </w:r>
          </w:p>
        </w:tc>
        <w:tc>
          <w:tcPr>
            <w:tcW w:w="461" w:type="pct"/>
            <w:tcBorders>
              <w:top w:val="single" w:sz="4" w:space="0" w:color="auto"/>
              <w:bottom w:val="single" w:sz="4" w:space="0" w:color="auto"/>
            </w:tcBorders>
            <w:shd w:val="clear" w:color="auto" w:fill="EBEBEB" w:themeFill="background2"/>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rPr>
                <w:b/>
              </w:rPr>
            </w:pPr>
            <w:r w:rsidRPr="00892DE3">
              <w:rPr>
                <w:b/>
              </w:rPr>
              <w:t>222</w:t>
            </w:r>
          </w:p>
        </w:tc>
        <w:tc>
          <w:tcPr>
            <w:tcW w:w="460" w:type="pct"/>
            <w:tcBorders>
              <w:top w:val="single" w:sz="4" w:space="0" w:color="auto"/>
              <w:bottom w:val="single" w:sz="4" w:space="0" w:color="auto"/>
            </w:tcBorders>
            <w:noWrap/>
            <w:hideMark/>
          </w:tcPr>
          <w:p w:rsidR="003F5052" w:rsidRPr="00892DE3" w:rsidRDefault="003F5052" w:rsidP="004B76C7">
            <w:pPr>
              <w:cnfStyle w:val="000000000000" w:firstRow="0" w:lastRow="0" w:firstColumn="0" w:lastColumn="0" w:oddVBand="0" w:evenVBand="0" w:oddHBand="0" w:evenHBand="0" w:firstRowFirstColumn="0" w:firstRowLastColumn="0" w:lastRowFirstColumn="0" w:lastRowLastColumn="0"/>
              <w:rPr>
                <w:b/>
              </w:rPr>
            </w:pPr>
            <w:r w:rsidRPr="00892DE3">
              <w:rPr>
                <w:b/>
              </w:rPr>
              <w:t>538</w:t>
            </w:r>
          </w:p>
        </w:tc>
      </w:tr>
      <w:tr w:rsidR="003F5052" w:rsidRPr="00892DE3" w:rsidTr="003F505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11" w:type="pct"/>
            <w:shd w:val="clear" w:color="auto" w:fill="auto"/>
          </w:tcPr>
          <w:p w:rsidR="003F5052" w:rsidRPr="00892DE3" w:rsidRDefault="003F5052" w:rsidP="003F5052">
            <w:r w:rsidRPr="00892DE3">
              <w:t>AASB 7.27B(d)</w:t>
            </w:r>
          </w:p>
        </w:tc>
        <w:tc>
          <w:tcPr>
            <w:tcW w:w="2351" w:type="pct"/>
            <w:tcBorders>
              <w:top w:val="single" w:sz="4" w:space="0" w:color="auto"/>
            </w:tcBorders>
            <w:hideMark/>
          </w:tcPr>
          <w:p w:rsidR="003F5052" w:rsidRPr="00892DE3" w:rsidRDefault="003F5052" w:rsidP="003F5052">
            <w:pPr>
              <w:jc w:val="left"/>
              <w:cnfStyle w:val="010000000000" w:firstRow="0" w:lastRow="1" w:firstColumn="0" w:lastColumn="0" w:oddVBand="0" w:evenVBand="0" w:oddHBand="0" w:evenHBand="0" w:firstRowFirstColumn="0" w:firstRowLastColumn="0" w:lastRowFirstColumn="0" w:lastRowLastColumn="0"/>
            </w:pPr>
            <w:r w:rsidRPr="00892DE3">
              <w:t>Total gains or losses for the period included in profit or loss for assets held at the end of the period</w:t>
            </w:r>
          </w:p>
        </w:tc>
        <w:tc>
          <w:tcPr>
            <w:tcW w:w="506" w:type="pct"/>
            <w:tcBorders>
              <w:top w:val="single" w:sz="4" w:space="0" w:color="auto"/>
            </w:tcBorders>
            <w:shd w:val="clear" w:color="auto" w:fill="EBEBEB" w:themeFill="background2"/>
            <w:noWrap/>
            <w:hideMark/>
          </w:tcPr>
          <w:p w:rsidR="003F5052" w:rsidRPr="00892DE3" w:rsidRDefault="003F5052" w:rsidP="004B76C7">
            <w:pPr>
              <w:cnfStyle w:val="010000000000" w:firstRow="0" w:lastRow="1" w:firstColumn="0" w:lastColumn="0" w:oddVBand="0" w:evenVBand="0" w:oddHBand="0" w:evenHBand="0" w:firstRowFirstColumn="0" w:firstRowLastColumn="0" w:lastRowFirstColumn="0" w:lastRowLastColumn="0"/>
            </w:pPr>
            <w:r w:rsidRPr="00892DE3">
              <w:t>..</w:t>
            </w:r>
          </w:p>
        </w:tc>
        <w:tc>
          <w:tcPr>
            <w:tcW w:w="511" w:type="pct"/>
            <w:tcBorders>
              <w:top w:val="single" w:sz="4" w:space="0" w:color="auto"/>
            </w:tcBorders>
            <w:noWrap/>
            <w:hideMark/>
          </w:tcPr>
          <w:p w:rsidR="003F5052" w:rsidRPr="00892DE3" w:rsidRDefault="003F5052" w:rsidP="004B76C7">
            <w:pPr>
              <w:cnfStyle w:val="010000000000" w:firstRow="0" w:lastRow="1" w:firstColumn="0" w:lastColumn="0" w:oddVBand="0" w:evenVBand="0" w:oddHBand="0" w:evenHBand="0" w:firstRowFirstColumn="0" w:firstRowLastColumn="0" w:lastRowFirstColumn="0" w:lastRowLastColumn="0"/>
            </w:pPr>
            <w:r w:rsidRPr="00892DE3">
              <w:t>..</w:t>
            </w:r>
          </w:p>
        </w:tc>
        <w:tc>
          <w:tcPr>
            <w:tcW w:w="461" w:type="pct"/>
            <w:tcBorders>
              <w:top w:val="single" w:sz="4" w:space="0" w:color="auto"/>
            </w:tcBorders>
            <w:shd w:val="clear" w:color="auto" w:fill="EBEBEB" w:themeFill="background2"/>
            <w:noWrap/>
            <w:hideMark/>
          </w:tcPr>
          <w:p w:rsidR="003F5052" w:rsidRPr="00892DE3" w:rsidRDefault="003F5052" w:rsidP="004B76C7">
            <w:pPr>
              <w:cnfStyle w:val="010000000000" w:firstRow="0" w:lastRow="1" w:firstColumn="0" w:lastColumn="0" w:oddVBand="0" w:evenVBand="0" w:oddHBand="0" w:evenHBand="0" w:firstRowFirstColumn="0" w:firstRowLastColumn="0" w:lastRowFirstColumn="0" w:lastRowLastColumn="0"/>
            </w:pPr>
            <w:r w:rsidRPr="00892DE3">
              <w:t>..</w:t>
            </w:r>
          </w:p>
        </w:tc>
        <w:tc>
          <w:tcPr>
            <w:tcW w:w="460" w:type="pct"/>
            <w:tcBorders>
              <w:top w:val="single" w:sz="4" w:space="0" w:color="auto"/>
            </w:tcBorders>
            <w:noWrap/>
            <w:hideMark/>
          </w:tcPr>
          <w:p w:rsidR="003F5052" w:rsidRPr="00892DE3" w:rsidRDefault="003F5052" w:rsidP="004B76C7">
            <w:pPr>
              <w:cnfStyle w:val="010000000000" w:firstRow="0" w:lastRow="1" w:firstColumn="0" w:lastColumn="0" w:oddVBand="0" w:evenVBand="0" w:oddHBand="0" w:evenHBand="0" w:firstRowFirstColumn="0" w:firstRowLastColumn="0" w:lastRowFirstColumn="0" w:lastRowLastColumn="0"/>
            </w:pPr>
            <w:r w:rsidRPr="00892DE3">
              <w:t>..</w:t>
            </w:r>
          </w:p>
        </w:tc>
      </w:tr>
    </w:tbl>
    <w:p w:rsidR="00C91E99" w:rsidRPr="00892DE3" w:rsidRDefault="00C91E99" w:rsidP="00C91E99">
      <w:pPr>
        <w:pStyle w:val="Note"/>
      </w:pPr>
      <w:r w:rsidRPr="00892DE3">
        <w:t xml:space="preserve">Notes: </w:t>
      </w:r>
    </w:p>
    <w:p w:rsidR="00C91E99" w:rsidRPr="00892DE3" w:rsidRDefault="00C91E99" w:rsidP="00C91E99">
      <w:pPr>
        <w:pStyle w:val="Note"/>
      </w:pPr>
      <w:r w:rsidRPr="00892DE3">
        <w:t>(</w:t>
      </w:r>
      <w:r w:rsidR="00857142" w:rsidRPr="00892DE3">
        <w:t>a</w:t>
      </w:r>
      <w:r w:rsidRPr="00892DE3">
        <w:t>)</w:t>
      </w:r>
      <w:r w:rsidRPr="00892DE3">
        <w:tab/>
        <w:t>[Where significant transfers have occurred during the period, provide disclosure of such transfers and the reasons thereof.]</w:t>
      </w:r>
      <w:r w:rsidR="00857142" w:rsidRPr="00892DE3">
        <w:t xml:space="preserve"> </w:t>
      </w:r>
      <w:r w:rsidRPr="00892DE3">
        <w:rPr>
          <w:rStyle w:val="SourceReference"/>
          <w:i w:val="0"/>
        </w:rPr>
        <w:t>[AASB 7.27B]</w:t>
      </w:r>
    </w:p>
    <w:p w:rsidR="00C91E99" w:rsidRPr="00892DE3" w:rsidRDefault="00C91E99" w:rsidP="00C91E99">
      <w:pPr>
        <w:pStyle w:val="Note"/>
      </w:pPr>
      <w:r w:rsidRPr="00892DE3">
        <w:t>(</w:t>
      </w:r>
      <w:r w:rsidR="00857142" w:rsidRPr="00892DE3">
        <w:t>b</w:t>
      </w:r>
      <w:r w:rsidRPr="00892DE3">
        <w:t>)</w:t>
      </w:r>
      <w:r w:rsidRPr="00892DE3">
        <w:tab/>
        <w:t>This transfer is due to transfer to assets held for sale category.</w:t>
      </w:r>
    </w:p>
    <w:p w:rsidR="00C91E99" w:rsidRPr="00892DE3" w:rsidRDefault="00C91E99" w:rsidP="00C91E99"/>
    <w:p w:rsidR="00C91E99" w:rsidRPr="00892DE3" w:rsidRDefault="00C91E99" w:rsidP="00C91E99">
      <w:r w:rsidRPr="00892DE3">
        <w:t xml:space="preserve">The fair value of unlisted investments is based on the discounted cash flow technique. Significant inputs in applying this technique include growth rates applied for cash flows and discount rates used. An increase in the growth rates applied to cash flows by 1 per cent would result in a change in the fair value of the unlisted investments by $50 000. An increase in the discount rates used of 50 basis points would result in a decrease in the fair value of the investments by $66 000. </w:t>
      </w:r>
      <w:r w:rsidRPr="00892DE3">
        <w:rPr>
          <w:rStyle w:val="SourceReference"/>
        </w:rPr>
        <w:t>[AASB 7.27B(e)]</w:t>
      </w:r>
    </w:p>
    <w:p w:rsidR="00EA1814" w:rsidRPr="00892DE3" w:rsidRDefault="00EA1814">
      <w:pPr>
        <w:keepLines w:val="0"/>
        <w:rPr>
          <w:rFonts w:asciiTheme="majorHAnsi" w:hAnsiTheme="majorHAnsi"/>
          <w:b/>
          <w:szCs w:val="20"/>
        </w:rPr>
      </w:pPr>
      <w:r w:rsidRPr="00892DE3">
        <w:br w:type="page"/>
      </w:r>
    </w:p>
    <w:p w:rsidR="003F5052" w:rsidRPr="00892DE3" w:rsidRDefault="00C91E99" w:rsidP="00C91E99">
      <w:pPr>
        <w:pStyle w:val="TableHeading"/>
        <w:rPr>
          <w:b w:val="0"/>
        </w:rPr>
      </w:pPr>
      <w:r w:rsidRPr="00892DE3">
        <w:t xml:space="preserve">Description of Level 3 valuation techniques used and key inputs to valuation </w:t>
      </w:r>
      <w:r w:rsidRPr="00892DE3">
        <w:rPr>
          <w:rStyle w:val="SourceReference"/>
          <w:b w:val="0"/>
        </w:rPr>
        <w:t>[AASB 13.93(d), (h)(ii)]</w:t>
      </w:r>
    </w:p>
    <w:tbl>
      <w:tblPr>
        <w:tblStyle w:val="DTFTextTable"/>
        <w:tblW w:w="9637" w:type="dxa"/>
        <w:tblLayout w:type="fixed"/>
        <w:tblLook w:val="06E0" w:firstRow="1" w:lastRow="1" w:firstColumn="1" w:lastColumn="0" w:noHBand="1" w:noVBand="1"/>
      </w:tblPr>
      <w:tblGrid>
        <w:gridCol w:w="1186"/>
        <w:gridCol w:w="1069"/>
        <w:gridCol w:w="1767"/>
        <w:gridCol w:w="1346"/>
        <w:gridCol w:w="4269"/>
      </w:tblGrid>
      <w:tr w:rsidR="00C91E99" w:rsidRPr="00892DE3" w:rsidTr="00C91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C91E99" w:rsidRPr="00892DE3" w:rsidRDefault="00C91E99" w:rsidP="00C91E99">
            <w:pPr>
              <w:ind w:left="0" w:firstLine="0"/>
            </w:pPr>
          </w:p>
        </w:tc>
        <w:tc>
          <w:tcPr>
            <w:tcW w:w="1069" w:type="dxa"/>
          </w:tcPr>
          <w:p w:rsidR="00C91E99" w:rsidRPr="00892DE3" w:rsidRDefault="005D5072" w:rsidP="00C91E99">
            <w:pPr>
              <w:cnfStyle w:val="100000000000" w:firstRow="1" w:lastRow="0" w:firstColumn="0" w:lastColumn="0" w:oddVBand="0" w:evenVBand="0" w:oddHBand="0" w:evenHBand="0" w:firstRowFirstColumn="0" w:firstRowLastColumn="0" w:lastRowFirstColumn="0" w:lastRowLastColumn="0"/>
            </w:pPr>
            <w:r w:rsidRPr="00892DE3">
              <w:t xml:space="preserve">Valuation technique </w:t>
            </w:r>
            <w:r w:rsidRPr="00892DE3">
              <w:rPr>
                <w:vertAlign w:val="superscript"/>
              </w:rPr>
              <w:t>(a</w:t>
            </w:r>
            <w:r w:rsidR="00C91E99" w:rsidRPr="00892DE3">
              <w:rPr>
                <w:vertAlign w:val="superscript"/>
              </w:rPr>
              <w:t>)</w:t>
            </w:r>
          </w:p>
        </w:tc>
        <w:tc>
          <w:tcPr>
            <w:tcW w:w="1767" w:type="dxa"/>
          </w:tcPr>
          <w:p w:rsidR="00C91E99" w:rsidRPr="00892DE3" w:rsidRDefault="00C91E99" w:rsidP="005D5072">
            <w:pPr>
              <w:cnfStyle w:val="100000000000" w:firstRow="1" w:lastRow="0" w:firstColumn="0" w:lastColumn="0" w:oddVBand="0" w:evenVBand="0" w:oddHBand="0" w:evenHBand="0" w:firstRowFirstColumn="0" w:firstRowLastColumn="0" w:lastRowFirstColumn="0" w:lastRowLastColumn="0"/>
            </w:pPr>
            <w:r w:rsidRPr="00892DE3">
              <w:t xml:space="preserve">Significant unobservable inputs </w:t>
            </w:r>
            <w:r w:rsidRPr="00892DE3">
              <w:rPr>
                <w:vertAlign w:val="superscript"/>
              </w:rPr>
              <w:t>(</w:t>
            </w:r>
            <w:r w:rsidR="005D5072" w:rsidRPr="00892DE3">
              <w:rPr>
                <w:vertAlign w:val="superscript"/>
              </w:rPr>
              <w:t>a</w:t>
            </w:r>
            <w:r w:rsidRPr="00892DE3">
              <w:rPr>
                <w:vertAlign w:val="superscript"/>
              </w:rPr>
              <w:t>)</w:t>
            </w:r>
          </w:p>
        </w:tc>
        <w:tc>
          <w:tcPr>
            <w:tcW w:w="1346" w:type="dxa"/>
          </w:tcPr>
          <w:p w:rsidR="00C91E99" w:rsidRPr="00892DE3" w:rsidRDefault="00C91E99" w:rsidP="005D5072">
            <w:pPr>
              <w:cnfStyle w:val="100000000000" w:firstRow="1" w:lastRow="0" w:firstColumn="0" w:lastColumn="0" w:oddVBand="0" w:evenVBand="0" w:oddHBand="0" w:evenHBand="0" w:firstRowFirstColumn="0" w:firstRowLastColumn="0" w:lastRowFirstColumn="0" w:lastRowLastColumn="0"/>
            </w:pPr>
            <w:r w:rsidRPr="00892DE3">
              <w:t xml:space="preserve">Range (weighted average) </w:t>
            </w:r>
            <w:r w:rsidRPr="00892DE3">
              <w:rPr>
                <w:vertAlign w:val="superscript"/>
              </w:rPr>
              <w:t>(</w:t>
            </w:r>
            <w:r w:rsidR="005D5072" w:rsidRPr="00892DE3">
              <w:rPr>
                <w:vertAlign w:val="superscript"/>
              </w:rPr>
              <w:t>a</w:t>
            </w:r>
            <w:r w:rsidRPr="00892DE3">
              <w:rPr>
                <w:vertAlign w:val="superscript"/>
              </w:rPr>
              <w:t>)</w:t>
            </w:r>
          </w:p>
        </w:tc>
        <w:tc>
          <w:tcPr>
            <w:tcW w:w="4269" w:type="dxa"/>
          </w:tcPr>
          <w:p w:rsidR="00C91E99" w:rsidRPr="00892DE3" w:rsidRDefault="00C91E99" w:rsidP="005D5072">
            <w:pPr>
              <w:cnfStyle w:val="100000000000" w:firstRow="1" w:lastRow="0" w:firstColumn="0" w:lastColumn="0" w:oddVBand="0" w:evenVBand="0" w:oddHBand="0" w:evenHBand="0" w:firstRowFirstColumn="0" w:firstRowLastColumn="0" w:lastRowFirstColumn="0" w:lastRowLastColumn="0"/>
            </w:pPr>
            <w:r w:rsidRPr="00892DE3">
              <w:t xml:space="preserve">Sensitivity of fair value measurement to changes in significant unobservable inputs </w:t>
            </w:r>
            <w:r w:rsidRPr="00892DE3">
              <w:rPr>
                <w:vertAlign w:val="superscript"/>
              </w:rPr>
              <w:t>(</w:t>
            </w:r>
            <w:r w:rsidR="005D5072" w:rsidRPr="00892DE3">
              <w:rPr>
                <w:vertAlign w:val="superscript"/>
              </w:rPr>
              <w:t>b</w:t>
            </w:r>
            <w:r w:rsidRPr="00892DE3">
              <w:rPr>
                <w:vertAlign w:val="superscript"/>
              </w:rPr>
              <w:t>)</w:t>
            </w:r>
          </w:p>
        </w:tc>
      </w:tr>
      <w:tr w:rsidR="00C91E99" w:rsidRPr="00892DE3" w:rsidTr="00C91E99">
        <w:tc>
          <w:tcPr>
            <w:cnfStyle w:val="001000000000" w:firstRow="0" w:lastRow="0" w:firstColumn="1" w:lastColumn="0" w:oddVBand="0" w:evenVBand="0" w:oddHBand="0" w:evenHBand="0" w:firstRowFirstColumn="0" w:firstRowLastColumn="0" w:lastRowFirstColumn="0" w:lastRowLastColumn="0"/>
            <w:tcW w:w="1186" w:type="dxa"/>
          </w:tcPr>
          <w:p w:rsidR="00C91E99" w:rsidRPr="00892DE3" w:rsidRDefault="00C91E99" w:rsidP="005D5072">
            <w:pPr>
              <w:ind w:left="0" w:firstLine="0"/>
              <w:rPr>
                <w:rFonts w:cstheme="majorHAnsi"/>
                <w:sz w:val="17"/>
              </w:rPr>
            </w:pPr>
            <w:r w:rsidRPr="00892DE3">
              <w:rPr>
                <w:rFonts w:cstheme="majorHAnsi"/>
                <w:sz w:val="17"/>
              </w:rPr>
              <w:t xml:space="preserve">Unlisted securities </w:t>
            </w:r>
          </w:p>
        </w:tc>
        <w:tc>
          <w:tcPr>
            <w:tcW w:w="1069"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Discounted cash flow method</w:t>
            </w:r>
          </w:p>
        </w:tc>
        <w:tc>
          <w:tcPr>
            <w:tcW w:w="1767"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Long</w:t>
            </w:r>
            <w:r w:rsidRPr="00892DE3">
              <w:rPr>
                <w:rFonts w:cstheme="majorHAnsi"/>
                <w:sz w:val="17"/>
              </w:rPr>
              <w:noBreakHyphen/>
              <w:t>term growth rate for cash flows for subsequent years</w:t>
            </w:r>
          </w:p>
        </w:tc>
        <w:tc>
          <w:tcPr>
            <w:tcW w:w="1346"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4.4%–6.1% (5.3%)</w:t>
            </w:r>
          </w:p>
        </w:tc>
        <w:tc>
          <w:tcPr>
            <w:tcW w:w="4269"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 per cent increase or decrease in the growth rate would result in an increase or decrease in fair value by $23 000</w:t>
            </w:r>
          </w:p>
        </w:tc>
      </w:tr>
      <w:tr w:rsidR="00C91E99" w:rsidRPr="00892DE3" w:rsidTr="00C91E99">
        <w:tc>
          <w:tcPr>
            <w:cnfStyle w:val="001000000000" w:firstRow="0" w:lastRow="0" w:firstColumn="1" w:lastColumn="0" w:oddVBand="0" w:evenVBand="0" w:oddHBand="0" w:evenHBand="0" w:firstRowFirstColumn="0" w:firstRowLastColumn="0" w:lastRowFirstColumn="0" w:lastRowLastColumn="0"/>
            <w:tcW w:w="1186" w:type="dxa"/>
          </w:tcPr>
          <w:p w:rsidR="00C91E99" w:rsidRPr="00892DE3" w:rsidRDefault="00C91E99" w:rsidP="005D5072">
            <w:pPr>
              <w:ind w:left="0" w:firstLine="0"/>
              <w:rPr>
                <w:rFonts w:cstheme="majorHAnsi"/>
                <w:sz w:val="17"/>
              </w:rPr>
            </w:pPr>
          </w:p>
        </w:tc>
        <w:tc>
          <w:tcPr>
            <w:tcW w:w="1069"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767"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Long</w:t>
            </w:r>
            <w:r w:rsidRPr="00892DE3">
              <w:rPr>
                <w:rFonts w:cstheme="majorHAnsi"/>
                <w:sz w:val="17"/>
              </w:rPr>
              <w:noBreakHyphen/>
              <w:t>term operating margin</w:t>
            </w:r>
          </w:p>
        </w:tc>
        <w:tc>
          <w:tcPr>
            <w:tcW w:w="1346"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10.0%–16.1% (14.3%)</w:t>
            </w:r>
          </w:p>
        </w:tc>
        <w:tc>
          <w:tcPr>
            <w:tcW w:w="4269"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 per cent increase or decrease in the margin would result in an increase or decrease in fair value by $12 000</w:t>
            </w:r>
          </w:p>
        </w:tc>
      </w:tr>
      <w:tr w:rsidR="00C91E99" w:rsidRPr="00892DE3" w:rsidTr="00C91E99">
        <w:tc>
          <w:tcPr>
            <w:cnfStyle w:val="001000000000" w:firstRow="0" w:lastRow="0" w:firstColumn="1" w:lastColumn="0" w:oddVBand="0" w:evenVBand="0" w:oddHBand="0" w:evenHBand="0" w:firstRowFirstColumn="0" w:firstRowLastColumn="0" w:lastRowFirstColumn="0" w:lastRowLastColumn="0"/>
            <w:tcW w:w="1186" w:type="dxa"/>
          </w:tcPr>
          <w:p w:rsidR="00C91E99" w:rsidRPr="00892DE3" w:rsidRDefault="00C91E99" w:rsidP="005D5072">
            <w:pPr>
              <w:ind w:left="0" w:firstLine="0"/>
              <w:rPr>
                <w:rFonts w:cstheme="majorHAnsi"/>
                <w:sz w:val="17"/>
              </w:rPr>
            </w:pPr>
          </w:p>
        </w:tc>
        <w:tc>
          <w:tcPr>
            <w:tcW w:w="1069"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767"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WACC</w:t>
            </w:r>
          </w:p>
        </w:tc>
        <w:tc>
          <w:tcPr>
            <w:tcW w:w="1346"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12.1%–16.7% (13.2%)</w:t>
            </w:r>
          </w:p>
        </w:tc>
        <w:tc>
          <w:tcPr>
            <w:tcW w:w="4269"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 per cent increase or decrease in the WACC would result in a decrease or increase in fair value by $21 000</w:t>
            </w:r>
          </w:p>
        </w:tc>
      </w:tr>
      <w:tr w:rsidR="00C91E99" w:rsidRPr="00892DE3" w:rsidTr="00C91E99">
        <w:tc>
          <w:tcPr>
            <w:cnfStyle w:val="001000000000" w:firstRow="0" w:lastRow="0" w:firstColumn="1" w:lastColumn="0" w:oddVBand="0" w:evenVBand="0" w:oddHBand="0" w:evenHBand="0" w:firstRowFirstColumn="0" w:firstRowLastColumn="0" w:lastRowFirstColumn="0" w:lastRowLastColumn="0"/>
            <w:tcW w:w="1186" w:type="dxa"/>
            <w:tcBorders>
              <w:bottom w:val="single" w:sz="6" w:space="0" w:color="auto"/>
            </w:tcBorders>
          </w:tcPr>
          <w:p w:rsidR="00C91E99" w:rsidRPr="00892DE3" w:rsidRDefault="00C91E99" w:rsidP="005D5072">
            <w:pPr>
              <w:ind w:left="0" w:firstLine="0"/>
              <w:rPr>
                <w:rFonts w:cstheme="majorHAnsi"/>
                <w:sz w:val="17"/>
              </w:rPr>
            </w:pPr>
          </w:p>
        </w:tc>
        <w:tc>
          <w:tcPr>
            <w:tcW w:w="1069" w:type="dxa"/>
            <w:tcBorders>
              <w:bottom w:val="single" w:sz="6" w:space="0" w:color="auto"/>
            </w:tcBorders>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767" w:type="dxa"/>
            <w:tcBorders>
              <w:bottom w:val="single" w:sz="6" w:space="0" w:color="auto"/>
            </w:tcBorders>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Discount for lack of marketability</w:t>
            </w:r>
          </w:p>
        </w:tc>
        <w:tc>
          <w:tcPr>
            <w:tcW w:w="1346" w:type="dxa"/>
            <w:tcBorders>
              <w:bottom w:val="single" w:sz="6" w:space="0" w:color="auto"/>
            </w:tcBorders>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5.1%–20.2% (16.3%)</w:t>
            </w:r>
          </w:p>
        </w:tc>
        <w:tc>
          <w:tcPr>
            <w:tcW w:w="4269" w:type="dxa"/>
            <w:tcBorders>
              <w:bottom w:val="single" w:sz="6" w:space="0" w:color="auto"/>
            </w:tcBorders>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 per cent increase or decrease in the discount would result in a decrease or increase in fair value by $34 000</w:t>
            </w:r>
          </w:p>
        </w:tc>
      </w:tr>
      <w:tr w:rsidR="005D5072" w:rsidRPr="00892DE3" w:rsidTr="00082D03">
        <w:tc>
          <w:tcPr>
            <w:cnfStyle w:val="001000000000" w:firstRow="0" w:lastRow="0" w:firstColumn="1" w:lastColumn="0" w:oddVBand="0" w:evenVBand="0" w:oddHBand="0" w:evenHBand="0" w:firstRowFirstColumn="0" w:firstRowLastColumn="0" w:lastRowFirstColumn="0" w:lastRowLastColumn="0"/>
            <w:tcW w:w="1186" w:type="dxa"/>
            <w:vMerge w:val="restart"/>
            <w:tcBorders>
              <w:top w:val="single" w:sz="6" w:space="0" w:color="auto"/>
            </w:tcBorders>
          </w:tcPr>
          <w:p w:rsidR="005D5072" w:rsidRPr="00892DE3" w:rsidRDefault="005D5072" w:rsidP="005D5072">
            <w:pPr>
              <w:ind w:left="0" w:firstLine="0"/>
              <w:rPr>
                <w:rFonts w:cstheme="majorHAnsi"/>
                <w:sz w:val="17"/>
              </w:rPr>
            </w:pPr>
            <w:r w:rsidRPr="00892DE3">
              <w:rPr>
                <w:rFonts w:cstheme="majorHAnsi"/>
                <w:sz w:val="17"/>
              </w:rPr>
              <w:t xml:space="preserve">Discontinued operation – unlisted securities </w:t>
            </w:r>
          </w:p>
        </w:tc>
        <w:tc>
          <w:tcPr>
            <w:tcW w:w="1069" w:type="dxa"/>
            <w:tcBorders>
              <w:top w:val="single" w:sz="6" w:space="0" w:color="auto"/>
              <w:bottom w:val="nil"/>
            </w:tcBorders>
          </w:tcPr>
          <w:p w:rsidR="005D5072" w:rsidRPr="00892DE3" w:rsidRDefault="005D5072"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Discounted cash flow method</w:t>
            </w:r>
          </w:p>
        </w:tc>
        <w:tc>
          <w:tcPr>
            <w:tcW w:w="1767" w:type="dxa"/>
            <w:tcBorders>
              <w:top w:val="single" w:sz="6" w:space="0" w:color="auto"/>
              <w:bottom w:val="nil"/>
            </w:tcBorders>
          </w:tcPr>
          <w:p w:rsidR="005D5072" w:rsidRPr="00892DE3" w:rsidRDefault="005D5072"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Long</w:t>
            </w:r>
            <w:r w:rsidRPr="00892DE3">
              <w:rPr>
                <w:rFonts w:cstheme="majorHAnsi"/>
                <w:sz w:val="17"/>
              </w:rPr>
              <w:noBreakHyphen/>
              <w:t>term growth rate for cash flows for subsequent years</w:t>
            </w:r>
          </w:p>
        </w:tc>
        <w:tc>
          <w:tcPr>
            <w:tcW w:w="1346" w:type="dxa"/>
            <w:tcBorders>
              <w:top w:val="single" w:sz="6" w:space="0" w:color="auto"/>
              <w:bottom w:val="nil"/>
            </w:tcBorders>
          </w:tcPr>
          <w:p w:rsidR="005D5072" w:rsidRPr="00892DE3" w:rsidRDefault="005D5072"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3.6%–4.6% (4.1%)</w:t>
            </w:r>
          </w:p>
        </w:tc>
        <w:tc>
          <w:tcPr>
            <w:tcW w:w="4269" w:type="dxa"/>
            <w:tcBorders>
              <w:top w:val="single" w:sz="6" w:space="0" w:color="auto"/>
              <w:bottom w:val="nil"/>
            </w:tcBorders>
          </w:tcPr>
          <w:p w:rsidR="005D5072" w:rsidRPr="00892DE3" w:rsidRDefault="005D5072"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 per cent increase or decrease in the growth rate would result in an increase or decrease in fair value by $165 000</w:t>
            </w:r>
          </w:p>
        </w:tc>
      </w:tr>
      <w:tr w:rsidR="005D5072" w:rsidRPr="00892DE3" w:rsidTr="00082D03">
        <w:tc>
          <w:tcPr>
            <w:cnfStyle w:val="001000000000" w:firstRow="0" w:lastRow="0" w:firstColumn="1" w:lastColumn="0" w:oddVBand="0" w:evenVBand="0" w:oddHBand="0" w:evenHBand="0" w:firstRowFirstColumn="0" w:firstRowLastColumn="0" w:lastRowFirstColumn="0" w:lastRowLastColumn="0"/>
            <w:tcW w:w="1186" w:type="dxa"/>
            <w:vMerge/>
          </w:tcPr>
          <w:p w:rsidR="005D5072" w:rsidRPr="00892DE3" w:rsidRDefault="005D5072" w:rsidP="005D5072">
            <w:pPr>
              <w:ind w:left="0" w:firstLine="0"/>
              <w:rPr>
                <w:rFonts w:cstheme="majorHAnsi"/>
                <w:sz w:val="17"/>
              </w:rPr>
            </w:pPr>
          </w:p>
        </w:tc>
        <w:tc>
          <w:tcPr>
            <w:tcW w:w="1069" w:type="dxa"/>
            <w:tcBorders>
              <w:top w:val="nil"/>
            </w:tcBorders>
          </w:tcPr>
          <w:p w:rsidR="005D5072" w:rsidRPr="00892DE3" w:rsidRDefault="005D5072"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767" w:type="dxa"/>
            <w:tcBorders>
              <w:top w:val="nil"/>
            </w:tcBorders>
          </w:tcPr>
          <w:p w:rsidR="005D5072" w:rsidRPr="00892DE3" w:rsidRDefault="005D5072"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Long</w:t>
            </w:r>
            <w:r w:rsidRPr="00892DE3">
              <w:rPr>
                <w:rFonts w:cstheme="majorHAnsi"/>
                <w:sz w:val="17"/>
              </w:rPr>
              <w:noBreakHyphen/>
              <w:t>term operating margin</w:t>
            </w:r>
          </w:p>
        </w:tc>
        <w:tc>
          <w:tcPr>
            <w:tcW w:w="1346" w:type="dxa"/>
            <w:tcBorders>
              <w:top w:val="nil"/>
            </w:tcBorders>
          </w:tcPr>
          <w:p w:rsidR="005D5072" w:rsidRPr="00892DE3" w:rsidRDefault="005D5072"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12.0%–21.1% (19.3%)</w:t>
            </w:r>
          </w:p>
        </w:tc>
        <w:tc>
          <w:tcPr>
            <w:tcW w:w="4269" w:type="dxa"/>
            <w:tcBorders>
              <w:top w:val="nil"/>
            </w:tcBorders>
          </w:tcPr>
          <w:p w:rsidR="005D5072" w:rsidRPr="00892DE3" w:rsidRDefault="005D5072"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 per cent increase or decrease in the margin would result in an increase or decrease in fair value by $97 000</w:t>
            </w:r>
          </w:p>
        </w:tc>
      </w:tr>
      <w:tr w:rsidR="00C91E99" w:rsidRPr="00892DE3" w:rsidTr="00C91E99">
        <w:tc>
          <w:tcPr>
            <w:cnfStyle w:val="001000000000" w:firstRow="0" w:lastRow="0" w:firstColumn="1" w:lastColumn="0" w:oddVBand="0" w:evenVBand="0" w:oddHBand="0" w:evenHBand="0" w:firstRowFirstColumn="0" w:firstRowLastColumn="0" w:lastRowFirstColumn="0" w:lastRowLastColumn="0"/>
            <w:tcW w:w="1186" w:type="dxa"/>
          </w:tcPr>
          <w:p w:rsidR="00C91E99" w:rsidRPr="00892DE3" w:rsidRDefault="00C91E99" w:rsidP="005D5072">
            <w:pPr>
              <w:ind w:left="0" w:firstLine="0"/>
              <w:rPr>
                <w:rFonts w:cstheme="majorHAnsi"/>
                <w:sz w:val="17"/>
              </w:rPr>
            </w:pPr>
          </w:p>
        </w:tc>
        <w:tc>
          <w:tcPr>
            <w:tcW w:w="1069"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767"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WACC</w:t>
            </w:r>
          </w:p>
        </w:tc>
        <w:tc>
          <w:tcPr>
            <w:tcW w:w="1346"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10.1%–14.7% (11.2%)</w:t>
            </w:r>
          </w:p>
        </w:tc>
        <w:tc>
          <w:tcPr>
            <w:tcW w:w="4269" w:type="dxa"/>
          </w:tcPr>
          <w:p w:rsidR="00C91E99" w:rsidRPr="00892DE3" w:rsidRDefault="00C91E99" w:rsidP="005D5072">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 per cent increase or decrease in the WACC would result in a decrease or increase in fair value by $85 000</w:t>
            </w:r>
          </w:p>
        </w:tc>
      </w:tr>
      <w:tr w:rsidR="00C91E99" w:rsidRPr="00892DE3" w:rsidTr="00C91E9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C91E99" w:rsidRPr="00892DE3" w:rsidRDefault="00C91E99" w:rsidP="005D5072">
            <w:pPr>
              <w:ind w:left="0" w:firstLine="0"/>
              <w:rPr>
                <w:rFonts w:cstheme="majorHAnsi"/>
                <w:sz w:val="17"/>
              </w:rPr>
            </w:pPr>
          </w:p>
        </w:tc>
        <w:tc>
          <w:tcPr>
            <w:tcW w:w="1069" w:type="dxa"/>
          </w:tcPr>
          <w:p w:rsidR="00C91E99" w:rsidRPr="00892DE3" w:rsidRDefault="00C91E99" w:rsidP="005D5072">
            <w:pPr>
              <w:cnfStyle w:val="010000000000" w:firstRow="0" w:lastRow="1" w:firstColumn="0" w:lastColumn="0" w:oddVBand="0" w:evenVBand="0" w:oddHBand="0" w:evenHBand="0" w:firstRowFirstColumn="0" w:firstRowLastColumn="0" w:lastRowFirstColumn="0" w:lastRowLastColumn="0"/>
              <w:rPr>
                <w:rFonts w:cstheme="majorHAnsi"/>
                <w:sz w:val="17"/>
              </w:rPr>
            </w:pPr>
          </w:p>
        </w:tc>
        <w:tc>
          <w:tcPr>
            <w:tcW w:w="1767" w:type="dxa"/>
          </w:tcPr>
          <w:p w:rsidR="00C91E99" w:rsidRPr="00892DE3" w:rsidRDefault="00C91E99" w:rsidP="005D5072">
            <w:pPr>
              <w:cnfStyle w:val="010000000000" w:firstRow="0" w:lastRow="1"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Discount for lack of marketability</w:t>
            </w:r>
          </w:p>
        </w:tc>
        <w:tc>
          <w:tcPr>
            <w:tcW w:w="1346" w:type="dxa"/>
          </w:tcPr>
          <w:p w:rsidR="00C91E99" w:rsidRPr="00892DE3" w:rsidRDefault="00C91E99" w:rsidP="005D5072">
            <w:pPr>
              <w:cnfStyle w:val="010000000000" w:firstRow="0" w:lastRow="1"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6.1%–21.2% (17.3%)</w:t>
            </w:r>
          </w:p>
        </w:tc>
        <w:tc>
          <w:tcPr>
            <w:tcW w:w="4269" w:type="dxa"/>
          </w:tcPr>
          <w:p w:rsidR="00C91E99" w:rsidRPr="00892DE3" w:rsidRDefault="00C91E99" w:rsidP="005D5072">
            <w:pPr>
              <w:cnfStyle w:val="010000000000" w:firstRow="0" w:lastRow="1"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 per cent increase or decrease in the discount would result in a decrease or increase in fair value by $20 000</w:t>
            </w:r>
          </w:p>
        </w:tc>
      </w:tr>
    </w:tbl>
    <w:p w:rsidR="00C91E99" w:rsidRPr="00892DE3" w:rsidRDefault="00C91E99" w:rsidP="00C91E99">
      <w:pPr>
        <w:pStyle w:val="Note"/>
      </w:pPr>
      <w:r w:rsidRPr="00892DE3">
        <w:t>Notes:</w:t>
      </w:r>
    </w:p>
    <w:p w:rsidR="00C91E99" w:rsidRPr="00892DE3" w:rsidRDefault="005D5072" w:rsidP="00C91E99">
      <w:pPr>
        <w:pStyle w:val="Note"/>
      </w:pPr>
      <w:r w:rsidRPr="00892DE3">
        <w:t>(a</w:t>
      </w:r>
      <w:r w:rsidR="00C91E99" w:rsidRPr="00892DE3">
        <w:t>)</w:t>
      </w:r>
      <w:r w:rsidR="00C91E99" w:rsidRPr="00892DE3">
        <w:tab/>
        <w:t>Illustrations on the valuation techniques, significant unobservable inputs and the related quantitative range of those inputs are indicative and should not be directly used without consultation with entities’ independent valuer.</w:t>
      </w:r>
    </w:p>
    <w:p w:rsidR="00C91E99" w:rsidRPr="00892DE3" w:rsidRDefault="005D5072" w:rsidP="00C91E99">
      <w:pPr>
        <w:pStyle w:val="Note"/>
      </w:pPr>
      <w:r w:rsidRPr="00892DE3">
        <w:t>(b</w:t>
      </w:r>
      <w:r w:rsidR="00C91E99" w:rsidRPr="00892DE3">
        <w:t>)</w:t>
      </w:r>
      <w:r w:rsidR="00C91E99" w:rsidRPr="00892DE3">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w:t>
      </w:r>
      <w:r w:rsidR="00F33E7A" w:rsidRPr="00892DE3">
        <w:t>pact of this change on the long-</w:t>
      </w:r>
      <w:r w:rsidR="00C91E99" w:rsidRPr="00892DE3">
        <w:t>term growth rates and operating margins, and whether the change impacts the assumptions used and sensitivity of the inputs to fair value.</w:t>
      </w:r>
    </w:p>
    <w:p w:rsidR="00C91E99" w:rsidRPr="00892DE3" w:rsidRDefault="00C91E99" w:rsidP="00C91E99"/>
    <w:p w:rsidR="005D5072" w:rsidRPr="00892DE3" w:rsidRDefault="005D5072">
      <w:r w:rsidRPr="00892DE3">
        <w:rPr>
          <w:b/>
        </w:rPr>
        <w:br w:type="page"/>
      </w:r>
    </w:p>
    <w:tbl>
      <w:tblPr>
        <w:tblStyle w:val="ModelReportGuidanceTable"/>
        <w:tblW w:w="0" w:type="auto"/>
        <w:tblLook w:val="04A0" w:firstRow="1" w:lastRow="0" w:firstColumn="1" w:lastColumn="0" w:noHBand="0" w:noVBand="1"/>
      </w:tblPr>
      <w:tblGrid>
        <w:gridCol w:w="9752"/>
      </w:tblGrid>
      <w:tr w:rsidR="00C91E99" w:rsidRPr="00892DE3" w:rsidTr="005D5072">
        <w:trPr>
          <w:cnfStyle w:val="100000000000" w:firstRow="1" w:lastRow="0" w:firstColumn="0" w:lastColumn="0" w:oddVBand="0" w:evenVBand="0" w:oddHBand="0" w:evenHBand="0" w:firstRowFirstColumn="0" w:firstRowLastColumn="0" w:lastRowFirstColumn="0" w:lastRowLastColumn="0"/>
        </w:trPr>
        <w:tc>
          <w:tcPr>
            <w:tcW w:w="9752" w:type="dxa"/>
          </w:tcPr>
          <w:p w:rsidR="00C91E99" w:rsidRPr="00892DE3" w:rsidRDefault="00C91E99">
            <w:r w:rsidRPr="00892DE3">
              <w:t>Guidance – Fair value determination of financial assets and liabilities</w:t>
            </w:r>
          </w:p>
        </w:tc>
      </w:tr>
      <w:tr w:rsidR="00C91E99" w:rsidRPr="00892DE3" w:rsidTr="005D5072">
        <w:tc>
          <w:tcPr>
            <w:tcW w:w="9752" w:type="dxa"/>
          </w:tcPr>
          <w:p w:rsidR="00C91E99" w:rsidRPr="00892DE3" w:rsidRDefault="00C91E99" w:rsidP="00C91E99">
            <w:pPr>
              <w:rPr>
                <w:b/>
              </w:rPr>
            </w:pPr>
            <w:r w:rsidRPr="00892DE3">
              <w:rPr>
                <w:b/>
              </w:rPr>
              <w:t xml:space="preserve">Carrying amount and fair value disclosures </w:t>
            </w:r>
            <w:r w:rsidRPr="00892DE3">
              <w:rPr>
                <w:rStyle w:val="SourceReference"/>
              </w:rPr>
              <w:t>[AASB 7.25]</w:t>
            </w:r>
          </w:p>
          <w:p w:rsidR="00C91E99" w:rsidRPr="00892DE3" w:rsidRDefault="00C91E99" w:rsidP="00C91E99">
            <w:r w:rsidRPr="00892DE3">
              <w:t>If management considers that the carrying amount of contractual financial assets and liabilities recorded in the financial statements does not approximate their fair values, or as set out in AASB 7.29, for each class of financial instruments, an entity shall disclose the fair value of that class of assets and liabilities in a way that permits it to be compared with the corresponding carrying amount in the balance sheet (AASB 139 provides guidance for determining fair value). In addition, for each class of financial instrument that is recognised on the balance sheet at fair value, the entity shall disclose:</w:t>
            </w:r>
          </w:p>
          <w:p w:rsidR="00C91E99" w:rsidRPr="00892DE3" w:rsidRDefault="00C91E99" w:rsidP="00C91E99">
            <w:pPr>
              <w:pStyle w:val="List"/>
            </w:pPr>
            <w:r w:rsidRPr="00892DE3">
              <w:t>(a)</w:t>
            </w:r>
            <w:r w:rsidRPr="00892DE3">
              <w:tab/>
              <w:t xml:space="preserve">the level in the fair value hierarchy in accordance with the levels defined in AASB 7.27A; </w:t>
            </w:r>
            <w:r w:rsidRPr="00892DE3">
              <w:rPr>
                <w:rStyle w:val="SourceReference"/>
              </w:rPr>
              <w:t>[AASB 7.27B(a)]</w:t>
            </w:r>
          </w:p>
          <w:p w:rsidR="00C91E99" w:rsidRPr="00892DE3" w:rsidRDefault="00C91E99" w:rsidP="00C91E99">
            <w:pPr>
              <w:pStyle w:val="List"/>
            </w:pPr>
            <w:r w:rsidRPr="00892DE3">
              <w:t>(b)</w:t>
            </w:r>
            <w:r w:rsidRPr="00892DE3">
              <w:tab/>
              <w:t xml:space="preserve">any significant transfers in and transfers out between Level 1 and Level 2 of the fair value hierarchy and the reasons for those transfers. Transfers into each level shall be disclosed and discussed separately from transfers out of each level; </w:t>
            </w:r>
            <w:r w:rsidRPr="00892DE3">
              <w:rPr>
                <w:rStyle w:val="SourceReference"/>
              </w:rPr>
              <w:t>[AASB 7.27B(b)]</w:t>
            </w:r>
          </w:p>
          <w:p w:rsidR="00C91E99" w:rsidRPr="00892DE3" w:rsidRDefault="00C91E99" w:rsidP="00C91E99">
            <w:pPr>
              <w:pStyle w:val="List"/>
            </w:pPr>
            <w:r w:rsidRPr="00892DE3">
              <w:t>(c)</w:t>
            </w:r>
            <w:r w:rsidRPr="00892DE3">
              <w:tab/>
              <w:t>for Level 3 of the fair value hierarchy, a reconciliation of opening balances to closing balances shown separately:</w:t>
            </w:r>
          </w:p>
          <w:p w:rsidR="00C91E99" w:rsidRPr="00892DE3" w:rsidRDefault="00C91E99" w:rsidP="00F33E7A">
            <w:pPr>
              <w:pStyle w:val="List2"/>
              <w:ind w:left="851" w:hanging="284"/>
            </w:pPr>
            <w:r w:rsidRPr="00892DE3">
              <w:t>–</w:t>
            </w:r>
            <w:r w:rsidRPr="00892DE3">
              <w:tab/>
              <w:t xml:space="preserve">total gains or losses for the period recognised in profit or loss, and a description of where they are presented in the comprehensive operating statement (if presented); </w:t>
            </w:r>
          </w:p>
          <w:p w:rsidR="00C91E99" w:rsidRPr="00892DE3" w:rsidRDefault="00C91E99" w:rsidP="00F33E7A">
            <w:pPr>
              <w:pStyle w:val="List2"/>
              <w:ind w:left="851" w:hanging="284"/>
            </w:pPr>
            <w:r w:rsidRPr="00892DE3">
              <w:t>–</w:t>
            </w:r>
            <w:r w:rsidRPr="00892DE3">
              <w:tab/>
              <w:t>total gains or losses recognised in other comprehensive income;</w:t>
            </w:r>
          </w:p>
          <w:p w:rsidR="00C91E99" w:rsidRPr="00892DE3" w:rsidRDefault="00C91E99" w:rsidP="00F33E7A">
            <w:pPr>
              <w:pStyle w:val="List2"/>
              <w:ind w:left="851" w:hanging="284"/>
            </w:pPr>
            <w:r w:rsidRPr="00892DE3">
              <w:t>–</w:t>
            </w:r>
            <w:r w:rsidRPr="00892DE3">
              <w:tab/>
              <w:t xml:space="preserve">purchases, sales, issues and settlements (each type of movement disclosed separately); </w:t>
            </w:r>
          </w:p>
          <w:p w:rsidR="00C91E99" w:rsidRPr="00892DE3" w:rsidRDefault="00C91E99" w:rsidP="00F33E7A">
            <w:pPr>
              <w:pStyle w:val="List2"/>
              <w:ind w:left="851" w:hanging="284"/>
            </w:pPr>
            <w:r w:rsidRPr="00892DE3">
              <w:t>–</w:t>
            </w:r>
            <w:r w:rsidRPr="00892DE3">
              <w:tab/>
              <w:t xml:space="preserve">transfers into or out of level 3 (e.g. transfers attributable to changes in the observability of market data) and the reasons for those transfers. For significant transfers, transfers into level 3 shall be disclosed and discussed separately from transfers out of level 3; </w:t>
            </w:r>
            <w:r w:rsidRPr="00892DE3">
              <w:rPr>
                <w:rStyle w:val="SourceReference"/>
              </w:rPr>
              <w:t>[AASB 7.27B(c)]</w:t>
            </w:r>
          </w:p>
          <w:p w:rsidR="00C91E99" w:rsidRPr="00892DE3" w:rsidRDefault="00C91E99" w:rsidP="00C91E99">
            <w:pPr>
              <w:pStyle w:val="List"/>
            </w:pPr>
            <w:r w:rsidRPr="00892DE3">
              <w:t>(d)</w:t>
            </w:r>
            <w:r w:rsidRPr="00892DE3">
              <w:tab/>
              <w:t>the amount of total gains or losses for the period that are recognised in profit or loss that are attributable to gains or losses relating to those assets and liabilities held at the end of the reporting period and a description of where those gains or losses are presented in the comprehensive statement (if presented);</w:t>
            </w:r>
            <w:r w:rsidR="0094436B" w:rsidRPr="00892DE3">
              <w:t xml:space="preserve"> and</w:t>
            </w:r>
            <w:r w:rsidRPr="00892DE3">
              <w:t xml:space="preserve"> </w:t>
            </w:r>
            <w:r w:rsidRPr="00892DE3">
              <w:rPr>
                <w:rStyle w:val="SourceReference"/>
              </w:rPr>
              <w:t>[AASB 7.27B(d)]</w:t>
            </w:r>
          </w:p>
          <w:p w:rsidR="00C91E99" w:rsidRPr="00892DE3" w:rsidRDefault="00C91E99" w:rsidP="00C91E99">
            <w:pPr>
              <w:pStyle w:val="List"/>
              <w:rPr>
                <w:rStyle w:val="SourceReference"/>
              </w:rPr>
            </w:pPr>
            <w:r w:rsidRPr="00892DE3">
              <w:t>(e)</w:t>
            </w:r>
            <w:r w:rsidRPr="00892DE3">
              <w:tab/>
              <w:t xml:space="preserve">if changing one or more of the inputs to reasonably possible alternative assumptions would change fair value significantly, the entity shall state that fact, disclose the effect of those changes and how the effect was calculated. </w:t>
            </w:r>
            <w:r w:rsidRPr="00892DE3">
              <w:rPr>
                <w:rStyle w:val="SourceReference"/>
              </w:rPr>
              <w:t>[AASB 7.27B(e)]</w:t>
            </w:r>
          </w:p>
          <w:p w:rsidR="0094436B" w:rsidRPr="00892DE3" w:rsidRDefault="0094436B" w:rsidP="0094436B">
            <w:r w:rsidRPr="00892DE3">
              <w:t xml:space="preserve">The level in the fair value hierarchy in which the fair value measurement is categorised in its entirety shall be determined based on the lowest level input that is significant to the fair value measurement in its entirety. For this purpose, the significance of an input is assessed against the fair value measurement in its entirety. If a fair value measurement uses observable inputs that require significant adjustment based on unobservable inputs, that measurement is a Level 3 measurement. Assessing the significance of a particular input to the fair value measurement in its entirety requires judgement, considering factors specific to the asset or liability. </w:t>
            </w:r>
            <w:r w:rsidRPr="00892DE3">
              <w:rPr>
                <w:rStyle w:val="SourceReference"/>
              </w:rPr>
              <w:t>[AASB 7.27A]</w:t>
            </w:r>
          </w:p>
          <w:p w:rsidR="0094436B" w:rsidRPr="00892DE3" w:rsidRDefault="0094436B" w:rsidP="0094436B">
            <w:r w:rsidRPr="00892DE3">
              <w:t>A department shall present the quantitative fair value disclosures stated above in tabular format unless another format is more appropriate.</w:t>
            </w:r>
          </w:p>
          <w:p w:rsidR="0094436B" w:rsidRPr="00892DE3" w:rsidRDefault="0094436B" w:rsidP="0094436B">
            <w:r w:rsidRPr="00892DE3">
              <w:rPr>
                <w:b/>
              </w:rPr>
              <w:t>Fair value determined using valuation techniques</w:t>
            </w:r>
            <w:r w:rsidRPr="00892DE3">
              <w:t xml:space="preserve"> </w:t>
            </w:r>
            <w:r w:rsidRPr="00892DE3">
              <w:rPr>
                <w:rStyle w:val="SourceReference"/>
              </w:rPr>
              <w:t>[AASB 7.27]</w:t>
            </w:r>
          </w:p>
          <w:p w:rsidR="0094436B" w:rsidRPr="00892DE3" w:rsidRDefault="0094436B" w:rsidP="0094436B">
            <w:r w:rsidRPr="00892DE3">
              <w:t>The fair value hierarchy and the reconciliation of those financial instruments whose fair value is measured based on unobservable inputs (Level 3) are required by class. Class of financial instrument is distinct from the categories of financial instruments specified in AASB 139 (which determines how financial instruments are measured and where changes in the fair value are recognised). The class of financial instrument is determined by the entity based on whether the financial instruments have similar characteristics, such as the valuation techniques, inputs or other matters.</w:t>
            </w:r>
          </w:p>
          <w:p w:rsidR="0094436B" w:rsidRPr="00892DE3" w:rsidRDefault="0094436B" w:rsidP="0094436B">
            <w:r w:rsidRPr="00892DE3">
              <w:t xml:space="preserve">Entities are required to disclose the effect of a reasonably possible alternative assumption, if this would change the fair value significantly. Disclosures about the effect of reasonably possible alternative unobservable inputs is likely to provide useful and transparent information if the analysis is provided at a disaggregated level. </w:t>
            </w:r>
            <w:r w:rsidRPr="00892DE3">
              <w:rPr>
                <w:rStyle w:val="SourceReference"/>
              </w:rPr>
              <w:t>[AASB 7.27B(e)]</w:t>
            </w:r>
          </w:p>
          <w:p w:rsidR="0094436B" w:rsidRPr="00892DE3" w:rsidRDefault="0094436B" w:rsidP="0094436B">
            <w:r w:rsidRPr="00892DE3">
              <w:t xml:space="preserve">Disclosures about the effect of reasonably possible alternative unobservable inputs could be enhanced through disclosure of how the effect has been calculated, allowing users to understand better the disclosure and what it represents. Entities might consider explaining: </w:t>
            </w:r>
          </w:p>
          <w:p w:rsidR="0094436B" w:rsidRPr="00892DE3" w:rsidRDefault="0094436B" w:rsidP="0094436B">
            <w:pPr>
              <w:pStyle w:val="ListBullet"/>
            </w:pPr>
            <w:r w:rsidRPr="00892DE3">
              <w:t xml:space="preserve">what the entity regards as a reasonably possible alternative assumption; </w:t>
            </w:r>
          </w:p>
          <w:p w:rsidR="0094436B" w:rsidRPr="00892DE3" w:rsidRDefault="0094436B" w:rsidP="0094436B">
            <w:pPr>
              <w:pStyle w:val="ListBullet"/>
            </w:pPr>
            <w:r w:rsidRPr="00892DE3">
              <w:t>how the entity calculated the effect disclosed;</w:t>
            </w:r>
          </w:p>
          <w:p w:rsidR="0094436B" w:rsidRPr="00892DE3" w:rsidRDefault="0094436B" w:rsidP="0094436B">
            <w:pPr>
              <w:pStyle w:val="ListBullet"/>
            </w:pPr>
            <w:r w:rsidRPr="00892DE3">
              <w:t>whether the disclosure takes into account any offsetting or hedged positions; and</w:t>
            </w:r>
          </w:p>
          <w:p w:rsidR="0094436B" w:rsidRPr="00892DE3" w:rsidRDefault="0094436B" w:rsidP="0094436B">
            <w:pPr>
              <w:pStyle w:val="ListBullet"/>
            </w:pPr>
            <w:r w:rsidRPr="00892DE3">
              <w:t xml:space="preserve">whether the effect disclosed represents the movement in a single input or a movement in all unobservable inputs. </w:t>
            </w:r>
          </w:p>
        </w:tc>
      </w:tr>
    </w:tbl>
    <w:p w:rsidR="00C91E99" w:rsidRPr="00892DE3" w:rsidRDefault="00C91E99" w:rsidP="00C91E99"/>
    <w:p w:rsidR="0094436B" w:rsidRPr="00892DE3" w:rsidRDefault="0094436B">
      <w:r w:rsidRPr="00892DE3">
        <w:rPr>
          <w:b/>
        </w:rPr>
        <w:br w:type="page"/>
      </w:r>
    </w:p>
    <w:tbl>
      <w:tblPr>
        <w:tblStyle w:val="ModelReportGuidanceTable"/>
        <w:tblW w:w="0" w:type="auto"/>
        <w:tblLook w:val="04A0" w:firstRow="1" w:lastRow="0" w:firstColumn="1" w:lastColumn="0" w:noHBand="0" w:noVBand="1"/>
      </w:tblPr>
      <w:tblGrid>
        <w:gridCol w:w="9752"/>
      </w:tblGrid>
      <w:tr w:rsidR="00C91E99" w:rsidRPr="00892DE3" w:rsidTr="0094436B">
        <w:trPr>
          <w:cnfStyle w:val="100000000000" w:firstRow="1" w:lastRow="0" w:firstColumn="0" w:lastColumn="0" w:oddVBand="0" w:evenVBand="0" w:oddHBand="0" w:evenHBand="0" w:firstRowFirstColumn="0" w:firstRowLastColumn="0" w:lastRowFirstColumn="0" w:lastRowLastColumn="0"/>
        </w:trPr>
        <w:tc>
          <w:tcPr>
            <w:tcW w:w="9752" w:type="dxa"/>
          </w:tcPr>
          <w:p w:rsidR="00C91E99" w:rsidRPr="00892DE3" w:rsidRDefault="00C91E99" w:rsidP="004B76C7">
            <w:r w:rsidRPr="00892DE3">
              <w:t xml:space="preserve">Guidance – Fair value determination of financial assets and liabilities </w:t>
            </w:r>
            <w:r w:rsidRPr="006932C9">
              <w:rPr>
                <w:i/>
              </w:rPr>
              <w:t>(continued)</w:t>
            </w:r>
          </w:p>
        </w:tc>
      </w:tr>
      <w:tr w:rsidR="00C91E99" w:rsidRPr="00892DE3" w:rsidTr="0094436B">
        <w:tc>
          <w:tcPr>
            <w:tcW w:w="9752" w:type="dxa"/>
          </w:tcPr>
          <w:p w:rsidR="00C91E99" w:rsidRPr="00892DE3" w:rsidRDefault="00C91E99" w:rsidP="00C91E99">
            <w:pPr>
              <w:rPr>
                <w:b/>
              </w:rPr>
            </w:pPr>
            <w:r w:rsidRPr="00892DE3">
              <w:rPr>
                <w:b/>
              </w:rPr>
              <w:t>Fair value Level 3 financial asset and liability disclosure</w:t>
            </w:r>
          </w:p>
          <w:p w:rsidR="00C91E99" w:rsidRPr="00892DE3" w:rsidRDefault="00C91E99" w:rsidP="00C91E99">
            <w:r w:rsidRPr="00892DE3">
              <w:t>AASB 13.93(h)(ii) requires a quantitative sensitivity analysis for financial assets and financial liabilities that are measured at fair value on a recurring basis. For all other recurring fair value measurements that are categorised within Level 3 of the fair value hierarchy, an entity is required to provide:</w:t>
            </w:r>
          </w:p>
          <w:p w:rsidR="00C91E99" w:rsidRPr="00892DE3" w:rsidRDefault="00C91E99" w:rsidP="00C91E99">
            <w:pPr>
              <w:pStyle w:val="ListBullet"/>
            </w:pPr>
            <w:r w:rsidRPr="00892DE3">
              <w:t xml:space="preserve">if changing one or more of the unobservable inputs to reflect reasonably possible alternative assumptions would change fair value significantly, an entity shall state that fact and disclose the effect of those changes; and </w:t>
            </w:r>
          </w:p>
          <w:p w:rsidR="00C91E99" w:rsidRPr="00892DE3" w:rsidRDefault="00C91E99" w:rsidP="00C91E99">
            <w:pPr>
              <w:pStyle w:val="ListBullet"/>
            </w:pPr>
            <w:r w:rsidRPr="00892DE3">
              <w:t>the entity shall disclose how the effect of a change to reflect a reasonably possible alternative assumption was calculated. For that purpose, significance shall be judged with respect to profit or loss, and total assets or total liabilities, or, when changes in fair value are recognised in other comprehensive income, total equity.</w:t>
            </w:r>
          </w:p>
          <w:p w:rsidR="00C91E99" w:rsidRPr="00892DE3" w:rsidRDefault="00C91E99" w:rsidP="00C91E99">
            <w:r w:rsidRPr="00892DE3">
              <w:rPr>
                <w:b/>
              </w:rPr>
              <w:t>Exceptions to fair value disclosures</w:t>
            </w:r>
            <w:r w:rsidRPr="00892DE3">
              <w:t xml:space="preserve"> </w:t>
            </w:r>
            <w:r w:rsidRPr="00892DE3">
              <w:rPr>
                <w:rStyle w:val="SourceReference"/>
              </w:rPr>
              <w:t>[AASB 7.29, 30]</w:t>
            </w:r>
          </w:p>
          <w:p w:rsidR="00C91E99" w:rsidRPr="00892DE3" w:rsidRDefault="00C91E99" w:rsidP="00C91E99">
            <w:r w:rsidRPr="00892DE3">
              <w:t>Disclosures of fair value are not required if:</w:t>
            </w:r>
          </w:p>
          <w:p w:rsidR="00C91E99" w:rsidRPr="00892DE3" w:rsidRDefault="00C91E99" w:rsidP="00F33E7A">
            <w:pPr>
              <w:pStyle w:val="List"/>
            </w:pPr>
            <w:r w:rsidRPr="00892DE3">
              <w:t>(a)</w:t>
            </w:r>
            <w:r w:rsidRPr="00892DE3">
              <w:tab/>
              <w:t>the carrying amount is a reasonable approximation of fair value;</w:t>
            </w:r>
          </w:p>
          <w:p w:rsidR="00C91E99" w:rsidRPr="00892DE3" w:rsidRDefault="00C91E99" w:rsidP="00F33E7A">
            <w:pPr>
              <w:pStyle w:val="List"/>
            </w:pPr>
            <w:r w:rsidRPr="00892DE3">
              <w:t>(b)</w:t>
            </w:r>
            <w:r w:rsidRPr="00892DE3">
              <w:tab/>
              <w:t>it is an investment in equity instruments that do not have a quoted market price in an active market, or derivatives linked to such equity instruments, that is measured at cost in accordance with AASB 139 because its fair value cannot be measured reliably; or</w:t>
            </w:r>
          </w:p>
          <w:p w:rsidR="00C91E99" w:rsidRPr="00892DE3" w:rsidRDefault="00C91E99" w:rsidP="00F33E7A">
            <w:pPr>
              <w:pStyle w:val="List"/>
            </w:pPr>
            <w:r w:rsidRPr="00892DE3">
              <w:t>(c)</w:t>
            </w:r>
            <w:r w:rsidRPr="00892DE3">
              <w:tab/>
              <w:t>it is a contract containing a discretionary participation feature and the fair value of that feature cannot be measured reliably.</w:t>
            </w:r>
          </w:p>
          <w:p w:rsidR="00C91E99" w:rsidRPr="00892DE3" w:rsidRDefault="00C91E99" w:rsidP="00C91E99">
            <w:r w:rsidRPr="00892DE3">
              <w:t>In the cases of (b) and (c) above, an entity shall disclose information to help users of the financial statement make their own judgements about the extent of possible differences between the carrying amount of those financial instrument assets or liabilities and their fair value, including:</w:t>
            </w:r>
          </w:p>
          <w:p w:rsidR="00C91E99" w:rsidRPr="00892DE3" w:rsidRDefault="00C91E99" w:rsidP="00C91E99">
            <w:pPr>
              <w:pStyle w:val="List"/>
            </w:pPr>
            <w:r w:rsidRPr="00892DE3">
              <w:t>(a)</w:t>
            </w:r>
            <w:r w:rsidRPr="00892DE3">
              <w:tab/>
              <w:t>the fact that fair value information has not been disclosed for these instruments because their fair value cannot be measured reliably;</w:t>
            </w:r>
          </w:p>
          <w:p w:rsidR="00C91E99" w:rsidRPr="00892DE3" w:rsidRDefault="00C91E99" w:rsidP="00C91E99">
            <w:pPr>
              <w:pStyle w:val="List"/>
            </w:pPr>
            <w:r w:rsidRPr="00892DE3">
              <w:t>(b)</w:t>
            </w:r>
            <w:r w:rsidRPr="00892DE3">
              <w:tab/>
              <w:t>a description of the financial instruments, their carrying amount, and an explanation of why fair value cannot be measured reliably;</w:t>
            </w:r>
          </w:p>
          <w:p w:rsidR="00C91E99" w:rsidRPr="00892DE3" w:rsidRDefault="00C91E99" w:rsidP="00C91E99">
            <w:pPr>
              <w:pStyle w:val="List"/>
            </w:pPr>
            <w:r w:rsidRPr="00892DE3">
              <w:t>(c)</w:t>
            </w:r>
            <w:r w:rsidRPr="00892DE3">
              <w:tab/>
              <w:t>information about the market for the instruments;</w:t>
            </w:r>
          </w:p>
          <w:p w:rsidR="00C91E99" w:rsidRPr="00892DE3" w:rsidRDefault="00C91E99" w:rsidP="00C91E99">
            <w:pPr>
              <w:pStyle w:val="List"/>
            </w:pPr>
            <w:r w:rsidRPr="00892DE3">
              <w:t>(d)</w:t>
            </w:r>
            <w:r w:rsidRPr="00892DE3">
              <w:tab/>
              <w:t>information about whether and how the entity intends to dispose of the financial instruments; and</w:t>
            </w:r>
          </w:p>
          <w:p w:rsidR="00C91E99" w:rsidRPr="00892DE3" w:rsidRDefault="00C91E99" w:rsidP="00C91E99">
            <w:pPr>
              <w:pStyle w:val="List"/>
            </w:pPr>
            <w:r w:rsidRPr="00892DE3">
              <w:t>(e)</w:t>
            </w:r>
            <w:r w:rsidRPr="00892DE3">
              <w:tab/>
              <w:t>if financial instruments whose fair value previously could not be reliably measured are derecognised, that fact, their carrying amount at the time of derecognition, and the amount of gain or loss recognised.</w:t>
            </w:r>
          </w:p>
        </w:tc>
      </w:tr>
    </w:tbl>
    <w:p w:rsidR="00C91E99" w:rsidRPr="00892DE3" w:rsidRDefault="00C91E99" w:rsidP="00C91E99"/>
    <w:p w:rsidR="00CB52F1" w:rsidRPr="00892DE3" w:rsidRDefault="00CB52F1">
      <w:pPr>
        <w:keepLines w:val="0"/>
        <w:rPr>
          <w:rFonts w:asciiTheme="majorHAnsi" w:hAnsiTheme="majorHAnsi"/>
          <w:b/>
          <w:szCs w:val="20"/>
        </w:rPr>
      </w:pPr>
      <w:r w:rsidRPr="00892DE3">
        <w:br w:type="page"/>
      </w:r>
    </w:p>
    <w:p w:rsidR="00271CFC" w:rsidRPr="00892DE3" w:rsidRDefault="00271CFC" w:rsidP="00821277">
      <w:pPr>
        <w:pStyle w:val="Heading30"/>
      </w:pPr>
      <w:r w:rsidRPr="00892DE3">
        <w:t xml:space="preserve">8.3.2 </w:t>
      </w:r>
      <w:r w:rsidR="00821277">
        <w:tab/>
      </w:r>
      <w:r w:rsidRPr="00892DE3">
        <w:t>Fair value determination: Non-financial physical assets</w:t>
      </w:r>
    </w:p>
    <w:p w:rsidR="004B76C7" w:rsidRPr="00892DE3" w:rsidRDefault="004B76C7" w:rsidP="004B76C7">
      <w:pPr>
        <w:pStyle w:val="TableHeading"/>
      </w:pPr>
      <w:r w:rsidRPr="00892DE3">
        <w:t xml:space="preserve">Fair value measurement hierarchy </w:t>
      </w:r>
      <w:r w:rsidRPr="00892DE3">
        <w:rPr>
          <w:rStyle w:val="SourceReference"/>
          <w:b w:val="0"/>
        </w:rPr>
        <w:t>[AASB 13.93 (a)(b)]</w:t>
      </w:r>
      <w:r w:rsidRPr="00892DE3">
        <w:rPr>
          <w:b w:val="0"/>
        </w:rPr>
        <w:t xml:space="preserve"> </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832"/>
        <w:gridCol w:w="1781"/>
        <w:gridCol w:w="1064"/>
        <w:gridCol w:w="979"/>
        <w:gridCol w:w="981"/>
      </w:tblGrid>
      <w:tr w:rsidR="004B76C7" w:rsidRPr="00892DE3" w:rsidTr="00CB52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32" w:type="dxa"/>
            <w:hideMark/>
          </w:tcPr>
          <w:p w:rsidR="004B76C7" w:rsidRPr="00892DE3" w:rsidRDefault="004B76C7" w:rsidP="00CB52F1">
            <w:pPr>
              <w:spacing w:after="0"/>
              <w:ind w:left="0" w:firstLine="0"/>
            </w:pPr>
          </w:p>
        </w:tc>
        <w:tc>
          <w:tcPr>
            <w:tcW w:w="1781" w:type="dxa"/>
            <w:noWrap/>
            <w:hideMark/>
          </w:tcPr>
          <w:p w:rsidR="004B76C7" w:rsidRPr="00892DE3" w:rsidRDefault="004B76C7" w:rsidP="00CB52F1">
            <w:pPr>
              <w:spacing w:after="0"/>
              <w:cnfStyle w:val="100000000000" w:firstRow="1" w:lastRow="0" w:firstColumn="0" w:lastColumn="0" w:oddVBand="0" w:evenVBand="0" w:oddHBand="0" w:evenHBand="0" w:firstRowFirstColumn="0" w:firstRowLastColumn="0" w:lastRowFirstColumn="0" w:lastRowLastColumn="0"/>
            </w:pPr>
            <w:r w:rsidRPr="00892DE3">
              <w:t>Carrying amount</w:t>
            </w:r>
          </w:p>
        </w:tc>
        <w:tc>
          <w:tcPr>
            <w:tcW w:w="3024" w:type="dxa"/>
            <w:gridSpan w:val="3"/>
            <w:tcBorders>
              <w:bottom w:val="single" w:sz="6" w:space="0" w:color="FFFFFF" w:themeColor="background1"/>
            </w:tcBorders>
            <w:hideMark/>
          </w:tcPr>
          <w:p w:rsidR="004B76C7" w:rsidRPr="00892DE3" w:rsidRDefault="004B76C7" w:rsidP="00CB52F1">
            <w:pPr>
              <w:spacing w:after="0"/>
              <w:jc w:val="center"/>
              <w:cnfStyle w:val="100000000000" w:firstRow="1" w:lastRow="0" w:firstColumn="0" w:lastColumn="0" w:oddVBand="0" w:evenVBand="0" w:oddHBand="0" w:evenHBand="0" w:firstRowFirstColumn="0" w:firstRowLastColumn="0" w:lastRowFirstColumn="0" w:lastRowLastColumn="0"/>
            </w:pPr>
            <w:r w:rsidRPr="00892DE3">
              <w:t>Fair value measurement at end of reporting period using:</w:t>
            </w:r>
          </w:p>
        </w:tc>
      </w:tr>
      <w:tr w:rsidR="004B76C7" w:rsidRPr="00892DE3" w:rsidTr="00CB52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32" w:type="dxa"/>
            <w:shd w:val="clear" w:color="auto" w:fill="000000"/>
            <w:hideMark/>
          </w:tcPr>
          <w:p w:rsidR="004B76C7" w:rsidRPr="00892DE3" w:rsidRDefault="004B76C7" w:rsidP="00CB52F1">
            <w:pPr>
              <w:spacing w:after="0"/>
              <w:ind w:left="0" w:firstLine="0"/>
            </w:pPr>
            <w:r w:rsidRPr="00892DE3">
              <w:t>2017</w:t>
            </w:r>
          </w:p>
        </w:tc>
        <w:tc>
          <w:tcPr>
            <w:tcW w:w="1781" w:type="dxa"/>
            <w:noWrap/>
            <w:hideMark/>
          </w:tcPr>
          <w:p w:rsidR="004B76C7" w:rsidRPr="00892DE3" w:rsidRDefault="004B76C7" w:rsidP="00CB52F1">
            <w:pPr>
              <w:spacing w:after="0"/>
              <w:cnfStyle w:val="100000000000" w:firstRow="1" w:lastRow="0" w:firstColumn="0" w:lastColumn="0" w:oddVBand="0" w:evenVBand="0" w:oddHBand="0" w:evenHBand="0" w:firstRowFirstColumn="0" w:firstRowLastColumn="0" w:lastRowFirstColumn="0" w:lastRowLastColumn="0"/>
            </w:pPr>
            <w:r w:rsidRPr="00892DE3">
              <w:t>as at 30 June 2017</w:t>
            </w:r>
          </w:p>
        </w:tc>
        <w:tc>
          <w:tcPr>
            <w:tcW w:w="1064" w:type="dxa"/>
            <w:tcBorders>
              <w:top w:val="single" w:sz="6" w:space="0" w:color="FFFFFF" w:themeColor="background1"/>
            </w:tcBorders>
            <w:noWrap/>
            <w:hideMark/>
          </w:tcPr>
          <w:p w:rsidR="004B76C7" w:rsidRPr="00892DE3" w:rsidRDefault="004B76C7" w:rsidP="00CB52F1">
            <w:pPr>
              <w:spacing w:after="0"/>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w:t>
            </w:r>
            <w:r w:rsidR="00CB52F1" w:rsidRPr="00892DE3">
              <w:rPr>
                <w:vertAlign w:val="superscript"/>
              </w:rPr>
              <w:t>a</w:t>
            </w:r>
            <w:r w:rsidRPr="00892DE3">
              <w:rPr>
                <w:vertAlign w:val="superscript"/>
              </w:rPr>
              <w:t>)</w:t>
            </w:r>
          </w:p>
        </w:tc>
        <w:tc>
          <w:tcPr>
            <w:tcW w:w="979" w:type="dxa"/>
            <w:tcBorders>
              <w:top w:val="single" w:sz="6" w:space="0" w:color="FFFFFF" w:themeColor="background1"/>
            </w:tcBorders>
            <w:noWrap/>
            <w:hideMark/>
          </w:tcPr>
          <w:p w:rsidR="004B76C7" w:rsidRPr="00892DE3" w:rsidRDefault="004B76C7" w:rsidP="00CB52F1">
            <w:pPr>
              <w:spacing w:after="0"/>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w:t>
            </w:r>
            <w:r w:rsidR="00CB52F1" w:rsidRPr="00892DE3">
              <w:rPr>
                <w:vertAlign w:val="superscript"/>
              </w:rPr>
              <w:t>a</w:t>
            </w:r>
            <w:r w:rsidRPr="00892DE3">
              <w:rPr>
                <w:vertAlign w:val="superscript"/>
              </w:rPr>
              <w:t>)</w:t>
            </w:r>
          </w:p>
        </w:tc>
        <w:tc>
          <w:tcPr>
            <w:tcW w:w="981" w:type="dxa"/>
            <w:tcBorders>
              <w:top w:val="single" w:sz="6" w:space="0" w:color="FFFFFF" w:themeColor="background1"/>
            </w:tcBorders>
            <w:noWrap/>
            <w:hideMark/>
          </w:tcPr>
          <w:p w:rsidR="004B76C7" w:rsidRPr="00892DE3" w:rsidRDefault="004B76C7" w:rsidP="00CB52F1">
            <w:pPr>
              <w:spacing w:after="0"/>
              <w:cnfStyle w:val="100000000000" w:firstRow="1" w:lastRow="0" w:firstColumn="0" w:lastColumn="0" w:oddVBand="0" w:evenVBand="0" w:oddHBand="0" w:evenHBand="0" w:firstRowFirstColumn="0" w:firstRowLastColumn="0" w:lastRowFirstColumn="0" w:lastRowLastColumn="0"/>
            </w:pPr>
            <w:r w:rsidRPr="00892DE3">
              <w:t xml:space="preserve">Level 3 </w:t>
            </w:r>
            <w:r w:rsidRPr="00892DE3">
              <w:rPr>
                <w:vertAlign w:val="superscript"/>
              </w:rPr>
              <w:t>(</w:t>
            </w:r>
            <w:r w:rsidR="00CB52F1" w:rsidRPr="00892DE3">
              <w:rPr>
                <w:vertAlign w:val="superscript"/>
              </w:rPr>
              <w:t>a</w:t>
            </w:r>
            <w:r w:rsidRPr="00892DE3">
              <w:rPr>
                <w:vertAlign w:val="superscript"/>
              </w:rPr>
              <w:t>)</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Land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bookmarkStart w:id="158" w:name="_Hlk381969480"/>
            <w:r w:rsidRPr="00892DE3">
              <w:rPr>
                <w:rFonts w:cstheme="majorHAnsi"/>
              </w:rPr>
              <w:t>Non</w:t>
            </w:r>
            <w:r w:rsidRPr="00892DE3">
              <w:rPr>
                <w:rFonts w:cstheme="majorHAnsi"/>
              </w:rPr>
              <w:noBreakHyphen/>
              <w:t xml:space="preserve">specialised land </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1 778</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1 778</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Specialised land</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2 784</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2 784</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b/>
              </w:rPr>
            </w:pPr>
            <w:r w:rsidRPr="00892DE3">
              <w:rPr>
                <w:rFonts w:cstheme="majorHAnsi"/>
                <w:b/>
              </w:rPr>
              <w:t>Total of land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4 562</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1 778</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2 784</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Buildings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Non</w:t>
            </w:r>
            <w:r w:rsidRPr="00892DE3">
              <w:rPr>
                <w:rFonts w:cstheme="majorHAnsi"/>
              </w:rPr>
              <w:noBreakHyphen/>
              <w:t>specialised buildings</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6 877</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6 877</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 xml:space="preserve">Specialised buildings </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5 715</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5 715</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 xml:space="preserve">Heritage assets </w:t>
            </w:r>
            <w:r w:rsidR="00CB52F1" w:rsidRPr="00892DE3">
              <w:rPr>
                <w:rFonts w:cstheme="majorHAnsi"/>
                <w:vertAlign w:val="superscript"/>
              </w:rPr>
              <w:t>(b</w:t>
            </w:r>
            <w:r w:rsidRPr="00892DE3">
              <w:rPr>
                <w:rFonts w:cstheme="majorHAnsi"/>
                <w:vertAlign w:val="superscript"/>
              </w:rPr>
              <w:t>)</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10 596</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10 596</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b/>
              </w:rPr>
            </w:pPr>
            <w:r w:rsidRPr="00892DE3">
              <w:rPr>
                <w:rFonts w:cstheme="majorHAnsi"/>
                <w:b/>
              </w:rPr>
              <w:t>Total of buildings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23 188</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6 877</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16 311</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Plant, equipment and vehicles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 xml:space="preserve">Vehicles </w:t>
            </w:r>
            <w:r w:rsidR="00CB52F1" w:rsidRPr="00892DE3">
              <w:rPr>
                <w:rFonts w:cstheme="majorHAnsi"/>
                <w:vertAlign w:val="superscript"/>
              </w:rPr>
              <w:t>(c</w:t>
            </w:r>
            <w:r w:rsidRPr="00892DE3">
              <w:rPr>
                <w:rFonts w:cstheme="majorHAnsi"/>
                <w:vertAlign w:val="superscript"/>
              </w:rPr>
              <w:t>)</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16 941</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16 941</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Plant and equipment</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30 935</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30 935</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b/>
              </w:rPr>
            </w:pPr>
            <w:r w:rsidRPr="00892DE3">
              <w:rPr>
                <w:rFonts w:cstheme="majorHAnsi"/>
                <w:b/>
              </w:rPr>
              <w:t>Total of plant, equipment and vehicles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47 876</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47 876</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b/>
              </w:rPr>
              <w:t>Infrastructure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Infrastructure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1 685</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1 685</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b/>
              </w:rPr>
            </w:pPr>
            <w:r w:rsidRPr="00892DE3">
              <w:rPr>
                <w:rFonts w:cstheme="majorHAnsi"/>
                <w:b/>
              </w:rPr>
              <w:t>Total of infrastructure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1 685</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1 685</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b/>
              </w:rPr>
            </w:pPr>
            <w:r w:rsidRPr="00892DE3">
              <w:rPr>
                <w:rFonts w:cstheme="majorHAnsi"/>
                <w:b/>
              </w:rPr>
              <w:t>Road, infrastructure and earthworks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rPr>
              <w:t>Road, infrastructure and earthworks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2 257</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2 257</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b/>
              </w:rPr>
            </w:pPr>
            <w:r w:rsidRPr="00892DE3">
              <w:rPr>
                <w:rFonts w:cstheme="majorHAnsi"/>
                <w:b/>
              </w:rPr>
              <w:t>Total of road, infrastructure and earthworks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2 257</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2 257</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b/>
              </w:rPr>
            </w:pPr>
            <w:r w:rsidRPr="00892DE3">
              <w:rPr>
                <w:rFonts w:cstheme="majorHAnsi"/>
                <w:b/>
              </w:rPr>
              <w:t>Cultural assets at fair value</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rPr>
            </w:pPr>
            <w:r w:rsidRPr="00892DE3">
              <w:rPr>
                <w:rFonts w:cstheme="majorHAnsi"/>
                <w:lang w:val="en-GB"/>
              </w:rPr>
              <w:t>Artworks</w:t>
            </w:r>
          </w:p>
        </w:tc>
        <w:tc>
          <w:tcPr>
            <w:tcW w:w="1781"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2 764</w:t>
            </w:r>
          </w:p>
        </w:tc>
        <w:tc>
          <w:tcPr>
            <w:tcW w:w="1064"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2 764</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4B76C7" w:rsidRPr="00892DE3" w:rsidTr="004B76C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2" w:type="dxa"/>
          </w:tcPr>
          <w:p w:rsidR="004B76C7" w:rsidRPr="00892DE3" w:rsidRDefault="004B76C7" w:rsidP="00CB52F1">
            <w:pPr>
              <w:spacing w:after="0"/>
              <w:rPr>
                <w:rFonts w:cstheme="majorHAnsi"/>
                <w:b w:val="0"/>
                <w:lang w:val="en-GB"/>
              </w:rPr>
            </w:pPr>
            <w:r w:rsidRPr="00892DE3">
              <w:rPr>
                <w:rFonts w:cstheme="majorHAnsi"/>
              </w:rPr>
              <w:t>Total of cultural assets at fair value</w:t>
            </w:r>
          </w:p>
        </w:tc>
        <w:tc>
          <w:tcPr>
            <w:tcW w:w="1781" w:type="dxa"/>
            <w:shd w:val="clear" w:color="auto" w:fill="EBEBEB" w:themeFill="background2"/>
            <w:noWrap/>
          </w:tcPr>
          <w:p w:rsidR="004B76C7" w:rsidRPr="00892DE3" w:rsidRDefault="004B76C7" w:rsidP="00CB52F1">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2 764</w:t>
            </w:r>
          </w:p>
        </w:tc>
        <w:tc>
          <w:tcPr>
            <w:tcW w:w="1064" w:type="dxa"/>
            <w:noWrap/>
          </w:tcPr>
          <w:p w:rsidR="004B76C7" w:rsidRPr="00892DE3" w:rsidRDefault="004B76C7" w:rsidP="00CB52F1">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2 764</w:t>
            </w:r>
          </w:p>
        </w:tc>
        <w:tc>
          <w:tcPr>
            <w:tcW w:w="981" w:type="dxa"/>
            <w:noWrap/>
          </w:tcPr>
          <w:p w:rsidR="004B76C7" w:rsidRPr="00892DE3" w:rsidRDefault="004B76C7" w:rsidP="00CB52F1">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bookmarkEnd w:id="158"/>
    <w:p w:rsidR="004B76C7" w:rsidRPr="00892DE3" w:rsidRDefault="004B76C7" w:rsidP="004B76C7">
      <w:pPr>
        <w:pStyle w:val="Note"/>
      </w:pPr>
      <w:r w:rsidRPr="00892DE3">
        <w:t>Notes:</w:t>
      </w:r>
    </w:p>
    <w:p w:rsidR="004B76C7" w:rsidRPr="00892DE3" w:rsidRDefault="004B76C7" w:rsidP="004B76C7">
      <w:pPr>
        <w:pStyle w:val="Note"/>
      </w:pPr>
      <w:r w:rsidRPr="00892DE3">
        <w:t>(</w:t>
      </w:r>
      <w:r w:rsidR="00CB52F1" w:rsidRPr="00892DE3">
        <w:t>a</w:t>
      </w:r>
      <w:r w:rsidRPr="00892DE3">
        <w:t>)</w:t>
      </w:r>
      <w:r w:rsidRPr="00892DE3">
        <w:tab/>
        <w:t>Classified in accordance with the fair value hierarchy.</w:t>
      </w:r>
    </w:p>
    <w:p w:rsidR="004B76C7" w:rsidRPr="00892DE3" w:rsidRDefault="00CB52F1" w:rsidP="004B76C7">
      <w:pPr>
        <w:pStyle w:val="Note"/>
      </w:pPr>
      <w:r w:rsidRPr="00892DE3">
        <w:t>(b</w:t>
      </w:r>
      <w:r w:rsidR="004B76C7" w:rsidRPr="00892DE3">
        <w:t>)</w:t>
      </w:r>
      <w:r w:rsidR="004B76C7" w:rsidRPr="00892DE3">
        <w:tab/>
        <w:t>The Department holds $10.6 million worth of properties listed as heritage assets. These heritage assets cannot be modified nor disposed of without formal ministerial approval.</w:t>
      </w:r>
    </w:p>
    <w:p w:rsidR="004B76C7" w:rsidRDefault="00CB52F1" w:rsidP="00C23A04">
      <w:pPr>
        <w:pStyle w:val="Note"/>
      </w:pPr>
      <w:r w:rsidRPr="00892DE3">
        <w:t>(c</w:t>
      </w:r>
      <w:r w:rsidR="004B76C7" w:rsidRPr="00892DE3">
        <w:t>)</w:t>
      </w:r>
      <w:r w:rsidR="004B76C7" w:rsidRPr="00892DE3">
        <w:tab/>
        <w:t>[Vehicles are categorised to Level 3 assets if the depreciated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rsidR="00821277" w:rsidRPr="00892DE3" w:rsidRDefault="00821277" w:rsidP="00821277">
      <w:pPr>
        <w:spacing w:before="0"/>
      </w:pPr>
    </w:p>
    <w:p w:rsidR="004B76C7" w:rsidRPr="00892DE3" w:rsidRDefault="004B76C7" w:rsidP="00CB52F1">
      <w:pPr>
        <w:pStyle w:val="TableUnits"/>
      </w:pP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831"/>
        <w:gridCol w:w="1804"/>
        <w:gridCol w:w="1042"/>
        <w:gridCol w:w="979"/>
        <w:gridCol w:w="981"/>
      </w:tblGrid>
      <w:tr w:rsidR="004B76C7" w:rsidRPr="00892DE3" w:rsidTr="00CB52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31" w:type="dxa"/>
            <w:hideMark/>
          </w:tcPr>
          <w:p w:rsidR="004B76C7" w:rsidRPr="00892DE3" w:rsidRDefault="004B76C7" w:rsidP="00CB52F1">
            <w:pPr>
              <w:spacing w:after="0"/>
              <w:ind w:left="0" w:firstLine="0"/>
            </w:pPr>
          </w:p>
        </w:tc>
        <w:tc>
          <w:tcPr>
            <w:tcW w:w="1804" w:type="dxa"/>
            <w:noWrap/>
            <w:hideMark/>
          </w:tcPr>
          <w:p w:rsidR="004B76C7" w:rsidRPr="00892DE3" w:rsidRDefault="004B76C7" w:rsidP="00CB52F1">
            <w:pPr>
              <w:spacing w:after="0"/>
              <w:cnfStyle w:val="100000000000" w:firstRow="1" w:lastRow="0" w:firstColumn="0" w:lastColumn="0" w:oddVBand="0" w:evenVBand="0" w:oddHBand="0" w:evenHBand="0" w:firstRowFirstColumn="0" w:firstRowLastColumn="0" w:lastRowFirstColumn="0" w:lastRowLastColumn="0"/>
            </w:pPr>
            <w:r w:rsidRPr="00892DE3">
              <w:t xml:space="preserve">Carrying amount </w:t>
            </w:r>
          </w:p>
        </w:tc>
        <w:tc>
          <w:tcPr>
            <w:tcW w:w="3002" w:type="dxa"/>
            <w:gridSpan w:val="3"/>
            <w:tcBorders>
              <w:bottom w:val="single" w:sz="6" w:space="0" w:color="FFFFFF" w:themeColor="background1"/>
            </w:tcBorders>
            <w:hideMark/>
          </w:tcPr>
          <w:p w:rsidR="004B76C7" w:rsidRPr="00892DE3" w:rsidRDefault="004B76C7" w:rsidP="00CB52F1">
            <w:pPr>
              <w:spacing w:after="0"/>
              <w:jc w:val="center"/>
              <w:cnfStyle w:val="100000000000" w:firstRow="1" w:lastRow="0" w:firstColumn="0" w:lastColumn="0" w:oddVBand="0" w:evenVBand="0" w:oddHBand="0" w:evenHBand="0" w:firstRowFirstColumn="0" w:firstRowLastColumn="0" w:lastRowFirstColumn="0" w:lastRowLastColumn="0"/>
            </w:pPr>
            <w:r w:rsidRPr="00892DE3">
              <w:t>Fair value measurement at end of reporting period using:</w:t>
            </w:r>
          </w:p>
        </w:tc>
      </w:tr>
      <w:tr w:rsidR="004B76C7" w:rsidRPr="00892DE3" w:rsidTr="00CB52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31" w:type="dxa"/>
            <w:shd w:val="clear" w:color="auto" w:fill="000000"/>
            <w:hideMark/>
          </w:tcPr>
          <w:p w:rsidR="004B76C7" w:rsidRPr="00892DE3" w:rsidRDefault="004B76C7" w:rsidP="00CB52F1">
            <w:pPr>
              <w:spacing w:after="0"/>
              <w:ind w:left="0" w:firstLine="0"/>
            </w:pPr>
            <w:r w:rsidRPr="00892DE3">
              <w:t>2016</w:t>
            </w:r>
          </w:p>
        </w:tc>
        <w:tc>
          <w:tcPr>
            <w:tcW w:w="1804" w:type="dxa"/>
            <w:shd w:val="clear" w:color="auto" w:fill="000000"/>
            <w:noWrap/>
            <w:hideMark/>
          </w:tcPr>
          <w:p w:rsidR="004B76C7" w:rsidRPr="00892DE3" w:rsidRDefault="004B76C7" w:rsidP="00CB52F1">
            <w:pPr>
              <w:spacing w:after="0"/>
              <w:cnfStyle w:val="100000000000" w:firstRow="1" w:lastRow="0" w:firstColumn="0" w:lastColumn="0" w:oddVBand="0" w:evenVBand="0" w:oddHBand="0" w:evenHBand="0" w:firstRowFirstColumn="0" w:firstRowLastColumn="0" w:lastRowFirstColumn="0" w:lastRowLastColumn="0"/>
            </w:pPr>
            <w:r w:rsidRPr="00892DE3">
              <w:t>as at 30 June 2016</w:t>
            </w:r>
          </w:p>
        </w:tc>
        <w:tc>
          <w:tcPr>
            <w:tcW w:w="1042" w:type="dxa"/>
            <w:tcBorders>
              <w:top w:val="single" w:sz="6" w:space="0" w:color="FFFFFF" w:themeColor="background1"/>
            </w:tcBorders>
            <w:noWrap/>
            <w:hideMark/>
          </w:tcPr>
          <w:p w:rsidR="004B76C7" w:rsidRPr="00892DE3" w:rsidRDefault="004B76C7" w:rsidP="00CB52F1">
            <w:pPr>
              <w:spacing w:after="0"/>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w:t>
            </w:r>
            <w:r w:rsidR="00CB52F1" w:rsidRPr="00892DE3">
              <w:rPr>
                <w:vertAlign w:val="superscript"/>
              </w:rPr>
              <w:t>a</w:t>
            </w:r>
            <w:r w:rsidRPr="00892DE3">
              <w:rPr>
                <w:vertAlign w:val="superscript"/>
              </w:rPr>
              <w:t>)</w:t>
            </w:r>
          </w:p>
        </w:tc>
        <w:tc>
          <w:tcPr>
            <w:tcW w:w="979" w:type="dxa"/>
            <w:tcBorders>
              <w:top w:val="single" w:sz="6" w:space="0" w:color="FFFFFF" w:themeColor="background1"/>
            </w:tcBorders>
            <w:noWrap/>
            <w:hideMark/>
          </w:tcPr>
          <w:p w:rsidR="004B76C7" w:rsidRPr="00892DE3" w:rsidRDefault="004B76C7" w:rsidP="00CB52F1">
            <w:pPr>
              <w:spacing w:after="0"/>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w:t>
            </w:r>
            <w:r w:rsidR="00CB52F1" w:rsidRPr="00892DE3">
              <w:rPr>
                <w:vertAlign w:val="superscript"/>
              </w:rPr>
              <w:t>b</w:t>
            </w:r>
            <w:r w:rsidRPr="00892DE3">
              <w:rPr>
                <w:vertAlign w:val="superscript"/>
              </w:rPr>
              <w:t>)</w:t>
            </w:r>
          </w:p>
        </w:tc>
        <w:tc>
          <w:tcPr>
            <w:tcW w:w="981" w:type="dxa"/>
            <w:tcBorders>
              <w:top w:val="single" w:sz="6" w:space="0" w:color="FFFFFF" w:themeColor="background1"/>
            </w:tcBorders>
            <w:noWrap/>
            <w:hideMark/>
          </w:tcPr>
          <w:p w:rsidR="004B76C7" w:rsidRPr="00892DE3" w:rsidRDefault="004B76C7" w:rsidP="00CB52F1">
            <w:pPr>
              <w:spacing w:after="0"/>
              <w:cnfStyle w:val="100000000000" w:firstRow="1" w:lastRow="0" w:firstColumn="0" w:lastColumn="0" w:oddVBand="0" w:evenVBand="0" w:oddHBand="0" w:evenHBand="0" w:firstRowFirstColumn="0" w:firstRowLastColumn="0" w:lastRowFirstColumn="0" w:lastRowLastColumn="0"/>
            </w:pPr>
            <w:r w:rsidRPr="00892DE3">
              <w:t xml:space="preserve">Level 3 </w:t>
            </w:r>
            <w:r w:rsidRPr="00892DE3">
              <w:rPr>
                <w:vertAlign w:val="superscript"/>
              </w:rPr>
              <w:t>(</w:t>
            </w:r>
            <w:r w:rsidR="00CB52F1" w:rsidRPr="00892DE3">
              <w:rPr>
                <w:vertAlign w:val="superscript"/>
              </w:rPr>
              <w:t>c</w:t>
            </w:r>
            <w:r w:rsidRPr="00892DE3">
              <w:rPr>
                <w:vertAlign w:val="superscript"/>
              </w:rPr>
              <w:t>)</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Pr>
          <w:p w:rsidR="004B76C7" w:rsidRPr="00892DE3" w:rsidRDefault="004B76C7" w:rsidP="00CB52F1">
            <w:pPr>
              <w:spacing w:after="0"/>
              <w:rPr>
                <w:rFonts w:cstheme="majorHAnsi"/>
              </w:rPr>
            </w:pPr>
            <w:r w:rsidRPr="00892DE3">
              <w:rPr>
                <w:rFonts w:cstheme="majorHAnsi"/>
              </w:rPr>
              <w:t>Land at fair value</w:t>
            </w:r>
          </w:p>
        </w:tc>
        <w:tc>
          <w:tcPr>
            <w:tcW w:w="1804"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Pr>
          <w:p w:rsidR="004B76C7" w:rsidRPr="00892DE3" w:rsidRDefault="004B76C7" w:rsidP="00CB52F1">
            <w:pPr>
              <w:spacing w:after="0"/>
              <w:rPr>
                <w:rFonts w:cstheme="majorHAnsi"/>
              </w:rPr>
            </w:pPr>
            <w:r w:rsidRPr="00892DE3">
              <w:rPr>
                <w:rFonts w:cstheme="majorHAnsi"/>
              </w:rPr>
              <w:t>Non</w:t>
            </w:r>
            <w:r w:rsidRPr="00892DE3">
              <w:rPr>
                <w:rFonts w:cstheme="majorHAnsi"/>
              </w:rPr>
              <w:noBreakHyphen/>
              <w:t xml:space="preserve">specialised land </w:t>
            </w:r>
          </w:p>
        </w:tc>
        <w:tc>
          <w:tcPr>
            <w:tcW w:w="1804"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987</w:t>
            </w:r>
          </w:p>
        </w:tc>
        <w:tc>
          <w:tcPr>
            <w:tcW w:w="1042"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987</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4B76C7" w:rsidRPr="00892DE3" w:rsidRDefault="004B76C7" w:rsidP="00CB52F1">
            <w:pPr>
              <w:spacing w:after="0"/>
              <w:rPr>
                <w:rFonts w:cstheme="majorHAnsi"/>
              </w:rPr>
            </w:pPr>
            <w:r w:rsidRPr="00892DE3">
              <w:rPr>
                <w:rFonts w:cstheme="majorHAnsi"/>
              </w:rPr>
              <w:t>Specialised land</w:t>
            </w:r>
          </w:p>
        </w:tc>
        <w:tc>
          <w:tcPr>
            <w:tcW w:w="1804"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2 534</w:t>
            </w:r>
          </w:p>
        </w:tc>
        <w:tc>
          <w:tcPr>
            <w:tcW w:w="1042"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2 534</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4" w:space="0" w:color="auto"/>
            </w:tcBorders>
          </w:tcPr>
          <w:p w:rsidR="004B76C7" w:rsidRPr="00892DE3" w:rsidRDefault="004B76C7" w:rsidP="00CB52F1">
            <w:pPr>
              <w:spacing w:after="0"/>
              <w:rPr>
                <w:rFonts w:cstheme="majorHAnsi"/>
                <w:b/>
              </w:rPr>
            </w:pPr>
            <w:r w:rsidRPr="00892DE3">
              <w:rPr>
                <w:rFonts w:cstheme="majorHAnsi"/>
                <w:b/>
              </w:rPr>
              <w:t>Total of land at fair value</w:t>
            </w:r>
          </w:p>
        </w:tc>
        <w:tc>
          <w:tcPr>
            <w:tcW w:w="1804" w:type="dxa"/>
            <w:tcBorders>
              <w:top w:val="single" w:sz="4" w:space="0" w:color="auto"/>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3 521</w:t>
            </w:r>
          </w:p>
        </w:tc>
        <w:tc>
          <w:tcPr>
            <w:tcW w:w="1042" w:type="dxa"/>
            <w:tcBorders>
              <w:top w:val="single" w:sz="4" w:space="0" w:color="auto"/>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tcBorders>
              <w:top w:val="single" w:sz="4" w:space="0" w:color="auto"/>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987</w:t>
            </w:r>
          </w:p>
        </w:tc>
        <w:tc>
          <w:tcPr>
            <w:tcW w:w="981" w:type="dxa"/>
            <w:tcBorders>
              <w:top w:val="single" w:sz="4" w:space="0" w:color="auto"/>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2 534</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tcBorders>
          </w:tcPr>
          <w:p w:rsidR="004B76C7" w:rsidRPr="00892DE3" w:rsidRDefault="004B76C7" w:rsidP="00CB52F1">
            <w:pPr>
              <w:spacing w:after="0"/>
              <w:rPr>
                <w:rFonts w:cstheme="majorHAnsi"/>
              </w:rPr>
            </w:pPr>
            <w:r w:rsidRPr="00892DE3">
              <w:rPr>
                <w:rFonts w:cstheme="majorHAnsi"/>
              </w:rPr>
              <w:t>Buildings at fair value</w:t>
            </w:r>
          </w:p>
        </w:tc>
        <w:tc>
          <w:tcPr>
            <w:tcW w:w="1804" w:type="dxa"/>
            <w:tcBorders>
              <w:top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tcBorders>
              <w:top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tcBorders>
              <w:top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tcBorders>
              <w:top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Pr>
          <w:p w:rsidR="004B76C7" w:rsidRPr="00892DE3" w:rsidRDefault="004B76C7" w:rsidP="00CB52F1">
            <w:pPr>
              <w:spacing w:after="0"/>
              <w:rPr>
                <w:rFonts w:cstheme="majorHAnsi"/>
              </w:rPr>
            </w:pPr>
            <w:r w:rsidRPr="00892DE3">
              <w:rPr>
                <w:rFonts w:cstheme="majorHAnsi"/>
              </w:rPr>
              <w:t>Non</w:t>
            </w:r>
            <w:r w:rsidRPr="00892DE3">
              <w:rPr>
                <w:rFonts w:cstheme="majorHAnsi"/>
              </w:rPr>
              <w:noBreakHyphen/>
              <w:t>specialised buildings</w:t>
            </w:r>
          </w:p>
        </w:tc>
        <w:tc>
          <w:tcPr>
            <w:tcW w:w="1804"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2 082</w:t>
            </w:r>
          </w:p>
        </w:tc>
        <w:tc>
          <w:tcPr>
            <w:tcW w:w="1042"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2 082</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Pr>
          <w:p w:rsidR="004B76C7" w:rsidRPr="00892DE3" w:rsidRDefault="004B76C7" w:rsidP="00CB52F1">
            <w:pPr>
              <w:spacing w:after="0"/>
              <w:rPr>
                <w:rFonts w:cstheme="majorHAnsi"/>
              </w:rPr>
            </w:pPr>
            <w:r w:rsidRPr="00892DE3">
              <w:rPr>
                <w:rFonts w:cstheme="majorHAnsi"/>
              </w:rPr>
              <w:t xml:space="preserve">Specialised buildings </w:t>
            </w:r>
          </w:p>
        </w:tc>
        <w:tc>
          <w:tcPr>
            <w:tcW w:w="1804"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4 595</w:t>
            </w:r>
          </w:p>
        </w:tc>
        <w:tc>
          <w:tcPr>
            <w:tcW w:w="1042"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4 595</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4B76C7" w:rsidRPr="00892DE3" w:rsidRDefault="004B76C7" w:rsidP="00CB52F1">
            <w:pPr>
              <w:spacing w:after="0"/>
              <w:rPr>
                <w:rFonts w:cstheme="majorHAnsi"/>
              </w:rPr>
            </w:pPr>
            <w:r w:rsidRPr="00892DE3">
              <w:rPr>
                <w:rFonts w:cstheme="majorHAnsi"/>
              </w:rPr>
              <w:t xml:space="preserve">Heritage assets </w:t>
            </w:r>
            <w:r w:rsidR="00CB52F1" w:rsidRPr="00892DE3">
              <w:rPr>
                <w:rFonts w:cstheme="majorHAnsi"/>
                <w:vertAlign w:val="superscript"/>
              </w:rPr>
              <w:t>(b</w:t>
            </w:r>
            <w:r w:rsidRPr="00892DE3">
              <w:rPr>
                <w:rFonts w:cstheme="majorHAnsi"/>
                <w:vertAlign w:val="superscript"/>
              </w:rPr>
              <w:t>)</w:t>
            </w:r>
          </w:p>
        </w:tc>
        <w:tc>
          <w:tcPr>
            <w:tcW w:w="1804"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12 553</w:t>
            </w:r>
          </w:p>
        </w:tc>
        <w:tc>
          <w:tcPr>
            <w:tcW w:w="1042"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12 553</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4" w:space="0" w:color="auto"/>
            </w:tcBorders>
          </w:tcPr>
          <w:p w:rsidR="004B76C7" w:rsidRPr="00892DE3" w:rsidRDefault="004B76C7" w:rsidP="00CB52F1">
            <w:pPr>
              <w:spacing w:after="0"/>
              <w:rPr>
                <w:rFonts w:cstheme="majorHAnsi"/>
                <w:b/>
              </w:rPr>
            </w:pPr>
            <w:r w:rsidRPr="00892DE3">
              <w:rPr>
                <w:rFonts w:cstheme="majorHAnsi"/>
                <w:b/>
              </w:rPr>
              <w:t>Total of buildings at fair value</w:t>
            </w:r>
          </w:p>
        </w:tc>
        <w:tc>
          <w:tcPr>
            <w:tcW w:w="1804" w:type="dxa"/>
            <w:tcBorders>
              <w:top w:val="single" w:sz="4" w:space="0" w:color="auto"/>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19 230</w:t>
            </w:r>
          </w:p>
        </w:tc>
        <w:tc>
          <w:tcPr>
            <w:tcW w:w="1042" w:type="dxa"/>
            <w:tcBorders>
              <w:top w:val="single" w:sz="4" w:space="0" w:color="auto"/>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tcBorders>
              <w:top w:val="single" w:sz="4" w:space="0" w:color="auto"/>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2 082</w:t>
            </w:r>
          </w:p>
        </w:tc>
        <w:tc>
          <w:tcPr>
            <w:tcW w:w="981" w:type="dxa"/>
            <w:tcBorders>
              <w:top w:val="single" w:sz="4" w:space="0" w:color="auto"/>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19 230</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tcBorders>
          </w:tcPr>
          <w:p w:rsidR="004B76C7" w:rsidRPr="00892DE3" w:rsidRDefault="004B76C7" w:rsidP="00CB52F1">
            <w:pPr>
              <w:spacing w:after="0"/>
              <w:rPr>
                <w:rFonts w:cstheme="majorHAnsi"/>
              </w:rPr>
            </w:pPr>
            <w:r w:rsidRPr="00892DE3">
              <w:rPr>
                <w:rFonts w:cstheme="majorHAnsi"/>
              </w:rPr>
              <w:t>Plant, equipment and vehicles at fair value</w:t>
            </w:r>
          </w:p>
        </w:tc>
        <w:tc>
          <w:tcPr>
            <w:tcW w:w="1804" w:type="dxa"/>
            <w:tcBorders>
              <w:top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tcBorders>
              <w:top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tcBorders>
              <w:top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tcBorders>
              <w:top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Pr>
          <w:p w:rsidR="004B76C7" w:rsidRPr="00892DE3" w:rsidRDefault="004B76C7" w:rsidP="00CB52F1">
            <w:pPr>
              <w:spacing w:after="0"/>
              <w:rPr>
                <w:rFonts w:cstheme="majorHAnsi"/>
              </w:rPr>
            </w:pPr>
            <w:r w:rsidRPr="00892DE3">
              <w:rPr>
                <w:rFonts w:cstheme="majorHAnsi"/>
              </w:rPr>
              <w:t xml:space="preserve">Vehicles </w:t>
            </w:r>
            <w:r w:rsidR="00CB52F1" w:rsidRPr="00892DE3">
              <w:rPr>
                <w:rFonts w:cstheme="majorHAnsi"/>
                <w:vertAlign w:val="superscript"/>
              </w:rPr>
              <w:t>(c</w:t>
            </w:r>
            <w:r w:rsidRPr="00892DE3">
              <w:rPr>
                <w:rFonts w:cstheme="majorHAnsi"/>
                <w:vertAlign w:val="superscript"/>
              </w:rPr>
              <w:t>)</w:t>
            </w:r>
          </w:p>
        </w:tc>
        <w:tc>
          <w:tcPr>
            <w:tcW w:w="1804"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15 321</w:t>
            </w:r>
          </w:p>
        </w:tc>
        <w:tc>
          <w:tcPr>
            <w:tcW w:w="1042"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15 231</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4B76C7" w:rsidRPr="00892DE3" w:rsidRDefault="004B76C7" w:rsidP="00CB52F1">
            <w:pPr>
              <w:spacing w:after="0"/>
              <w:rPr>
                <w:rFonts w:cstheme="majorHAnsi"/>
              </w:rPr>
            </w:pPr>
            <w:r w:rsidRPr="00892DE3">
              <w:rPr>
                <w:rFonts w:cstheme="majorHAnsi"/>
              </w:rPr>
              <w:t>Plant and equipment</w:t>
            </w:r>
          </w:p>
        </w:tc>
        <w:tc>
          <w:tcPr>
            <w:tcW w:w="1804"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27 788</w:t>
            </w:r>
          </w:p>
        </w:tc>
        <w:tc>
          <w:tcPr>
            <w:tcW w:w="1042"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27 788</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4" w:space="0" w:color="auto"/>
            </w:tcBorders>
          </w:tcPr>
          <w:p w:rsidR="004B76C7" w:rsidRPr="00892DE3" w:rsidRDefault="004B76C7" w:rsidP="00CB52F1">
            <w:pPr>
              <w:spacing w:after="0"/>
              <w:rPr>
                <w:rFonts w:cstheme="majorHAnsi"/>
                <w:b/>
              </w:rPr>
            </w:pPr>
            <w:r w:rsidRPr="00892DE3">
              <w:rPr>
                <w:rFonts w:cstheme="majorHAnsi"/>
                <w:b/>
              </w:rPr>
              <w:t>Total of plant, equipment and vehicles at fair value</w:t>
            </w:r>
          </w:p>
        </w:tc>
        <w:tc>
          <w:tcPr>
            <w:tcW w:w="1804" w:type="dxa"/>
            <w:tcBorders>
              <w:top w:val="single" w:sz="4" w:space="0" w:color="auto"/>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43 109</w:t>
            </w:r>
          </w:p>
        </w:tc>
        <w:tc>
          <w:tcPr>
            <w:tcW w:w="1042" w:type="dxa"/>
            <w:tcBorders>
              <w:top w:val="single" w:sz="4" w:space="0" w:color="auto"/>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tcBorders>
              <w:top w:val="single" w:sz="4" w:space="0" w:color="auto"/>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tcBorders>
              <w:top w:val="single" w:sz="4" w:space="0" w:color="auto"/>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43 109</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tcBorders>
          </w:tcPr>
          <w:p w:rsidR="004B76C7" w:rsidRPr="00892DE3" w:rsidRDefault="004B76C7" w:rsidP="00CB52F1">
            <w:pPr>
              <w:spacing w:after="0"/>
              <w:rPr>
                <w:rFonts w:cstheme="majorHAnsi"/>
              </w:rPr>
            </w:pPr>
            <w:r w:rsidRPr="00892DE3">
              <w:rPr>
                <w:rFonts w:cstheme="majorHAnsi"/>
                <w:b/>
              </w:rPr>
              <w:t>Infrastructure at fair value</w:t>
            </w:r>
          </w:p>
        </w:tc>
        <w:tc>
          <w:tcPr>
            <w:tcW w:w="1804" w:type="dxa"/>
            <w:tcBorders>
              <w:top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tcBorders>
              <w:top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tcBorders>
              <w:top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tcBorders>
              <w:top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4B76C7" w:rsidRPr="00892DE3" w:rsidRDefault="004B76C7" w:rsidP="00CB52F1">
            <w:pPr>
              <w:spacing w:after="0"/>
              <w:rPr>
                <w:rFonts w:cstheme="majorHAnsi"/>
              </w:rPr>
            </w:pPr>
            <w:r w:rsidRPr="00892DE3">
              <w:rPr>
                <w:rFonts w:cstheme="majorHAnsi"/>
              </w:rPr>
              <w:t>Infrastructure</w:t>
            </w:r>
          </w:p>
        </w:tc>
        <w:tc>
          <w:tcPr>
            <w:tcW w:w="1804"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4 931</w:t>
            </w:r>
          </w:p>
        </w:tc>
        <w:tc>
          <w:tcPr>
            <w:tcW w:w="1042"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4 931</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4" w:space="0" w:color="auto"/>
            </w:tcBorders>
          </w:tcPr>
          <w:p w:rsidR="004B76C7" w:rsidRPr="00892DE3" w:rsidRDefault="004B76C7" w:rsidP="00CB52F1">
            <w:pPr>
              <w:spacing w:after="0"/>
              <w:rPr>
                <w:rFonts w:cstheme="majorHAnsi"/>
                <w:b/>
              </w:rPr>
            </w:pPr>
            <w:r w:rsidRPr="00892DE3">
              <w:rPr>
                <w:rFonts w:cstheme="majorHAnsi"/>
                <w:b/>
              </w:rPr>
              <w:t>Total of infrastructure at fair value</w:t>
            </w:r>
          </w:p>
        </w:tc>
        <w:tc>
          <w:tcPr>
            <w:tcW w:w="1804" w:type="dxa"/>
            <w:tcBorders>
              <w:top w:val="single" w:sz="4" w:space="0" w:color="auto"/>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4 931</w:t>
            </w:r>
          </w:p>
        </w:tc>
        <w:tc>
          <w:tcPr>
            <w:tcW w:w="1042" w:type="dxa"/>
            <w:tcBorders>
              <w:top w:val="single" w:sz="4" w:space="0" w:color="auto"/>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tcBorders>
              <w:top w:val="single" w:sz="4" w:space="0" w:color="auto"/>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tcBorders>
              <w:top w:val="single" w:sz="4" w:space="0" w:color="auto"/>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4 931</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tcBorders>
          </w:tcPr>
          <w:p w:rsidR="004B76C7" w:rsidRPr="00892DE3" w:rsidRDefault="004B76C7" w:rsidP="00CB52F1">
            <w:pPr>
              <w:spacing w:after="0"/>
              <w:rPr>
                <w:rFonts w:cstheme="majorHAnsi"/>
                <w:b/>
              </w:rPr>
            </w:pPr>
            <w:r w:rsidRPr="00892DE3">
              <w:rPr>
                <w:rFonts w:cstheme="majorHAnsi"/>
                <w:b/>
              </w:rPr>
              <w:t>Road, infrastructure and earthworks at fair value</w:t>
            </w:r>
          </w:p>
        </w:tc>
        <w:tc>
          <w:tcPr>
            <w:tcW w:w="1804" w:type="dxa"/>
            <w:tcBorders>
              <w:top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tcBorders>
              <w:top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tcBorders>
              <w:top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tcBorders>
              <w:top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4B76C7" w:rsidRPr="00892DE3" w:rsidRDefault="004B76C7" w:rsidP="00CB52F1">
            <w:pPr>
              <w:spacing w:after="0"/>
              <w:rPr>
                <w:rFonts w:cstheme="majorHAnsi"/>
              </w:rPr>
            </w:pPr>
            <w:r w:rsidRPr="00892DE3">
              <w:rPr>
                <w:rFonts w:cstheme="majorHAnsi"/>
              </w:rPr>
              <w:t>Road, infrastructure and earthworks at fair value</w:t>
            </w:r>
          </w:p>
        </w:tc>
        <w:tc>
          <w:tcPr>
            <w:tcW w:w="1804"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4 993</w:t>
            </w:r>
          </w:p>
        </w:tc>
        <w:tc>
          <w:tcPr>
            <w:tcW w:w="1042"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4 993</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4" w:space="0" w:color="auto"/>
            </w:tcBorders>
          </w:tcPr>
          <w:p w:rsidR="004B76C7" w:rsidRPr="00892DE3" w:rsidRDefault="004B76C7" w:rsidP="00CB52F1">
            <w:pPr>
              <w:spacing w:after="0"/>
              <w:rPr>
                <w:rFonts w:cstheme="majorHAnsi"/>
                <w:b/>
              </w:rPr>
            </w:pPr>
            <w:r w:rsidRPr="00892DE3">
              <w:rPr>
                <w:rFonts w:cstheme="majorHAnsi"/>
                <w:b/>
              </w:rPr>
              <w:t>Total of road, infrastructure and earthworks at fair value</w:t>
            </w:r>
          </w:p>
        </w:tc>
        <w:tc>
          <w:tcPr>
            <w:tcW w:w="1804" w:type="dxa"/>
            <w:tcBorders>
              <w:top w:val="single" w:sz="4" w:space="0" w:color="auto"/>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4 993</w:t>
            </w:r>
          </w:p>
        </w:tc>
        <w:tc>
          <w:tcPr>
            <w:tcW w:w="1042" w:type="dxa"/>
            <w:tcBorders>
              <w:top w:val="single" w:sz="4" w:space="0" w:color="auto"/>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b/>
              </w:rPr>
              <w:t>n.a.</w:t>
            </w:r>
          </w:p>
        </w:tc>
        <w:tc>
          <w:tcPr>
            <w:tcW w:w="979" w:type="dxa"/>
            <w:tcBorders>
              <w:top w:val="single" w:sz="4" w:space="0" w:color="auto"/>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tcBorders>
              <w:top w:val="single" w:sz="4" w:space="0" w:color="auto"/>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4 993</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tcBorders>
          </w:tcPr>
          <w:p w:rsidR="004B76C7" w:rsidRPr="00892DE3" w:rsidRDefault="004B76C7" w:rsidP="00CB52F1">
            <w:pPr>
              <w:spacing w:after="0"/>
              <w:rPr>
                <w:rFonts w:cstheme="majorHAnsi"/>
                <w:b/>
              </w:rPr>
            </w:pPr>
            <w:r w:rsidRPr="00892DE3">
              <w:rPr>
                <w:rFonts w:cstheme="majorHAnsi"/>
                <w:b/>
              </w:rPr>
              <w:t>Cultural assets at fair value</w:t>
            </w:r>
          </w:p>
        </w:tc>
        <w:tc>
          <w:tcPr>
            <w:tcW w:w="1804" w:type="dxa"/>
            <w:tcBorders>
              <w:top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tcBorders>
              <w:top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tcBorders>
              <w:top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tcBorders>
              <w:top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4B76C7" w:rsidRPr="00892DE3" w:rsidRDefault="004B76C7" w:rsidP="00CB52F1">
            <w:pPr>
              <w:spacing w:after="0"/>
              <w:rPr>
                <w:rFonts w:cstheme="majorHAnsi"/>
              </w:rPr>
            </w:pPr>
            <w:r w:rsidRPr="00892DE3">
              <w:rPr>
                <w:rFonts w:cstheme="majorHAnsi"/>
                <w:lang w:val="en-GB"/>
              </w:rPr>
              <w:t>Artworks</w:t>
            </w:r>
          </w:p>
        </w:tc>
        <w:tc>
          <w:tcPr>
            <w:tcW w:w="1804"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42"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4B76C7" w:rsidRPr="00892DE3" w:rsidRDefault="004B76C7" w:rsidP="00CB52F1">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4B76C7" w:rsidRPr="00892DE3" w:rsidTr="004B76C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12" w:space="0" w:color="auto"/>
            </w:tcBorders>
          </w:tcPr>
          <w:p w:rsidR="004B76C7" w:rsidRPr="00892DE3" w:rsidRDefault="004B76C7" w:rsidP="00CB52F1">
            <w:pPr>
              <w:spacing w:after="0"/>
              <w:rPr>
                <w:rFonts w:cstheme="majorHAnsi"/>
                <w:b w:val="0"/>
                <w:lang w:val="en-GB"/>
              </w:rPr>
            </w:pPr>
            <w:r w:rsidRPr="00892DE3">
              <w:rPr>
                <w:rFonts w:cstheme="majorHAnsi"/>
              </w:rPr>
              <w:t>Total of cultural assets at fair value</w:t>
            </w:r>
          </w:p>
        </w:tc>
        <w:tc>
          <w:tcPr>
            <w:tcW w:w="1804" w:type="dxa"/>
            <w:tcBorders>
              <w:top w:val="single" w:sz="4" w:space="0" w:color="auto"/>
              <w:bottom w:val="single" w:sz="12" w:space="0" w:color="auto"/>
            </w:tcBorders>
            <w:shd w:val="clear" w:color="auto" w:fill="EBEBEB" w:themeFill="background2"/>
            <w:noWrap/>
          </w:tcPr>
          <w:p w:rsidR="004B76C7" w:rsidRPr="00892DE3" w:rsidRDefault="004B76C7" w:rsidP="00CB52F1">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42" w:type="dxa"/>
            <w:tcBorders>
              <w:top w:val="single" w:sz="4" w:space="0" w:color="auto"/>
              <w:bottom w:val="single" w:sz="12" w:space="0" w:color="auto"/>
            </w:tcBorders>
            <w:noWrap/>
          </w:tcPr>
          <w:p w:rsidR="004B76C7" w:rsidRPr="00892DE3" w:rsidRDefault="004B76C7" w:rsidP="00CB52F1">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n.a.</w:t>
            </w:r>
          </w:p>
        </w:tc>
        <w:tc>
          <w:tcPr>
            <w:tcW w:w="979" w:type="dxa"/>
            <w:tcBorders>
              <w:top w:val="single" w:sz="4" w:space="0" w:color="auto"/>
              <w:bottom w:val="single" w:sz="12" w:space="0" w:color="auto"/>
            </w:tcBorders>
            <w:shd w:val="clear" w:color="auto" w:fill="EBEBEB" w:themeFill="background2"/>
            <w:noWrap/>
          </w:tcPr>
          <w:p w:rsidR="004B76C7" w:rsidRPr="00892DE3" w:rsidRDefault="004B76C7" w:rsidP="00CB52F1">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981" w:type="dxa"/>
            <w:tcBorders>
              <w:top w:val="single" w:sz="4" w:space="0" w:color="auto"/>
              <w:bottom w:val="single" w:sz="12" w:space="0" w:color="auto"/>
            </w:tcBorders>
            <w:noWrap/>
          </w:tcPr>
          <w:p w:rsidR="004B76C7" w:rsidRPr="00892DE3" w:rsidRDefault="004B76C7" w:rsidP="00CB52F1">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4B76C7" w:rsidRPr="00892DE3" w:rsidRDefault="004B76C7" w:rsidP="004B76C7">
      <w:pPr>
        <w:pStyle w:val="Note"/>
      </w:pPr>
      <w:r w:rsidRPr="00892DE3">
        <w:t>Notes:</w:t>
      </w:r>
    </w:p>
    <w:p w:rsidR="004B76C7" w:rsidRPr="00892DE3" w:rsidRDefault="004B76C7" w:rsidP="004B76C7">
      <w:pPr>
        <w:pStyle w:val="Note"/>
      </w:pPr>
      <w:r w:rsidRPr="00892DE3">
        <w:t>(</w:t>
      </w:r>
      <w:r w:rsidR="00CB52F1" w:rsidRPr="00892DE3">
        <w:t>a</w:t>
      </w:r>
      <w:r w:rsidRPr="00892DE3">
        <w:t>)</w:t>
      </w:r>
      <w:r w:rsidRPr="00892DE3">
        <w:tab/>
        <w:t>Classified in accordance with the fair value hierarchy.</w:t>
      </w:r>
    </w:p>
    <w:p w:rsidR="004B76C7" w:rsidRPr="00892DE3" w:rsidRDefault="00CB52F1" w:rsidP="004B76C7">
      <w:pPr>
        <w:pStyle w:val="Note"/>
      </w:pPr>
      <w:r w:rsidRPr="00892DE3">
        <w:t>(b</w:t>
      </w:r>
      <w:r w:rsidR="004B76C7" w:rsidRPr="00892DE3">
        <w:t>)</w:t>
      </w:r>
      <w:r w:rsidR="004B76C7" w:rsidRPr="00892DE3">
        <w:tab/>
        <w:t>The Department holds $10.6 million worth of properties listed as heritage assets. These heritage assets cannot be modified nor disposed of without formal ministerial approval.</w:t>
      </w:r>
    </w:p>
    <w:p w:rsidR="004B76C7" w:rsidRPr="00892DE3" w:rsidRDefault="00CB52F1" w:rsidP="004B76C7">
      <w:pPr>
        <w:pStyle w:val="Note"/>
      </w:pPr>
      <w:r w:rsidRPr="00892DE3">
        <w:t>(c</w:t>
      </w:r>
      <w:r w:rsidR="004B76C7" w:rsidRPr="00892DE3">
        <w:t>)</w:t>
      </w:r>
      <w:r w:rsidR="004B76C7" w:rsidRPr="00892DE3">
        <w:tab/>
        <w:t>[Vehicles are categorised to Level 3 assets if the depreciated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rsidR="004B76C7" w:rsidRPr="00892DE3" w:rsidRDefault="004B76C7" w:rsidP="004B76C7">
      <w:r w:rsidRPr="00892DE3">
        <w:t xml:space="preserve">There have been no transfers between levels during the period. </w:t>
      </w:r>
      <w:r w:rsidRPr="00892DE3">
        <w:rPr>
          <w:rStyle w:val="SourceReference"/>
        </w:rPr>
        <w:t>[AASB 13. 93(c)]</w:t>
      </w:r>
    </w:p>
    <w:p w:rsidR="004B76C7" w:rsidRPr="00892DE3" w:rsidRDefault="004B76C7" w:rsidP="004B76C7">
      <w:r w:rsidRPr="00892DE3">
        <w:rPr>
          <w:b/>
        </w:rPr>
        <w:t>Non-specialised land, non-specialised buildings and artworks</w:t>
      </w:r>
      <w:r w:rsidRPr="00892DE3">
        <w:t xml:space="preserve"> are valued using the market approach, whereby assets are compared to recent comparable sales or sales of comparable assets that are considered to have nominal value. </w:t>
      </w:r>
      <w:r w:rsidRPr="00892DE3">
        <w:rPr>
          <w:rStyle w:val="SourceReference"/>
        </w:rPr>
        <w:t>[AASB 13.93(d)]</w:t>
      </w:r>
    </w:p>
    <w:p w:rsidR="004B76C7" w:rsidRPr="00892DE3" w:rsidRDefault="004B76C7" w:rsidP="004B76C7">
      <w:r w:rsidRPr="00892DE3">
        <w:t xml:space="preserve">An independent valuation was performed by Norton and Paine to determine fair value using the market approach. Valuation of the assets was determined by analysing comparable sales and allowing for share, size, topography, location and other relevant factors specific to the asset being valued. From this analysis, an appropriate rate per square metre has been applied to the subject asset. The effective date of the valuation is 30 June 2017. </w:t>
      </w:r>
      <w:r w:rsidR="00CB52F1" w:rsidRPr="00892DE3">
        <w:br/>
      </w:r>
      <w:r w:rsidRPr="00892DE3">
        <w:rPr>
          <w:rStyle w:val="SourceReference"/>
        </w:rPr>
        <w:t>[AASB 116.77(a), (b)]</w:t>
      </w:r>
    </w:p>
    <w:p w:rsidR="004B76C7" w:rsidRPr="00892DE3" w:rsidRDefault="004B76C7" w:rsidP="004B76C7">
      <w:r w:rsidRPr="00892DE3">
        <w:t>For artwork, valuation of the assets is determined by a comparison to similar examples of the artist’s work in existence throughout Australia and research on recent prices paid for similar examples offered at auction or through art galleries. No revaluation was performed for artwork for the financial period ending at 30 June 2017 [Entities should disclose the effective date of revaluation and the fact whether an independent valuer was involved if artwork was revalued during the current financial period].</w:t>
      </w:r>
    </w:p>
    <w:p w:rsidR="004B76C7" w:rsidRPr="00892DE3" w:rsidRDefault="004B76C7" w:rsidP="004B76C7">
      <w:r w:rsidRPr="00892DE3">
        <w:t>To the extent that non-specialised land, non-specialised buildings and artworks do not contain significant, unobservable adjustments, these assets are classified as Level 2 under the market approach.</w:t>
      </w:r>
    </w:p>
    <w:p w:rsidR="004B76C7" w:rsidRPr="00892DE3" w:rsidRDefault="004B76C7" w:rsidP="004B76C7">
      <w:r w:rsidRPr="00892DE3">
        <w:rPr>
          <w:b/>
        </w:rPr>
        <w:t>Specialised land and specialised buildings</w:t>
      </w:r>
      <w:r w:rsidRPr="00892DE3">
        <w:t xml:space="preserve">: The market approach is also used for specialised land, although is adjusted for the community service obligation (CSO) to reflect the specialised nature of the land being valued. </w:t>
      </w:r>
    </w:p>
    <w:p w:rsidR="004B76C7" w:rsidRPr="00892DE3" w:rsidRDefault="004B76C7" w:rsidP="004B76C7">
      <w:r w:rsidRPr="00892DE3">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rsidR="004B76C7" w:rsidRPr="00892DE3" w:rsidRDefault="004B76C7" w:rsidP="004B76C7">
      <w:r w:rsidRPr="00892DE3">
        <w:t xml:space="preserve">For the majority of the Department’s specialised buildings, the depreciated replacement cost method is used, adjusting for the associated depreciations. As depreciation adjustments are considered as significant, unobservable inputs in nature, specialised buildings are classified as Level 3 fair value measurements. </w:t>
      </w:r>
    </w:p>
    <w:p w:rsidR="004B76C7" w:rsidRPr="00892DE3" w:rsidRDefault="004B76C7" w:rsidP="004B76C7">
      <w:r w:rsidRPr="00892DE3">
        <w:t xml:space="preserve">An independent valuation of the Departments’ specialised land and specialised buildings was performed by the Valuer-General Victoria. The valuation was performed using the market approach adjusted for CSO. The effective date of the valuation is 30 June 2017. </w:t>
      </w:r>
      <w:r w:rsidRPr="00892DE3">
        <w:rPr>
          <w:rStyle w:val="SourceReference"/>
        </w:rPr>
        <w:t>[AASB 116.77(a), (b), AASB 116 Aus77.1]</w:t>
      </w:r>
    </w:p>
    <w:p w:rsidR="004B76C7" w:rsidRPr="00892DE3" w:rsidRDefault="004B76C7" w:rsidP="004B76C7">
      <w:r w:rsidRPr="00892DE3">
        <w:rPr>
          <w:b/>
        </w:rPr>
        <w:t>Heritage assets, infrastructure and road infrastructure and earthworks</w:t>
      </w:r>
      <w:r w:rsidRPr="00892DE3">
        <w:t xml:space="preserve"> are valued using the depreciated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rsidR="004B76C7" w:rsidRPr="00892DE3" w:rsidRDefault="004B76C7" w:rsidP="004B76C7">
      <w:r w:rsidRPr="00892DE3">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rsidR="004B76C7" w:rsidRPr="00892DE3" w:rsidRDefault="004B76C7" w:rsidP="004B76C7">
      <w:r w:rsidRPr="00892DE3">
        <w:t xml:space="preserve">An independent valuation of the Department’s heritage assets, infrastructure and road infrastructure and earthworks was performed by the Valuer-General Victoria. The valuation was performed based on the depreciated replacement cost of the assets. The effective date of the valuation is 30 June 2017. </w:t>
      </w:r>
      <w:r w:rsidRPr="00892DE3">
        <w:rPr>
          <w:rStyle w:val="SourceReference"/>
        </w:rPr>
        <w:t>[AASB 116.77(a), (b), AASB 116 Aus77.1]</w:t>
      </w:r>
    </w:p>
    <w:p w:rsidR="004B76C7" w:rsidRPr="00892DE3" w:rsidRDefault="004B76C7" w:rsidP="004B76C7">
      <w:r w:rsidRPr="00892DE3">
        <w:rPr>
          <w:b/>
        </w:rPr>
        <w:t>Vehicles</w:t>
      </w:r>
      <w:r w:rsidRPr="00892DE3">
        <w:t xml:space="preserve"> are valued using the depreciated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rsidR="004B76C7" w:rsidRPr="00892DE3" w:rsidRDefault="004B76C7" w:rsidP="004B76C7">
      <w:r w:rsidRPr="00892DE3">
        <w:rPr>
          <w:b/>
        </w:rPr>
        <w:t>Plant and equipment</w:t>
      </w:r>
      <w:r w:rsidRPr="00892DE3">
        <w:t xml:space="preserve"> is held at fair value. When plant and equipment is specialised in use, such that it is rarely sold other than as part of a going concern, fair value is determined using the depreciated replacement cost method.</w:t>
      </w:r>
    </w:p>
    <w:p w:rsidR="004B76C7" w:rsidRPr="00892DE3" w:rsidRDefault="004B76C7" w:rsidP="004B76C7">
      <w:r w:rsidRPr="00892DE3">
        <w:t xml:space="preserve">There were no changes in valuation techniques throughout the period to 30 June 2017. </w:t>
      </w:r>
      <w:r w:rsidRPr="00892DE3">
        <w:rPr>
          <w:rStyle w:val="SourceReference"/>
        </w:rPr>
        <w:t>[AASB 13.66]</w:t>
      </w:r>
      <w:r w:rsidRPr="00892DE3">
        <w:t xml:space="preserve"> </w:t>
      </w:r>
    </w:p>
    <w:p w:rsidR="004B76C7" w:rsidRPr="00892DE3" w:rsidRDefault="004B76C7" w:rsidP="004B76C7">
      <w:r w:rsidRPr="00892DE3">
        <w:t xml:space="preserve">For all assets measured at fair value, the current use is considered the highest and best use. </w:t>
      </w:r>
      <w:r w:rsidRPr="00892DE3">
        <w:rPr>
          <w:rStyle w:val="SourceReference"/>
        </w:rPr>
        <w:t>[AASB 13.93(i)]</w:t>
      </w:r>
    </w:p>
    <w:p w:rsidR="004B76C7" w:rsidRPr="00892DE3" w:rsidRDefault="004B76C7">
      <w:pPr>
        <w:keepLines w:val="0"/>
        <w:rPr>
          <w:rFonts w:asciiTheme="majorHAnsi" w:hAnsiTheme="majorHAnsi"/>
          <w:b/>
          <w:szCs w:val="20"/>
        </w:rPr>
      </w:pPr>
      <w:r w:rsidRPr="00892DE3">
        <w:br w:type="page"/>
      </w:r>
    </w:p>
    <w:p w:rsidR="004B76C7" w:rsidRPr="00892DE3" w:rsidRDefault="004B76C7" w:rsidP="004B76C7">
      <w:pPr>
        <w:pStyle w:val="TableHeading"/>
      </w:pPr>
      <w:r w:rsidRPr="00892DE3">
        <w:t xml:space="preserve">Reconciliation of Level 3 fair value movements </w:t>
      </w:r>
      <w:r w:rsidRPr="00892DE3">
        <w:rPr>
          <w:rStyle w:val="SourceReference"/>
          <w:b w:val="0"/>
        </w:rPr>
        <w:t>[AASB 13.93 (e)(f)]</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852"/>
        <w:gridCol w:w="369"/>
        <w:gridCol w:w="591"/>
        <w:gridCol w:w="310"/>
        <w:gridCol w:w="652"/>
        <w:gridCol w:w="253"/>
        <w:gridCol w:w="613"/>
        <w:gridCol w:w="304"/>
        <w:gridCol w:w="287"/>
        <w:gridCol w:w="135"/>
        <w:gridCol w:w="351"/>
        <w:gridCol w:w="139"/>
        <w:gridCol w:w="347"/>
        <w:gridCol w:w="39"/>
        <w:gridCol w:w="445"/>
        <w:gridCol w:w="92"/>
        <w:gridCol w:w="394"/>
        <w:gridCol w:w="151"/>
        <w:gridCol w:w="336"/>
        <w:gridCol w:w="47"/>
        <w:gridCol w:w="438"/>
        <w:gridCol w:w="482"/>
        <w:gridCol w:w="10"/>
      </w:tblGrid>
      <w:tr w:rsidR="004B76C7" w:rsidRPr="00892DE3" w:rsidTr="0070436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52" w:type="dxa"/>
            <w:tcBorders>
              <w:bottom w:val="nil"/>
            </w:tcBorders>
          </w:tcPr>
          <w:p w:rsidR="004B76C7" w:rsidRPr="00892DE3" w:rsidRDefault="004B76C7" w:rsidP="004B76C7">
            <w:pPr>
              <w:ind w:left="0" w:firstLine="0"/>
              <w:rPr>
                <w:sz w:val="16"/>
                <w:szCs w:val="16"/>
              </w:rPr>
            </w:pPr>
            <w:r w:rsidRPr="00892DE3">
              <w:rPr>
                <w:sz w:val="16"/>
                <w:szCs w:val="16"/>
              </w:rPr>
              <w:br/>
            </w:r>
            <w:r w:rsidRPr="00892DE3">
              <w:rPr>
                <w:sz w:val="16"/>
                <w:szCs w:val="16"/>
              </w:rPr>
              <w:br/>
              <w:t>2017</w:t>
            </w:r>
          </w:p>
        </w:tc>
        <w:tc>
          <w:tcPr>
            <w:tcW w:w="960" w:type="dxa"/>
            <w:gridSpan w:val="2"/>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Specialised land</w:t>
            </w:r>
          </w:p>
        </w:tc>
        <w:tc>
          <w:tcPr>
            <w:tcW w:w="962" w:type="dxa"/>
            <w:gridSpan w:val="2"/>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Specialised buildings</w:t>
            </w:r>
          </w:p>
        </w:tc>
        <w:tc>
          <w:tcPr>
            <w:tcW w:w="866" w:type="dxa"/>
            <w:gridSpan w:val="2"/>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Heritage assets</w:t>
            </w:r>
          </w:p>
        </w:tc>
        <w:tc>
          <w:tcPr>
            <w:tcW w:w="726" w:type="dxa"/>
            <w:gridSpan w:val="3"/>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r>
            <w:r w:rsidRPr="00892DE3">
              <w:rPr>
                <w:sz w:val="16"/>
                <w:szCs w:val="16"/>
              </w:rPr>
              <w:br/>
              <w:t>Vehicles</w:t>
            </w:r>
          </w:p>
        </w:tc>
        <w:tc>
          <w:tcPr>
            <w:tcW w:w="876" w:type="dxa"/>
            <w:gridSpan w:val="4"/>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Plant and equipment</w:t>
            </w:r>
          </w:p>
        </w:tc>
        <w:tc>
          <w:tcPr>
            <w:tcW w:w="1082" w:type="dxa"/>
            <w:gridSpan w:val="4"/>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r>
            <w:r w:rsidRPr="00892DE3">
              <w:rPr>
                <w:sz w:val="16"/>
                <w:szCs w:val="16"/>
              </w:rPr>
              <w:br/>
              <w:t>Infrastructure</w:t>
            </w:r>
          </w:p>
        </w:tc>
        <w:tc>
          <w:tcPr>
            <w:tcW w:w="1313" w:type="dxa"/>
            <w:gridSpan w:val="5"/>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Road, </w:t>
            </w:r>
            <w:r w:rsidRPr="00892DE3">
              <w:rPr>
                <w:sz w:val="16"/>
                <w:szCs w:val="16"/>
              </w:rPr>
              <w:br/>
              <w:t>infrastructure and earthworks</w:t>
            </w:r>
          </w:p>
        </w:tc>
      </w:tr>
      <w:tr w:rsidR="00704368" w:rsidRPr="00892DE3" w:rsidTr="00704368">
        <w:tc>
          <w:tcPr>
            <w:cnfStyle w:val="001000000000" w:firstRow="0" w:lastRow="0" w:firstColumn="1" w:lastColumn="0" w:oddVBand="0" w:evenVBand="0" w:oddHBand="0" w:evenHBand="0" w:firstRowFirstColumn="0" w:firstRowLastColumn="0" w:lastRowFirstColumn="0" w:lastRowLastColumn="0"/>
            <w:tcW w:w="2852" w:type="dxa"/>
            <w:tcBorders>
              <w:bottom w:val="single" w:sz="4" w:space="0" w:color="auto"/>
            </w:tcBorders>
          </w:tcPr>
          <w:p w:rsidR="00704368" w:rsidRPr="00892DE3" w:rsidRDefault="00704368" w:rsidP="004B76C7">
            <w:pPr>
              <w:rPr>
                <w:rFonts w:cstheme="majorHAnsi"/>
                <w:b/>
                <w:color w:val="000000"/>
                <w:szCs w:val="16"/>
                <w:lang w:val="en-GB"/>
              </w:rPr>
            </w:pPr>
            <w:r w:rsidRPr="00892DE3">
              <w:rPr>
                <w:rFonts w:cstheme="majorHAnsi"/>
                <w:b/>
                <w:szCs w:val="16"/>
              </w:rPr>
              <w:t>Opening balance</w:t>
            </w:r>
          </w:p>
        </w:tc>
        <w:tc>
          <w:tcPr>
            <w:tcW w:w="960" w:type="dxa"/>
            <w:gridSpan w:val="2"/>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2 306</w:t>
            </w:r>
          </w:p>
        </w:tc>
        <w:tc>
          <w:tcPr>
            <w:tcW w:w="962" w:type="dxa"/>
            <w:gridSpan w:val="2"/>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3 694</w:t>
            </w:r>
          </w:p>
        </w:tc>
        <w:tc>
          <w:tcPr>
            <w:tcW w:w="866" w:type="dxa"/>
            <w:gridSpan w:val="2"/>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14 943</w:t>
            </w:r>
          </w:p>
        </w:tc>
        <w:tc>
          <w:tcPr>
            <w:tcW w:w="726" w:type="dxa"/>
            <w:gridSpan w:val="3"/>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13 881</w:t>
            </w:r>
          </w:p>
        </w:tc>
        <w:tc>
          <w:tcPr>
            <w:tcW w:w="876" w:type="dxa"/>
            <w:gridSpan w:val="4"/>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25 016</w:t>
            </w:r>
          </w:p>
        </w:tc>
        <w:tc>
          <w:tcPr>
            <w:tcW w:w="1082" w:type="dxa"/>
            <w:gridSpan w:val="4"/>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7 767</w:t>
            </w:r>
          </w:p>
        </w:tc>
        <w:tc>
          <w:tcPr>
            <w:tcW w:w="1313" w:type="dxa"/>
            <w:gridSpan w:val="5"/>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8 475</w:t>
            </w:r>
          </w:p>
        </w:tc>
      </w:tr>
      <w:tr w:rsidR="00704368" w:rsidRPr="00892DE3" w:rsidTr="00704368">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tcBorders>
          </w:tcPr>
          <w:p w:rsidR="00704368" w:rsidRPr="00892DE3" w:rsidRDefault="00704368" w:rsidP="004B76C7">
            <w:pPr>
              <w:rPr>
                <w:rFonts w:cstheme="majorHAnsi"/>
                <w:szCs w:val="16"/>
                <w:lang w:val="en-GB"/>
              </w:rPr>
            </w:pPr>
            <w:r w:rsidRPr="00892DE3">
              <w:rPr>
                <w:rFonts w:cstheme="majorHAnsi"/>
                <w:szCs w:val="16"/>
                <w:lang w:val="en-GB"/>
              </w:rPr>
              <w:t>Purchases (sales)</w:t>
            </w:r>
          </w:p>
        </w:tc>
        <w:tc>
          <w:tcPr>
            <w:tcW w:w="960" w:type="dxa"/>
            <w:gridSpan w:val="2"/>
            <w:tcBorders>
              <w:top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527</w:t>
            </w:r>
          </w:p>
        </w:tc>
        <w:tc>
          <w:tcPr>
            <w:tcW w:w="962" w:type="dxa"/>
            <w:gridSpan w:val="2"/>
            <w:tcBorders>
              <w:top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1 073</w:t>
            </w:r>
          </w:p>
        </w:tc>
        <w:tc>
          <w:tcPr>
            <w:tcW w:w="866" w:type="dxa"/>
            <w:gridSpan w:val="2"/>
            <w:tcBorders>
              <w:top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570</w:t>
            </w:r>
          </w:p>
        </w:tc>
        <w:tc>
          <w:tcPr>
            <w:tcW w:w="726" w:type="dxa"/>
            <w:gridSpan w:val="3"/>
            <w:tcBorders>
              <w:top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1 691</w:t>
            </w:r>
          </w:p>
        </w:tc>
        <w:tc>
          <w:tcPr>
            <w:tcW w:w="876" w:type="dxa"/>
            <w:gridSpan w:val="4"/>
            <w:tcBorders>
              <w:top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3 041</w:t>
            </w:r>
          </w:p>
        </w:tc>
        <w:tc>
          <w:tcPr>
            <w:tcW w:w="1082" w:type="dxa"/>
            <w:gridSpan w:val="4"/>
            <w:tcBorders>
              <w:top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(986)</w:t>
            </w:r>
          </w:p>
        </w:tc>
        <w:tc>
          <w:tcPr>
            <w:tcW w:w="1313" w:type="dxa"/>
            <w:gridSpan w:val="5"/>
            <w:tcBorders>
              <w:top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(749)</w:t>
            </w:r>
          </w:p>
        </w:tc>
      </w:tr>
      <w:tr w:rsidR="004B76C7" w:rsidRPr="00892DE3" w:rsidTr="00704368">
        <w:tc>
          <w:tcPr>
            <w:cnfStyle w:val="001000000000" w:firstRow="0" w:lastRow="0" w:firstColumn="1" w:lastColumn="0" w:oddVBand="0" w:evenVBand="0" w:oddHBand="0" w:evenHBand="0" w:firstRowFirstColumn="0" w:firstRowLastColumn="0" w:lastRowFirstColumn="0" w:lastRowLastColumn="0"/>
            <w:tcW w:w="2852" w:type="dxa"/>
          </w:tcPr>
          <w:p w:rsidR="004B76C7" w:rsidRPr="00892DE3" w:rsidRDefault="004B76C7" w:rsidP="004B76C7">
            <w:pPr>
              <w:rPr>
                <w:rFonts w:cstheme="majorHAnsi"/>
                <w:szCs w:val="16"/>
              </w:rPr>
            </w:pPr>
            <w:r w:rsidRPr="00892DE3">
              <w:rPr>
                <w:rFonts w:cstheme="majorHAnsi"/>
                <w:szCs w:val="16"/>
                <w:lang w:val="en-GB"/>
              </w:rPr>
              <w:t>Transfers in (out) of Level 3</w:t>
            </w:r>
          </w:p>
        </w:tc>
        <w:tc>
          <w:tcPr>
            <w:tcW w:w="960"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962"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66"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26" w:type="dxa"/>
            <w:gridSpan w:val="3"/>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76"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82"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313" w:type="dxa"/>
            <w:gridSpan w:val="5"/>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4B76C7" w:rsidRPr="00892DE3" w:rsidTr="00704368">
        <w:tc>
          <w:tcPr>
            <w:cnfStyle w:val="001000000000" w:firstRow="0" w:lastRow="0" w:firstColumn="1" w:lastColumn="0" w:oddVBand="0" w:evenVBand="0" w:oddHBand="0" w:evenHBand="0" w:firstRowFirstColumn="0" w:firstRowLastColumn="0" w:lastRowFirstColumn="0" w:lastRowLastColumn="0"/>
            <w:tcW w:w="3221" w:type="dxa"/>
            <w:gridSpan w:val="2"/>
          </w:tcPr>
          <w:p w:rsidR="004B76C7" w:rsidRPr="00892DE3" w:rsidRDefault="004B76C7" w:rsidP="004B76C7">
            <w:pPr>
              <w:rPr>
                <w:rFonts w:cstheme="majorHAnsi"/>
                <w:szCs w:val="16"/>
                <w:lang w:val="en-GB"/>
              </w:rPr>
            </w:pPr>
            <w:r w:rsidRPr="00892DE3">
              <w:rPr>
                <w:rFonts w:cstheme="majorHAnsi"/>
                <w:szCs w:val="16"/>
                <w:lang w:val="en-GB"/>
              </w:rPr>
              <w:t>Gains or losses recognised in net result</w:t>
            </w:r>
          </w:p>
        </w:tc>
        <w:tc>
          <w:tcPr>
            <w:tcW w:w="901"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05"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7"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2"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23"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28"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30" w:type="dxa"/>
            <w:gridSpan w:val="3"/>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r>
      <w:tr w:rsidR="00704368" w:rsidRPr="00892DE3" w:rsidTr="00704368">
        <w:tc>
          <w:tcPr>
            <w:cnfStyle w:val="001000000000" w:firstRow="0" w:lastRow="0" w:firstColumn="1" w:lastColumn="0" w:oddVBand="0" w:evenVBand="0" w:oddHBand="0" w:evenHBand="0" w:firstRowFirstColumn="0" w:firstRowLastColumn="0" w:lastRowFirstColumn="0" w:lastRowLastColumn="0"/>
            <w:tcW w:w="2852" w:type="dxa"/>
          </w:tcPr>
          <w:p w:rsidR="00704368" w:rsidRPr="00892DE3" w:rsidRDefault="00704368" w:rsidP="004B76C7">
            <w:pPr>
              <w:rPr>
                <w:rFonts w:cstheme="majorHAnsi"/>
                <w:szCs w:val="16"/>
                <w:lang w:val="en-GB"/>
              </w:rPr>
            </w:pPr>
            <w:r w:rsidRPr="00892DE3">
              <w:rPr>
                <w:rFonts w:cstheme="majorHAnsi"/>
                <w:szCs w:val="16"/>
                <w:lang w:val="en-GB"/>
              </w:rPr>
              <w:t>Depreciation</w:t>
            </w:r>
          </w:p>
        </w:tc>
        <w:tc>
          <w:tcPr>
            <w:tcW w:w="960" w:type="dxa"/>
            <w:gridSpan w:val="2"/>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(56)</w:t>
            </w:r>
          </w:p>
        </w:tc>
        <w:tc>
          <w:tcPr>
            <w:tcW w:w="866" w:type="dxa"/>
            <w:gridSpan w:val="2"/>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(1 131)</w:t>
            </w:r>
          </w:p>
        </w:tc>
        <w:tc>
          <w:tcPr>
            <w:tcW w:w="726" w:type="dxa"/>
            <w:gridSpan w:val="3"/>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(138)</w:t>
            </w:r>
          </w:p>
        </w:tc>
        <w:tc>
          <w:tcPr>
            <w:tcW w:w="876" w:type="dxa"/>
            <w:gridSpan w:val="4"/>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(269)</w:t>
            </w:r>
          </w:p>
        </w:tc>
        <w:tc>
          <w:tcPr>
            <w:tcW w:w="1082" w:type="dxa"/>
            <w:gridSpan w:val="4"/>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(585)</w:t>
            </w:r>
          </w:p>
        </w:tc>
        <w:tc>
          <w:tcPr>
            <w:tcW w:w="1313" w:type="dxa"/>
            <w:gridSpan w:val="5"/>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(1 217)</w:t>
            </w:r>
          </w:p>
        </w:tc>
      </w:tr>
      <w:tr w:rsidR="00704368" w:rsidRPr="00892DE3" w:rsidTr="00704368">
        <w:tc>
          <w:tcPr>
            <w:cnfStyle w:val="001000000000" w:firstRow="0" w:lastRow="0" w:firstColumn="1" w:lastColumn="0" w:oddVBand="0" w:evenVBand="0" w:oddHBand="0" w:evenHBand="0" w:firstRowFirstColumn="0" w:firstRowLastColumn="0" w:lastRowFirstColumn="0" w:lastRowLastColumn="0"/>
            <w:tcW w:w="2852" w:type="dxa"/>
            <w:tcBorders>
              <w:bottom w:val="single" w:sz="4" w:space="0" w:color="auto"/>
            </w:tcBorders>
          </w:tcPr>
          <w:p w:rsidR="00704368" w:rsidRPr="00892DE3" w:rsidRDefault="00704368" w:rsidP="004B76C7">
            <w:pPr>
              <w:rPr>
                <w:rFonts w:cstheme="majorHAnsi"/>
                <w:szCs w:val="16"/>
                <w:lang w:val="en-GB"/>
              </w:rPr>
            </w:pPr>
            <w:r w:rsidRPr="00892DE3">
              <w:rPr>
                <w:rFonts w:cstheme="majorHAnsi"/>
                <w:szCs w:val="16"/>
                <w:lang w:val="en-GB"/>
              </w:rPr>
              <w:t>Impairment loss</w:t>
            </w:r>
          </w:p>
        </w:tc>
        <w:tc>
          <w:tcPr>
            <w:tcW w:w="960" w:type="dxa"/>
            <w:gridSpan w:val="2"/>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(44)</w:t>
            </w:r>
          </w:p>
        </w:tc>
        <w:tc>
          <w:tcPr>
            <w:tcW w:w="866" w:type="dxa"/>
            <w:gridSpan w:val="2"/>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(536)</w:t>
            </w:r>
          </w:p>
        </w:tc>
        <w:tc>
          <w:tcPr>
            <w:tcW w:w="726" w:type="dxa"/>
            <w:gridSpan w:val="3"/>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(113)</w:t>
            </w:r>
          </w:p>
        </w:tc>
        <w:tc>
          <w:tcPr>
            <w:tcW w:w="876" w:type="dxa"/>
            <w:gridSpan w:val="4"/>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(673)</w:t>
            </w:r>
          </w:p>
        </w:tc>
        <w:tc>
          <w:tcPr>
            <w:tcW w:w="1313" w:type="dxa"/>
            <w:gridSpan w:val="5"/>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(664)</w:t>
            </w:r>
          </w:p>
        </w:tc>
      </w:tr>
      <w:tr w:rsidR="00704368" w:rsidRPr="00892DE3" w:rsidTr="00704368">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single" w:sz="4" w:space="0" w:color="auto"/>
            </w:tcBorders>
          </w:tcPr>
          <w:p w:rsidR="00704368" w:rsidRPr="00892DE3" w:rsidRDefault="00704368" w:rsidP="004B76C7">
            <w:pPr>
              <w:rPr>
                <w:rFonts w:cstheme="majorHAnsi"/>
                <w:b/>
                <w:szCs w:val="16"/>
                <w:lang w:val="en-GB"/>
              </w:rPr>
            </w:pPr>
            <w:r w:rsidRPr="00892DE3">
              <w:rPr>
                <w:rFonts w:cstheme="majorHAnsi"/>
                <w:b/>
                <w:szCs w:val="16"/>
                <w:lang w:val="en-GB"/>
              </w:rPr>
              <w:t>Subtotal</w:t>
            </w:r>
          </w:p>
        </w:tc>
        <w:tc>
          <w:tcPr>
            <w:tcW w:w="960" w:type="dxa"/>
            <w:gridSpan w:val="2"/>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962" w:type="dxa"/>
            <w:gridSpan w:val="2"/>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(100)</w:t>
            </w:r>
          </w:p>
        </w:tc>
        <w:tc>
          <w:tcPr>
            <w:tcW w:w="866" w:type="dxa"/>
            <w:gridSpan w:val="2"/>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(1 667)</w:t>
            </w:r>
          </w:p>
        </w:tc>
        <w:tc>
          <w:tcPr>
            <w:tcW w:w="726" w:type="dxa"/>
            <w:gridSpan w:val="3"/>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(251)</w:t>
            </w:r>
          </w:p>
        </w:tc>
        <w:tc>
          <w:tcPr>
            <w:tcW w:w="876" w:type="dxa"/>
            <w:gridSpan w:val="4"/>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(269)</w:t>
            </w:r>
          </w:p>
        </w:tc>
        <w:tc>
          <w:tcPr>
            <w:tcW w:w="1082" w:type="dxa"/>
            <w:gridSpan w:val="4"/>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(1 285)</w:t>
            </w:r>
          </w:p>
        </w:tc>
        <w:tc>
          <w:tcPr>
            <w:tcW w:w="1313" w:type="dxa"/>
            <w:gridSpan w:val="5"/>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(1 881)</w:t>
            </w:r>
          </w:p>
        </w:tc>
      </w:tr>
      <w:tr w:rsidR="004B76C7" w:rsidRPr="00892DE3" w:rsidTr="00704368">
        <w:trPr>
          <w:gridAfter w:val="1"/>
          <w:wAfter w:w="10" w:type="dxa"/>
        </w:trPr>
        <w:tc>
          <w:tcPr>
            <w:cnfStyle w:val="001000000000" w:firstRow="0" w:lastRow="0" w:firstColumn="1" w:lastColumn="0" w:oddVBand="0" w:evenVBand="0" w:oddHBand="0" w:evenHBand="0" w:firstRowFirstColumn="0" w:firstRowLastColumn="0" w:lastRowFirstColumn="0" w:lastRowLastColumn="0"/>
            <w:tcW w:w="6231" w:type="dxa"/>
            <w:gridSpan w:val="9"/>
            <w:tcBorders>
              <w:top w:val="single" w:sz="4" w:space="0" w:color="auto"/>
            </w:tcBorders>
          </w:tcPr>
          <w:p w:rsidR="004B76C7" w:rsidRPr="00892DE3" w:rsidRDefault="004B76C7" w:rsidP="004B76C7">
            <w:pPr>
              <w:rPr>
                <w:rFonts w:cstheme="majorHAnsi"/>
                <w:szCs w:val="16"/>
                <w:lang w:val="en-GB"/>
              </w:rPr>
            </w:pPr>
            <w:r w:rsidRPr="00892DE3">
              <w:rPr>
                <w:rFonts w:cstheme="majorHAnsi"/>
                <w:szCs w:val="16"/>
                <w:lang w:val="en-GB"/>
              </w:rPr>
              <w:t xml:space="preserve">Gains or losses recognised in other economic flows – </w:t>
            </w:r>
            <w:r w:rsidR="00C60770" w:rsidRPr="00892DE3">
              <w:rPr>
                <w:rFonts w:cstheme="majorHAnsi"/>
                <w:szCs w:val="16"/>
                <w:lang w:val="en-GB"/>
              </w:rPr>
              <w:br/>
            </w:r>
            <w:r w:rsidRPr="00892DE3">
              <w:rPr>
                <w:rFonts w:cstheme="majorHAnsi"/>
                <w:szCs w:val="16"/>
                <w:lang w:val="en-GB"/>
              </w:rPr>
              <w:t>other comprehensive income</w:t>
            </w:r>
          </w:p>
        </w:tc>
        <w:tc>
          <w:tcPr>
            <w:tcW w:w="486" w:type="dxa"/>
            <w:gridSpan w:val="2"/>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6" w:type="dxa"/>
            <w:gridSpan w:val="2"/>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4" w:type="dxa"/>
            <w:gridSpan w:val="2"/>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6" w:type="dxa"/>
            <w:gridSpan w:val="2"/>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7" w:type="dxa"/>
            <w:gridSpan w:val="2"/>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5" w:type="dxa"/>
            <w:gridSpan w:val="2"/>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2" w:type="dxa"/>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r>
      <w:tr w:rsidR="00704368" w:rsidRPr="00892DE3" w:rsidTr="00704368">
        <w:tc>
          <w:tcPr>
            <w:cnfStyle w:val="001000000000" w:firstRow="0" w:lastRow="0" w:firstColumn="1" w:lastColumn="0" w:oddVBand="0" w:evenVBand="0" w:oddHBand="0" w:evenHBand="0" w:firstRowFirstColumn="0" w:firstRowLastColumn="0" w:lastRowFirstColumn="0" w:lastRowLastColumn="0"/>
            <w:tcW w:w="2852" w:type="dxa"/>
            <w:tcBorders>
              <w:bottom w:val="single" w:sz="4" w:space="0" w:color="auto"/>
            </w:tcBorders>
          </w:tcPr>
          <w:p w:rsidR="00704368" w:rsidRPr="00892DE3" w:rsidRDefault="00704368" w:rsidP="004B76C7">
            <w:pPr>
              <w:rPr>
                <w:rFonts w:cstheme="majorHAnsi"/>
                <w:szCs w:val="16"/>
                <w:lang w:val="en-GB"/>
              </w:rPr>
            </w:pPr>
            <w:r w:rsidRPr="00892DE3">
              <w:rPr>
                <w:rFonts w:cstheme="majorHAnsi"/>
                <w:szCs w:val="16"/>
                <w:lang w:val="en-GB"/>
              </w:rPr>
              <w:t>Revaluation</w:t>
            </w:r>
          </w:p>
        </w:tc>
        <w:tc>
          <w:tcPr>
            <w:tcW w:w="960" w:type="dxa"/>
            <w:gridSpan w:val="2"/>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(299)</w:t>
            </w:r>
          </w:p>
        </w:tc>
        <w:tc>
          <w:tcPr>
            <w:tcW w:w="962" w:type="dxa"/>
            <w:gridSpan w:val="2"/>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(72)</w:t>
            </w:r>
          </w:p>
        </w:tc>
        <w:tc>
          <w:tcPr>
            <w:tcW w:w="866" w:type="dxa"/>
            <w:gridSpan w:val="2"/>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(1 293)</w:t>
            </w:r>
          </w:p>
        </w:tc>
        <w:tc>
          <w:tcPr>
            <w:tcW w:w="726" w:type="dxa"/>
            <w:gridSpan w:val="3"/>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876" w:type="dxa"/>
            <w:gridSpan w:val="4"/>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(592)</w:t>
            </w:r>
          </w:p>
        </w:tc>
        <w:tc>
          <w:tcPr>
            <w:tcW w:w="1313" w:type="dxa"/>
            <w:gridSpan w:val="5"/>
            <w:tcBorders>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(852)</w:t>
            </w:r>
          </w:p>
        </w:tc>
      </w:tr>
      <w:tr w:rsidR="00704368" w:rsidRPr="00892DE3" w:rsidTr="00704368">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single" w:sz="4" w:space="0" w:color="auto"/>
            </w:tcBorders>
          </w:tcPr>
          <w:p w:rsidR="00704368" w:rsidRPr="00892DE3" w:rsidRDefault="00704368" w:rsidP="004B76C7">
            <w:pPr>
              <w:rPr>
                <w:rFonts w:cstheme="majorHAnsi"/>
                <w:b/>
                <w:szCs w:val="16"/>
                <w:lang w:val="en-GB"/>
              </w:rPr>
            </w:pPr>
            <w:r w:rsidRPr="00892DE3">
              <w:rPr>
                <w:rFonts w:cstheme="majorHAnsi"/>
                <w:b/>
                <w:szCs w:val="16"/>
                <w:lang w:val="en-GB"/>
              </w:rPr>
              <w:t>Subtotal</w:t>
            </w:r>
          </w:p>
        </w:tc>
        <w:tc>
          <w:tcPr>
            <w:tcW w:w="960" w:type="dxa"/>
            <w:gridSpan w:val="2"/>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(299)</w:t>
            </w:r>
          </w:p>
        </w:tc>
        <w:tc>
          <w:tcPr>
            <w:tcW w:w="962" w:type="dxa"/>
            <w:gridSpan w:val="2"/>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(72)</w:t>
            </w:r>
          </w:p>
        </w:tc>
        <w:tc>
          <w:tcPr>
            <w:tcW w:w="866" w:type="dxa"/>
            <w:gridSpan w:val="2"/>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(1 293)</w:t>
            </w:r>
          </w:p>
        </w:tc>
        <w:tc>
          <w:tcPr>
            <w:tcW w:w="726" w:type="dxa"/>
            <w:gridSpan w:val="3"/>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876" w:type="dxa"/>
            <w:gridSpan w:val="4"/>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1082" w:type="dxa"/>
            <w:gridSpan w:val="4"/>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(592)</w:t>
            </w:r>
          </w:p>
        </w:tc>
        <w:tc>
          <w:tcPr>
            <w:tcW w:w="1313" w:type="dxa"/>
            <w:gridSpan w:val="5"/>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(852)</w:t>
            </w:r>
          </w:p>
        </w:tc>
      </w:tr>
      <w:tr w:rsidR="00704368" w:rsidRPr="00892DE3" w:rsidTr="00704368">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single" w:sz="4" w:space="0" w:color="auto"/>
            </w:tcBorders>
          </w:tcPr>
          <w:p w:rsidR="00704368" w:rsidRPr="00892DE3" w:rsidRDefault="00704368" w:rsidP="004B76C7">
            <w:pPr>
              <w:rPr>
                <w:rFonts w:cstheme="majorHAnsi"/>
                <w:b/>
                <w:szCs w:val="16"/>
              </w:rPr>
            </w:pPr>
            <w:r w:rsidRPr="00892DE3">
              <w:rPr>
                <w:rFonts w:cstheme="majorHAnsi"/>
                <w:b/>
                <w:szCs w:val="16"/>
              </w:rPr>
              <w:t>Closing balance</w:t>
            </w:r>
          </w:p>
        </w:tc>
        <w:tc>
          <w:tcPr>
            <w:tcW w:w="960" w:type="dxa"/>
            <w:gridSpan w:val="2"/>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2 534</w:t>
            </w:r>
          </w:p>
        </w:tc>
        <w:tc>
          <w:tcPr>
            <w:tcW w:w="962" w:type="dxa"/>
            <w:gridSpan w:val="2"/>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4 595</w:t>
            </w:r>
          </w:p>
        </w:tc>
        <w:tc>
          <w:tcPr>
            <w:tcW w:w="866" w:type="dxa"/>
            <w:gridSpan w:val="2"/>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12 553</w:t>
            </w:r>
          </w:p>
        </w:tc>
        <w:tc>
          <w:tcPr>
            <w:tcW w:w="726" w:type="dxa"/>
            <w:gridSpan w:val="3"/>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rPr>
              <w:t>15 231</w:t>
            </w:r>
          </w:p>
        </w:tc>
        <w:tc>
          <w:tcPr>
            <w:tcW w:w="876" w:type="dxa"/>
            <w:gridSpan w:val="4"/>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27 788</w:t>
            </w:r>
          </w:p>
        </w:tc>
        <w:tc>
          <w:tcPr>
            <w:tcW w:w="1082" w:type="dxa"/>
            <w:gridSpan w:val="4"/>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4 931</w:t>
            </w:r>
          </w:p>
        </w:tc>
        <w:tc>
          <w:tcPr>
            <w:tcW w:w="1313" w:type="dxa"/>
            <w:gridSpan w:val="5"/>
            <w:tcBorders>
              <w:top w:val="single" w:sz="4" w:space="0" w:color="auto"/>
              <w:bottom w:val="single" w:sz="4" w:space="0" w:color="auto"/>
            </w:tcBorders>
          </w:tcPr>
          <w:p w:rsidR="00704368" w:rsidRPr="00892DE3" w:rsidRDefault="00704368"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4 993</w:t>
            </w:r>
          </w:p>
        </w:tc>
      </w:tr>
      <w:tr w:rsidR="004B76C7" w:rsidRPr="00892DE3" w:rsidTr="0070436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tcBorders>
            <w:shd w:val="clear" w:color="auto" w:fill="auto"/>
          </w:tcPr>
          <w:p w:rsidR="004B76C7" w:rsidRPr="00892DE3" w:rsidRDefault="004B76C7" w:rsidP="00C60770">
            <w:pPr>
              <w:rPr>
                <w:rFonts w:cstheme="majorHAnsi"/>
                <w:szCs w:val="16"/>
              </w:rPr>
            </w:pPr>
            <w:r w:rsidRPr="00892DE3">
              <w:rPr>
                <w:rFonts w:cstheme="majorHAnsi"/>
                <w:szCs w:val="16"/>
                <w:lang w:val="en-GB"/>
              </w:rPr>
              <w:t>Unrealised gains/(losses) on non</w:t>
            </w:r>
            <w:r w:rsidRPr="00892DE3">
              <w:rPr>
                <w:rFonts w:cstheme="majorHAnsi"/>
                <w:szCs w:val="16"/>
                <w:lang w:val="en-GB"/>
              </w:rPr>
              <w:noBreakHyphen/>
              <w:t xml:space="preserve">financial assets </w:t>
            </w:r>
            <w:r w:rsidRPr="00892DE3">
              <w:rPr>
                <w:rFonts w:cstheme="majorHAnsi"/>
                <w:szCs w:val="16"/>
                <w:vertAlign w:val="superscript"/>
                <w:lang w:val="en-GB"/>
              </w:rPr>
              <w:t>(</w:t>
            </w:r>
            <w:r w:rsidR="00C60770" w:rsidRPr="00892DE3">
              <w:rPr>
                <w:rFonts w:cstheme="majorHAnsi"/>
                <w:szCs w:val="16"/>
                <w:vertAlign w:val="superscript"/>
                <w:lang w:val="en-GB"/>
              </w:rPr>
              <w:t>a</w:t>
            </w:r>
            <w:r w:rsidRPr="00892DE3">
              <w:rPr>
                <w:rFonts w:cstheme="majorHAnsi"/>
                <w:szCs w:val="16"/>
                <w:vertAlign w:val="superscript"/>
                <w:lang w:val="en-GB"/>
              </w:rPr>
              <w:t>)</w:t>
            </w:r>
          </w:p>
        </w:tc>
        <w:tc>
          <w:tcPr>
            <w:tcW w:w="960" w:type="dxa"/>
            <w:gridSpan w:val="2"/>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866" w:type="dxa"/>
            <w:gridSpan w:val="2"/>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726" w:type="dxa"/>
            <w:gridSpan w:val="3"/>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lang w:val="en-GB"/>
              </w:rPr>
              <w:t>..</w:t>
            </w:r>
          </w:p>
        </w:tc>
        <w:tc>
          <w:tcPr>
            <w:tcW w:w="876" w:type="dxa"/>
            <w:gridSpan w:val="4"/>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313" w:type="dxa"/>
            <w:gridSpan w:val="5"/>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r>
    </w:tbl>
    <w:p w:rsidR="004B76C7" w:rsidRPr="00892DE3" w:rsidRDefault="004B76C7" w:rsidP="004B76C7"/>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852"/>
        <w:gridCol w:w="369"/>
        <w:gridCol w:w="591"/>
        <w:gridCol w:w="316"/>
        <w:gridCol w:w="646"/>
        <w:gridCol w:w="265"/>
        <w:gridCol w:w="601"/>
        <w:gridCol w:w="316"/>
        <w:gridCol w:w="275"/>
        <w:gridCol w:w="135"/>
        <w:gridCol w:w="351"/>
        <w:gridCol w:w="155"/>
        <w:gridCol w:w="332"/>
        <w:gridCol w:w="39"/>
        <w:gridCol w:w="451"/>
        <w:gridCol w:w="102"/>
        <w:gridCol w:w="384"/>
        <w:gridCol w:w="145"/>
        <w:gridCol w:w="341"/>
        <w:gridCol w:w="47"/>
        <w:gridCol w:w="440"/>
        <w:gridCol w:w="484"/>
      </w:tblGrid>
      <w:tr w:rsidR="004B76C7" w:rsidRPr="00892DE3" w:rsidTr="004B76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2" w:type="dxa"/>
            <w:tcBorders>
              <w:bottom w:val="nil"/>
            </w:tcBorders>
          </w:tcPr>
          <w:p w:rsidR="004B76C7" w:rsidRPr="00892DE3" w:rsidRDefault="004B76C7" w:rsidP="004B76C7">
            <w:pPr>
              <w:ind w:left="0" w:firstLine="0"/>
              <w:rPr>
                <w:sz w:val="16"/>
                <w:szCs w:val="16"/>
              </w:rPr>
            </w:pPr>
            <w:r w:rsidRPr="00892DE3">
              <w:rPr>
                <w:sz w:val="16"/>
                <w:szCs w:val="16"/>
              </w:rPr>
              <w:t>2016</w:t>
            </w:r>
          </w:p>
        </w:tc>
        <w:tc>
          <w:tcPr>
            <w:tcW w:w="960" w:type="dxa"/>
            <w:gridSpan w:val="2"/>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Specialised land</w:t>
            </w:r>
          </w:p>
        </w:tc>
        <w:tc>
          <w:tcPr>
            <w:tcW w:w="962" w:type="dxa"/>
            <w:gridSpan w:val="2"/>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Specialised buildings</w:t>
            </w:r>
          </w:p>
        </w:tc>
        <w:tc>
          <w:tcPr>
            <w:tcW w:w="866" w:type="dxa"/>
            <w:gridSpan w:val="2"/>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Heritage assets</w:t>
            </w:r>
          </w:p>
        </w:tc>
        <w:tc>
          <w:tcPr>
            <w:tcW w:w="726" w:type="dxa"/>
            <w:gridSpan w:val="3"/>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r>
            <w:r w:rsidRPr="00892DE3">
              <w:rPr>
                <w:sz w:val="16"/>
                <w:szCs w:val="16"/>
              </w:rPr>
              <w:br/>
              <w:t>Vehicles</w:t>
            </w:r>
          </w:p>
        </w:tc>
        <w:tc>
          <w:tcPr>
            <w:tcW w:w="877" w:type="dxa"/>
            <w:gridSpan w:val="4"/>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Plant and equipment</w:t>
            </w:r>
          </w:p>
        </w:tc>
        <w:tc>
          <w:tcPr>
            <w:tcW w:w="1082" w:type="dxa"/>
            <w:gridSpan w:val="4"/>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r>
            <w:r w:rsidRPr="00892DE3">
              <w:rPr>
                <w:sz w:val="16"/>
                <w:szCs w:val="16"/>
              </w:rPr>
              <w:br/>
              <w:t>Infrastructure</w:t>
            </w:r>
          </w:p>
        </w:tc>
        <w:tc>
          <w:tcPr>
            <w:tcW w:w="1312" w:type="dxa"/>
            <w:gridSpan w:val="4"/>
            <w:tcBorders>
              <w:bottom w:val="nil"/>
            </w:tcBorders>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Road, </w:t>
            </w:r>
            <w:r w:rsidRPr="00892DE3">
              <w:rPr>
                <w:sz w:val="16"/>
                <w:szCs w:val="16"/>
              </w:rPr>
              <w:br/>
              <w:t>infrastructure and earthworks</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2852" w:type="dxa"/>
            <w:tcBorders>
              <w:top w:val="nil"/>
              <w:bottom w:val="single" w:sz="4" w:space="0" w:color="auto"/>
            </w:tcBorders>
          </w:tcPr>
          <w:p w:rsidR="004B76C7" w:rsidRPr="00892DE3" w:rsidRDefault="004B76C7" w:rsidP="004B76C7">
            <w:pPr>
              <w:rPr>
                <w:rFonts w:cstheme="majorHAnsi"/>
                <w:b/>
                <w:color w:val="000000"/>
                <w:szCs w:val="16"/>
                <w:lang w:val="en-GB"/>
              </w:rPr>
            </w:pPr>
            <w:r w:rsidRPr="00892DE3">
              <w:rPr>
                <w:rFonts w:cstheme="majorHAnsi"/>
                <w:b/>
                <w:szCs w:val="16"/>
              </w:rPr>
              <w:t>Opening balance</w:t>
            </w:r>
          </w:p>
        </w:tc>
        <w:tc>
          <w:tcPr>
            <w:tcW w:w="960" w:type="dxa"/>
            <w:gridSpan w:val="2"/>
            <w:tcBorders>
              <w:top w:val="nil"/>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2 534</w:t>
            </w:r>
          </w:p>
        </w:tc>
        <w:tc>
          <w:tcPr>
            <w:tcW w:w="962" w:type="dxa"/>
            <w:gridSpan w:val="2"/>
            <w:tcBorders>
              <w:top w:val="nil"/>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4 595</w:t>
            </w:r>
          </w:p>
        </w:tc>
        <w:tc>
          <w:tcPr>
            <w:tcW w:w="866" w:type="dxa"/>
            <w:gridSpan w:val="2"/>
            <w:tcBorders>
              <w:top w:val="nil"/>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12 553</w:t>
            </w:r>
          </w:p>
        </w:tc>
        <w:tc>
          <w:tcPr>
            <w:tcW w:w="726" w:type="dxa"/>
            <w:gridSpan w:val="3"/>
            <w:tcBorders>
              <w:top w:val="nil"/>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15 321</w:t>
            </w:r>
          </w:p>
        </w:tc>
        <w:tc>
          <w:tcPr>
            <w:tcW w:w="877" w:type="dxa"/>
            <w:gridSpan w:val="4"/>
            <w:tcBorders>
              <w:top w:val="nil"/>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27 788</w:t>
            </w:r>
          </w:p>
        </w:tc>
        <w:tc>
          <w:tcPr>
            <w:tcW w:w="1082" w:type="dxa"/>
            <w:gridSpan w:val="4"/>
            <w:tcBorders>
              <w:top w:val="nil"/>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4 931</w:t>
            </w:r>
          </w:p>
        </w:tc>
        <w:tc>
          <w:tcPr>
            <w:tcW w:w="1312" w:type="dxa"/>
            <w:gridSpan w:val="4"/>
            <w:tcBorders>
              <w:top w:val="nil"/>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4 993</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tcBorders>
          </w:tcPr>
          <w:p w:rsidR="004B76C7" w:rsidRPr="00892DE3" w:rsidRDefault="004B76C7" w:rsidP="004B76C7">
            <w:pPr>
              <w:rPr>
                <w:rFonts w:cstheme="majorHAnsi"/>
                <w:szCs w:val="16"/>
                <w:lang w:val="en-GB"/>
              </w:rPr>
            </w:pPr>
            <w:r w:rsidRPr="00892DE3">
              <w:rPr>
                <w:rFonts w:cstheme="majorHAnsi"/>
                <w:szCs w:val="16"/>
                <w:lang w:val="en-GB"/>
              </w:rPr>
              <w:t>Purchases (sales)</w:t>
            </w:r>
          </w:p>
        </w:tc>
        <w:tc>
          <w:tcPr>
            <w:tcW w:w="960" w:type="dxa"/>
            <w:gridSpan w:val="2"/>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579</w:t>
            </w:r>
          </w:p>
        </w:tc>
        <w:tc>
          <w:tcPr>
            <w:tcW w:w="962" w:type="dxa"/>
            <w:gridSpan w:val="2"/>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1 334</w:t>
            </w:r>
          </w:p>
        </w:tc>
        <w:tc>
          <w:tcPr>
            <w:tcW w:w="866" w:type="dxa"/>
            <w:gridSpan w:val="2"/>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479</w:t>
            </w:r>
          </w:p>
        </w:tc>
        <w:tc>
          <w:tcPr>
            <w:tcW w:w="726" w:type="dxa"/>
            <w:gridSpan w:val="3"/>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1 870</w:t>
            </w:r>
          </w:p>
        </w:tc>
        <w:tc>
          <w:tcPr>
            <w:tcW w:w="877" w:type="dxa"/>
            <w:gridSpan w:val="4"/>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3 385</w:t>
            </w:r>
          </w:p>
        </w:tc>
        <w:tc>
          <w:tcPr>
            <w:tcW w:w="1082" w:type="dxa"/>
            <w:gridSpan w:val="4"/>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(2 419)</w:t>
            </w:r>
          </w:p>
        </w:tc>
        <w:tc>
          <w:tcPr>
            <w:tcW w:w="1312" w:type="dxa"/>
            <w:gridSpan w:val="4"/>
            <w:tcBorders>
              <w:top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(1 501)</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2852" w:type="dxa"/>
          </w:tcPr>
          <w:p w:rsidR="004B76C7" w:rsidRPr="00892DE3" w:rsidRDefault="004B76C7" w:rsidP="004B76C7">
            <w:pPr>
              <w:rPr>
                <w:rFonts w:cstheme="majorHAnsi"/>
                <w:szCs w:val="16"/>
              </w:rPr>
            </w:pPr>
            <w:r w:rsidRPr="00892DE3">
              <w:rPr>
                <w:rFonts w:cstheme="majorHAnsi"/>
                <w:szCs w:val="16"/>
                <w:lang w:val="en-GB"/>
              </w:rPr>
              <w:t>Transfers in (out) of Level 3</w:t>
            </w:r>
          </w:p>
        </w:tc>
        <w:tc>
          <w:tcPr>
            <w:tcW w:w="960"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962"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66"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26" w:type="dxa"/>
            <w:gridSpan w:val="3"/>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77"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82"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312"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3221" w:type="dxa"/>
            <w:gridSpan w:val="2"/>
          </w:tcPr>
          <w:p w:rsidR="004B76C7" w:rsidRPr="00892DE3" w:rsidRDefault="004B76C7" w:rsidP="004B76C7">
            <w:pPr>
              <w:rPr>
                <w:rFonts w:cstheme="majorHAnsi"/>
                <w:szCs w:val="16"/>
                <w:lang w:val="en-GB"/>
              </w:rPr>
            </w:pPr>
            <w:r w:rsidRPr="00892DE3">
              <w:rPr>
                <w:rFonts w:cstheme="majorHAnsi"/>
                <w:szCs w:val="16"/>
                <w:lang w:val="en-GB"/>
              </w:rPr>
              <w:t>Gains or losses recognised in net result</w:t>
            </w:r>
          </w:p>
        </w:tc>
        <w:tc>
          <w:tcPr>
            <w:tcW w:w="907"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1"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7"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6"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24"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7"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24"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2852" w:type="dxa"/>
          </w:tcPr>
          <w:p w:rsidR="004B76C7" w:rsidRPr="00892DE3" w:rsidRDefault="004B76C7" w:rsidP="004B76C7">
            <w:pPr>
              <w:rPr>
                <w:rFonts w:cstheme="majorHAnsi"/>
                <w:szCs w:val="16"/>
                <w:lang w:val="en-GB"/>
              </w:rPr>
            </w:pPr>
            <w:r w:rsidRPr="00892DE3">
              <w:rPr>
                <w:rFonts w:cstheme="majorHAnsi"/>
                <w:szCs w:val="16"/>
                <w:lang w:val="en-GB"/>
              </w:rPr>
              <w:t>Depreciation</w:t>
            </w:r>
          </w:p>
        </w:tc>
        <w:tc>
          <w:tcPr>
            <w:tcW w:w="960"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(70)</w:t>
            </w:r>
          </w:p>
        </w:tc>
        <w:tc>
          <w:tcPr>
            <w:tcW w:w="866" w:type="dxa"/>
            <w:gridSpan w:val="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(950)</w:t>
            </w:r>
          </w:p>
        </w:tc>
        <w:tc>
          <w:tcPr>
            <w:tcW w:w="726" w:type="dxa"/>
            <w:gridSpan w:val="3"/>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(125)</w:t>
            </w:r>
          </w:p>
        </w:tc>
        <w:tc>
          <w:tcPr>
            <w:tcW w:w="877"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(238)</w:t>
            </w:r>
          </w:p>
        </w:tc>
        <w:tc>
          <w:tcPr>
            <w:tcW w:w="1082"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(200)</w:t>
            </w:r>
          </w:p>
        </w:tc>
        <w:tc>
          <w:tcPr>
            <w:tcW w:w="1312" w:type="dxa"/>
            <w:gridSpan w:val="4"/>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(550)</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2852" w:type="dxa"/>
            <w:tcBorders>
              <w:bottom w:val="single" w:sz="4" w:space="0" w:color="auto"/>
            </w:tcBorders>
          </w:tcPr>
          <w:p w:rsidR="004B76C7" w:rsidRPr="00892DE3" w:rsidRDefault="004B76C7" w:rsidP="004B76C7">
            <w:pPr>
              <w:rPr>
                <w:rFonts w:cstheme="majorHAnsi"/>
                <w:szCs w:val="16"/>
                <w:lang w:val="en-GB"/>
              </w:rPr>
            </w:pPr>
            <w:r w:rsidRPr="00892DE3">
              <w:rPr>
                <w:rFonts w:cstheme="majorHAnsi"/>
                <w:szCs w:val="16"/>
                <w:lang w:val="en-GB"/>
              </w:rPr>
              <w:t>Impairment loss</w:t>
            </w:r>
          </w:p>
        </w:tc>
        <w:tc>
          <w:tcPr>
            <w:tcW w:w="960" w:type="dxa"/>
            <w:gridSpan w:val="2"/>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(55)</w:t>
            </w:r>
          </w:p>
        </w:tc>
        <w:tc>
          <w:tcPr>
            <w:tcW w:w="866" w:type="dxa"/>
            <w:gridSpan w:val="2"/>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(450)</w:t>
            </w:r>
          </w:p>
        </w:tc>
        <w:tc>
          <w:tcPr>
            <w:tcW w:w="726" w:type="dxa"/>
            <w:gridSpan w:val="3"/>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(125)</w:t>
            </w:r>
          </w:p>
        </w:tc>
        <w:tc>
          <w:tcPr>
            <w:tcW w:w="877" w:type="dxa"/>
            <w:gridSpan w:val="4"/>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(230)</w:t>
            </w:r>
          </w:p>
        </w:tc>
        <w:tc>
          <w:tcPr>
            <w:tcW w:w="1312" w:type="dxa"/>
            <w:gridSpan w:val="4"/>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(300)</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nil"/>
            </w:tcBorders>
          </w:tcPr>
          <w:p w:rsidR="004B76C7" w:rsidRPr="00892DE3" w:rsidRDefault="004B76C7" w:rsidP="004B76C7">
            <w:pPr>
              <w:rPr>
                <w:rFonts w:cstheme="majorHAnsi"/>
                <w:b/>
                <w:szCs w:val="16"/>
                <w:lang w:val="en-GB"/>
              </w:rPr>
            </w:pPr>
            <w:r w:rsidRPr="00892DE3">
              <w:rPr>
                <w:rFonts w:cstheme="majorHAnsi"/>
                <w:b/>
                <w:szCs w:val="16"/>
                <w:lang w:val="en-GB"/>
              </w:rPr>
              <w:t>Subtotal</w:t>
            </w:r>
          </w:p>
        </w:tc>
        <w:tc>
          <w:tcPr>
            <w:tcW w:w="960" w:type="dxa"/>
            <w:gridSpan w:val="2"/>
            <w:tcBorders>
              <w:top w:val="single" w:sz="4" w:space="0" w:color="auto"/>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962" w:type="dxa"/>
            <w:gridSpan w:val="2"/>
            <w:tcBorders>
              <w:top w:val="single" w:sz="4" w:space="0" w:color="auto"/>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(125)</w:t>
            </w:r>
          </w:p>
        </w:tc>
        <w:tc>
          <w:tcPr>
            <w:tcW w:w="866" w:type="dxa"/>
            <w:gridSpan w:val="2"/>
            <w:tcBorders>
              <w:top w:val="single" w:sz="4" w:space="0" w:color="auto"/>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(1 400)</w:t>
            </w:r>
          </w:p>
        </w:tc>
        <w:tc>
          <w:tcPr>
            <w:tcW w:w="726" w:type="dxa"/>
            <w:gridSpan w:val="3"/>
            <w:tcBorders>
              <w:top w:val="single" w:sz="4" w:space="0" w:color="auto"/>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(250)</w:t>
            </w:r>
          </w:p>
        </w:tc>
        <w:tc>
          <w:tcPr>
            <w:tcW w:w="877" w:type="dxa"/>
            <w:gridSpan w:val="4"/>
            <w:tcBorders>
              <w:top w:val="single" w:sz="4" w:space="0" w:color="auto"/>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(238)</w:t>
            </w:r>
          </w:p>
        </w:tc>
        <w:tc>
          <w:tcPr>
            <w:tcW w:w="1082" w:type="dxa"/>
            <w:gridSpan w:val="4"/>
            <w:tcBorders>
              <w:top w:val="single" w:sz="4" w:space="0" w:color="auto"/>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(430)</w:t>
            </w:r>
          </w:p>
        </w:tc>
        <w:tc>
          <w:tcPr>
            <w:tcW w:w="1312" w:type="dxa"/>
            <w:gridSpan w:val="4"/>
            <w:tcBorders>
              <w:top w:val="single" w:sz="4" w:space="0" w:color="auto"/>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(850)</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6231" w:type="dxa"/>
            <w:gridSpan w:val="9"/>
            <w:tcBorders>
              <w:top w:val="nil"/>
            </w:tcBorders>
          </w:tcPr>
          <w:p w:rsidR="004B76C7" w:rsidRPr="00892DE3" w:rsidRDefault="004B76C7" w:rsidP="004B76C7">
            <w:pPr>
              <w:rPr>
                <w:rFonts w:cstheme="majorHAnsi"/>
                <w:szCs w:val="16"/>
                <w:lang w:val="en-GB"/>
              </w:rPr>
            </w:pPr>
            <w:r w:rsidRPr="00892DE3">
              <w:rPr>
                <w:rFonts w:cstheme="majorHAnsi"/>
                <w:szCs w:val="16"/>
                <w:lang w:val="en-GB"/>
              </w:rPr>
              <w:t xml:space="preserve">Gains or losses recognised in other economic flows – </w:t>
            </w:r>
            <w:r w:rsidR="00C60770" w:rsidRPr="00892DE3">
              <w:rPr>
                <w:rFonts w:cstheme="majorHAnsi"/>
                <w:szCs w:val="16"/>
                <w:lang w:val="en-GB"/>
              </w:rPr>
              <w:br/>
            </w:r>
            <w:r w:rsidRPr="00892DE3">
              <w:rPr>
                <w:rFonts w:cstheme="majorHAnsi"/>
                <w:szCs w:val="16"/>
                <w:lang w:val="en-GB"/>
              </w:rPr>
              <w:t>other comprehensive income</w:t>
            </w:r>
          </w:p>
        </w:tc>
        <w:tc>
          <w:tcPr>
            <w:tcW w:w="486" w:type="dxa"/>
            <w:gridSpan w:val="2"/>
            <w:tcBorders>
              <w:top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7" w:type="dxa"/>
            <w:gridSpan w:val="2"/>
            <w:tcBorders>
              <w:top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90" w:type="dxa"/>
            <w:gridSpan w:val="2"/>
            <w:tcBorders>
              <w:top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6" w:type="dxa"/>
            <w:gridSpan w:val="2"/>
            <w:tcBorders>
              <w:top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6" w:type="dxa"/>
            <w:gridSpan w:val="2"/>
            <w:tcBorders>
              <w:top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7" w:type="dxa"/>
            <w:gridSpan w:val="2"/>
            <w:tcBorders>
              <w:top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4" w:type="dxa"/>
            <w:tcBorders>
              <w:top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2852" w:type="dxa"/>
            <w:tcBorders>
              <w:bottom w:val="single" w:sz="4" w:space="0" w:color="auto"/>
            </w:tcBorders>
          </w:tcPr>
          <w:p w:rsidR="004B76C7" w:rsidRPr="00892DE3" w:rsidRDefault="004B76C7" w:rsidP="004B76C7">
            <w:pPr>
              <w:rPr>
                <w:rFonts w:cstheme="majorHAnsi"/>
                <w:szCs w:val="16"/>
                <w:lang w:val="en-GB"/>
              </w:rPr>
            </w:pPr>
            <w:r w:rsidRPr="00892DE3">
              <w:rPr>
                <w:rFonts w:cstheme="majorHAnsi"/>
                <w:szCs w:val="16"/>
                <w:lang w:val="en-GB"/>
              </w:rPr>
              <w:t>Revaluation</w:t>
            </w:r>
          </w:p>
        </w:tc>
        <w:tc>
          <w:tcPr>
            <w:tcW w:w="960" w:type="dxa"/>
            <w:gridSpan w:val="2"/>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(329)</w:t>
            </w:r>
          </w:p>
        </w:tc>
        <w:tc>
          <w:tcPr>
            <w:tcW w:w="962" w:type="dxa"/>
            <w:gridSpan w:val="2"/>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(89)</w:t>
            </w:r>
          </w:p>
        </w:tc>
        <w:tc>
          <w:tcPr>
            <w:tcW w:w="866" w:type="dxa"/>
            <w:gridSpan w:val="2"/>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(1 086)</w:t>
            </w:r>
          </w:p>
        </w:tc>
        <w:tc>
          <w:tcPr>
            <w:tcW w:w="726" w:type="dxa"/>
            <w:gridSpan w:val="3"/>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877" w:type="dxa"/>
            <w:gridSpan w:val="4"/>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(397)</w:t>
            </w:r>
          </w:p>
        </w:tc>
        <w:tc>
          <w:tcPr>
            <w:tcW w:w="1312" w:type="dxa"/>
            <w:gridSpan w:val="4"/>
            <w:tcBorders>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(385)</w:t>
            </w:r>
          </w:p>
        </w:tc>
      </w:tr>
      <w:tr w:rsidR="004B76C7" w:rsidRPr="00892DE3" w:rsidTr="004B76C7">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single" w:sz="4" w:space="0" w:color="auto"/>
            </w:tcBorders>
          </w:tcPr>
          <w:p w:rsidR="004B76C7" w:rsidRPr="00892DE3" w:rsidRDefault="004B76C7" w:rsidP="004B76C7">
            <w:pPr>
              <w:rPr>
                <w:rFonts w:cstheme="majorHAnsi"/>
                <w:b/>
                <w:szCs w:val="16"/>
                <w:lang w:val="en-GB"/>
              </w:rPr>
            </w:pPr>
            <w:r w:rsidRPr="00892DE3">
              <w:rPr>
                <w:rFonts w:cstheme="majorHAnsi"/>
                <w:b/>
                <w:szCs w:val="16"/>
                <w:lang w:val="en-GB"/>
              </w:rPr>
              <w:t>Subtotal</w:t>
            </w:r>
          </w:p>
        </w:tc>
        <w:tc>
          <w:tcPr>
            <w:tcW w:w="960" w:type="dxa"/>
            <w:gridSpan w:val="2"/>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(329)</w:t>
            </w:r>
          </w:p>
        </w:tc>
        <w:tc>
          <w:tcPr>
            <w:tcW w:w="962" w:type="dxa"/>
            <w:gridSpan w:val="2"/>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(89)</w:t>
            </w:r>
          </w:p>
        </w:tc>
        <w:tc>
          <w:tcPr>
            <w:tcW w:w="866" w:type="dxa"/>
            <w:gridSpan w:val="2"/>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(1 086)</w:t>
            </w:r>
          </w:p>
        </w:tc>
        <w:tc>
          <w:tcPr>
            <w:tcW w:w="726" w:type="dxa"/>
            <w:gridSpan w:val="3"/>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877" w:type="dxa"/>
            <w:gridSpan w:val="4"/>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1082" w:type="dxa"/>
            <w:gridSpan w:val="4"/>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(397)</w:t>
            </w:r>
          </w:p>
        </w:tc>
        <w:tc>
          <w:tcPr>
            <w:tcW w:w="1312" w:type="dxa"/>
            <w:gridSpan w:val="4"/>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(385)</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single" w:sz="4" w:space="0" w:color="auto"/>
            </w:tcBorders>
          </w:tcPr>
          <w:p w:rsidR="004B76C7" w:rsidRPr="00892DE3" w:rsidRDefault="004B76C7" w:rsidP="004B76C7">
            <w:pPr>
              <w:rPr>
                <w:rFonts w:cstheme="majorHAnsi"/>
                <w:b/>
                <w:szCs w:val="16"/>
              </w:rPr>
            </w:pPr>
            <w:r w:rsidRPr="00892DE3">
              <w:rPr>
                <w:rFonts w:cstheme="majorHAnsi"/>
                <w:b/>
                <w:szCs w:val="16"/>
              </w:rPr>
              <w:t>Closing balance</w:t>
            </w:r>
          </w:p>
        </w:tc>
        <w:tc>
          <w:tcPr>
            <w:tcW w:w="960" w:type="dxa"/>
            <w:gridSpan w:val="2"/>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2 784</w:t>
            </w:r>
          </w:p>
        </w:tc>
        <w:tc>
          <w:tcPr>
            <w:tcW w:w="962" w:type="dxa"/>
            <w:gridSpan w:val="2"/>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5 715</w:t>
            </w:r>
          </w:p>
        </w:tc>
        <w:tc>
          <w:tcPr>
            <w:tcW w:w="866" w:type="dxa"/>
            <w:gridSpan w:val="2"/>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10 546</w:t>
            </w:r>
          </w:p>
        </w:tc>
        <w:tc>
          <w:tcPr>
            <w:tcW w:w="726" w:type="dxa"/>
            <w:gridSpan w:val="3"/>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rPr>
              <w:t>16 941</w:t>
            </w:r>
          </w:p>
        </w:tc>
        <w:tc>
          <w:tcPr>
            <w:tcW w:w="877" w:type="dxa"/>
            <w:gridSpan w:val="4"/>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30 935</w:t>
            </w:r>
          </w:p>
        </w:tc>
        <w:tc>
          <w:tcPr>
            <w:tcW w:w="1082" w:type="dxa"/>
            <w:gridSpan w:val="4"/>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1 685</w:t>
            </w:r>
          </w:p>
        </w:tc>
        <w:tc>
          <w:tcPr>
            <w:tcW w:w="1312" w:type="dxa"/>
            <w:gridSpan w:val="4"/>
            <w:tcBorders>
              <w:top w:val="single" w:sz="4" w:space="0" w:color="auto"/>
              <w:bottom w:val="single" w:sz="4" w:space="0" w:color="auto"/>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2 257</w:t>
            </w:r>
          </w:p>
        </w:tc>
      </w:tr>
      <w:tr w:rsidR="004B76C7" w:rsidRPr="00892DE3" w:rsidTr="00C607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tcBorders>
            <w:shd w:val="clear" w:color="auto" w:fill="auto"/>
          </w:tcPr>
          <w:p w:rsidR="004B76C7" w:rsidRPr="00892DE3" w:rsidRDefault="004B76C7" w:rsidP="004B76C7">
            <w:pPr>
              <w:rPr>
                <w:rFonts w:cstheme="majorHAnsi"/>
                <w:szCs w:val="16"/>
              </w:rPr>
            </w:pPr>
            <w:r w:rsidRPr="00892DE3">
              <w:rPr>
                <w:rFonts w:cstheme="majorHAnsi"/>
                <w:szCs w:val="16"/>
                <w:lang w:val="en-GB"/>
              </w:rPr>
              <w:t>Unrealised gains/(losses) on non</w:t>
            </w:r>
            <w:r w:rsidRPr="00892DE3">
              <w:rPr>
                <w:rFonts w:cstheme="majorHAnsi"/>
                <w:szCs w:val="16"/>
                <w:lang w:val="en-GB"/>
              </w:rPr>
              <w:noBreakHyphen/>
              <w:t xml:space="preserve">financial assets </w:t>
            </w:r>
            <w:r w:rsidR="00C60770" w:rsidRPr="00892DE3">
              <w:rPr>
                <w:rFonts w:cstheme="majorHAnsi"/>
                <w:szCs w:val="16"/>
                <w:vertAlign w:val="superscript"/>
                <w:lang w:val="en-GB"/>
              </w:rPr>
              <w:t>(a</w:t>
            </w:r>
            <w:r w:rsidRPr="00892DE3">
              <w:rPr>
                <w:rFonts w:cstheme="majorHAnsi"/>
                <w:szCs w:val="16"/>
                <w:vertAlign w:val="superscript"/>
                <w:lang w:val="en-GB"/>
              </w:rPr>
              <w:t>)</w:t>
            </w:r>
          </w:p>
        </w:tc>
        <w:tc>
          <w:tcPr>
            <w:tcW w:w="960" w:type="dxa"/>
            <w:gridSpan w:val="2"/>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866" w:type="dxa"/>
            <w:gridSpan w:val="2"/>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726" w:type="dxa"/>
            <w:gridSpan w:val="3"/>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lang w:val="en-GB"/>
              </w:rPr>
              <w:t>..</w:t>
            </w:r>
          </w:p>
        </w:tc>
        <w:tc>
          <w:tcPr>
            <w:tcW w:w="877" w:type="dxa"/>
            <w:gridSpan w:val="4"/>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312" w:type="dxa"/>
            <w:gridSpan w:val="4"/>
            <w:tcBorders>
              <w:top w:val="single" w:sz="4" w:space="0" w:color="auto"/>
            </w:tcBorders>
            <w:shd w:val="clear" w:color="auto" w:fill="auto"/>
          </w:tcPr>
          <w:p w:rsidR="004B76C7" w:rsidRPr="00892DE3" w:rsidRDefault="004B76C7" w:rsidP="004B76C7">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r>
    </w:tbl>
    <w:p w:rsidR="004B76C7" w:rsidRPr="00892DE3" w:rsidRDefault="004B76C7" w:rsidP="004B76C7">
      <w:pPr>
        <w:pStyle w:val="Note"/>
      </w:pPr>
      <w:r w:rsidRPr="00892DE3">
        <w:t>Note:</w:t>
      </w:r>
    </w:p>
    <w:p w:rsidR="004B76C7" w:rsidRPr="00892DE3" w:rsidRDefault="004B76C7" w:rsidP="004B76C7">
      <w:pPr>
        <w:pStyle w:val="Note"/>
      </w:pPr>
      <w:r w:rsidRPr="00892DE3">
        <w:t>(</w:t>
      </w:r>
      <w:r w:rsidR="00C60770" w:rsidRPr="00892DE3">
        <w:t>a</w:t>
      </w:r>
      <w:r w:rsidRPr="00892DE3">
        <w:t>)</w:t>
      </w:r>
      <w:r w:rsidRPr="00892DE3">
        <w:tab/>
        <w:t xml:space="preserve">[Please note AASB </w:t>
      </w:r>
      <w:r w:rsidR="002052A4" w:rsidRPr="00892DE3">
        <w:t>13</w:t>
      </w:r>
      <w:r w:rsidRPr="00892DE3">
        <w:t xml:space="preserve"> Fair Value </w:t>
      </w:r>
      <w:r w:rsidR="002052A4" w:rsidRPr="00892DE3">
        <w:t xml:space="preserve">Measurement </w:t>
      </w:r>
      <w:r w:rsidRPr="00892DE3">
        <w:t xml:space="preserve">provides an exemption for </w:t>
      </w:r>
      <w:r w:rsidR="004A3F79" w:rsidRPr="00892DE3">
        <w:t>no</w:t>
      </w:r>
      <w:r w:rsidR="00F33E7A" w:rsidRPr="00892DE3">
        <w:t>t</w:t>
      </w:r>
      <w:r w:rsidR="00F33E7A" w:rsidRPr="00892DE3">
        <w:noBreakHyphen/>
      </w:r>
      <w:r w:rsidR="004A3F79" w:rsidRPr="00892DE3">
        <w:t>for-profit</w:t>
      </w:r>
      <w:r w:rsidRPr="00892DE3">
        <w:t xml:space="preserve"> public sector entities from disclosing the shaded row relating to ‘unrealised gains/(losses) on non-financial assets’ if the assets are held primarily for their current service potential rather than to generate net cash inflows. </w:t>
      </w:r>
      <w:r w:rsidR="002052A4" w:rsidRPr="00892DE3">
        <w:t>As t</w:t>
      </w:r>
      <w:r w:rsidRPr="00892DE3">
        <w:t xml:space="preserve">his </w:t>
      </w:r>
      <w:r w:rsidR="002052A4" w:rsidRPr="00892DE3">
        <w:t>exemption</w:t>
      </w:r>
      <w:r w:rsidRPr="00892DE3">
        <w:t xml:space="preserve"> is not applicable for assets that are held for cash generating purposes</w:t>
      </w:r>
      <w:r w:rsidR="002052A4" w:rsidRPr="00892DE3">
        <w:t>,</w:t>
      </w:r>
      <w:r w:rsidRPr="00892DE3">
        <w:t xml:space="preserve"> </w:t>
      </w:r>
      <w:r w:rsidR="002052A4" w:rsidRPr="00892DE3">
        <w:t>n</w:t>
      </w:r>
      <w:r w:rsidR="004A3F79" w:rsidRPr="00892DE3">
        <w:t>ot-for-profit</w:t>
      </w:r>
      <w:r w:rsidRPr="00892DE3">
        <w:t xml:space="preserve"> entities that have assets generating net cash inflows will still need to disclose the information in the shaded row.]</w:t>
      </w:r>
    </w:p>
    <w:p w:rsidR="00C60770" w:rsidRPr="00892DE3" w:rsidRDefault="00C60770">
      <w:pPr>
        <w:keepLines w:val="0"/>
        <w:rPr>
          <w:rFonts w:asciiTheme="majorHAnsi" w:hAnsiTheme="majorHAnsi"/>
          <w:b/>
          <w:szCs w:val="20"/>
        </w:rPr>
      </w:pPr>
      <w:r w:rsidRPr="00892DE3">
        <w:br w:type="page"/>
      </w:r>
    </w:p>
    <w:p w:rsidR="004B76C7" w:rsidRPr="00892DE3" w:rsidRDefault="004B76C7" w:rsidP="004B76C7">
      <w:pPr>
        <w:pStyle w:val="TableHeading"/>
      </w:pPr>
      <w:r w:rsidRPr="00892DE3">
        <w:t xml:space="preserve">Description of significant unobservable inputs to Level 3 valuations </w:t>
      </w:r>
      <w:r w:rsidRPr="00892DE3">
        <w:rPr>
          <w:rStyle w:val="SourceReference"/>
          <w:b w:val="0"/>
        </w:rPr>
        <w:t>[AASB 13.93 (h)(i)]</w:t>
      </w:r>
    </w:p>
    <w:tbl>
      <w:tblPr>
        <w:tblStyle w:val="DTFTextTable"/>
        <w:tblW w:w="9637" w:type="dxa"/>
        <w:tblInd w:w="45" w:type="dxa"/>
        <w:tblLayout w:type="fixed"/>
        <w:tblCellMar>
          <w:left w:w="45" w:type="dxa"/>
          <w:right w:w="45" w:type="dxa"/>
        </w:tblCellMar>
        <w:tblLook w:val="06A0" w:firstRow="1" w:lastRow="0" w:firstColumn="1" w:lastColumn="0" w:noHBand="1" w:noVBand="1"/>
      </w:tblPr>
      <w:tblGrid>
        <w:gridCol w:w="1276"/>
        <w:gridCol w:w="1207"/>
        <w:gridCol w:w="1628"/>
        <w:gridCol w:w="2062"/>
        <w:gridCol w:w="3464"/>
      </w:tblGrid>
      <w:tr w:rsidR="004B76C7" w:rsidRPr="00892DE3" w:rsidTr="00C607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4B76C7" w:rsidRPr="00892DE3" w:rsidRDefault="004B76C7" w:rsidP="004B76C7">
            <w:pPr>
              <w:ind w:left="0" w:firstLine="0"/>
            </w:pPr>
            <w:r w:rsidRPr="00892DE3">
              <w:t>2017 and 2016</w:t>
            </w:r>
          </w:p>
        </w:tc>
        <w:tc>
          <w:tcPr>
            <w:tcW w:w="1207" w:type="dxa"/>
          </w:tcPr>
          <w:p w:rsidR="004B76C7" w:rsidRPr="00892DE3" w:rsidRDefault="00C60770" w:rsidP="00C60770">
            <w:pPr>
              <w:cnfStyle w:val="100000000000" w:firstRow="1" w:lastRow="0" w:firstColumn="0" w:lastColumn="0" w:oddVBand="0" w:evenVBand="0" w:oddHBand="0" w:evenHBand="0" w:firstRowFirstColumn="0" w:firstRowLastColumn="0" w:lastRowFirstColumn="0" w:lastRowLastColumn="0"/>
            </w:pPr>
            <w:r w:rsidRPr="00892DE3">
              <w:t xml:space="preserve">Valuation technique </w:t>
            </w:r>
            <w:r w:rsidRPr="00892DE3">
              <w:rPr>
                <w:vertAlign w:val="superscript"/>
              </w:rPr>
              <w:t>(a</w:t>
            </w:r>
            <w:r w:rsidR="004B76C7" w:rsidRPr="00892DE3">
              <w:rPr>
                <w:vertAlign w:val="superscript"/>
              </w:rPr>
              <w:t>)</w:t>
            </w:r>
          </w:p>
        </w:tc>
        <w:tc>
          <w:tcPr>
            <w:tcW w:w="1628" w:type="dxa"/>
          </w:tcPr>
          <w:p w:rsidR="004B76C7" w:rsidRPr="00892DE3" w:rsidRDefault="004B76C7" w:rsidP="00C60770">
            <w:pPr>
              <w:cnfStyle w:val="100000000000" w:firstRow="1" w:lastRow="0" w:firstColumn="0" w:lastColumn="0" w:oddVBand="0" w:evenVBand="0" w:oddHBand="0" w:evenHBand="0" w:firstRowFirstColumn="0" w:firstRowLastColumn="0" w:lastRowFirstColumn="0" w:lastRowLastColumn="0"/>
            </w:pPr>
            <w:r w:rsidRPr="00892DE3">
              <w:t xml:space="preserve">Significant </w:t>
            </w:r>
            <w:r w:rsidRPr="00892DE3">
              <w:br/>
              <w:t xml:space="preserve">unobservable </w:t>
            </w:r>
            <w:r w:rsidR="00C60770" w:rsidRPr="00892DE3">
              <w:br/>
            </w:r>
            <w:r w:rsidRPr="00892DE3">
              <w:t xml:space="preserve">inputs </w:t>
            </w:r>
            <w:r w:rsidR="00C60770" w:rsidRPr="00892DE3">
              <w:rPr>
                <w:vertAlign w:val="superscript"/>
              </w:rPr>
              <w:t>(a</w:t>
            </w:r>
            <w:r w:rsidRPr="00892DE3">
              <w:rPr>
                <w:vertAlign w:val="superscript"/>
              </w:rPr>
              <w:t>)</w:t>
            </w:r>
          </w:p>
        </w:tc>
        <w:tc>
          <w:tcPr>
            <w:tcW w:w="2062" w:type="dxa"/>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pPr>
            <w:r w:rsidRPr="00892DE3">
              <w:t xml:space="preserve">Range </w:t>
            </w:r>
            <w:r w:rsidR="00C60770" w:rsidRPr="00892DE3">
              <w:br/>
            </w:r>
            <w:r w:rsidRPr="00892DE3">
              <w:t xml:space="preserve">(weighted average) </w:t>
            </w:r>
            <w:r w:rsidR="00C60770" w:rsidRPr="00892DE3">
              <w:rPr>
                <w:vertAlign w:val="superscript"/>
              </w:rPr>
              <w:t>(a</w:t>
            </w:r>
            <w:r w:rsidRPr="00892DE3">
              <w:rPr>
                <w:vertAlign w:val="superscript"/>
              </w:rPr>
              <w:t>)</w:t>
            </w:r>
          </w:p>
        </w:tc>
        <w:tc>
          <w:tcPr>
            <w:tcW w:w="3464" w:type="dxa"/>
          </w:tcPr>
          <w:p w:rsidR="004B76C7" w:rsidRPr="00892DE3" w:rsidRDefault="004B76C7" w:rsidP="004B76C7">
            <w:pPr>
              <w:cnfStyle w:val="100000000000" w:firstRow="1" w:lastRow="0" w:firstColumn="0" w:lastColumn="0" w:oddVBand="0" w:evenVBand="0" w:oddHBand="0" w:evenHBand="0" w:firstRowFirstColumn="0" w:firstRowLastColumn="0" w:lastRowFirstColumn="0" w:lastRowLastColumn="0"/>
            </w:pPr>
            <w:r w:rsidRPr="00892DE3">
              <w:t xml:space="preserve">Sensitivity of fair value measurement to changes in significant unobservable inputs </w:t>
            </w:r>
            <w:r w:rsidR="00C60770" w:rsidRPr="00892DE3">
              <w:rPr>
                <w:vertAlign w:val="superscript"/>
              </w:rPr>
              <w:t>(a</w:t>
            </w:r>
            <w:r w:rsidRPr="00892DE3">
              <w:rPr>
                <w:vertAlign w:val="superscript"/>
              </w:rPr>
              <w:t>)</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bottom w:val="single" w:sz="6" w:space="0" w:color="000000" w:themeColor="text1"/>
            </w:tcBorders>
          </w:tcPr>
          <w:p w:rsidR="004B76C7" w:rsidRPr="00892DE3" w:rsidRDefault="004B76C7" w:rsidP="004B76C7">
            <w:pPr>
              <w:ind w:left="0" w:firstLine="0"/>
              <w:rPr>
                <w:rFonts w:cstheme="majorHAnsi"/>
                <w:b/>
                <w:sz w:val="17"/>
              </w:rPr>
            </w:pPr>
            <w:r w:rsidRPr="00892DE3">
              <w:rPr>
                <w:rFonts w:cstheme="majorHAnsi"/>
                <w:b/>
                <w:sz w:val="17"/>
              </w:rPr>
              <w:t>Specialised land</w:t>
            </w:r>
          </w:p>
        </w:tc>
        <w:tc>
          <w:tcPr>
            <w:tcW w:w="1207" w:type="dxa"/>
            <w:tcBorders>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Market approach</w:t>
            </w:r>
          </w:p>
        </w:tc>
        <w:tc>
          <w:tcPr>
            <w:tcW w:w="1628" w:type="dxa"/>
            <w:tcBorders>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Community service obligation (CSO) adjustment</w:t>
            </w:r>
          </w:p>
        </w:tc>
        <w:tc>
          <w:tcPr>
            <w:tcW w:w="2062" w:type="dxa"/>
            <w:tcBorders>
              <w:bottom w:val="single" w:sz="6" w:space="0" w:color="000000" w:themeColor="text1"/>
            </w:tcBorders>
            <w:shd w:val="clear" w:color="auto" w:fill="EBEBEB" w:themeFill="background2"/>
          </w:tcPr>
          <w:p w:rsidR="00C60770" w:rsidRPr="00892DE3" w:rsidRDefault="004B76C7" w:rsidP="00C60770">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50-70% </w:t>
            </w:r>
          </w:p>
          <w:p w:rsidR="004B76C7" w:rsidRPr="00892DE3" w:rsidRDefault="004B76C7" w:rsidP="00C60770">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(60%) </w:t>
            </w:r>
            <w:r w:rsidR="00C60770" w:rsidRPr="00892DE3">
              <w:rPr>
                <w:rFonts w:cstheme="majorHAnsi"/>
                <w:sz w:val="17"/>
                <w:vertAlign w:val="superscript"/>
              </w:rPr>
              <w:t>(b</w:t>
            </w:r>
            <w:r w:rsidRPr="00892DE3">
              <w:rPr>
                <w:rFonts w:cstheme="majorHAnsi"/>
                <w:sz w:val="17"/>
                <w:vertAlign w:val="superscript"/>
              </w:rPr>
              <w:t>)</w:t>
            </w:r>
          </w:p>
        </w:tc>
        <w:tc>
          <w:tcPr>
            <w:tcW w:w="3464" w:type="dxa"/>
            <w:tcBorders>
              <w:bottom w:val="single" w:sz="6" w:space="0" w:color="000000" w:themeColor="text1"/>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CSO adjustment would result in a significantly lower (higher) fair value.</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4B76C7" w:rsidRPr="00892DE3" w:rsidRDefault="004B76C7" w:rsidP="004B76C7">
            <w:pPr>
              <w:ind w:left="0" w:firstLine="0"/>
              <w:rPr>
                <w:rFonts w:cstheme="majorHAnsi"/>
                <w:b/>
                <w:sz w:val="17"/>
              </w:rPr>
            </w:pPr>
            <w:r w:rsidRPr="00892DE3">
              <w:rPr>
                <w:rFonts w:cstheme="majorHAnsi"/>
                <w:b/>
                <w:sz w:val="17"/>
              </w:rPr>
              <w:t>Specialised buildings</w:t>
            </w:r>
          </w:p>
        </w:tc>
        <w:tc>
          <w:tcPr>
            <w:tcW w:w="1207"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Depreciated replacement cost</w:t>
            </w:r>
          </w:p>
        </w:tc>
        <w:tc>
          <w:tcPr>
            <w:tcW w:w="1628"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Direct cost per square metre</w:t>
            </w:r>
          </w:p>
        </w:tc>
        <w:tc>
          <w:tcPr>
            <w:tcW w:w="2062" w:type="dxa"/>
            <w:tcBorders>
              <w:top w:val="single" w:sz="6" w:space="0" w:color="000000" w:themeColor="text1"/>
              <w:bottom w:val="nil"/>
            </w:tcBorders>
            <w:shd w:val="clear" w:color="auto" w:fill="EBEBEB" w:themeFill="background2"/>
          </w:tcPr>
          <w:p w:rsidR="00C60770" w:rsidRPr="00892DE3" w:rsidRDefault="004B76C7" w:rsidP="00C60770">
            <w:pPr>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$1 000-$1 500/m</w:t>
            </w:r>
            <w:r w:rsidRPr="00892DE3">
              <w:rPr>
                <w:rFonts w:cstheme="majorHAnsi"/>
                <w:sz w:val="17"/>
                <w:vertAlign w:val="superscript"/>
              </w:rPr>
              <w:t>2</w:t>
            </w:r>
          </w:p>
          <w:p w:rsidR="004B76C7" w:rsidRPr="00892DE3" w:rsidRDefault="004B76C7" w:rsidP="00C60770">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($1 300)</w:t>
            </w:r>
          </w:p>
        </w:tc>
        <w:tc>
          <w:tcPr>
            <w:tcW w:w="3464" w:type="dxa"/>
            <w:tcBorders>
              <w:top w:val="single" w:sz="6" w:space="0" w:color="000000" w:themeColor="text1"/>
              <w:bottom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direct cost per square metre adjustment would result in a significantly higher or lower fair value.</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rsidR="004B76C7" w:rsidRPr="00892DE3" w:rsidRDefault="004B76C7" w:rsidP="004B76C7">
            <w:pPr>
              <w:ind w:left="0" w:firstLine="0"/>
              <w:rPr>
                <w:rFonts w:cstheme="majorHAnsi"/>
                <w:b/>
                <w:sz w:val="17"/>
              </w:rPr>
            </w:pPr>
          </w:p>
        </w:tc>
        <w:tc>
          <w:tcPr>
            <w:tcW w:w="1207" w:type="dxa"/>
            <w:tcBorders>
              <w:top w:val="nil"/>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specialised buildings</w:t>
            </w:r>
          </w:p>
        </w:tc>
        <w:tc>
          <w:tcPr>
            <w:tcW w:w="2062" w:type="dxa"/>
            <w:tcBorders>
              <w:top w:val="nil"/>
              <w:bottom w:val="single" w:sz="6" w:space="0" w:color="000000" w:themeColor="text1"/>
            </w:tcBorders>
            <w:shd w:val="clear" w:color="auto" w:fill="EBEBEB" w:themeFill="background2"/>
          </w:tcPr>
          <w:p w:rsidR="00C60770" w:rsidRPr="00892DE3" w:rsidRDefault="004B76C7" w:rsidP="00C60770">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30-60 years </w:t>
            </w:r>
          </w:p>
          <w:p w:rsidR="004B76C7" w:rsidRPr="00892DE3" w:rsidRDefault="004B76C7" w:rsidP="00C60770">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(45 years)</w:t>
            </w:r>
          </w:p>
        </w:tc>
        <w:tc>
          <w:tcPr>
            <w:tcW w:w="3464" w:type="dxa"/>
            <w:tcBorders>
              <w:top w:val="nil"/>
              <w:bottom w:val="single" w:sz="6" w:space="0" w:color="000000" w:themeColor="text1"/>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4B76C7" w:rsidRPr="00892DE3" w:rsidRDefault="004B76C7" w:rsidP="004B76C7">
            <w:pPr>
              <w:ind w:left="0" w:firstLine="0"/>
              <w:rPr>
                <w:rFonts w:cstheme="majorHAnsi"/>
                <w:b/>
                <w:sz w:val="17"/>
              </w:rPr>
            </w:pPr>
            <w:r w:rsidRPr="00892DE3">
              <w:rPr>
                <w:rFonts w:cstheme="majorHAnsi"/>
                <w:b/>
                <w:sz w:val="17"/>
              </w:rPr>
              <w:t>Heritage assets</w:t>
            </w:r>
          </w:p>
        </w:tc>
        <w:tc>
          <w:tcPr>
            <w:tcW w:w="1207" w:type="dxa"/>
            <w:tcBorders>
              <w:top w:val="single" w:sz="6" w:space="0" w:color="000000" w:themeColor="text1"/>
              <w:bottom w:val="nil"/>
            </w:tcBorders>
          </w:tcPr>
          <w:p w:rsidR="004B76C7" w:rsidRPr="00892DE3" w:rsidRDefault="004B76C7" w:rsidP="00C60770">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Depreciated replacement cost</w:t>
            </w:r>
            <w:r w:rsidR="00C60770" w:rsidRPr="00892DE3">
              <w:rPr>
                <w:rFonts w:cstheme="majorHAnsi"/>
                <w:sz w:val="17"/>
              </w:rPr>
              <w:t xml:space="preserve"> </w:t>
            </w:r>
            <w:r w:rsidRPr="00892DE3">
              <w:rPr>
                <w:rFonts w:cstheme="majorHAnsi"/>
                <w:sz w:val="17"/>
                <w:vertAlign w:val="superscript"/>
              </w:rPr>
              <w:t>(</w:t>
            </w:r>
            <w:r w:rsidR="00C60770" w:rsidRPr="00892DE3">
              <w:rPr>
                <w:rFonts w:cstheme="majorHAnsi"/>
                <w:sz w:val="17"/>
                <w:vertAlign w:val="superscript"/>
              </w:rPr>
              <w:t>c</w:t>
            </w:r>
            <w:r w:rsidRPr="00892DE3">
              <w:rPr>
                <w:rFonts w:cstheme="majorHAnsi"/>
                <w:sz w:val="17"/>
                <w:vertAlign w:val="superscript"/>
              </w:rPr>
              <w:t>)</w:t>
            </w:r>
          </w:p>
        </w:tc>
        <w:tc>
          <w:tcPr>
            <w:tcW w:w="1628"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Direct cost per square metre</w:t>
            </w:r>
          </w:p>
        </w:tc>
        <w:tc>
          <w:tcPr>
            <w:tcW w:w="2062" w:type="dxa"/>
            <w:tcBorders>
              <w:top w:val="single" w:sz="6" w:space="0" w:color="000000" w:themeColor="text1"/>
              <w:bottom w:val="nil"/>
            </w:tcBorders>
            <w:shd w:val="clear" w:color="auto" w:fill="EBEBEB" w:themeFill="background2"/>
          </w:tcPr>
          <w:p w:rsidR="00C60770" w:rsidRPr="00892DE3" w:rsidRDefault="004B76C7" w:rsidP="00C60770">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$600-$900/m</w:t>
            </w:r>
            <w:r w:rsidRPr="00892DE3">
              <w:rPr>
                <w:rFonts w:cstheme="majorHAnsi"/>
                <w:sz w:val="17"/>
                <w:vertAlign w:val="superscript"/>
              </w:rPr>
              <w:t>2</w:t>
            </w:r>
            <w:r w:rsidRPr="00892DE3">
              <w:rPr>
                <w:rFonts w:cstheme="majorHAnsi"/>
                <w:sz w:val="17"/>
              </w:rPr>
              <w:t xml:space="preserve"> </w:t>
            </w:r>
          </w:p>
          <w:p w:rsidR="004B76C7" w:rsidRPr="00892DE3" w:rsidRDefault="004B76C7" w:rsidP="00C60770">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($800)</w:t>
            </w:r>
          </w:p>
        </w:tc>
        <w:tc>
          <w:tcPr>
            <w:tcW w:w="3464" w:type="dxa"/>
            <w:tcBorders>
              <w:top w:val="single" w:sz="6" w:space="0" w:color="000000" w:themeColor="text1"/>
              <w:bottom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direct cost per square metre adjustment would result in a significantly higher or lower fair value.</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rsidR="004B76C7" w:rsidRPr="00892DE3" w:rsidRDefault="004B76C7" w:rsidP="004B76C7">
            <w:pPr>
              <w:ind w:left="0" w:firstLine="0"/>
              <w:rPr>
                <w:rFonts w:cstheme="majorHAnsi"/>
                <w:b/>
                <w:sz w:val="17"/>
              </w:rPr>
            </w:pPr>
          </w:p>
        </w:tc>
        <w:tc>
          <w:tcPr>
            <w:tcW w:w="1207" w:type="dxa"/>
            <w:tcBorders>
              <w:top w:val="nil"/>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heritage assets</w:t>
            </w:r>
          </w:p>
        </w:tc>
        <w:tc>
          <w:tcPr>
            <w:tcW w:w="2062" w:type="dxa"/>
            <w:tcBorders>
              <w:top w:val="nil"/>
              <w:bottom w:val="single" w:sz="6" w:space="0" w:color="000000" w:themeColor="text1"/>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75-95 years</w:t>
            </w:r>
          </w:p>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(85 years)</w:t>
            </w:r>
          </w:p>
        </w:tc>
        <w:tc>
          <w:tcPr>
            <w:tcW w:w="3464" w:type="dxa"/>
            <w:tcBorders>
              <w:top w:val="nil"/>
              <w:bottom w:val="single" w:sz="6" w:space="0" w:color="000000" w:themeColor="text1"/>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4B76C7" w:rsidRPr="00892DE3" w:rsidRDefault="004B76C7" w:rsidP="004B76C7">
            <w:pPr>
              <w:ind w:left="0" w:firstLine="0"/>
              <w:rPr>
                <w:rFonts w:cstheme="majorHAnsi"/>
                <w:b/>
                <w:sz w:val="17"/>
              </w:rPr>
            </w:pPr>
            <w:r w:rsidRPr="00892DE3">
              <w:rPr>
                <w:rFonts w:cstheme="majorHAnsi"/>
                <w:b/>
                <w:sz w:val="17"/>
              </w:rPr>
              <w:t>Vehicles</w:t>
            </w:r>
          </w:p>
        </w:tc>
        <w:tc>
          <w:tcPr>
            <w:tcW w:w="1207"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Depreciated replacement cost</w:t>
            </w:r>
          </w:p>
        </w:tc>
        <w:tc>
          <w:tcPr>
            <w:tcW w:w="1628"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Cost per unit</w:t>
            </w:r>
          </w:p>
        </w:tc>
        <w:tc>
          <w:tcPr>
            <w:tcW w:w="2062" w:type="dxa"/>
            <w:tcBorders>
              <w:top w:val="single" w:sz="6" w:space="0" w:color="000000" w:themeColor="text1"/>
              <w:bottom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$9 000-$10 000 per unit</w:t>
            </w:r>
          </w:p>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($9 500 per unit)</w:t>
            </w:r>
          </w:p>
        </w:tc>
        <w:tc>
          <w:tcPr>
            <w:tcW w:w="3464" w:type="dxa"/>
            <w:tcBorders>
              <w:top w:val="single" w:sz="6" w:space="0" w:color="000000" w:themeColor="text1"/>
              <w:bottom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cost per unit would result in a significantly higher or lower fair value.</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rsidR="004B76C7" w:rsidRPr="00892DE3" w:rsidRDefault="004B76C7" w:rsidP="004B76C7">
            <w:pPr>
              <w:ind w:left="0" w:firstLine="0"/>
              <w:rPr>
                <w:rFonts w:cstheme="majorHAnsi"/>
                <w:b/>
                <w:sz w:val="17"/>
              </w:rPr>
            </w:pPr>
          </w:p>
        </w:tc>
        <w:tc>
          <w:tcPr>
            <w:tcW w:w="1207" w:type="dxa"/>
            <w:tcBorders>
              <w:top w:val="nil"/>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vehicles</w:t>
            </w:r>
          </w:p>
        </w:tc>
        <w:tc>
          <w:tcPr>
            <w:tcW w:w="2062" w:type="dxa"/>
            <w:tcBorders>
              <w:top w:val="nil"/>
              <w:bottom w:val="single" w:sz="6" w:space="0" w:color="000000" w:themeColor="text1"/>
            </w:tcBorders>
            <w:shd w:val="clear" w:color="auto" w:fill="EBEBEB" w:themeFill="background2"/>
          </w:tcPr>
          <w:p w:rsidR="00C60770"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3-5 years </w:t>
            </w:r>
          </w:p>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(3 years)</w:t>
            </w:r>
          </w:p>
        </w:tc>
        <w:tc>
          <w:tcPr>
            <w:tcW w:w="3464" w:type="dxa"/>
            <w:tcBorders>
              <w:top w:val="nil"/>
              <w:bottom w:val="single" w:sz="6" w:space="0" w:color="000000" w:themeColor="text1"/>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4B76C7" w:rsidRPr="00892DE3" w:rsidRDefault="004B76C7" w:rsidP="004B76C7">
            <w:pPr>
              <w:ind w:left="0" w:firstLine="0"/>
              <w:rPr>
                <w:rFonts w:cstheme="majorHAnsi"/>
                <w:b/>
                <w:sz w:val="17"/>
              </w:rPr>
            </w:pPr>
            <w:r w:rsidRPr="00892DE3">
              <w:rPr>
                <w:rFonts w:cstheme="majorHAnsi"/>
                <w:b/>
                <w:sz w:val="17"/>
              </w:rPr>
              <w:t>Plant and equipment</w:t>
            </w:r>
          </w:p>
        </w:tc>
        <w:tc>
          <w:tcPr>
            <w:tcW w:w="1207"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Depreciated replacement cost</w:t>
            </w:r>
          </w:p>
        </w:tc>
        <w:tc>
          <w:tcPr>
            <w:tcW w:w="1628"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Cost per unit</w:t>
            </w:r>
          </w:p>
        </w:tc>
        <w:tc>
          <w:tcPr>
            <w:tcW w:w="2062" w:type="dxa"/>
            <w:tcBorders>
              <w:top w:val="single" w:sz="6" w:space="0" w:color="000000" w:themeColor="text1"/>
              <w:bottom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$3 000-$4 000 per unit </w:t>
            </w:r>
          </w:p>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($3 500 per unit)</w:t>
            </w:r>
          </w:p>
        </w:tc>
        <w:tc>
          <w:tcPr>
            <w:tcW w:w="3464" w:type="dxa"/>
            <w:tcBorders>
              <w:top w:val="single" w:sz="6" w:space="0" w:color="000000" w:themeColor="text1"/>
              <w:bottom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cost per unit would result in a significantly higher or lower fair value.</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rsidR="004B76C7" w:rsidRPr="00892DE3" w:rsidRDefault="004B76C7" w:rsidP="004B76C7">
            <w:pPr>
              <w:ind w:left="0" w:firstLine="0"/>
              <w:rPr>
                <w:rFonts w:cstheme="majorHAnsi"/>
                <w:b/>
                <w:sz w:val="17"/>
              </w:rPr>
            </w:pPr>
          </w:p>
        </w:tc>
        <w:tc>
          <w:tcPr>
            <w:tcW w:w="1207" w:type="dxa"/>
            <w:tcBorders>
              <w:top w:val="nil"/>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plant and equipment</w:t>
            </w:r>
          </w:p>
        </w:tc>
        <w:tc>
          <w:tcPr>
            <w:tcW w:w="2062" w:type="dxa"/>
            <w:tcBorders>
              <w:top w:val="nil"/>
              <w:bottom w:val="single" w:sz="6" w:space="0" w:color="000000" w:themeColor="text1"/>
            </w:tcBorders>
            <w:shd w:val="clear" w:color="auto" w:fill="EBEBEB" w:themeFill="background2"/>
          </w:tcPr>
          <w:p w:rsidR="00C60770"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5-10 years </w:t>
            </w:r>
          </w:p>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(7 years)</w:t>
            </w:r>
          </w:p>
        </w:tc>
        <w:tc>
          <w:tcPr>
            <w:tcW w:w="3464" w:type="dxa"/>
            <w:tcBorders>
              <w:top w:val="nil"/>
              <w:bottom w:val="single" w:sz="6" w:space="0" w:color="000000" w:themeColor="text1"/>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4B76C7" w:rsidRPr="00892DE3" w:rsidRDefault="004B76C7" w:rsidP="004B76C7">
            <w:pPr>
              <w:ind w:left="0" w:firstLine="0"/>
              <w:rPr>
                <w:rFonts w:cstheme="majorHAnsi"/>
                <w:b/>
                <w:sz w:val="17"/>
              </w:rPr>
            </w:pPr>
            <w:r w:rsidRPr="00892DE3">
              <w:rPr>
                <w:rFonts w:cstheme="majorHAnsi"/>
                <w:b/>
                <w:sz w:val="17"/>
              </w:rPr>
              <w:t>Infrastructure</w:t>
            </w:r>
          </w:p>
        </w:tc>
        <w:tc>
          <w:tcPr>
            <w:tcW w:w="1207"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Depreciated replacement cost</w:t>
            </w:r>
          </w:p>
        </w:tc>
        <w:tc>
          <w:tcPr>
            <w:tcW w:w="1628"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Cost per unit</w:t>
            </w:r>
          </w:p>
        </w:tc>
        <w:tc>
          <w:tcPr>
            <w:tcW w:w="2062" w:type="dxa"/>
            <w:tcBorders>
              <w:top w:val="single" w:sz="6" w:space="0" w:color="000000" w:themeColor="text1"/>
              <w:bottom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$5 000-$8 000 per unit</w:t>
            </w:r>
          </w:p>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($7 000 per unit)</w:t>
            </w:r>
          </w:p>
        </w:tc>
        <w:tc>
          <w:tcPr>
            <w:tcW w:w="3464" w:type="dxa"/>
            <w:tcBorders>
              <w:top w:val="single" w:sz="6" w:space="0" w:color="000000" w:themeColor="text1"/>
              <w:bottom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cost per unit would result in a significantly higher or lower fair value.</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rsidR="004B76C7" w:rsidRPr="00892DE3" w:rsidRDefault="004B76C7" w:rsidP="004B76C7">
            <w:pPr>
              <w:ind w:left="0" w:firstLine="0"/>
              <w:rPr>
                <w:rFonts w:cstheme="majorHAnsi"/>
                <w:b/>
                <w:sz w:val="17"/>
              </w:rPr>
            </w:pPr>
          </w:p>
        </w:tc>
        <w:tc>
          <w:tcPr>
            <w:tcW w:w="1207" w:type="dxa"/>
            <w:tcBorders>
              <w:top w:val="nil"/>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the infrastructure</w:t>
            </w:r>
          </w:p>
        </w:tc>
        <w:tc>
          <w:tcPr>
            <w:tcW w:w="2062" w:type="dxa"/>
            <w:tcBorders>
              <w:top w:val="nil"/>
              <w:bottom w:val="single" w:sz="6" w:space="0" w:color="000000" w:themeColor="text1"/>
            </w:tcBorders>
            <w:shd w:val="clear" w:color="auto" w:fill="EBEBEB" w:themeFill="background2"/>
          </w:tcPr>
          <w:p w:rsidR="00C60770"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10 to 32 years </w:t>
            </w:r>
          </w:p>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(15 years)</w:t>
            </w:r>
          </w:p>
        </w:tc>
        <w:tc>
          <w:tcPr>
            <w:tcW w:w="3464" w:type="dxa"/>
            <w:tcBorders>
              <w:top w:val="nil"/>
              <w:bottom w:val="single" w:sz="6" w:space="0" w:color="000000" w:themeColor="text1"/>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4B76C7" w:rsidRPr="00892DE3" w:rsidRDefault="004B76C7" w:rsidP="004B76C7">
            <w:pPr>
              <w:ind w:left="0" w:firstLine="0"/>
              <w:rPr>
                <w:rFonts w:cstheme="majorHAnsi"/>
                <w:b/>
                <w:sz w:val="17"/>
              </w:rPr>
            </w:pPr>
            <w:r w:rsidRPr="00892DE3">
              <w:rPr>
                <w:rFonts w:cstheme="majorHAnsi"/>
                <w:b/>
                <w:sz w:val="17"/>
              </w:rPr>
              <w:t>Road, infrastructure and earthworks</w:t>
            </w:r>
          </w:p>
        </w:tc>
        <w:tc>
          <w:tcPr>
            <w:tcW w:w="1207"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Depreciated replacement cost</w:t>
            </w:r>
          </w:p>
        </w:tc>
        <w:tc>
          <w:tcPr>
            <w:tcW w:w="1628" w:type="dxa"/>
            <w:tcBorders>
              <w:top w:val="single" w:sz="6" w:space="0" w:color="000000" w:themeColor="text1"/>
              <w:bottom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Cost per metre</w:t>
            </w:r>
          </w:p>
        </w:tc>
        <w:tc>
          <w:tcPr>
            <w:tcW w:w="2062" w:type="dxa"/>
            <w:tcBorders>
              <w:top w:val="single" w:sz="6" w:space="0" w:color="000000" w:themeColor="text1"/>
              <w:bottom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$500-$650 per metre</w:t>
            </w:r>
          </w:p>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($600 per metre)</w:t>
            </w:r>
          </w:p>
        </w:tc>
        <w:tc>
          <w:tcPr>
            <w:tcW w:w="3464" w:type="dxa"/>
            <w:tcBorders>
              <w:top w:val="single" w:sz="6" w:space="0" w:color="000000" w:themeColor="text1"/>
              <w:bottom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cost per metre would result in a significantly higher or lower fair value.</w:t>
            </w:r>
          </w:p>
        </w:tc>
      </w:tr>
      <w:tr w:rsidR="004B76C7" w:rsidRPr="00892DE3" w:rsidTr="00C60770">
        <w:tc>
          <w:tcPr>
            <w:cnfStyle w:val="001000000000" w:firstRow="0" w:lastRow="0" w:firstColumn="1" w:lastColumn="0" w:oddVBand="0" w:evenVBand="0" w:oddHBand="0" w:evenHBand="0" w:firstRowFirstColumn="0" w:firstRowLastColumn="0" w:lastRowFirstColumn="0" w:lastRowLastColumn="0"/>
            <w:tcW w:w="1276" w:type="dxa"/>
            <w:tcBorders>
              <w:top w:val="nil"/>
            </w:tcBorders>
          </w:tcPr>
          <w:p w:rsidR="004B76C7" w:rsidRPr="00892DE3" w:rsidRDefault="004B76C7" w:rsidP="004B76C7">
            <w:pPr>
              <w:ind w:left="0" w:firstLine="0"/>
              <w:rPr>
                <w:rFonts w:cstheme="majorHAnsi"/>
                <w:b/>
                <w:bCs/>
                <w:sz w:val="17"/>
              </w:rPr>
            </w:pPr>
          </w:p>
        </w:tc>
        <w:tc>
          <w:tcPr>
            <w:tcW w:w="1207" w:type="dxa"/>
            <w:tcBorders>
              <w:top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tcBorders>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the road, infrastructure and earthworks</w:t>
            </w:r>
          </w:p>
        </w:tc>
        <w:tc>
          <w:tcPr>
            <w:tcW w:w="2062" w:type="dxa"/>
            <w:tcBorders>
              <w:top w:val="nil"/>
            </w:tcBorders>
            <w:shd w:val="clear" w:color="auto" w:fill="EBEBEB" w:themeFill="background2"/>
          </w:tcPr>
          <w:p w:rsidR="00C60770"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60 to 90 years </w:t>
            </w:r>
          </w:p>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(75 years)</w:t>
            </w:r>
          </w:p>
        </w:tc>
        <w:tc>
          <w:tcPr>
            <w:tcW w:w="3464" w:type="dxa"/>
            <w:tcBorders>
              <w:top w:val="nil"/>
            </w:tcBorders>
            <w:shd w:val="clear" w:color="auto" w:fill="EBEBEB" w:themeFill="background2"/>
          </w:tcPr>
          <w:p w:rsidR="004B76C7" w:rsidRPr="00892DE3" w:rsidRDefault="004B76C7" w:rsidP="004B76C7">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bl>
    <w:p w:rsidR="008C696A" w:rsidRPr="00892DE3" w:rsidRDefault="008C696A" w:rsidP="008C696A">
      <w:pPr>
        <w:pStyle w:val="Note"/>
      </w:pPr>
      <w:r w:rsidRPr="00892DE3">
        <w:t>Note:</w:t>
      </w:r>
    </w:p>
    <w:p w:rsidR="008C696A" w:rsidRPr="00892DE3" w:rsidRDefault="00C60770" w:rsidP="008C696A">
      <w:pPr>
        <w:pStyle w:val="Note"/>
      </w:pPr>
      <w:r w:rsidRPr="00892DE3">
        <w:t>(a</w:t>
      </w:r>
      <w:r w:rsidR="008C696A" w:rsidRPr="00892DE3">
        <w:t>)</w:t>
      </w:r>
      <w:r w:rsidR="008C696A" w:rsidRPr="00892DE3">
        <w:tab/>
        <w:t xml:space="preserve">[Illustrations on the valuation techniques and significant unobservable inputs are indicative and should not be directly used without consultation with entities’ independent valuer. </w:t>
      </w:r>
      <w:r w:rsidR="002052A4" w:rsidRPr="00892DE3">
        <w:t>Please note AASB 13 Fair Value Measurement provides an exemption for not</w:t>
      </w:r>
      <w:r w:rsidR="002052A4" w:rsidRPr="00892DE3">
        <w:noBreakHyphen/>
        <w:t xml:space="preserve">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 in the shaded </w:t>
      </w:r>
      <w:r w:rsidR="008C696A" w:rsidRPr="00892DE3">
        <w:t>columns.]</w:t>
      </w:r>
    </w:p>
    <w:p w:rsidR="008C696A" w:rsidRPr="00892DE3" w:rsidRDefault="00C60770" w:rsidP="008C696A">
      <w:pPr>
        <w:pStyle w:val="Note"/>
      </w:pPr>
      <w:r w:rsidRPr="00892DE3">
        <w:t>(b</w:t>
      </w:r>
      <w:r w:rsidR="008C696A" w:rsidRPr="00892DE3">
        <w:t>)</w:t>
      </w:r>
      <w:r w:rsidR="008C696A" w:rsidRPr="00892DE3">
        <w:tab/>
        <w:t>CSO adjustments ranging from 50 per cent to 70 per cent were applied to reduce the market approach value for the Department’s specialised land, with the weighted average 60 per cent reduction applied.</w:t>
      </w:r>
    </w:p>
    <w:p w:rsidR="008C696A" w:rsidRPr="00892DE3" w:rsidRDefault="00C60770" w:rsidP="008C696A">
      <w:pPr>
        <w:pStyle w:val="Note"/>
      </w:pPr>
      <w:r w:rsidRPr="00892DE3">
        <w:t>(c</w:t>
      </w:r>
      <w:r w:rsidR="008C696A" w:rsidRPr="00892DE3">
        <w:t>)</w:t>
      </w:r>
      <w:r w:rsidR="008C696A" w:rsidRPr="00892DE3">
        <w:tab/>
        <w:t>For some heritage and iconic assets, cost may be the reproduction cost of the asset rather than the replacement cost if their service potential could only be replaced by reproducing them with the same materials.</w:t>
      </w:r>
    </w:p>
    <w:p w:rsidR="008C696A" w:rsidRPr="00892DE3" w:rsidRDefault="008C696A" w:rsidP="008C696A"/>
    <w:p w:rsidR="00704368" w:rsidRPr="00892DE3" w:rsidRDefault="008C696A" w:rsidP="008C696A">
      <w:r w:rsidRPr="00892DE3">
        <w:t>Significant unobservable inputs have remained unchanged since June 2016.</w:t>
      </w:r>
    </w:p>
    <w:p w:rsidR="00704368" w:rsidRPr="00892DE3" w:rsidRDefault="00704368" w:rsidP="00704368"/>
    <w:p w:rsidR="00B07C01" w:rsidRPr="00892DE3" w:rsidRDefault="00B07C01" w:rsidP="00C60770">
      <w:pPr>
        <w:pStyle w:val="TableHeading"/>
        <w:ind w:left="0" w:firstLine="0"/>
        <w:rPr>
          <w:b w:val="0"/>
        </w:rPr>
      </w:pPr>
      <w:r w:rsidRPr="00892DE3">
        <w:t xml:space="preserve">Investment properties measured at fair value and their categorisation in the fair value hierarchy </w:t>
      </w:r>
      <w:r w:rsidR="00C60770" w:rsidRPr="00892DE3">
        <w:br/>
      </w:r>
      <w:r w:rsidRPr="00892DE3">
        <w:rPr>
          <w:rStyle w:val="SourceReference"/>
          <w:b w:val="0"/>
        </w:rPr>
        <w:t>[AASB 13.93 (a)(b)]</w:t>
      </w:r>
    </w:p>
    <w:p w:rsidR="00B07C01" w:rsidRPr="00892DE3" w:rsidRDefault="00B07C01" w:rsidP="00B07C01">
      <w:pPr>
        <w:pStyle w:val="TableUnits"/>
      </w:pPr>
      <w:r w:rsidRPr="00892DE3">
        <w:t>($ thousand)</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3686"/>
        <w:gridCol w:w="992"/>
        <w:gridCol w:w="1860"/>
        <w:gridCol w:w="1607"/>
        <w:gridCol w:w="1492"/>
      </w:tblGrid>
      <w:tr w:rsidR="00B07C01" w:rsidRPr="00892DE3" w:rsidTr="00B07C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hideMark/>
          </w:tcPr>
          <w:p w:rsidR="00B07C01" w:rsidRPr="00892DE3" w:rsidRDefault="00B07C01" w:rsidP="00B07C01">
            <w:pPr>
              <w:ind w:left="0" w:firstLine="0"/>
            </w:pPr>
          </w:p>
        </w:tc>
        <w:tc>
          <w:tcPr>
            <w:tcW w:w="992" w:type="dxa"/>
            <w:noWrap/>
            <w:hideMark/>
          </w:tcPr>
          <w:p w:rsidR="00B07C01" w:rsidRPr="00892DE3" w:rsidRDefault="00B07C01" w:rsidP="00B07C01">
            <w:pPr>
              <w:cnfStyle w:val="100000000000" w:firstRow="1" w:lastRow="0" w:firstColumn="0" w:lastColumn="0" w:oddVBand="0" w:evenVBand="0" w:oddHBand="0" w:evenHBand="0" w:firstRowFirstColumn="0" w:firstRowLastColumn="0" w:lastRowFirstColumn="0" w:lastRowLastColumn="0"/>
            </w:pPr>
            <w:r w:rsidRPr="00892DE3">
              <w:t xml:space="preserve">Carrying </w:t>
            </w:r>
          </w:p>
        </w:tc>
        <w:tc>
          <w:tcPr>
            <w:tcW w:w="4959" w:type="dxa"/>
            <w:gridSpan w:val="3"/>
            <w:hideMark/>
          </w:tcPr>
          <w:p w:rsidR="00B07C01" w:rsidRPr="00892DE3" w:rsidRDefault="00B07C01" w:rsidP="00B07C01">
            <w:pPr>
              <w:jc w:val="center"/>
              <w:cnfStyle w:val="100000000000" w:firstRow="1" w:lastRow="0" w:firstColumn="0" w:lastColumn="0" w:oddVBand="0" w:evenVBand="0" w:oddHBand="0" w:evenHBand="0" w:firstRowFirstColumn="0" w:firstRowLastColumn="0" w:lastRowFirstColumn="0" w:lastRowLastColumn="0"/>
            </w:pPr>
            <w:r w:rsidRPr="00892DE3">
              <w:t>Fair value measurement at end of reporting period using:</w:t>
            </w:r>
          </w:p>
        </w:tc>
      </w:tr>
      <w:tr w:rsidR="00B07C01" w:rsidRPr="00892DE3" w:rsidTr="00B07C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rsidR="00B07C01" w:rsidRPr="00892DE3" w:rsidRDefault="00B07C01" w:rsidP="00B07C01">
            <w:pPr>
              <w:ind w:left="0" w:firstLine="0"/>
            </w:pPr>
            <w:r w:rsidRPr="00892DE3">
              <w:t>2017</w:t>
            </w:r>
          </w:p>
        </w:tc>
        <w:tc>
          <w:tcPr>
            <w:tcW w:w="992" w:type="dxa"/>
            <w:noWrap/>
          </w:tcPr>
          <w:p w:rsidR="00B07C01" w:rsidRPr="00892DE3" w:rsidRDefault="00B07C01" w:rsidP="00B07C01">
            <w:pPr>
              <w:cnfStyle w:val="100000000000" w:firstRow="1" w:lastRow="0" w:firstColumn="0" w:lastColumn="0" w:oddVBand="0" w:evenVBand="0" w:oddHBand="0" w:evenHBand="0" w:firstRowFirstColumn="0" w:firstRowLastColumn="0" w:lastRowFirstColumn="0" w:lastRowLastColumn="0"/>
            </w:pPr>
            <w:r w:rsidRPr="00892DE3">
              <w:t>amount</w:t>
            </w:r>
          </w:p>
        </w:tc>
        <w:tc>
          <w:tcPr>
            <w:tcW w:w="1860" w:type="dxa"/>
            <w:noWrap/>
          </w:tcPr>
          <w:p w:rsidR="00B07C01" w:rsidRPr="00892DE3" w:rsidRDefault="00B07C01" w:rsidP="00B07C01">
            <w:pPr>
              <w:cnfStyle w:val="100000000000" w:firstRow="1" w:lastRow="0" w:firstColumn="0" w:lastColumn="0" w:oddVBand="0" w:evenVBand="0" w:oddHBand="0" w:evenHBand="0" w:firstRowFirstColumn="0" w:firstRowLastColumn="0" w:lastRowFirstColumn="0" w:lastRowLastColumn="0"/>
            </w:pPr>
            <w:r w:rsidRPr="00892DE3">
              <w:t xml:space="preserve">Level 1 </w:t>
            </w:r>
            <w:r w:rsidR="00C60770" w:rsidRPr="00892DE3">
              <w:rPr>
                <w:vertAlign w:val="superscript"/>
              </w:rPr>
              <w:t>(a</w:t>
            </w:r>
            <w:r w:rsidRPr="00892DE3">
              <w:rPr>
                <w:vertAlign w:val="superscript"/>
              </w:rPr>
              <w:t>)</w:t>
            </w:r>
          </w:p>
        </w:tc>
        <w:tc>
          <w:tcPr>
            <w:tcW w:w="1607" w:type="dxa"/>
            <w:noWrap/>
          </w:tcPr>
          <w:p w:rsidR="00B07C01" w:rsidRPr="00892DE3" w:rsidRDefault="00B07C01" w:rsidP="00B07C01">
            <w:pPr>
              <w:cnfStyle w:val="100000000000" w:firstRow="1" w:lastRow="0" w:firstColumn="0" w:lastColumn="0" w:oddVBand="0" w:evenVBand="0" w:oddHBand="0" w:evenHBand="0" w:firstRowFirstColumn="0" w:firstRowLastColumn="0" w:lastRowFirstColumn="0" w:lastRowLastColumn="0"/>
            </w:pPr>
            <w:r w:rsidRPr="00892DE3">
              <w:t xml:space="preserve">Level 2 </w:t>
            </w:r>
            <w:r w:rsidR="00C60770" w:rsidRPr="00892DE3">
              <w:rPr>
                <w:vertAlign w:val="superscript"/>
              </w:rPr>
              <w:t>(a</w:t>
            </w:r>
            <w:r w:rsidRPr="00892DE3">
              <w:rPr>
                <w:vertAlign w:val="superscript"/>
              </w:rPr>
              <w:t>)</w:t>
            </w:r>
          </w:p>
        </w:tc>
        <w:tc>
          <w:tcPr>
            <w:tcW w:w="1492" w:type="dxa"/>
            <w:noWrap/>
          </w:tcPr>
          <w:p w:rsidR="00B07C01" w:rsidRPr="00892DE3" w:rsidRDefault="00B07C01" w:rsidP="00B07C01">
            <w:pPr>
              <w:cnfStyle w:val="100000000000" w:firstRow="1" w:lastRow="0" w:firstColumn="0" w:lastColumn="0" w:oddVBand="0" w:evenVBand="0" w:oddHBand="0" w:evenHBand="0" w:firstRowFirstColumn="0" w:firstRowLastColumn="0" w:lastRowFirstColumn="0" w:lastRowLastColumn="0"/>
            </w:pPr>
            <w:r w:rsidRPr="00892DE3">
              <w:t xml:space="preserve">Level 3 </w:t>
            </w:r>
            <w:r w:rsidR="00C60770" w:rsidRPr="00892DE3">
              <w:rPr>
                <w:vertAlign w:val="superscript"/>
              </w:rPr>
              <w:t>(a</w:t>
            </w:r>
            <w:r w:rsidRPr="00892DE3">
              <w:rPr>
                <w:vertAlign w:val="superscript"/>
              </w:rPr>
              <w:t>)</w:t>
            </w:r>
          </w:p>
        </w:tc>
      </w:tr>
      <w:tr w:rsidR="00B07C01" w:rsidRPr="00892DE3" w:rsidTr="00B07C01">
        <w:tc>
          <w:tcPr>
            <w:cnfStyle w:val="001000000000" w:firstRow="0" w:lastRow="0" w:firstColumn="1" w:lastColumn="0" w:oddVBand="0" w:evenVBand="0" w:oddHBand="0" w:evenHBand="0" w:firstRowFirstColumn="0" w:firstRowLastColumn="0" w:lastRowFirstColumn="0" w:lastRowLastColumn="0"/>
            <w:tcW w:w="3686" w:type="dxa"/>
            <w:hideMark/>
          </w:tcPr>
          <w:p w:rsidR="00B07C01" w:rsidRPr="00892DE3" w:rsidRDefault="00B07C01" w:rsidP="00B07C01">
            <w:pPr>
              <w:rPr>
                <w:rFonts w:cstheme="majorHAnsi"/>
              </w:rPr>
            </w:pPr>
            <w:r w:rsidRPr="00892DE3">
              <w:rPr>
                <w:rFonts w:cstheme="majorHAnsi"/>
              </w:rPr>
              <w:t>Investment properties</w:t>
            </w:r>
          </w:p>
        </w:tc>
        <w:tc>
          <w:tcPr>
            <w:tcW w:w="992" w:type="dxa"/>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2 354</w:t>
            </w:r>
          </w:p>
        </w:tc>
        <w:tc>
          <w:tcPr>
            <w:tcW w:w="1860" w:type="dxa"/>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607" w:type="dxa"/>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2 354</w:t>
            </w:r>
          </w:p>
        </w:tc>
        <w:tc>
          <w:tcPr>
            <w:tcW w:w="1492" w:type="dxa"/>
            <w:noWrap/>
            <w:hideMark/>
          </w:tcPr>
          <w:p w:rsidR="00B07C01" w:rsidRPr="00892DE3" w:rsidRDefault="00C60770"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B07C01" w:rsidRPr="00892DE3" w:rsidRDefault="00B07C01"/>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3686"/>
        <w:gridCol w:w="992"/>
        <w:gridCol w:w="1860"/>
        <w:gridCol w:w="1607"/>
        <w:gridCol w:w="1492"/>
      </w:tblGrid>
      <w:tr w:rsidR="00B07C01" w:rsidRPr="00892DE3" w:rsidTr="00B0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B07C01" w:rsidRPr="00892DE3" w:rsidRDefault="00C60770" w:rsidP="00B07C01">
            <w:pPr>
              <w:ind w:left="0" w:firstLine="0"/>
            </w:pPr>
            <w:r w:rsidRPr="00892DE3">
              <w:t>2016</w:t>
            </w:r>
          </w:p>
        </w:tc>
        <w:tc>
          <w:tcPr>
            <w:tcW w:w="992" w:type="dxa"/>
            <w:noWrap/>
          </w:tcPr>
          <w:p w:rsidR="00B07C01" w:rsidRPr="00892DE3" w:rsidRDefault="00B07C01" w:rsidP="00B07C01">
            <w:pPr>
              <w:cnfStyle w:val="100000000000" w:firstRow="1" w:lastRow="0" w:firstColumn="0" w:lastColumn="0" w:oddVBand="0" w:evenVBand="0" w:oddHBand="0" w:evenHBand="0" w:firstRowFirstColumn="0" w:firstRowLastColumn="0" w:lastRowFirstColumn="0" w:lastRowLastColumn="0"/>
            </w:pPr>
          </w:p>
        </w:tc>
        <w:tc>
          <w:tcPr>
            <w:tcW w:w="1860" w:type="dxa"/>
            <w:noWrap/>
          </w:tcPr>
          <w:p w:rsidR="00B07C01" w:rsidRPr="00892DE3" w:rsidRDefault="00B07C01" w:rsidP="00B07C01">
            <w:pPr>
              <w:cnfStyle w:val="100000000000" w:firstRow="1" w:lastRow="0" w:firstColumn="0" w:lastColumn="0" w:oddVBand="0" w:evenVBand="0" w:oddHBand="0" w:evenHBand="0" w:firstRowFirstColumn="0" w:firstRowLastColumn="0" w:lastRowFirstColumn="0" w:lastRowLastColumn="0"/>
            </w:pPr>
          </w:p>
        </w:tc>
        <w:tc>
          <w:tcPr>
            <w:tcW w:w="1607" w:type="dxa"/>
            <w:noWrap/>
          </w:tcPr>
          <w:p w:rsidR="00B07C01" w:rsidRPr="00892DE3" w:rsidRDefault="00B07C01" w:rsidP="00B07C01">
            <w:pPr>
              <w:cnfStyle w:val="100000000000" w:firstRow="1" w:lastRow="0" w:firstColumn="0" w:lastColumn="0" w:oddVBand="0" w:evenVBand="0" w:oddHBand="0" w:evenHBand="0" w:firstRowFirstColumn="0" w:firstRowLastColumn="0" w:lastRowFirstColumn="0" w:lastRowLastColumn="0"/>
            </w:pPr>
          </w:p>
        </w:tc>
        <w:tc>
          <w:tcPr>
            <w:tcW w:w="1492" w:type="dxa"/>
            <w:noWrap/>
          </w:tcPr>
          <w:p w:rsidR="00B07C01" w:rsidRPr="00892DE3" w:rsidRDefault="00B07C01" w:rsidP="00B07C01">
            <w:pPr>
              <w:cnfStyle w:val="100000000000" w:firstRow="1" w:lastRow="0" w:firstColumn="0" w:lastColumn="0" w:oddVBand="0" w:evenVBand="0" w:oddHBand="0" w:evenHBand="0" w:firstRowFirstColumn="0" w:firstRowLastColumn="0" w:lastRowFirstColumn="0" w:lastRowLastColumn="0"/>
            </w:pPr>
          </w:p>
        </w:tc>
      </w:tr>
      <w:tr w:rsidR="00B07C01" w:rsidRPr="00892DE3" w:rsidTr="00B07C01">
        <w:tc>
          <w:tcPr>
            <w:cnfStyle w:val="001000000000" w:firstRow="0" w:lastRow="0" w:firstColumn="1" w:lastColumn="0" w:oddVBand="0" w:evenVBand="0" w:oddHBand="0" w:evenHBand="0" w:firstRowFirstColumn="0" w:firstRowLastColumn="0" w:lastRowFirstColumn="0" w:lastRowLastColumn="0"/>
            <w:tcW w:w="3686" w:type="dxa"/>
            <w:hideMark/>
          </w:tcPr>
          <w:p w:rsidR="00B07C01" w:rsidRPr="00892DE3" w:rsidRDefault="00B07C01" w:rsidP="00B07C01">
            <w:pPr>
              <w:rPr>
                <w:rFonts w:cstheme="majorHAnsi"/>
              </w:rPr>
            </w:pPr>
            <w:r w:rsidRPr="00892DE3">
              <w:rPr>
                <w:rFonts w:cstheme="majorHAnsi"/>
              </w:rPr>
              <w:t>Investment properties</w:t>
            </w:r>
          </w:p>
        </w:tc>
        <w:tc>
          <w:tcPr>
            <w:tcW w:w="992" w:type="dxa"/>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5 029</w:t>
            </w:r>
          </w:p>
        </w:tc>
        <w:tc>
          <w:tcPr>
            <w:tcW w:w="1860" w:type="dxa"/>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607" w:type="dxa"/>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5 029</w:t>
            </w:r>
          </w:p>
        </w:tc>
        <w:tc>
          <w:tcPr>
            <w:tcW w:w="1492" w:type="dxa"/>
            <w:noWrap/>
            <w:hideMark/>
          </w:tcPr>
          <w:p w:rsidR="00B07C01" w:rsidRPr="00892DE3" w:rsidRDefault="00C60770"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B07C01" w:rsidRPr="00892DE3" w:rsidRDefault="00B07C01" w:rsidP="00B07C01">
      <w:pPr>
        <w:pStyle w:val="Note"/>
      </w:pPr>
      <w:r w:rsidRPr="00892DE3">
        <w:t>Note:</w:t>
      </w:r>
    </w:p>
    <w:p w:rsidR="00B07C01" w:rsidRPr="00892DE3" w:rsidRDefault="00C60770" w:rsidP="00B07C01">
      <w:pPr>
        <w:pStyle w:val="Note"/>
      </w:pPr>
      <w:r w:rsidRPr="00892DE3">
        <w:t>(a</w:t>
      </w:r>
      <w:r w:rsidR="00B07C01" w:rsidRPr="00892DE3">
        <w:t>)</w:t>
      </w:r>
      <w:r w:rsidR="00B07C01" w:rsidRPr="00892DE3">
        <w:tab/>
        <w:t>Classified in accordance with the fair value hierarchy.</w:t>
      </w:r>
    </w:p>
    <w:p w:rsidR="00B07C01" w:rsidRPr="00892DE3" w:rsidRDefault="00B07C01" w:rsidP="00B07C01"/>
    <w:p w:rsidR="00B07C01" w:rsidRPr="00892DE3" w:rsidRDefault="00B07C01" w:rsidP="00B07C01">
      <w:r w:rsidRPr="00892DE3">
        <w:t xml:space="preserve">There have been no transfers between levels during the period. There were no changes in valuation techniques throughout the period to 30 June 2017. </w:t>
      </w:r>
      <w:r w:rsidRPr="00892DE3">
        <w:rPr>
          <w:rStyle w:val="SourceReference"/>
        </w:rPr>
        <w:t>[AASB 13.93(c), AASB 13.66]</w:t>
      </w:r>
      <w:r w:rsidRPr="00892DE3">
        <w:t xml:space="preserve"> </w:t>
      </w:r>
    </w:p>
    <w:p w:rsidR="00B07C01" w:rsidRPr="00892DE3" w:rsidRDefault="00B07C01" w:rsidP="00B07C01">
      <w:r w:rsidRPr="00892DE3">
        <w:t xml:space="preserve">For investment properties measured at fair value, the current use of the asset is considered the highest and best use. </w:t>
      </w:r>
      <w:r w:rsidRPr="00892DE3">
        <w:rPr>
          <w:rStyle w:val="SourceReference"/>
        </w:rPr>
        <w:t>[AASB 13.93(i)]</w:t>
      </w:r>
    </w:p>
    <w:p w:rsidR="00B07C01" w:rsidRPr="00892DE3" w:rsidRDefault="00B07C01" w:rsidP="00B07C01">
      <w:r w:rsidRPr="00892DE3">
        <w:t>The fair value of the Department’s investment properties at 30 June 2017 have been arrived at on the basis of an independent valuation carried out by independent valuers, Norton and Prime Pty Ltd.</w:t>
      </w:r>
    </w:p>
    <w:p w:rsidR="00B07C01" w:rsidRPr="00892DE3" w:rsidRDefault="00B07C01" w:rsidP="00B07C01">
      <w:r w:rsidRPr="00892DE3">
        <w:t xml:space="preserve">The valuation was determined by reference to market evidence of transaction prices for similar properties with no significant unobservable adjustments, in the same location and condition and subject to similar lease and other contracts. </w:t>
      </w:r>
      <w:r w:rsidRPr="00892DE3">
        <w:rPr>
          <w:rStyle w:val="SourceReference"/>
        </w:rPr>
        <w:t>[AASB 13.93(d)]</w:t>
      </w:r>
    </w:p>
    <w:p w:rsidR="00B07C01" w:rsidRPr="00892DE3" w:rsidRDefault="00B07C01" w:rsidP="00B07C01">
      <w:r w:rsidRPr="00892DE3">
        <w:t>Norton and Prime Pty Ltd has more than 20 years</w:t>
      </w:r>
      <w:r w:rsidR="00582A89" w:rsidRPr="00892DE3">
        <w:t>’</w:t>
      </w:r>
      <w:r w:rsidRPr="00892DE3">
        <w:t xml:space="preserve"> experience valuing similar commercial properties in Melbourne</w:t>
      </w:r>
      <w:r w:rsidR="00582A89" w:rsidRPr="00892DE3">
        <w:t>’s</w:t>
      </w:r>
      <w:r w:rsidRPr="00892DE3">
        <w:t xml:space="preserve"> CBD.</w:t>
      </w:r>
    </w:p>
    <w:p w:rsidR="00455E88" w:rsidRPr="00892DE3" w:rsidRDefault="00455E88" w:rsidP="00B07C01"/>
    <w:tbl>
      <w:tblPr>
        <w:tblStyle w:val="ModelReportGuidanceTable"/>
        <w:tblW w:w="0" w:type="auto"/>
        <w:tblLook w:val="04A0" w:firstRow="1" w:lastRow="0" w:firstColumn="1" w:lastColumn="0" w:noHBand="0" w:noVBand="1"/>
      </w:tblPr>
      <w:tblGrid>
        <w:gridCol w:w="9752"/>
      </w:tblGrid>
      <w:tr w:rsidR="00B07C01" w:rsidRPr="00892DE3" w:rsidTr="00B07C01">
        <w:trPr>
          <w:cnfStyle w:val="100000000000" w:firstRow="1" w:lastRow="0" w:firstColumn="0" w:lastColumn="0" w:oddVBand="0" w:evenVBand="0" w:oddHBand="0" w:evenHBand="0" w:firstRowFirstColumn="0" w:firstRowLastColumn="0" w:lastRowFirstColumn="0" w:lastRowLastColumn="0"/>
        </w:trPr>
        <w:tc>
          <w:tcPr>
            <w:tcW w:w="9854" w:type="dxa"/>
          </w:tcPr>
          <w:p w:rsidR="00B07C01" w:rsidRPr="00892DE3" w:rsidRDefault="00B07C01" w:rsidP="00B07C01">
            <w:r w:rsidRPr="00892DE3">
              <w:t xml:space="preserve">Guidance – Fair value determination: Non-financial physical assets </w:t>
            </w:r>
            <w:r w:rsidRPr="00892DE3">
              <w:rPr>
                <w:rStyle w:val="SourceReference"/>
                <w:b w:val="0"/>
                <w:color w:val="FFFFFF" w:themeColor="background1"/>
              </w:rPr>
              <w:t>[AASB 13.83]</w:t>
            </w:r>
          </w:p>
        </w:tc>
      </w:tr>
      <w:tr w:rsidR="00B07C01" w:rsidRPr="00892DE3" w:rsidTr="00B07C01">
        <w:tc>
          <w:tcPr>
            <w:tcW w:w="9854" w:type="dxa"/>
          </w:tcPr>
          <w:p w:rsidR="00B07C01" w:rsidRPr="00892DE3" w:rsidRDefault="00B07C01" w:rsidP="00B07C01">
            <w:r w:rsidRPr="00892DE3">
              <w:t xml:space="preserve">AASB 13 acknowledges that, unlike a Level 1 input, adjustments to Level 2 inputs may be more common, but will vary depending on the factors specific to the asset or liability. </w:t>
            </w:r>
          </w:p>
          <w:p w:rsidR="00B07C01" w:rsidRPr="00892DE3" w:rsidRDefault="00B07C01" w:rsidP="00B07C01">
            <w:r w:rsidRPr="00892DE3">
              <w:t>There are a number of reasons why an entity may need to make adjustments to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p>
          <w:p w:rsidR="00B07C01" w:rsidRPr="00892DE3" w:rsidRDefault="00B07C01" w:rsidP="00B07C01">
            <w:r w:rsidRPr="00892DE3">
              <w:t>If an adjustment to a Level 2 input is significant to the entire fair value measurement, it may affect the fair value measurement’s categorisation within the fair value hierarchy for disclosure purposes. If the adjustment uses significant unobservable inputs, it would need to be categorised within Level 3 of the hierarchy.</w:t>
            </w:r>
          </w:p>
          <w:p w:rsidR="00B07C01" w:rsidRPr="00892DE3" w:rsidRDefault="00B07C01" w:rsidP="00B07C01">
            <w:r w:rsidRPr="00892DE3">
              <w:t>For example, at Table 17.7 and Table 17.8, the ‘specialised land’ has been categorised within Level 3 of the fair value hierarchy. This was a direct result of the significant adjustment to Level 2 inputs (observable indirectly through corroboration with market data) for community service obligation (CSO)</w:t>
            </w:r>
            <w:r w:rsidR="00582A89" w:rsidRPr="00892DE3">
              <w:t>,</w:t>
            </w:r>
            <w:r w:rsidRPr="00892DE3">
              <w:t xml:space="preserve"> which was derived based on significant unobservable inputs. This can be contrasted with categorisation of ‘non-specialised land’, where no significant adjustments in similar vein to CSO were made to Level 2 inputs.</w:t>
            </w:r>
          </w:p>
          <w:p w:rsidR="00B07C01" w:rsidRPr="00892DE3" w:rsidRDefault="00B07C01" w:rsidP="00B07C01">
            <w:r w:rsidRPr="00892DE3">
              <w:rPr>
                <w:b/>
              </w:rPr>
              <w:t>Leasing transactions within the scope of AASB 117</w:t>
            </w:r>
            <w:r w:rsidRPr="00892DE3">
              <w:t xml:space="preserve"> </w:t>
            </w:r>
            <w:r w:rsidRPr="00892DE3">
              <w:rPr>
                <w:rStyle w:val="SourceReference"/>
              </w:rPr>
              <w:t>[AASB 13.6]</w:t>
            </w:r>
          </w:p>
          <w:p w:rsidR="00B07C01" w:rsidRPr="00892DE3" w:rsidRDefault="00B07C01" w:rsidP="00B07C01">
            <w:r w:rsidRPr="00892DE3">
              <w:t>The measurement and disclosure requirements of AASB 13 do not apply to leased property plant and equipment. The statement above with reference to the fair value of leases has been included in order to allow the user of the financial statements to reconcile the total value of ‘land at fair value’ as per Table 17.1 in the Model accounts to the detailed table as per Table 17.7 and Table 17.8 above.</w:t>
            </w:r>
          </w:p>
          <w:p w:rsidR="00B07C01" w:rsidRPr="00892DE3" w:rsidRDefault="00B07C01" w:rsidP="00B07C01">
            <w:r w:rsidRPr="00892DE3">
              <w:rPr>
                <w:b/>
              </w:rPr>
              <w:t>Exemption from disclosing quantitative information of Level 3 inputs</w:t>
            </w:r>
            <w:r w:rsidRPr="00892DE3">
              <w:t xml:space="preserve"> </w:t>
            </w:r>
            <w:r w:rsidRPr="00892DE3">
              <w:rPr>
                <w:rStyle w:val="SourceReference"/>
              </w:rPr>
              <w:t>[AASB 13. Aus93.1]</w:t>
            </w:r>
          </w:p>
          <w:p w:rsidR="00B07C01" w:rsidRPr="00892DE3" w:rsidRDefault="00343B96" w:rsidP="00455E88">
            <w:r w:rsidRPr="00892DE3">
              <w:t xml:space="preserve">AASB 13 provides an exemption for not-for-profit public sector entities from disclosing quantitative information of Level 3 inputs in relation to assets that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quantitative information about the significant unobservable inputs used in the fair value measurements categorised within Level 3 of the fair value hierarchy. </w:t>
            </w:r>
            <w:r w:rsidR="00B07C01" w:rsidRPr="00892DE3">
              <w:t xml:space="preserve"> </w:t>
            </w:r>
          </w:p>
        </w:tc>
      </w:tr>
    </w:tbl>
    <w:p w:rsidR="00B07C01" w:rsidRPr="00892DE3" w:rsidRDefault="00B07C01"/>
    <w:p w:rsidR="00455E88" w:rsidRPr="00892DE3" w:rsidRDefault="00455E88">
      <w:r w:rsidRPr="00892DE3">
        <w:rPr>
          <w:b/>
        </w:rPr>
        <w:br w:type="page"/>
      </w:r>
    </w:p>
    <w:tbl>
      <w:tblPr>
        <w:tblStyle w:val="ModelReportGuidanceTable"/>
        <w:tblW w:w="0" w:type="auto"/>
        <w:tblLook w:val="04A0" w:firstRow="1" w:lastRow="0" w:firstColumn="1" w:lastColumn="0" w:noHBand="0" w:noVBand="1"/>
      </w:tblPr>
      <w:tblGrid>
        <w:gridCol w:w="9752"/>
      </w:tblGrid>
      <w:tr w:rsidR="00B07C01" w:rsidRPr="00892DE3" w:rsidTr="00455E88">
        <w:trPr>
          <w:cnfStyle w:val="100000000000" w:firstRow="1" w:lastRow="0" w:firstColumn="0" w:lastColumn="0" w:oddVBand="0" w:evenVBand="0" w:oddHBand="0" w:evenHBand="0" w:firstRowFirstColumn="0" w:firstRowLastColumn="0" w:lastRowFirstColumn="0" w:lastRowLastColumn="0"/>
        </w:trPr>
        <w:tc>
          <w:tcPr>
            <w:tcW w:w="9752" w:type="dxa"/>
          </w:tcPr>
          <w:p w:rsidR="00B07C01" w:rsidRPr="00892DE3" w:rsidRDefault="00B07C01" w:rsidP="00B07C01">
            <w:r w:rsidRPr="00892DE3">
              <w:t xml:space="preserve">Guidance – Fair value determination: Non-financial physical assets </w:t>
            </w:r>
            <w:r w:rsidRPr="006932C9">
              <w:rPr>
                <w:i/>
              </w:rPr>
              <w:t>(continued)</w:t>
            </w:r>
          </w:p>
        </w:tc>
      </w:tr>
      <w:tr w:rsidR="00B07C01" w:rsidRPr="00892DE3" w:rsidTr="00455E88">
        <w:tc>
          <w:tcPr>
            <w:tcW w:w="9752" w:type="dxa"/>
          </w:tcPr>
          <w:p w:rsidR="00455E88" w:rsidRPr="00892DE3" w:rsidRDefault="00455E88" w:rsidP="00455E88">
            <w:r w:rsidRPr="00892DE3">
              <w:t xml:space="preserve">Specifically, paragraph Aus93.1 exempts not-for-profit public sector entities from applying the requirements in AASB 13.93(d) if the entity has assets within the scope of AASB 116 Property, Plant and Equipment for which the future economic benefits are not primarily dependent on the asset’s ability to generate net cash flows. Specifically, for fair value measurements that have been categorised within Level 3 of the fair value hierarchy, the entity will no longer be required to provide quantitative information about the ‘significant unobservable inputs’ used in the fair value measurement. </w:t>
            </w:r>
          </w:p>
          <w:p w:rsidR="00455E88" w:rsidRPr="00892DE3" w:rsidRDefault="00455E88" w:rsidP="00455E88">
            <w:r w:rsidRPr="00892DE3">
              <w:t>However, it is important to note entities will still be required to provide a description of the valuation techniques and the input used in the fair value measurement.</w:t>
            </w:r>
          </w:p>
          <w:p w:rsidR="00455E88" w:rsidRPr="00892DE3" w:rsidRDefault="00455E88" w:rsidP="00455E88">
            <w:r w:rsidRPr="00892DE3">
              <w:rPr>
                <w:b/>
              </w:rPr>
              <w:t>Changes in valuation techniques</w:t>
            </w:r>
            <w:r w:rsidRPr="00892DE3">
              <w:t xml:space="preserve"> </w:t>
            </w:r>
            <w:r w:rsidRPr="00892DE3">
              <w:rPr>
                <w:rStyle w:val="SourceReference"/>
              </w:rPr>
              <w:t>[AASB 13.66]</w:t>
            </w:r>
          </w:p>
          <w:p w:rsidR="00455E88" w:rsidRPr="00892DE3" w:rsidRDefault="00455E88" w:rsidP="00455E88">
            <w:r w:rsidRPr="00892DE3">
              <w:t>Revisions resulting from a change in the valuation technique or its application shall be accounted for as a change in accounting estimate in accordance with AASB 108. However, entities are exempted from the disclosure requirements in paragraphs 39 and 40 of AASB 108 for changes in valuation techniques.</w:t>
            </w:r>
          </w:p>
          <w:p w:rsidR="00455E88" w:rsidRPr="00892DE3" w:rsidRDefault="00455E88" w:rsidP="00455E88">
            <w:r w:rsidRPr="00892DE3">
              <w:rPr>
                <w:b/>
              </w:rPr>
              <w:t>Consideration of highest and best use for non-financial physical assets</w:t>
            </w:r>
            <w:r w:rsidRPr="00892DE3">
              <w:t>: Judgements about highest and best use</w:t>
            </w:r>
            <w:r w:rsidR="00582A89" w:rsidRPr="00892DE3">
              <w:t xml:space="preserve"> (HBU)</w:t>
            </w:r>
            <w:r w:rsidRPr="00892DE3">
              <w:t xml:space="preserve"> must take into account the characteristics of the assets concerned, including restrictions on the use and disposal of assets arising from the asset’s physical nature and any applicable legislative/contractual arrangements. </w:t>
            </w:r>
          </w:p>
          <w:p w:rsidR="00455E88" w:rsidRPr="00892DE3" w:rsidRDefault="00455E88" w:rsidP="00455E88">
            <w:r w:rsidRPr="00892DE3">
              <w:t xml:space="preserve">In considering the HBU for non-financial physical assets, valuers are probably best placed to determine HBU in consultation with entities. Entities and their valuers therefore need to have a shared understanding of the circumstances of the assets. An entity has to form its own view about a valuer’s determination, as the entity is ultimately responsible for what is presented in its audited financial statements. </w:t>
            </w:r>
          </w:p>
          <w:p w:rsidR="00455E88" w:rsidRPr="00892DE3" w:rsidRDefault="00455E88" w:rsidP="00455E88">
            <w:r w:rsidRPr="00892DE3">
              <w:t xml:space="preserve">In accordance with paragraph AASB 13.29, entities can assume the current use of a non-financial physical asset is its HBU unless market or other factors suggest that a different use by market participants would maximise the value of the asset. </w:t>
            </w:r>
          </w:p>
          <w:p w:rsidR="00455E88" w:rsidRPr="00892DE3" w:rsidRDefault="00455E88" w:rsidP="00455E88">
            <w:r w:rsidRPr="00892DE3">
              <w:t>Therefore, an assessment of the HBU will be required when the indicators are triggered within a reporting period, which suggest that the market participants would have perceived an alternative use of an asset that can generate maximum value. Once identified, entities are required to engage with the Valuer-General Victoria or other independent valuers for formal HBU assessment.</w:t>
            </w:r>
          </w:p>
          <w:p w:rsidR="00B07C01" w:rsidRPr="00892DE3" w:rsidRDefault="00B07C01" w:rsidP="00B07C01">
            <w:r w:rsidRPr="00892DE3">
              <w:t xml:space="preserve">These indicators, as a minimum, include: </w:t>
            </w:r>
          </w:p>
          <w:p w:rsidR="00B07C01" w:rsidRPr="00892DE3" w:rsidRDefault="00B07C01" w:rsidP="00B07C01">
            <w:r w:rsidRPr="00892DE3">
              <w:rPr>
                <w:b/>
              </w:rPr>
              <w:t>External indicators</w:t>
            </w:r>
            <w:r w:rsidRPr="00892DE3">
              <w:t>:</w:t>
            </w:r>
          </w:p>
          <w:p w:rsidR="00B07C01" w:rsidRPr="00892DE3" w:rsidRDefault="00B07C01" w:rsidP="00B07C01">
            <w:pPr>
              <w:pStyle w:val="ListBullet"/>
            </w:pPr>
            <w:r w:rsidRPr="00892DE3">
              <w:t>changed Acts, regulation, local law or such instrument, which affects or may affect the use or development of the asset;</w:t>
            </w:r>
          </w:p>
          <w:p w:rsidR="00B07C01" w:rsidRPr="00892DE3" w:rsidRDefault="00B07C01" w:rsidP="00B07C01">
            <w:pPr>
              <w:pStyle w:val="ListBullet"/>
            </w:pPr>
            <w:r w:rsidRPr="00892DE3">
              <w:t>changes in planning scheme</w:t>
            </w:r>
            <w:r w:rsidR="00582A89" w:rsidRPr="00892DE3">
              <w:t>s</w:t>
            </w:r>
            <w:r w:rsidRPr="00892DE3">
              <w:t>, including zones, reservations, overlays that would affect or remove the restrictions imposed on the assets’ use;</w:t>
            </w:r>
          </w:p>
          <w:p w:rsidR="00B07C01" w:rsidRPr="00892DE3" w:rsidRDefault="00B07C01" w:rsidP="00B07C01">
            <w:pPr>
              <w:pStyle w:val="ListBullet"/>
            </w:pPr>
            <w:r w:rsidRPr="00892DE3">
              <w:t>existence of government policies (e.g. Government Gazette)/public announcements with expectations that an asset will be used in certain way to support the service delivery;</w:t>
            </w:r>
          </w:p>
          <w:p w:rsidR="00B07C01" w:rsidRPr="00892DE3" w:rsidRDefault="00B07C01" w:rsidP="00B07C01">
            <w:pPr>
              <w:pStyle w:val="ListBullet"/>
            </w:pPr>
            <w:r w:rsidRPr="00892DE3">
              <w:t>government decisions declaring the asset’s redundancy or surplus; and</w:t>
            </w:r>
          </w:p>
          <w:p w:rsidR="00B07C01" w:rsidRPr="00892DE3" w:rsidRDefault="00B07C01" w:rsidP="00B07C01">
            <w:pPr>
              <w:pStyle w:val="ListBullet"/>
            </w:pPr>
            <w:r w:rsidRPr="00892DE3">
              <w:t>social environmental evidences indicating changes in public expectations of the assets’ use.</w:t>
            </w:r>
          </w:p>
          <w:p w:rsidR="00B07C01" w:rsidRPr="00892DE3" w:rsidRDefault="00B07C01" w:rsidP="00B07C01">
            <w:r w:rsidRPr="00892DE3">
              <w:rPr>
                <w:b/>
              </w:rPr>
              <w:t>Internal indicators</w:t>
            </w:r>
            <w:r w:rsidRPr="00892DE3">
              <w:t>:</w:t>
            </w:r>
          </w:p>
          <w:p w:rsidR="00B07C01" w:rsidRPr="00892DE3" w:rsidRDefault="00B07C01" w:rsidP="00B07C01">
            <w:pPr>
              <w:pStyle w:val="ListBullet"/>
            </w:pPr>
            <w:r w:rsidRPr="00892DE3">
              <w:t xml:space="preserve">where an asset use is within an entity’s discretion, any plans or intentions that have been formally communicated for a different use of the asset from its past use; </w:t>
            </w:r>
          </w:p>
          <w:p w:rsidR="00B07C01" w:rsidRPr="00892DE3" w:rsidRDefault="00B07C01" w:rsidP="00B07C01">
            <w:pPr>
              <w:pStyle w:val="ListBullet"/>
            </w:pPr>
            <w:r w:rsidRPr="00892DE3">
              <w:t>evidence that suggest</w:t>
            </w:r>
            <w:r w:rsidR="00582A89" w:rsidRPr="00892DE3">
              <w:t>s</w:t>
            </w:r>
            <w:r w:rsidRPr="00892DE3">
              <w:t xml:space="preserve"> the current use of an asset is no longer core to requirements to deliver an entity’s service obligation; and</w:t>
            </w:r>
          </w:p>
          <w:p w:rsidR="00B07C01" w:rsidRPr="00892DE3" w:rsidRDefault="00B07C01" w:rsidP="00B07C01">
            <w:pPr>
              <w:pStyle w:val="ListBullet"/>
            </w:pPr>
            <w:r w:rsidRPr="00892DE3">
              <w:t>evidence that suggests the asset might be sold or demolished as reaching the late stage of an asset’s life cycle.</w:t>
            </w:r>
          </w:p>
          <w:p w:rsidR="00B07C01" w:rsidRPr="00892DE3" w:rsidRDefault="00B07C01" w:rsidP="00082D03">
            <w:r w:rsidRPr="00892DE3">
              <w:t>In addition, entities need to ass</w:t>
            </w:r>
            <w:r w:rsidR="00582A89" w:rsidRPr="00892DE3">
              <w:t>ess the HBU as part of the five-</w:t>
            </w:r>
            <w:r w:rsidRPr="00892DE3">
              <w:t xml:space="preserve">year review for fair value of non-financial physical assets. This is consistent with the current requirements in FRD 103F </w:t>
            </w:r>
            <w:r w:rsidRPr="00B03F9B">
              <w:rPr>
                <w:i/>
              </w:rPr>
              <w:t>Non-financial physical assets</w:t>
            </w:r>
            <w:r w:rsidRPr="00892DE3">
              <w:t xml:space="preserve"> </w:t>
            </w:r>
            <w:r w:rsidR="00B03F9B">
              <w:t xml:space="preserve">(to be issued in June 2017) </w:t>
            </w:r>
            <w:r w:rsidRPr="00892DE3">
              <w:t xml:space="preserve">and FRD 107A </w:t>
            </w:r>
            <w:r w:rsidRPr="00B03F9B">
              <w:rPr>
                <w:i/>
              </w:rPr>
              <w:t>Investment Properties</w:t>
            </w:r>
            <w:r w:rsidRPr="00892DE3">
              <w:t>.</w:t>
            </w:r>
          </w:p>
        </w:tc>
      </w:tr>
    </w:tbl>
    <w:p w:rsidR="00B07C01" w:rsidRPr="00892DE3" w:rsidRDefault="00B07C01"/>
    <w:p w:rsidR="00082D03" w:rsidRPr="00892DE3" w:rsidRDefault="00082D03">
      <w:r w:rsidRPr="00892DE3">
        <w:rPr>
          <w:b/>
        </w:rPr>
        <w:br w:type="page"/>
      </w:r>
    </w:p>
    <w:tbl>
      <w:tblPr>
        <w:tblStyle w:val="ModelReportGuidanceTable"/>
        <w:tblW w:w="0" w:type="auto"/>
        <w:tblLook w:val="04A0" w:firstRow="1" w:lastRow="0" w:firstColumn="1" w:lastColumn="0" w:noHBand="0" w:noVBand="1"/>
      </w:tblPr>
      <w:tblGrid>
        <w:gridCol w:w="9752"/>
      </w:tblGrid>
      <w:tr w:rsidR="00B07C01" w:rsidRPr="00892DE3" w:rsidTr="00082D03">
        <w:trPr>
          <w:cnfStyle w:val="100000000000" w:firstRow="1" w:lastRow="0" w:firstColumn="0" w:lastColumn="0" w:oddVBand="0" w:evenVBand="0" w:oddHBand="0" w:evenHBand="0" w:firstRowFirstColumn="0" w:firstRowLastColumn="0" w:lastRowFirstColumn="0" w:lastRowLastColumn="0"/>
        </w:trPr>
        <w:tc>
          <w:tcPr>
            <w:tcW w:w="9752" w:type="dxa"/>
          </w:tcPr>
          <w:p w:rsidR="00B07C01" w:rsidRPr="00892DE3" w:rsidRDefault="00B07C01" w:rsidP="00B07C01">
            <w:r w:rsidRPr="00892DE3">
              <w:t xml:space="preserve">Guidance – Fair value determination: Non-financial physical assets </w:t>
            </w:r>
            <w:r w:rsidRPr="006932C9">
              <w:rPr>
                <w:i/>
              </w:rPr>
              <w:t>(continued)</w:t>
            </w:r>
          </w:p>
        </w:tc>
      </w:tr>
      <w:tr w:rsidR="00B07C01" w:rsidRPr="00892DE3" w:rsidTr="00082D03">
        <w:tc>
          <w:tcPr>
            <w:tcW w:w="9752" w:type="dxa"/>
          </w:tcPr>
          <w:p w:rsidR="00082D03" w:rsidRPr="00892DE3" w:rsidRDefault="00082D03" w:rsidP="00082D03">
            <w:r w:rsidRPr="00892DE3">
              <w:rPr>
                <w:b/>
              </w:rPr>
              <w:t>Reconciliation of Level 3 fair value</w:t>
            </w:r>
            <w:r w:rsidRPr="00892DE3">
              <w:t xml:space="preserve"> </w:t>
            </w:r>
            <w:r w:rsidRPr="00892DE3">
              <w:rPr>
                <w:rStyle w:val="SourceReference"/>
              </w:rPr>
              <w:t>[AASB 13.93(e)]</w:t>
            </w:r>
          </w:p>
          <w:p w:rsidR="00082D03" w:rsidRPr="00892DE3" w:rsidRDefault="00082D03" w:rsidP="00082D03">
            <w:r w:rsidRPr="00892DE3">
              <w:t>For recurring fair value measurements categorised within Level 3 of the fair value hierarchy, a reconciliation from the opening balances to the closing balances, disclosing separately changes during the period attributable to the following:</w:t>
            </w:r>
          </w:p>
          <w:p w:rsidR="00082D03" w:rsidRPr="00892DE3" w:rsidRDefault="00082D03" w:rsidP="00082D03">
            <w:pPr>
              <w:pStyle w:val="List"/>
            </w:pPr>
            <w:r w:rsidRPr="00892DE3">
              <w:t xml:space="preserve">(a) </w:t>
            </w:r>
            <w:r w:rsidRPr="00892DE3">
              <w:tab/>
              <w:t>total gains or losses for the period recognised in profit or loss, and the line item(s) in profit or loss in which those gains or losses are recognised;</w:t>
            </w:r>
          </w:p>
          <w:p w:rsidR="00082D03" w:rsidRPr="00892DE3" w:rsidRDefault="00082D03" w:rsidP="00082D03">
            <w:pPr>
              <w:pStyle w:val="List"/>
            </w:pPr>
            <w:r w:rsidRPr="00892DE3">
              <w:t xml:space="preserve">(b) </w:t>
            </w:r>
            <w:r w:rsidRPr="00892DE3">
              <w:tab/>
              <w:t>total gains or losses for the period recognised in other comprehensive income, and the line item(s) in other comprehensive income in which those gains or losses are recognised;</w:t>
            </w:r>
          </w:p>
          <w:p w:rsidR="00082D03" w:rsidRPr="00892DE3" w:rsidRDefault="00082D03" w:rsidP="00082D03">
            <w:pPr>
              <w:pStyle w:val="List"/>
            </w:pPr>
            <w:r w:rsidRPr="00892DE3">
              <w:t xml:space="preserve">(c) </w:t>
            </w:r>
            <w:r w:rsidRPr="00892DE3">
              <w:tab/>
              <w:t>purchases, sales, issues and settlements (each of those types of changes disclosed separately); and</w:t>
            </w:r>
          </w:p>
          <w:p w:rsidR="00082D03" w:rsidRPr="00892DE3" w:rsidRDefault="00082D03" w:rsidP="00082D03">
            <w:pPr>
              <w:pStyle w:val="List"/>
            </w:pPr>
            <w:r w:rsidRPr="00892DE3">
              <w:t xml:space="preserve">(d) </w:t>
            </w:r>
            <w:r w:rsidRPr="00892DE3">
              <w:tab/>
              <w:t>the amounts of any transfers into or out of Level 3 of the fair value hierarchy, the reasons for those transfers and the entity’s policy for determining when transfers between levels are deemed to have occurred (see paragraph 95). Transfers into Level 3 shall be disclosed and discussed separately from transfers out of Level 3.</w:t>
            </w:r>
          </w:p>
          <w:p w:rsidR="00082D03" w:rsidRPr="00892DE3" w:rsidRDefault="00082D03" w:rsidP="00082D03">
            <w:pPr>
              <w:rPr>
                <w:b/>
              </w:rPr>
            </w:pPr>
            <w:r w:rsidRPr="00892DE3">
              <w:rPr>
                <w:b/>
              </w:rPr>
              <w:t>Exemption from disclosing sensitivity analysis for Level 3 fair value measurement</w:t>
            </w:r>
          </w:p>
          <w:p w:rsidR="00082D03" w:rsidRPr="00892DE3" w:rsidRDefault="00082D03" w:rsidP="00082D03">
            <w:r w:rsidRPr="00892DE3">
              <w:t>For all recurring non-financial assets measured at Level 3 fair value measurement and held not primarily dependent on the asset’s ability to generate net cash inflows, an entity is no longer required to provide:</w:t>
            </w:r>
          </w:p>
          <w:p w:rsidR="00082D03" w:rsidRPr="00892DE3" w:rsidRDefault="00082D03" w:rsidP="00082D03">
            <w:pPr>
              <w:pStyle w:val="ListBullet"/>
            </w:pPr>
            <w:r w:rsidRPr="00892DE3">
              <w:t>a narrative description of the sensitivity of the fair value measurement to changes in unobservable inputs if a change in those inputs to a different amount might result in a significantly higher or lower fair value measurement; and</w:t>
            </w:r>
          </w:p>
          <w:p w:rsidR="00082D03" w:rsidRPr="00892DE3" w:rsidRDefault="00082D03" w:rsidP="00082D03">
            <w:pPr>
              <w:pStyle w:val="ListBullet"/>
            </w:pPr>
            <w:r w:rsidRPr="00892DE3">
              <w:t>if there are interrelationships between the inputs and other unobservable inputs used in the fair value measurement, a description of the interrelationships and of how this might magnify or mitigate the effect of changes in the unobservable inputs on the fair value measurement.</w:t>
            </w:r>
          </w:p>
          <w:p w:rsidR="00082D03" w:rsidRPr="00892DE3" w:rsidRDefault="00082D03" w:rsidP="00082D03">
            <w:r w:rsidRPr="00892DE3">
              <w:rPr>
                <w:b/>
              </w:rPr>
              <w:t>Disclosures for assets stated at revalued amounts</w:t>
            </w:r>
            <w:r w:rsidRPr="00892DE3">
              <w:t>:</w:t>
            </w:r>
          </w:p>
          <w:p w:rsidR="00082D03" w:rsidRPr="00892DE3" w:rsidRDefault="00082D03" w:rsidP="00082D03">
            <w:pPr>
              <w:pStyle w:val="List"/>
            </w:pPr>
            <w:r w:rsidRPr="00892DE3">
              <w:t>(a)</w:t>
            </w:r>
            <w:r w:rsidRPr="00892DE3">
              <w:tab/>
              <w:t>the effective date of the revaluation;</w:t>
            </w:r>
          </w:p>
          <w:p w:rsidR="00082D03" w:rsidRPr="00892DE3" w:rsidRDefault="00082D03" w:rsidP="00082D03">
            <w:pPr>
              <w:pStyle w:val="List"/>
            </w:pPr>
            <w:r w:rsidRPr="00892DE3">
              <w:t>(b)</w:t>
            </w:r>
            <w:r w:rsidRPr="00892DE3">
              <w:tab/>
              <w:t>whether an independent valuer was involved;</w:t>
            </w:r>
          </w:p>
          <w:p w:rsidR="00082D03" w:rsidRPr="00892DE3" w:rsidRDefault="00082D03" w:rsidP="00082D03">
            <w:pPr>
              <w:pStyle w:val="List"/>
            </w:pPr>
            <w:r w:rsidRPr="00892DE3">
              <w:t>(c)</w:t>
            </w:r>
            <w:r w:rsidRPr="00892DE3">
              <w:tab/>
              <w:t>[requirement deleted by IASB];</w:t>
            </w:r>
          </w:p>
          <w:p w:rsidR="00082D03" w:rsidRPr="00892DE3" w:rsidRDefault="00082D03" w:rsidP="00082D03">
            <w:pPr>
              <w:pStyle w:val="List"/>
            </w:pPr>
            <w:r w:rsidRPr="00892DE3">
              <w:t>(d)</w:t>
            </w:r>
            <w:r w:rsidRPr="00892DE3">
              <w:tab/>
              <w:t>[deleted by the IASB];</w:t>
            </w:r>
          </w:p>
          <w:p w:rsidR="00082D03" w:rsidRPr="00892DE3" w:rsidRDefault="00082D03" w:rsidP="00082D03">
            <w:pPr>
              <w:pStyle w:val="List"/>
            </w:pPr>
            <w:r w:rsidRPr="00892DE3">
              <w:t>(e)</w:t>
            </w:r>
            <w:r w:rsidRPr="00892DE3">
              <w:tab/>
              <w:t>for each revalued class of property, plant and equipment, the carrying amount that would have been recognised had the assets been carried under the cost model; and</w:t>
            </w:r>
          </w:p>
          <w:p w:rsidR="00082D03" w:rsidRPr="00892DE3" w:rsidRDefault="00082D03" w:rsidP="00082D03">
            <w:pPr>
              <w:pStyle w:val="List"/>
            </w:pPr>
            <w:r w:rsidRPr="00892DE3">
              <w:t>(f)</w:t>
            </w:r>
            <w:r w:rsidRPr="00892DE3">
              <w:tab/>
              <w:t>revaluation surplus, indicating the change for the period and any restrictions on the distribution of the balance to shareholders.</w:t>
            </w:r>
          </w:p>
          <w:p w:rsidR="00082D03" w:rsidRPr="00892DE3" w:rsidRDefault="00082D03" w:rsidP="00082D03">
            <w:r w:rsidRPr="00892DE3">
              <w:t>Notwithstanding AASB 116.77(e), in respect of not-for-profit entities, for each revalued class of property, plant and equipment, the requirement to disclose the carrying amount that would have been recognised had the assets been carried under the cost model does not apply.</w:t>
            </w:r>
          </w:p>
          <w:p w:rsidR="00B07C01" w:rsidRPr="00892DE3" w:rsidRDefault="00B07C01" w:rsidP="00B07C01">
            <w:r w:rsidRPr="00892DE3">
              <w:rPr>
                <w:b/>
              </w:rPr>
              <w:t>Impairment of revalued property, plant and equipment</w:t>
            </w:r>
            <w:r w:rsidRPr="00892DE3">
              <w:t xml:space="preserve"> </w:t>
            </w:r>
            <w:r w:rsidRPr="00892DE3">
              <w:rPr>
                <w:rStyle w:val="SourceReference"/>
              </w:rPr>
              <w:t>[AASB 136.5]</w:t>
            </w:r>
          </w:p>
          <w:p w:rsidR="00B07C01" w:rsidRPr="00892DE3" w:rsidRDefault="00B07C01" w:rsidP="00B07C01">
            <w:r w:rsidRPr="00892DE3">
              <w:t xml:space="preserve">Property, plant and equipment measured on the fair value basis shall also be tested for impairment. Identifying whether a revalued asset may be impaired depends on the basis used to determine fair value: </w:t>
            </w:r>
          </w:p>
          <w:p w:rsidR="00B07C01" w:rsidRPr="00892DE3" w:rsidRDefault="00B07C01" w:rsidP="00B07C01">
            <w:pPr>
              <w:pStyle w:val="List"/>
            </w:pPr>
            <w:r w:rsidRPr="00892DE3">
              <w:t>(a)</w:t>
            </w:r>
            <w:r w:rsidRPr="00892DE3">
              <w:tab/>
              <w:t>if the asset’s fair value is its market value, the only difference between the asset’s fair value and its fair value less costs to sell is the direct incremental costs to dispose of the asset:</w:t>
            </w:r>
          </w:p>
          <w:p w:rsidR="00B07C01" w:rsidRPr="00892DE3" w:rsidRDefault="00B07C01" w:rsidP="00B07C01">
            <w:pPr>
              <w:pStyle w:val="List2"/>
            </w:pPr>
            <w:r w:rsidRPr="00892DE3">
              <w:t>(i)</w:t>
            </w:r>
            <w:r w:rsidRPr="00892DE3">
              <w:tab/>
              <w:t xml:space="preserve">if the disposal costs are negligible, the recoverable amount of the revalued asset is necessarily close to, or greater than, its revalued amount (i.e. fair value). In this case, after the revaluation requirements have been applied, it is unlikely that the revalued asset is impaired and recoverable amount need not be estimated; and </w:t>
            </w:r>
          </w:p>
          <w:p w:rsidR="00B07C01" w:rsidRPr="00892DE3" w:rsidRDefault="00B07C01" w:rsidP="00B07C01">
            <w:pPr>
              <w:pStyle w:val="List2"/>
            </w:pPr>
            <w:r w:rsidRPr="00892DE3">
              <w:t>(ii)</w:t>
            </w:r>
            <w:r w:rsidRPr="00892DE3">
              <w:tab/>
              <w:t>if the disposal costs are not negligible, the fair value less costs to sell of the revalued asset is necessarily less than its fair value. Therefore, the revalued asset will be impaired if its value in use is less than its revalued amount (i.e. fair value). In this case, after the revaluation requirements have been applied, the department applies this standard to determine whether the asset may be impaired; and</w:t>
            </w:r>
          </w:p>
          <w:p w:rsidR="00B07C01" w:rsidRPr="00892DE3" w:rsidRDefault="00B07C01" w:rsidP="00082D03">
            <w:pPr>
              <w:pStyle w:val="List"/>
            </w:pPr>
            <w:r w:rsidRPr="00892DE3">
              <w:t>(b)</w:t>
            </w:r>
            <w:r w:rsidRPr="00892DE3">
              <w:tab/>
              <w:t>if the asset’s fair value is determined on a basis other than its market value, its revalued amount (i.e. fair value) may be greater or lower than its recoverable amount. Hence, after the revaluation requirements have been applied, a department applies AASB 136 to determine whether the asset may be impaired.</w:t>
            </w:r>
          </w:p>
        </w:tc>
      </w:tr>
    </w:tbl>
    <w:p w:rsidR="00B07C01" w:rsidRPr="00892DE3" w:rsidRDefault="00B07C01"/>
    <w:p w:rsidR="00082D03" w:rsidRPr="00892DE3" w:rsidRDefault="00082D03">
      <w:r w:rsidRPr="00892DE3">
        <w:rPr>
          <w:b/>
        </w:rPr>
        <w:br w:type="page"/>
      </w:r>
    </w:p>
    <w:tbl>
      <w:tblPr>
        <w:tblStyle w:val="ModelReportGuidanceTable"/>
        <w:tblW w:w="0" w:type="auto"/>
        <w:tblLook w:val="04A0" w:firstRow="1" w:lastRow="0" w:firstColumn="1" w:lastColumn="0" w:noHBand="0" w:noVBand="1"/>
      </w:tblPr>
      <w:tblGrid>
        <w:gridCol w:w="9752"/>
      </w:tblGrid>
      <w:tr w:rsidR="00B07C01" w:rsidRPr="00892DE3" w:rsidTr="00082D03">
        <w:trPr>
          <w:cnfStyle w:val="100000000000" w:firstRow="1" w:lastRow="0" w:firstColumn="0" w:lastColumn="0" w:oddVBand="0" w:evenVBand="0" w:oddHBand="0" w:evenHBand="0" w:firstRowFirstColumn="0" w:firstRowLastColumn="0" w:lastRowFirstColumn="0" w:lastRowLastColumn="0"/>
        </w:trPr>
        <w:tc>
          <w:tcPr>
            <w:tcW w:w="9752" w:type="dxa"/>
          </w:tcPr>
          <w:p w:rsidR="00B07C01" w:rsidRPr="00892DE3" w:rsidRDefault="00B07C01" w:rsidP="00B07C01">
            <w:r w:rsidRPr="00892DE3">
              <w:t xml:space="preserve">Guidance – Fair value determination: Non-financial physical assets </w:t>
            </w:r>
            <w:r w:rsidRPr="006932C9">
              <w:rPr>
                <w:i/>
              </w:rPr>
              <w:t>(continued)</w:t>
            </w:r>
          </w:p>
        </w:tc>
      </w:tr>
      <w:tr w:rsidR="00B07C01" w:rsidRPr="00892DE3" w:rsidTr="00082D03">
        <w:tc>
          <w:tcPr>
            <w:tcW w:w="9752" w:type="dxa"/>
          </w:tcPr>
          <w:p w:rsidR="00082D03" w:rsidRPr="00892DE3" w:rsidRDefault="00082D03" w:rsidP="00082D03">
            <w:r w:rsidRPr="00892DE3">
              <w:rPr>
                <w:b/>
              </w:rPr>
              <w:t>Disclosure of impairment of property, plant and equipment</w:t>
            </w:r>
            <w:r w:rsidRPr="00892DE3">
              <w:t xml:space="preserve"> </w:t>
            </w:r>
            <w:r w:rsidRPr="00892DE3">
              <w:rPr>
                <w:rStyle w:val="SourceReference"/>
              </w:rPr>
              <w:t>[AASB 136.130]</w:t>
            </w:r>
          </w:p>
          <w:p w:rsidR="00082D03" w:rsidRPr="00892DE3" w:rsidRDefault="00082D03" w:rsidP="00082D03">
            <w:r w:rsidRPr="00892DE3">
              <w:t>An entity shall disclose the following for an individual asset (including goodwill) or a cash generating unit, for which an impairment loss has been recognised or reversed during the period:</w:t>
            </w:r>
          </w:p>
          <w:p w:rsidR="00082D03" w:rsidRPr="00892DE3" w:rsidRDefault="00082D03" w:rsidP="00082D03">
            <w:pPr>
              <w:pStyle w:val="List"/>
            </w:pPr>
            <w:r w:rsidRPr="00892DE3">
              <w:t>(a)</w:t>
            </w:r>
            <w:r w:rsidRPr="00892DE3">
              <w:tab/>
              <w:t xml:space="preserve">the events and circumstances that led to the recognition or reversal of the impairment loss; </w:t>
            </w:r>
          </w:p>
          <w:p w:rsidR="00082D03" w:rsidRPr="00892DE3" w:rsidRDefault="00082D03" w:rsidP="00082D03">
            <w:pPr>
              <w:pStyle w:val="List"/>
            </w:pPr>
            <w:r w:rsidRPr="00892DE3">
              <w:t>(b)</w:t>
            </w:r>
            <w:r w:rsidRPr="00892DE3">
              <w:tab/>
              <w:t>the amount of the impairment loss recognised or reversed;</w:t>
            </w:r>
          </w:p>
          <w:p w:rsidR="00082D03" w:rsidRPr="00892DE3" w:rsidRDefault="00082D03" w:rsidP="00082D03">
            <w:pPr>
              <w:pStyle w:val="List"/>
            </w:pPr>
            <w:r w:rsidRPr="00892DE3">
              <w:t>(c)</w:t>
            </w:r>
            <w:r w:rsidRPr="00892DE3">
              <w:tab/>
              <w:t>for an individual asset:</w:t>
            </w:r>
          </w:p>
          <w:p w:rsidR="00082D03" w:rsidRPr="00892DE3" w:rsidRDefault="00082D03" w:rsidP="00082D03">
            <w:pPr>
              <w:pStyle w:val="List2"/>
            </w:pPr>
            <w:r w:rsidRPr="00892DE3">
              <w:t>(i)</w:t>
            </w:r>
            <w:r w:rsidRPr="00892DE3">
              <w:tab/>
              <w:t xml:space="preserve">the nature of the asset; and </w:t>
            </w:r>
          </w:p>
          <w:p w:rsidR="00082D03" w:rsidRPr="00892DE3" w:rsidRDefault="00082D03" w:rsidP="00082D03">
            <w:pPr>
              <w:pStyle w:val="List2"/>
            </w:pPr>
            <w:r w:rsidRPr="00892DE3">
              <w:t>(ii)</w:t>
            </w:r>
            <w:r w:rsidRPr="00892DE3">
              <w:tab/>
              <w:t>if the entity reports segment information, the reportable segment to which the asset belongs, based on the entity’s primary reporting format;</w:t>
            </w:r>
          </w:p>
          <w:p w:rsidR="00082D03" w:rsidRPr="00892DE3" w:rsidRDefault="00082D03" w:rsidP="00082D03">
            <w:pPr>
              <w:pStyle w:val="List"/>
            </w:pPr>
            <w:r w:rsidRPr="00892DE3">
              <w:t>(d)</w:t>
            </w:r>
            <w:r w:rsidRPr="00892DE3">
              <w:tab/>
              <w:t>for a cash generating unit:</w:t>
            </w:r>
          </w:p>
          <w:p w:rsidR="00082D03" w:rsidRPr="00892DE3" w:rsidRDefault="00082D03" w:rsidP="00082D03">
            <w:pPr>
              <w:pStyle w:val="List2"/>
            </w:pPr>
            <w:r w:rsidRPr="00892DE3">
              <w:t>(i)</w:t>
            </w:r>
            <w:r w:rsidRPr="00892DE3">
              <w:tab/>
              <w:t>a description of the cash generating unit (such as whether it is a product line, a plant, a business operation, a geographical area, or a reportable segment);</w:t>
            </w:r>
          </w:p>
          <w:p w:rsidR="00082D03" w:rsidRPr="00892DE3" w:rsidRDefault="00082D03" w:rsidP="00082D03">
            <w:pPr>
              <w:pStyle w:val="List2"/>
            </w:pPr>
            <w:r w:rsidRPr="00892DE3">
              <w:t>(ii)</w:t>
            </w:r>
            <w:r w:rsidRPr="00892DE3">
              <w:tab/>
              <w:t>the amount of the impairment loss recognised or reversed by class of assets and, if the entity reports segment information, by reportable segment based on the entity’s primary reporting format; and</w:t>
            </w:r>
          </w:p>
          <w:p w:rsidR="00082D03" w:rsidRPr="00892DE3" w:rsidRDefault="00082D03" w:rsidP="00082D03">
            <w:pPr>
              <w:pStyle w:val="List2"/>
            </w:pPr>
            <w:r w:rsidRPr="00892DE3">
              <w:t>(iii)</w:t>
            </w:r>
            <w:r w:rsidRPr="00892DE3">
              <w:tab/>
              <w:t xml:space="preserve">if the aggregation of assets for identifying the cash generating unit has changed since the previous estimate of the cash generating unit’s recoverable amount (if any), a description of the current and former way of aggregating assets and the reasons for changing the way the cash generating unit is identified; </w:t>
            </w:r>
          </w:p>
          <w:p w:rsidR="00082D03" w:rsidRPr="00892DE3" w:rsidRDefault="00082D03" w:rsidP="00082D03">
            <w:pPr>
              <w:pStyle w:val="List"/>
            </w:pPr>
            <w:r w:rsidRPr="00892DE3">
              <w:t>(e)</w:t>
            </w:r>
            <w:r w:rsidRPr="00892DE3">
              <w:tab/>
              <w:t>the recoverable amount of the asset (cash generating unit) and whether the recoverable amount of the asset (cash generating unit) is its fair value less costs of disposal or its value in use;</w:t>
            </w:r>
          </w:p>
          <w:p w:rsidR="00082D03" w:rsidRPr="00892DE3" w:rsidRDefault="00082D03" w:rsidP="00082D03">
            <w:pPr>
              <w:pStyle w:val="List"/>
            </w:pPr>
            <w:r w:rsidRPr="00892DE3">
              <w:t>(f)</w:t>
            </w:r>
            <w:r w:rsidRPr="00892DE3">
              <w:tab/>
              <w:t>if the recoverable amount is fair value less costs of disposal, the entity shall disclose the following information:</w:t>
            </w:r>
          </w:p>
          <w:p w:rsidR="00082D03" w:rsidRPr="00892DE3" w:rsidRDefault="00082D03" w:rsidP="00082D03">
            <w:pPr>
              <w:pStyle w:val="List2"/>
            </w:pPr>
            <w:r w:rsidRPr="00892DE3">
              <w:t>(i)</w:t>
            </w:r>
            <w:r w:rsidRPr="00892DE3">
              <w:tab/>
              <w:t>the level of the fair value hierarchy within which the fair value measurement of the asset (cash generating unit) is categorised in its entirety (without taking into account whether the ‘costs of disposal’ are observable);</w:t>
            </w:r>
          </w:p>
          <w:p w:rsidR="00082D03" w:rsidRPr="00892DE3" w:rsidRDefault="00082D03" w:rsidP="00082D03">
            <w:pPr>
              <w:pStyle w:val="List2"/>
            </w:pPr>
            <w:r w:rsidRPr="00892DE3">
              <w:t>(ii)</w:t>
            </w:r>
            <w:r w:rsidRPr="00892DE3">
              <w:tab/>
              <w:t>for fair value measurements categorised within Level 2 and Level 3 of the fair value hierarchy, a description of the valuation technique(s) used to measure fair value less costs of disposal. If there has been a change in valuation technique, the entity shall disclose that change and the reason(s) for making it; and</w:t>
            </w:r>
          </w:p>
          <w:p w:rsidR="00082D03" w:rsidRPr="00892DE3" w:rsidRDefault="00082D03" w:rsidP="00082D03">
            <w:pPr>
              <w:pStyle w:val="List2"/>
            </w:pPr>
            <w:r w:rsidRPr="00892DE3">
              <w:t>(iii)</w:t>
            </w:r>
            <w:r w:rsidRPr="00892DE3">
              <w:tab/>
              <w:t xml:space="preserve">for fair value measurements categorised within Level 2 and Level 3 of the fair value hierarchy, each key assumption on which management has based its determination of fair value less costs of disposal. Key assumptions are those to which the asset’s (cash generating unit’s) recoverable amount is most sensitive. The entity shall also disclose the discount rate(s) used in the current measurement and previous measurement if fair value less costs of disposal is measured using a present value technique; </w:t>
            </w:r>
          </w:p>
          <w:p w:rsidR="00082D03" w:rsidRPr="00892DE3" w:rsidRDefault="00082D03" w:rsidP="00082D03">
            <w:pPr>
              <w:pStyle w:val="List"/>
            </w:pPr>
            <w:r w:rsidRPr="00892DE3">
              <w:t>(g)</w:t>
            </w:r>
            <w:r w:rsidRPr="00892DE3">
              <w:tab/>
              <w:t>if recoverable amount is value in use, the discount rate(s) used in the current estimate and previous estimate (if any) of value in use.</w:t>
            </w:r>
          </w:p>
          <w:p w:rsidR="00B07C01" w:rsidRPr="00892DE3" w:rsidRDefault="00B07C01" w:rsidP="00B07C01">
            <w:r w:rsidRPr="00892DE3">
              <w:t>An entity shall disclose the following information for aggregate impairment losses and aggregate reversals of impairment losses recognised during the period for which no information is disclosed in accordance with AASB 136.130:</w:t>
            </w:r>
          </w:p>
          <w:p w:rsidR="00B07C01" w:rsidRPr="00892DE3" w:rsidRDefault="00B07C01" w:rsidP="00B07C01">
            <w:pPr>
              <w:pStyle w:val="List"/>
            </w:pPr>
            <w:r w:rsidRPr="00892DE3">
              <w:t>(a)</w:t>
            </w:r>
            <w:r w:rsidRPr="00892DE3">
              <w:tab/>
              <w:t>the main classes of assets affected by impairment losses and the main classes of assets affected by reversals of impairment losses; and</w:t>
            </w:r>
          </w:p>
          <w:p w:rsidR="00B07C01" w:rsidRPr="00892DE3" w:rsidRDefault="00B07C01" w:rsidP="00B07C01">
            <w:pPr>
              <w:pStyle w:val="List"/>
            </w:pPr>
            <w:r w:rsidRPr="00892DE3">
              <w:t>(b)</w:t>
            </w:r>
            <w:r w:rsidRPr="00892DE3">
              <w:tab/>
              <w:t>the main events and circumstances that led to the recognition of these impairment losses and reversals of impairment losses.</w:t>
            </w:r>
          </w:p>
          <w:p w:rsidR="00B07C01" w:rsidRPr="00892DE3" w:rsidRDefault="00B07C01" w:rsidP="00B07C01">
            <w:pPr>
              <w:rPr>
                <w:b/>
              </w:rPr>
            </w:pPr>
            <w:r w:rsidRPr="00892DE3">
              <w:rPr>
                <w:b/>
              </w:rPr>
              <w:t xml:space="preserve">Revaluation surplus of derecognised assets </w:t>
            </w:r>
          </w:p>
          <w:p w:rsidR="00B07C01" w:rsidRPr="00892DE3" w:rsidRDefault="00B07C01" w:rsidP="00B07C01">
            <w:r w:rsidRPr="00892DE3">
              <w:t xml:space="preserve">A department may choose to transfer the revaluation surplus in respect of an item of non-financial physical asset to the accumulated funds when the asset is derecognised or as the asset is used. However, transfer of the revaluation surplus to accumulated funds is not mandatory. </w:t>
            </w:r>
          </w:p>
          <w:p w:rsidR="00B07C01" w:rsidRPr="00892DE3" w:rsidRDefault="00B07C01" w:rsidP="00B07C01">
            <w:r w:rsidRPr="00892DE3">
              <w:t>Not-for-profit entities are not recommended to transfer revaluation surplus relating to derecognised assets to accumulated funds due to the relief provided to not-for-profit entities to offset revaluation and impairment adjustments on a class basis.</w:t>
            </w:r>
          </w:p>
          <w:p w:rsidR="00B07C01" w:rsidRPr="00892DE3" w:rsidRDefault="00B07C01" w:rsidP="0014605A">
            <w:r w:rsidRPr="00892DE3">
              <w:t>For-profit entities are encouraged to transfer the revaluation surplus in respect of an item of non-financial physical asset to accumulated funds when the asset is derecognised rather than as the asset is used.</w:t>
            </w:r>
          </w:p>
        </w:tc>
      </w:tr>
    </w:tbl>
    <w:p w:rsidR="00B07C01" w:rsidRPr="00892DE3" w:rsidRDefault="00B07C01"/>
    <w:p w:rsidR="00B07C01" w:rsidRPr="00892DE3" w:rsidRDefault="00B07C01"/>
    <w:p w:rsidR="0014605A" w:rsidRPr="00892DE3" w:rsidRDefault="0014605A">
      <w:r w:rsidRPr="00892DE3">
        <w:rPr>
          <w:b/>
        </w:rPr>
        <w:br w:type="page"/>
      </w:r>
    </w:p>
    <w:tbl>
      <w:tblPr>
        <w:tblStyle w:val="ModelReportGuidanceTable"/>
        <w:tblW w:w="0" w:type="auto"/>
        <w:tblLook w:val="04A0" w:firstRow="1" w:lastRow="0" w:firstColumn="1" w:lastColumn="0" w:noHBand="0" w:noVBand="1"/>
      </w:tblPr>
      <w:tblGrid>
        <w:gridCol w:w="9752"/>
      </w:tblGrid>
      <w:tr w:rsidR="00B07C01" w:rsidRPr="00892DE3" w:rsidTr="0014605A">
        <w:trPr>
          <w:cnfStyle w:val="100000000000" w:firstRow="1" w:lastRow="0" w:firstColumn="0" w:lastColumn="0" w:oddVBand="0" w:evenVBand="0" w:oddHBand="0" w:evenHBand="0" w:firstRowFirstColumn="0" w:firstRowLastColumn="0" w:lastRowFirstColumn="0" w:lastRowLastColumn="0"/>
        </w:trPr>
        <w:tc>
          <w:tcPr>
            <w:tcW w:w="9752" w:type="dxa"/>
          </w:tcPr>
          <w:p w:rsidR="00B07C01" w:rsidRPr="00892DE3" w:rsidRDefault="00B07C01" w:rsidP="00B07C01">
            <w:r w:rsidRPr="00892DE3">
              <w:t xml:space="preserve">Guidance – Fair value determination: Non-financial physical assets </w:t>
            </w:r>
            <w:r w:rsidRPr="006932C9">
              <w:rPr>
                <w:i/>
              </w:rPr>
              <w:t>(continued)</w:t>
            </w:r>
          </w:p>
        </w:tc>
      </w:tr>
      <w:tr w:rsidR="00B07C01" w:rsidRPr="00892DE3" w:rsidTr="0014605A">
        <w:tc>
          <w:tcPr>
            <w:tcW w:w="9752" w:type="dxa"/>
          </w:tcPr>
          <w:p w:rsidR="00B07C01" w:rsidRPr="00892DE3" w:rsidRDefault="00B07C01" w:rsidP="00B07C01">
            <w:pPr>
              <w:rPr>
                <w:b/>
              </w:rPr>
            </w:pPr>
            <w:r w:rsidRPr="00892DE3">
              <w:rPr>
                <w:b/>
              </w:rPr>
              <w:t>Additional disclosures</w:t>
            </w:r>
          </w:p>
          <w:p w:rsidR="00B07C01" w:rsidRPr="00892DE3" w:rsidRDefault="00B07C01" w:rsidP="00B07C01">
            <w:r w:rsidRPr="00892DE3">
              <w:t xml:space="preserve">Entities are encouraged to disclose the following information, as users of the financial statements may find the information relevant to their needs: </w:t>
            </w:r>
          </w:p>
          <w:p w:rsidR="00B07C01" w:rsidRPr="00892DE3" w:rsidRDefault="00B07C01" w:rsidP="0014605A">
            <w:pPr>
              <w:pStyle w:val="List"/>
              <w:spacing w:before="80"/>
            </w:pPr>
            <w:r w:rsidRPr="00892DE3">
              <w:t>(a)</w:t>
            </w:r>
            <w:r w:rsidRPr="00892DE3">
              <w:tab/>
              <w:t>the carrying amount of temporarily idle property, plant and equipment;</w:t>
            </w:r>
          </w:p>
          <w:p w:rsidR="00B07C01" w:rsidRPr="00892DE3" w:rsidRDefault="00B07C01" w:rsidP="0014605A">
            <w:pPr>
              <w:pStyle w:val="List"/>
              <w:spacing w:before="80"/>
            </w:pPr>
            <w:r w:rsidRPr="00892DE3">
              <w:t>(b)</w:t>
            </w:r>
            <w:r w:rsidRPr="00892DE3">
              <w:tab/>
              <w:t>the gross carrying amount of any fully depreciated property, plant and equipment that is still in use;</w:t>
            </w:r>
          </w:p>
          <w:p w:rsidR="00B07C01" w:rsidRPr="00892DE3" w:rsidRDefault="00B07C01" w:rsidP="0014605A">
            <w:pPr>
              <w:pStyle w:val="List"/>
              <w:spacing w:before="80"/>
            </w:pPr>
            <w:r w:rsidRPr="00892DE3">
              <w:t>(c)</w:t>
            </w:r>
            <w:r w:rsidRPr="00892DE3">
              <w:tab/>
              <w:t>the carrying amount of property, plant and equipment retired from active use and not classified as held</w:t>
            </w:r>
            <w:r w:rsidR="00DD2334" w:rsidRPr="00892DE3">
              <w:t>-</w:t>
            </w:r>
            <w:r w:rsidRPr="00892DE3">
              <w:t>for</w:t>
            </w:r>
            <w:r w:rsidR="00DD2334" w:rsidRPr="00892DE3">
              <w:t>-</w:t>
            </w:r>
            <w:r w:rsidRPr="00892DE3">
              <w:t>sale in accordance with AASB 5; and</w:t>
            </w:r>
          </w:p>
          <w:p w:rsidR="00B07C01" w:rsidRPr="00892DE3" w:rsidRDefault="00B07C01" w:rsidP="0014605A">
            <w:pPr>
              <w:pStyle w:val="List"/>
              <w:spacing w:before="80"/>
            </w:pPr>
            <w:r w:rsidRPr="00892DE3">
              <w:t>(d)</w:t>
            </w:r>
            <w:r w:rsidRPr="00892DE3">
              <w:tab/>
              <w:t>when the cost model is used, the fair value of property, plant and equipment when this is materially different from the carrying amount.</w:t>
            </w:r>
          </w:p>
          <w:p w:rsidR="00B07C01" w:rsidRPr="00892DE3" w:rsidRDefault="00B07C01" w:rsidP="00B07C01">
            <w:r w:rsidRPr="00892DE3">
              <w:rPr>
                <w:b/>
              </w:rPr>
              <w:t>Compensation from third parties</w:t>
            </w:r>
            <w:r w:rsidRPr="00892DE3">
              <w:t xml:space="preserve">: If not disclosed separately in the comprehensive operating statement, the amount of compensation from third parties for items of property, plant and equipment that were impaired, lost or given up that is recognised in the net result shall be disclosed. </w:t>
            </w:r>
          </w:p>
          <w:p w:rsidR="00B07C01" w:rsidRPr="00892DE3" w:rsidRDefault="00B07C01" w:rsidP="00B07C01">
            <w:r w:rsidRPr="00892DE3">
              <w:rPr>
                <w:b/>
              </w:rPr>
              <w:t>Residual values</w:t>
            </w:r>
            <w:r w:rsidRPr="00892DE3">
              <w:t xml:space="preserve">: Unless there is evidence to the contrary, FRD 103F deems all non-financial physical assets, other than vehicles, to have a residual value of zero. </w:t>
            </w:r>
          </w:p>
          <w:p w:rsidR="00B07C01" w:rsidRPr="00892DE3" w:rsidRDefault="00B07C01" w:rsidP="00B07C01">
            <w:r w:rsidRPr="00892DE3">
              <w:rPr>
                <w:b/>
              </w:rPr>
              <w:t>Restrictive nature of assets</w:t>
            </w:r>
            <w:r w:rsidRPr="00892DE3">
              <w:t>: There may be restrictions on the use and/or disposal of cultural and heritage assets, Crown land and infrastructure. Disclosure should be made to identify those assets that are subject to restrictions and the nature of those encumbrances/restrictions.</w:t>
            </w:r>
          </w:p>
          <w:p w:rsidR="00B07C01" w:rsidRPr="00892DE3" w:rsidRDefault="00B07C01" w:rsidP="00B07C01">
            <w:r w:rsidRPr="00892DE3">
              <w:rPr>
                <w:b/>
              </w:rPr>
              <w:t xml:space="preserve">Fair value measurement </w:t>
            </w:r>
            <w:r w:rsidRPr="00892DE3">
              <w:rPr>
                <w:rStyle w:val="SourceReference"/>
              </w:rPr>
              <w:t>[AASB 13.86-89]</w:t>
            </w:r>
          </w:p>
          <w:p w:rsidR="00B07C01" w:rsidRPr="00892DE3" w:rsidRDefault="00B07C01" w:rsidP="00B07C01">
            <w:r w:rsidRPr="00892DE3">
              <w:t xml:space="preserve">Fair value is the price that would be received to sell an asset or paid to transfer a liability in an orderly transaction between market participants at the measurement date. </w:t>
            </w:r>
          </w:p>
          <w:p w:rsidR="00B07C01" w:rsidRPr="00892DE3" w:rsidRDefault="00B07C01" w:rsidP="00B07C01">
            <w:r w:rsidRPr="00892DE3">
              <w:t>The fair value measurement is based on the following assumptions:</w:t>
            </w:r>
          </w:p>
          <w:p w:rsidR="00B07C01" w:rsidRPr="00892DE3" w:rsidRDefault="00B07C01" w:rsidP="00B07C01">
            <w:pPr>
              <w:pStyle w:val="ListBullet"/>
            </w:pPr>
            <w:r w:rsidRPr="00892DE3">
              <w:t>that the transaction to sell the asset or transfer the liability takes place either in the principal market (or the most advantageous market, in the absence of the principal market), either of which must be accessible to the entity at the measurement date; and</w:t>
            </w:r>
          </w:p>
          <w:p w:rsidR="00B07C01" w:rsidRPr="00892DE3" w:rsidRDefault="00B07C01" w:rsidP="00B07C01">
            <w:pPr>
              <w:pStyle w:val="ListBullet"/>
            </w:pPr>
            <w:r w:rsidRPr="00892DE3">
              <w:t>that the entity uses the same valuation assumptions that market participants would use when pricing the asset or liability, assuming that market participants act in their economic best interest.</w:t>
            </w:r>
          </w:p>
          <w:p w:rsidR="00B07C01" w:rsidRPr="00892DE3" w:rsidRDefault="00B07C01" w:rsidP="00B07C01">
            <w:r w:rsidRPr="00892DE3">
              <w:t xml:space="preserve">The fair value measurement of a non-financial asset takes into account a market participant’s ability to generate economic benefits by using the asset in its </w:t>
            </w:r>
            <w:r w:rsidR="004A33E3" w:rsidRPr="00892DE3">
              <w:t>HBU</w:t>
            </w:r>
            <w:r w:rsidRPr="00892DE3">
              <w:t xml:space="preserve"> or by selling it to another market participant that would use the asset in its </w:t>
            </w:r>
            <w:r w:rsidR="004A33E3" w:rsidRPr="00892DE3">
              <w:t>HBU</w:t>
            </w:r>
            <w:r w:rsidRPr="00892DE3">
              <w:t>.</w:t>
            </w:r>
          </w:p>
          <w:p w:rsidR="00B07C01" w:rsidRPr="00892DE3" w:rsidRDefault="00B07C01" w:rsidP="00B07C01">
            <w:r w:rsidRPr="00892DE3">
              <w:rPr>
                <w:b/>
              </w:rPr>
              <w:t>Valuation hierarchy</w:t>
            </w:r>
            <w:r w:rsidRPr="00892DE3">
              <w:t>: Entities need to use valuation techniques that are appropriate for the circumstances and where there is sufficient data available to measure fair value, maximising the use of relevant observable inputs and minimising the use of unobservable inputs.</w:t>
            </w:r>
          </w:p>
          <w:p w:rsidR="00B07C01" w:rsidRPr="00892DE3" w:rsidRDefault="00B07C01" w:rsidP="00B07C01">
            <w:r w:rsidRPr="00892DE3">
              <w:t xml:space="preserve">All assets and liabilities for which fair value is measured or disclosed in the financial statements are categorised within the fair value hierarchy. It is based on the lowest level input that is significant to the fair value measurement as a whole: </w:t>
            </w:r>
          </w:p>
          <w:p w:rsidR="00B07C01" w:rsidRPr="00892DE3" w:rsidRDefault="00B07C01" w:rsidP="00B07C01">
            <w:pPr>
              <w:pStyle w:val="ListBullet"/>
            </w:pPr>
            <w:r w:rsidRPr="00892DE3">
              <w:t xml:space="preserve">Level 1 – quoted (unadjusted) market prices in active markets for identical assets or liabilities; </w:t>
            </w:r>
          </w:p>
          <w:p w:rsidR="00B07C01" w:rsidRPr="00892DE3" w:rsidRDefault="00B07C01" w:rsidP="00B07C01">
            <w:pPr>
              <w:pStyle w:val="ListBullet"/>
            </w:pPr>
            <w:r w:rsidRPr="00892DE3">
              <w:t>Level 2 – valuation techniques for which the lowest level input that is significant to the fair value measurement is directly or indirectly observable; and</w:t>
            </w:r>
          </w:p>
          <w:p w:rsidR="00B07C01" w:rsidRPr="00892DE3" w:rsidRDefault="00B07C01" w:rsidP="0014605A">
            <w:pPr>
              <w:pStyle w:val="ListBullet"/>
            </w:pPr>
            <w:r w:rsidRPr="00892DE3">
              <w:t>Level 3 – valuation techniques for which the lowest level input that is significant to the fair value measurement is unobservable.</w:t>
            </w:r>
          </w:p>
          <w:p w:rsidR="0014605A" w:rsidRPr="00892DE3" w:rsidRDefault="0014605A" w:rsidP="0014605A">
            <w:pPr>
              <w:rPr>
                <w:b/>
              </w:rPr>
            </w:pPr>
            <w:r w:rsidRPr="00892DE3">
              <w:rPr>
                <w:b/>
              </w:rPr>
              <w:t>Identifying unobservable inputs (Level 3) fair value measurements</w:t>
            </w:r>
          </w:p>
          <w:p w:rsidR="0014605A" w:rsidRPr="00892DE3" w:rsidRDefault="0014605A" w:rsidP="0014605A">
            <w:r w:rsidRPr="00892DE3">
              <w:t>Level 3 fair value inputs are unobservable valuation inputs for an asset or liability. These inputs require significant judgement and assumptions in deriving fair value for both financial and non-financial assets.</w:t>
            </w:r>
          </w:p>
          <w:p w:rsidR="0014605A" w:rsidRPr="00892DE3" w:rsidRDefault="0014605A" w:rsidP="0014605A">
            <w:r w:rsidRPr="00892DE3">
              <w:t>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i.e.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p w:rsidR="0014605A" w:rsidRPr="00892DE3" w:rsidRDefault="0014605A" w:rsidP="0014605A">
            <w:r w:rsidRPr="00892DE3">
              <w:t>Assumptions about risk include the risk inherent in a particular valuation technique used to measure fair value (such as a pricing model) and the risk inherent in the inputs to the valuation technique. A measurement that does not include an adjustment for risk would not represent a fair value measurement if market participants would include one when pricing the asset or liability, i.e. it might be necessary to include a risk adjustment when there is significant measurement uncertainty. For example, when there has been a significant decrease in the volume or level of activity when compared with normal market activity for the asset or liability, or similar assets or liabilities, and the entity has determined that the transaction price or quoted price does not represent fair value.</w:t>
            </w:r>
          </w:p>
        </w:tc>
      </w:tr>
    </w:tbl>
    <w:p w:rsidR="0014605A" w:rsidRPr="00892DE3" w:rsidRDefault="0014605A"/>
    <w:tbl>
      <w:tblPr>
        <w:tblStyle w:val="ModelReportGuidanceTable"/>
        <w:tblW w:w="0" w:type="auto"/>
        <w:tblLook w:val="04A0" w:firstRow="1" w:lastRow="0" w:firstColumn="1" w:lastColumn="0" w:noHBand="0" w:noVBand="1"/>
      </w:tblPr>
      <w:tblGrid>
        <w:gridCol w:w="9752"/>
      </w:tblGrid>
      <w:tr w:rsidR="00B07C01" w:rsidRPr="00892DE3" w:rsidTr="0014605A">
        <w:trPr>
          <w:cnfStyle w:val="100000000000" w:firstRow="1" w:lastRow="0" w:firstColumn="0" w:lastColumn="0" w:oddVBand="0" w:evenVBand="0" w:oddHBand="0" w:evenHBand="0" w:firstRowFirstColumn="0" w:firstRowLastColumn="0" w:lastRowFirstColumn="0" w:lastRowLastColumn="0"/>
        </w:trPr>
        <w:tc>
          <w:tcPr>
            <w:tcW w:w="9752" w:type="dxa"/>
          </w:tcPr>
          <w:p w:rsidR="00B07C01" w:rsidRPr="00892DE3" w:rsidRDefault="00B07C01" w:rsidP="00B07C01">
            <w:r w:rsidRPr="00892DE3">
              <w:t xml:space="preserve">Guidance – Fair value determination: Non-financial physical assets </w:t>
            </w:r>
            <w:r w:rsidRPr="006932C9">
              <w:rPr>
                <w:i/>
              </w:rPr>
              <w:t>(continued)</w:t>
            </w:r>
          </w:p>
        </w:tc>
      </w:tr>
      <w:tr w:rsidR="00B07C01" w:rsidRPr="00892DE3" w:rsidTr="0014605A">
        <w:tc>
          <w:tcPr>
            <w:tcW w:w="9752" w:type="dxa"/>
          </w:tcPr>
          <w:p w:rsidR="00B07C01" w:rsidRPr="00892DE3" w:rsidRDefault="00B07C01" w:rsidP="00B07C01">
            <w:r w:rsidRPr="00892DE3">
              <w:t>An entity shall develop unobservable inputs using the best information available in the circumstances, which might include the entity’s own data. In developing unobservable inputs, an entity may begin with its own data, but it shall adjust this data if reasonably available information indicates that other market participants would use different data or there is something particular to the entity that is not available to other market participants (e.g. an entity specific synergy). An entity need not undertake exhaustive efforts to obtain information about market participant assumptions. However, an entity shall take into account all information about market participant assumptions that is reasonably available. Unobservable inputs developed in the manner described above are considered market participant assumptions and meet the objective of a fair value measurement.</w:t>
            </w:r>
          </w:p>
          <w:p w:rsidR="00B07C01" w:rsidRPr="00892DE3" w:rsidRDefault="00B07C01" w:rsidP="00B07C01">
            <w:pPr>
              <w:rPr>
                <w:b/>
              </w:rPr>
            </w:pPr>
            <w:r w:rsidRPr="00892DE3">
              <w:rPr>
                <w:b/>
              </w:rPr>
              <w:t>Fair value measurement expectation for Victorian public assets</w:t>
            </w:r>
          </w:p>
          <w:p w:rsidR="00B07C01" w:rsidRPr="00892DE3" w:rsidRDefault="00B07C01" w:rsidP="00B07C01">
            <w:r w:rsidRPr="00892DE3">
              <w:t xml:space="preserve">Please see Appendix </w:t>
            </w:r>
            <w:r w:rsidR="006A58CA">
              <w:t>7</w:t>
            </w:r>
            <w:r w:rsidR="006A58CA" w:rsidRPr="00892DE3">
              <w:t xml:space="preserve"> </w:t>
            </w:r>
            <w:r w:rsidRPr="00892DE3">
              <w:t>for a summary table regarding fair value measurement expectations for the typical VPS assets.</w:t>
            </w:r>
          </w:p>
          <w:p w:rsidR="00891FC4" w:rsidRPr="00892DE3" w:rsidRDefault="00891FC4" w:rsidP="00891FC4">
            <w:r w:rsidRPr="00892DE3">
              <w:t xml:space="preserve">Entities can refer to a guidance note on fair value measurement of non-financial physical assets which is available from </w:t>
            </w:r>
            <w:r w:rsidRPr="00892DE3">
              <w:rPr>
                <w:i/>
              </w:rPr>
              <w:t>www.dtf.vic.gov.au/Publications/Government-Financial-Management-publications/Financial-Reporting-Policy/Financial-reporting-directions-and-guidance</w:t>
            </w:r>
            <w:r w:rsidRPr="00892DE3">
              <w:t>.</w:t>
            </w:r>
          </w:p>
        </w:tc>
      </w:tr>
    </w:tbl>
    <w:p w:rsidR="00B07C01" w:rsidRPr="00892DE3" w:rsidRDefault="00B07C01" w:rsidP="00B07C01"/>
    <w:p w:rsidR="00B07C01" w:rsidRPr="00892DE3" w:rsidRDefault="00B07C01" w:rsidP="00B07C01">
      <w:pPr>
        <w:pStyle w:val="TableHeading"/>
      </w:pPr>
      <w:r w:rsidRPr="00892DE3">
        <w:t xml:space="preserve">Biological assets measured at fair value and their categorisation in the fair value hierarchy </w:t>
      </w:r>
      <w:r w:rsidRPr="00892DE3">
        <w:rPr>
          <w:rStyle w:val="SourceReference"/>
          <w:b w:val="0"/>
        </w:rPr>
        <w:t>[AASB 13.93 (a)(b)]</w:t>
      </w:r>
    </w:p>
    <w:p w:rsidR="00B07C01" w:rsidRPr="00892DE3" w:rsidRDefault="00B07C01" w:rsidP="00B07C01">
      <w:pPr>
        <w:pStyle w:val="TableUnits"/>
      </w:pPr>
      <w:r w:rsidRPr="00892DE3">
        <w:t>($ thousand)</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4301"/>
        <w:gridCol w:w="1869"/>
        <w:gridCol w:w="1155"/>
        <w:gridCol w:w="1157"/>
        <w:gridCol w:w="1155"/>
      </w:tblGrid>
      <w:tr w:rsidR="00B07C01" w:rsidRPr="00892DE3" w:rsidTr="00B07C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hideMark/>
          </w:tcPr>
          <w:p w:rsidR="00B07C01" w:rsidRPr="00892DE3" w:rsidRDefault="00B07C01" w:rsidP="00B07C01">
            <w:pPr>
              <w:ind w:left="0" w:firstLine="0"/>
            </w:pPr>
          </w:p>
        </w:tc>
        <w:tc>
          <w:tcPr>
            <w:tcW w:w="1887" w:type="dxa"/>
            <w:noWrap/>
            <w:hideMark/>
          </w:tcPr>
          <w:p w:rsidR="00B07C01" w:rsidRPr="00892DE3" w:rsidRDefault="00B07C01" w:rsidP="00B07C01">
            <w:pPr>
              <w:cnfStyle w:val="100000000000" w:firstRow="1" w:lastRow="0" w:firstColumn="0" w:lastColumn="0" w:oddVBand="0" w:evenVBand="0" w:oddHBand="0" w:evenHBand="0" w:firstRowFirstColumn="0" w:firstRowLastColumn="0" w:lastRowFirstColumn="0" w:lastRowLastColumn="0"/>
            </w:pPr>
            <w:r w:rsidRPr="00892DE3">
              <w:t xml:space="preserve">Carrying amount </w:t>
            </w:r>
          </w:p>
        </w:tc>
        <w:tc>
          <w:tcPr>
            <w:tcW w:w="3497" w:type="dxa"/>
            <w:gridSpan w:val="3"/>
            <w:hideMark/>
          </w:tcPr>
          <w:p w:rsidR="00B07C01" w:rsidRPr="00892DE3" w:rsidRDefault="00B07C01" w:rsidP="00B07C01">
            <w:pPr>
              <w:jc w:val="center"/>
              <w:cnfStyle w:val="100000000000" w:firstRow="1" w:lastRow="0" w:firstColumn="0" w:lastColumn="0" w:oddVBand="0" w:evenVBand="0" w:oddHBand="0" w:evenHBand="0" w:firstRowFirstColumn="0" w:firstRowLastColumn="0" w:lastRowFirstColumn="0" w:lastRowLastColumn="0"/>
            </w:pPr>
            <w:r w:rsidRPr="00892DE3">
              <w:t xml:space="preserve">Fair value measurement at end of </w:t>
            </w:r>
            <w:r w:rsidRPr="00892DE3">
              <w:br/>
              <w:t>reporting period using:</w:t>
            </w:r>
          </w:p>
        </w:tc>
      </w:tr>
      <w:tr w:rsidR="00B07C01" w:rsidRPr="00892DE3" w:rsidTr="00B07C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hideMark/>
          </w:tcPr>
          <w:p w:rsidR="00B07C01" w:rsidRPr="00892DE3" w:rsidRDefault="00B07C01" w:rsidP="00B07C01">
            <w:pPr>
              <w:ind w:left="0" w:firstLine="0"/>
            </w:pPr>
            <w:r w:rsidRPr="00892DE3">
              <w:t>2017</w:t>
            </w:r>
          </w:p>
        </w:tc>
        <w:tc>
          <w:tcPr>
            <w:tcW w:w="1887" w:type="dxa"/>
            <w:noWrap/>
            <w:hideMark/>
          </w:tcPr>
          <w:p w:rsidR="00B07C01" w:rsidRPr="00892DE3" w:rsidRDefault="00B07C01" w:rsidP="0014605A">
            <w:pPr>
              <w:cnfStyle w:val="100000000000" w:firstRow="1" w:lastRow="0" w:firstColumn="0" w:lastColumn="0" w:oddVBand="0" w:evenVBand="0" w:oddHBand="0" w:evenHBand="0" w:firstRowFirstColumn="0" w:firstRowLastColumn="0" w:lastRowFirstColumn="0" w:lastRowLastColumn="0"/>
            </w:pPr>
            <w:r w:rsidRPr="00892DE3">
              <w:t xml:space="preserve">as at </w:t>
            </w:r>
            <w:r w:rsidR="0014605A" w:rsidRPr="00892DE3">
              <w:t>30 June</w:t>
            </w:r>
          </w:p>
        </w:tc>
        <w:tc>
          <w:tcPr>
            <w:tcW w:w="1165" w:type="dxa"/>
            <w:noWrap/>
            <w:hideMark/>
          </w:tcPr>
          <w:p w:rsidR="00B07C01" w:rsidRPr="00892DE3" w:rsidRDefault="0014605A" w:rsidP="00B07C01">
            <w:pPr>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(a</w:t>
            </w:r>
            <w:r w:rsidR="00B07C01" w:rsidRPr="00892DE3">
              <w:rPr>
                <w:vertAlign w:val="superscript"/>
              </w:rPr>
              <w:t>)</w:t>
            </w:r>
          </w:p>
        </w:tc>
        <w:tc>
          <w:tcPr>
            <w:tcW w:w="1167" w:type="dxa"/>
            <w:noWrap/>
            <w:hideMark/>
          </w:tcPr>
          <w:p w:rsidR="00B07C01" w:rsidRPr="00892DE3" w:rsidRDefault="0014605A" w:rsidP="00B07C01">
            <w:pPr>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(a</w:t>
            </w:r>
            <w:r w:rsidR="00B07C01" w:rsidRPr="00892DE3">
              <w:rPr>
                <w:vertAlign w:val="superscript"/>
              </w:rPr>
              <w:t>)</w:t>
            </w:r>
          </w:p>
        </w:tc>
        <w:tc>
          <w:tcPr>
            <w:tcW w:w="1165" w:type="dxa"/>
            <w:noWrap/>
            <w:hideMark/>
          </w:tcPr>
          <w:p w:rsidR="00B07C01" w:rsidRPr="00892DE3" w:rsidRDefault="0014605A" w:rsidP="00B07C01">
            <w:pPr>
              <w:cnfStyle w:val="100000000000" w:firstRow="1" w:lastRow="0" w:firstColumn="0" w:lastColumn="0" w:oddVBand="0" w:evenVBand="0" w:oddHBand="0" w:evenHBand="0" w:firstRowFirstColumn="0" w:firstRowLastColumn="0" w:lastRowFirstColumn="0" w:lastRowLastColumn="0"/>
            </w:pPr>
            <w:r w:rsidRPr="00892DE3">
              <w:t xml:space="preserve">Level 3 </w:t>
            </w:r>
            <w:r w:rsidRPr="00892DE3">
              <w:rPr>
                <w:vertAlign w:val="superscript"/>
              </w:rPr>
              <w:t>(a</w:t>
            </w:r>
            <w:r w:rsidR="00B07C01" w:rsidRPr="00892DE3">
              <w:rPr>
                <w:vertAlign w:val="superscript"/>
              </w:rPr>
              <w:t>)</w:t>
            </w:r>
          </w:p>
        </w:tc>
      </w:tr>
      <w:tr w:rsidR="00B07C01" w:rsidRPr="00892DE3" w:rsidTr="00B07C01">
        <w:tc>
          <w:tcPr>
            <w:cnfStyle w:val="001000000000" w:firstRow="0" w:lastRow="0" w:firstColumn="1" w:lastColumn="0" w:oddVBand="0" w:evenVBand="0" w:oddHBand="0" w:evenHBand="0" w:firstRowFirstColumn="0" w:firstRowLastColumn="0" w:lastRowFirstColumn="0" w:lastRowLastColumn="0"/>
            <w:tcW w:w="4344" w:type="dxa"/>
            <w:hideMark/>
          </w:tcPr>
          <w:p w:rsidR="00B07C01" w:rsidRPr="00892DE3" w:rsidRDefault="00B07C01" w:rsidP="00B07C01">
            <w:pPr>
              <w:rPr>
                <w:rFonts w:cstheme="majorHAnsi"/>
              </w:rPr>
            </w:pPr>
            <w:r w:rsidRPr="00892DE3">
              <w:rPr>
                <w:rFonts w:cstheme="majorHAnsi"/>
              </w:rPr>
              <w:t>Nature forests</w:t>
            </w:r>
          </w:p>
        </w:tc>
        <w:tc>
          <w:tcPr>
            <w:tcW w:w="1887" w:type="dxa"/>
            <w:shd w:val="clear" w:color="auto" w:fill="EBEBEB" w:themeFill="background2"/>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2 749</w:t>
            </w:r>
          </w:p>
        </w:tc>
        <w:tc>
          <w:tcPr>
            <w:tcW w:w="1165" w:type="dxa"/>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67" w:type="dxa"/>
            <w:shd w:val="clear" w:color="auto" w:fill="EBEBEB" w:themeFill="background2"/>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2 749</w:t>
            </w:r>
          </w:p>
        </w:tc>
        <w:tc>
          <w:tcPr>
            <w:tcW w:w="1165" w:type="dxa"/>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B07C01" w:rsidRPr="00892DE3" w:rsidTr="00B07C01">
        <w:tc>
          <w:tcPr>
            <w:cnfStyle w:val="001000000000" w:firstRow="0" w:lastRow="0" w:firstColumn="1" w:lastColumn="0" w:oddVBand="0" w:evenVBand="0" w:oddHBand="0" w:evenHBand="0" w:firstRowFirstColumn="0" w:firstRowLastColumn="0" w:lastRowFirstColumn="0" w:lastRowLastColumn="0"/>
            <w:tcW w:w="4344" w:type="dxa"/>
            <w:hideMark/>
          </w:tcPr>
          <w:p w:rsidR="00B07C01" w:rsidRPr="00892DE3" w:rsidRDefault="00B07C01" w:rsidP="00B07C01">
            <w:pPr>
              <w:rPr>
                <w:rFonts w:cstheme="majorHAnsi"/>
              </w:rPr>
            </w:pPr>
            <w:r w:rsidRPr="00892DE3">
              <w:rPr>
                <w:rFonts w:cstheme="majorHAnsi"/>
              </w:rPr>
              <w:t>Livestock</w:t>
            </w:r>
          </w:p>
        </w:tc>
        <w:tc>
          <w:tcPr>
            <w:tcW w:w="1887" w:type="dxa"/>
            <w:shd w:val="clear" w:color="auto" w:fill="EBEBEB" w:themeFill="background2"/>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1 285</w:t>
            </w:r>
          </w:p>
        </w:tc>
        <w:tc>
          <w:tcPr>
            <w:tcW w:w="1165" w:type="dxa"/>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67" w:type="dxa"/>
            <w:shd w:val="clear" w:color="auto" w:fill="EBEBEB" w:themeFill="background2"/>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1 285</w:t>
            </w:r>
          </w:p>
        </w:tc>
        <w:tc>
          <w:tcPr>
            <w:tcW w:w="1165" w:type="dxa"/>
            <w:noWrap/>
            <w:hideMark/>
          </w:tcPr>
          <w:p w:rsidR="00B07C01" w:rsidRPr="00892DE3" w:rsidRDefault="00B07C01" w:rsidP="00B07C01">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B07C01" w:rsidRPr="00892DE3" w:rsidRDefault="00B07C01" w:rsidP="00B07C01"/>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4301"/>
        <w:gridCol w:w="1869"/>
        <w:gridCol w:w="1155"/>
        <w:gridCol w:w="1157"/>
        <w:gridCol w:w="1155"/>
      </w:tblGrid>
      <w:tr w:rsidR="00B07C01" w:rsidRPr="00892DE3" w:rsidTr="00B07C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01" w:type="dxa"/>
            <w:hideMark/>
          </w:tcPr>
          <w:p w:rsidR="00B07C01" w:rsidRPr="00892DE3" w:rsidRDefault="00B07C01" w:rsidP="007E12CD">
            <w:pPr>
              <w:ind w:left="0" w:firstLine="0"/>
            </w:pPr>
            <w:r w:rsidRPr="00892DE3">
              <w:t>2016</w:t>
            </w:r>
          </w:p>
        </w:tc>
        <w:tc>
          <w:tcPr>
            <w:tcW w:w="1869" w:type="dxa"/>
            <w:noWrap/>
          </w:tcPr>
          <w:p w:rsidR="00B07C01" w:rsidRPr="00892DE3" w:rsidRDefault="00B07C01" w:rsidP="007E12CD">
            <w:pPr>
              <w:cnfStyle w:val="100000000000" w:firstRow="1" w:lastRow="0" w:firstColumn="0" w:lastColumn="0" w:oddVBand="0" w:evenVBand="0" w:oddHBand="0" w:evenHBand="0" w:firstRowFirstColumn="0" w:firstRowLastColumn="0" w:lastRowFirstColumn="0" w:lastRowLastColumn="0"/>
            </w:pPr>
          </w:p>
        </w:tc>
        <w:tc>
          <w:tcPr>
            <w:tcW w:w="1155" w:type="dxa"/>
            <w:noWrap/>
          </w:tcPr>
          <w:p w:rsidR="00B07C01" w:rsidRPr="00892DE3" w:rsidRDefault="00B07C01" w:rsidP="007E12CD">
            <w:pPr>
              <w:cnfStyle w:val="100000000000" w:firstRow="1" w:lastRow="0" w:firstColumn="0" w:lastColumn="0" w:oddVBand="0" w:evenVBand="0" w:oddHBand="0" w:evenHBand="0" w:firstRowFirstColumn="0" w:firstRowLastColumn="0" w:lastRowFirstColumn="0" w:lastRowLastColumn="0"/>
            </w:pPr>
          </w:p>
        </w:tc>
        <w:tc>
          <w:tcPr>
            <w:tcW w:w="1157" w:type="dxa"/>
            <w:noWrap/>
          </w:tcPr>
          <w:p w:rsidR="00B07C01" w:rsidRPr="00892DE3" w:rsidRDefault="00B07C01" w:rsidP="007E12CD">
            <w:pPr>
              <w:cnfStyle w:val="100000000000" w:firstRow="1" w:lastRow="0" w:firstColumn="0" w:lastColumn="0" w:oddVBand="0" w:evenVBand="0" w:oddHBand="0" w:evenHBand="0" w:firstRowFirstColumn="0" w:firstRowLastColumn="0" w:lastRowFirstColumn="0" w:lastRowLastColumn="0"/>
            </w:pPr>
          </w:p>
        </w:tc>
        <w:tc>
          <w:tcPr>
            <w:tcW w:w="1155" w:type="dxa"/>
            <w:noWrap/>
          </w:tcPr>
          <w:p w:rsidR="00B07C01" w:rsidRPr="00892DE3" w:rsidRDefault="00B07C01" w:rsidP="007E12CD">
            <w:pPr>
              <w:cnfStyle w:val="100000000000" w:firstRow="1" w:lastRow="0" w:firstColumn="0" w:lastColumn="0" w:oddVBand="0" w:evenVBand="0" w:oddHBand="0" w:evenHBand="0" w:firstRowFirstColumn="0" w:firstRowLastColumn="0" w:lastRowFirstColumn="0" w:lastRowLastColumn="0"/>
            </w:pPr>
          </w:p>
        </w:tc>
      </w:tr>
      <w:tr w:rsidR="00B07C01" w:rsidRPr="00892DE3" w:rsidTr="00B07C01">
        <w:tc>
          <w:tcPr>
            <w:cnfStyle w:val="001000000000" w:firstRow="0" w:lastRow="0" w:firstColumn="1" w:lastColumn="0" w:oddVBand="0" w:evenVBand="0" w:oddHBand="0" w:evenHBand="0" w:firstRowFirstColumn="0" w:firstRowLastColumn="0" w:lastRowFirstColumn="0" w:lastRowLastColumn="0"/>
            <w:tcW w:w="4301" w:type="dxa"/>
            <w:hideMark/>
          </w:tcPr>
          <w:p w:rsidR="00B07C01" w:rsidRPr="00892DE3" w:rsidRDefault="00B07C01" w:rsidP="007E12CD">
            <w:pPr>
              <w:rPr>
                <w:rFonts w:cstheme="majorHAnsi"/>
              </w:rPr>
            </w:pPr>
            <w:r w:rsidRPr="00892DE3">
              <w:rPr>
                <w:rFonts w:cstheme="majorHAnsi"/>
              </w:rPr>
              <w:t>Nature forests</w:t>
            </w:r>
          </w:p>
        </w:tc>
        <w:tc>
          <w:tcPr>
            <w:tcW w:w="1869" w:type="dxa"/>
            <w:shd w:val="clear" w:color="auto" w:fill="EBEBEB" w:themeFill="background2"/>
            <w:noWrap/>
            <w:hideMark/>
          </w:tcPr>
          <w:p w:rsidR="00B07C01" w:rsidRPr="00892DE3" w:rsidRDefault="00D66F3B" w:rsidP="007E12C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5" w:type="dxa"/>
            <w:noWrap/>
            <w:hideMark/>
          </w:tcPr>
          <w:p w:rsidR="00B07C01" w:rsidRPr="00892DE3" w:rsidRDefault="00096927" w:rsidP="007E12C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7" w:type="dxa"/>
            <w:shd w:val="clear" w:color="auto" w:fill="EBEBEB" w:themeFill="background2"/>
            <w:noWrap/>
            <w:hideMark/>
          </w:tcPr>
          <w:p w:rsidR="00B07C01" w:rsidRPr="00892DE3" w:rsidRDefault="00D66F3B" w:rsidP="007E12C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5" w:type="dxa"/>
            <w:noWrap/>
            <w:hideMark/>
          </w:tcPr>
          <w:p w:rsidR="00B07C01" w:rsidRPr="00892DE3" w:rsidRDefault="00B07C01" w:rsidP="007E12C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B07C01" w:rsidRPr="00892DE3" w:rsidTr="00B07C01">
        <w:tc>
          <w:tcPr>
            <w:cnfStyle w:val="001000000000" w:firstRow="0" w:lastRow="0" w:firstColumn="1" w:lastColumn="0" w:oddVBand="0" w:evenVBand="0" w:oddHBand="0" w:evenHBand="0" w:firstRowFirstColumn="0" w:firstRowLastColumn="0" w:lastRowFirstColumn="0" w:lastRowLastColumn="0"/>
            <w:tcW w:w="4301" w:type="dxa"/>
            <w:hideMark/>
          </w:tcPr>
          <w:p w:rsidR="00B07C01" w:rsidRPr="00892DE3" w:rsidRDefault="00B07C01" w:rsidP="007E12CD">
            <w:pPr>
              <w:rPr>
                <w:rFonts w:cstheme="majorHAnsi"/>
              </w:rPr>
            </w:pPr>
            <w:r w:rsidRPr="00892DE3">
              <w:rPr>
                <w:rFonts w:cstheme="majorHAnsi"/>
              </w:rPr>
              <w:t>Livestock</w:t>
            </w:r>
          </w:p>
        </w:tc>
        <w:tc>
          <w:tcPr>
            <w:tcW w:w="1869" w:type="dxa"/>
            <w:shd w:val="clear" w:color="auto" w:fill="EBEBEB" w:themeFill="background2"/>
            <w:noWrap/>
            <w:hideMark/>
          </w:tcPr>
          <w:p w:rsidR="00B07C01" w:rsidRPr="00892DE3" w:rsidRDefault="00D66F3B" w:rsidP="007E12C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5" w:type="dxa"/>
            <w:noWrap/>
            <w:hideMark/>
          </w:tcPr>
          <w:p w:rsidR="00B07C01" w:rsidRPr="00892DE3" w:rsidRDefault="00096927" w:rsidP="007E12C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7" w:type="dxa"/>
            <w:shd w:val="clear" w:color="auto" w:fill="EBEBEB" w:themeFill="background2"/>
            <w:noWrap/>
            <w:hideMark/>
          </w:tcPr>
          <w:p w:rsidR="00B07C01" w:rsidRPr="00892DE3" w:rsidRDefault="00D66F3B" w:rsidP="007E12C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5" w:type="dxa"/>
            <w:noWrap/>
            <w:hideMark/>
          </w:tcPr>
          <w:p w:rsidR="00B07C01" w:rsidRPr="00892DE3" w:rsidRDefault="00B07C01" w:rsidP="007E12CD">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B07C01" w:rsidRPr="00892DE3" w:rsidRDefault="00B07C01" w:rsidP="00B07C01">
      <w:pPr>
        <w:pStyle w:val="Note"/>
      </w:pPr>
      <w:r w:rsidRPr="00892DE3">
        <w:t>Note:</w:t>
      </w:r>
    </w:p>
    <w:p w:rsidR="00B07C01" w:rsidRPr="00892DE3" w:rsidRDefault="0014605A" w:rsidP="00B07C01">
      <w:pPr>
        <w:pStyle w:val="Note"/>
      </w:pPr>
      <w:r w:rsidRPr="00892DE3">
        <w:t>(a</w:t>
      </w:r>
      <w:r w:rsidR="00B07C01" w:rsidRPr="00892DE3">
        <w:t>)</w:t>
      </w:r>
      <w:r w:rsidR="00B07C01" w:rsidRPr="00892DE3">
        <w:tab/>
        <w:t>Classified in accordance with the fair value hierarchy.</w:t>
      </w:r>
    </w:p>
    <w:p w:rsidR="00B07C01" w:rsidRPr="00892DE3" w:rsidRDefault="00B07C01" w:rsidP="00B07C01"/>
    <w:p w:rsidR="00B07C01" w:rsidRPr="00892DE3" w:rsidRDefault="00B07C01" w:rsidP="00B07C01">
      <w:r w:rsidRPr="00892DE3">
        <w:t xml:space="preserve">There have been no transfers between levels during the period. There were no changes in valuation techniques throughout the period to 30 June 2017. There are no comparative disclosures because the Department did not hold any biological assets at 30 June 2016. </w:t>
      </w:r>
      <w:r w:rsidRPr="00892DE3">
        <w:rPr>
          <w:rStyle w:val="SourceReference"/>
        </w:rPr>
        <w:t>[AASB 13.93(c), AASB 13.66]</w:t>
      </w:r>
      <w:r w:rsidRPr="00892DE3">
        <w:t xml:space="preserve"> </w:t>
      </w:r>
    </w:p>
    <w:p w:rsidR="00704368" w:rsidRPr="00892DE3" w:rsidRDefault="00704368" w:rsidP="00704368">
      <w:r w:rsidRPr="00892DE3">
        <w:t>Biological assets comprise nature forests and livestock. Biological assets are measured at fair value less costs to sell, with any changes recognised in the comprehensive operating statement – other economic flows. Costs to sell include all costs that would be necessary to sell the assets, including freight and direct selling costs.</w:t>
      </w:r>
    </w:p>
    <w:p w:rsidR="00704368" w:rsidRPr="00892DE3" w:rsidRDefault="00704368" w:rsidP="00704368">
      <w:r w:rsidRPr="00892DE3">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rsidR="00704368" w:rsidRPr="00892DE3" w:rsidRDefault="00704368" w:rsidP="00704368">
      <w:r w:rsidRPr="00892DE3">
        <w:t xml:space="preserve">In the event that market determined prices or values are not available for a biological asset in its present condition, the present value of the expected net cash flows from the asset, discounted at a current market determined rate is utilised to determine fair value. </w:t>
      </w:r>
    </w:p>
    <w:p w:rsidR="00704368" w:rsidRPr="00892DE3" w:rsidRDefault="00704368" w:rsidP="00704368">
      <w:pPr>
        <w:pStyle w:val="Heading4"/>
        <w:rPr>
          <w:lang w:val="en-GB"/>
        </w:rPr>
      </w:pPr>
      <w:r w:rsidRPr="00892DE3">
        <w:rPr>
          <w:lang w:val="en-GB"/>
        </w:rPr>
        <w:t>Nature forests</w:t>
      </w:r>
    </w:p>
    <w:p w:rsidR="00704368" w:rsidRPr="00892DE3" w:rsidRDefault="00704368" w:rsidP="00704368">
      <w:r w:rsidRPr="00892DE3">
        <w:t>The fair value for nature forests is determined using a discounted cash flow method whereby expected net future cash flows are discounted at a current market determined rate. After harvest, productive trees are treated as inventories.</w:t>
      </w:r>
    </w:p>
    <w:p w:rsidR="00704368" w:rsidRPr="00892DE3" w:rsidRDefault="00704368" w:rsidP="00704368">
      <w:pPr>
        <w:pStyle w:val="Heading4"/>
        <w:rPr>
          <w:lang w:val="en-GB"/>
        </w:rPr>
      </w:pPr>
      <w:r w:rsidRPr="00892DE3">
        <w:rPr>
          <w:lang w:val="en-GB"/>
        </w:rPr>
        <w:t>Livestock</w:t>
      </w:r>
    </w:p>
    <w:p w:rsidR="00704368" w:rsidRPr="00892DE3" w:rsidRDefault="00704368">
      <w:r w:rsidRPr="00892DE3">
        <w:t>For livestock, fair value is based on relevant market indicators which include store cattle prices, abattoir market prices, and cattle prices received/quoted for the Department’s cattle at the reporting date. Prices for cattle generally reflect the shorter term spot prices available in the market place and vary depending on the weight and condition of the animal.</w:t>
      </w:r>
    </w:p>
    <w:p w:rsidR="00EA4184" w:rsidRPr="00892DE3" w:rsidRDefault="00EA4184"/>
    <w:p w:rsidR="00821277" w:rsidRDefault="00821277">
      <w:r>
        <w:rPr>
          <w:b/>
        </w:rPr>
        <w:br w:type="page"/>
      </w:r>
    </w:p>
    <w:tbl>
      <w:tblPr>
        <w:tblStyle w:val="ModelReportGuidanceTable"/>
        <w:tblW w:w="0" w:type="auto"/>
        <w:tblLook w:val="04A0" w:firstRow="1" w:lastRow="0" w:firstColumn="1" w:lastColumn="0" w:noHBand="0" w:noVBand="1"/>
      </w:tblPr>
      <w:tblGrid>
        <w:gridCol w:w="9724"/>
      </w:tblGrid>
      <w:tr w:rsidR="00B07C01" w:rsidRPr="00892DE3" w:rsidTr="00EA4184">
        <w:trPr>
          <w:cnfStyle w:val="100000000000" w:firstRow="1" w:lastRow="0" w:firstColumn="0" w:lastColumn="0" w:oddVBand="0" w:evenVBand="0" w:oddHBand="0" w:evenHBand="0" w:firstRowFirstColumn="0" w:firstRowLastColumn="0" w:lastRowFirstColumn="0" w:lastRowLastColumn="0"/>
        </w:trPr>
        <w:tc>
          <w:tcPr>
            <w:tcW w:w="9724" w:type="dxa"/>
          </w:tcPr>
          <w:p w:rsidR="00B07C01" w:rsidRPr="00892DE3" w:rsidRDefault="00EA4184" w:rsidP="00B07C01">
            <w:r w:rsidRPr="00892DE3">
              <w:t>Guidance – Biological assets</w:t>
            </w:r>
          </w:p>
        </w:tc>
      </w:tr>
      <w:tr w:rsidR="00B07C01" w:rsidRPr="00892DE3" w:rsidTr="00EA4184">
        <w:tc>
          <w:tcPr>
            <w:tcW w:w="9724" w:type="dxa"/>
          </w:tcPr>
          <w:p w:rsidR="00EA4184" w:rsidRPr="00892DE3" w:rsidRDefault="00EA4184" w:rsidP="00EA4184">
            <w:r w:rsidRPr="00892DE3">
              <w:t>The determination of fair value for a biological asset may be facilitated by grouping biological assets acco</w:t>
            </w:r>
            <w:r w:rsidR="00DD2334" w:rsidRPr="00892DE3">
              <w:t>rding to significant attributes,</w:t>
            </w:r>
            <w:r w:rsidRPr="00892DE3">
              <w:t xml:space="preserve"> for example, by age or quality. An entity selects the attributes corresponding to the attributes used in the market as a basis for pricing. </w:t>
            </w:r>
            <w:r w:rsidRPr="00892DE3">
              <w:rPr>
                <w:rStyle w:val="SourceReference"/>
              </w:rPr>
              <w:t>[AASB 141.15]</w:t>
            </w:r>
          </w:p>
          <w:p w:rsidR="00EA4184" w:rsidRPr="00892DE3" w:rsidRDefault="00EA4184" w:rsidP="00EA4184">
            <w:r w:rsidRPr="00892DE3">
              <w:t xml:space="preserve">Entities often enter into contracts to sell their biological assets at a future date. Contract prices are not necessarily relevant in determining fair value, because fair value reflects the current market in which a willing buyer and seller would enter into a transaction. </w:t>
            </w:r>
          </w:p>
          <w:p w:rsidR="00EA4184" w:rsidRPr="00892DE3" w:rsidRDefault="00EA4184" w:rsidP="00EA4184">
            <w:r w:rsidRPr="00892DE3">
              <w:t>As a result, the fair value of a biological asset is not adjusted because of the existence of a contract. In some cases, a</w:t>
            </w:r>
            <w:r w:rsidR="00DD2334" w:rsidRPr="00892DE3">
              <w:t> </w:t>
            </w:r>
            <w:r w:rsidRPr="00892DE3">
              <w:t xml:space="preserve">contract for the sale of a biological asset may be an onerous contract. AASB 137 Provisions, Contingent Liabilities and Contingent Assets applies to onerous contracts. </w:t>
            </w:r>
            <w:r w:rsidRPr="00892DE3">
              <w:rPr>
                <w:rStyle w:val="SourceReference"/>
              </w:rPr>
              <w:t>[AASB 141.16]</w:t>
            </w:r>
          </w:p>
          <w:p w:rsidR="00B07C01" w:rsidRDefault="00EA4184" w:rsidP="0014605A">
            <w:pPr>
              <w:rPr>
                <w:rStyle w:val="SourceReference"/>
              </w:rPr>
            </w:pPr>
            <w:r w:rsidRPr="00892DE3">
              <w:t xml:space="preserve">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would use the price existing in the market expected to be used. </w:t>
            </w:r>
            <w:r w:rsidRPr="00892DE3">
              <w:rPr>
                <w:rStyle w:val="SourceReference"/>
              </w:rPr>
              <w:t>[AASB 141.17]</w:t>
            </w:r>
          </w:p>
          <w:p w:rsidR="006932C9" w:rsidRPr="00892DE3" w:rsidRDefault="006932C9" w:rsidP="006932C9">
            <w:r w:rsidRPr="00892DE3">
              <w:t>If an active market does not exist, an entity uses one or more of the following, when available, in determining fair value:</w:t>
            </w:r>
          </w:p>
          <w:p w:rsidR="006932C9" w:rsidRPr="00892DE3" w:rsidRDefault="006932C9" w:rsidP="006932C9">
            <w:pPr>
              <w:pStyle w:val="List"/>
            </w:pPr>
            <w:r w:rsidRPr="00892DE3">
              <w:t>(a)</w:t>
            </w:r>
            <w:r w:rsidRPr="00892DE3">
              <w:tab/>
              <w:t>the most recent market transaction price, provided that there has not been a significant change in economic circumstances between the date of that transaction and the end of the reporting period;</w:t>
            </w:r>
          </w:p>
          <w:p w:rsidR="006932C9" w:rsidRPr="00892DE3" w:rsidRDefault="006932C9" w:rsidP="006932C9">
            <w:pPr>
              <w:pStyle w:val="List"/>
            </w:pPr>
            <w:r w:rsidRPr="00892DE3">
              <w:t>(b)</w:t>
            </w:r>
            <w:r w:rsidRPr="00892DE3">
              <w:tab/>
              <w:t>market prices for similar assets with adjustment to reflect differences; and</w:t>
            </w:r>
          </w:p>
          <w:p w:rsidR="006932C9" w:rsidRPr="00892DE3" w:rsidRDefault="006932C9" w:rsidP="006932C9">
            <w:pPr>
              <w:pStyle w:val="List"/>
            </w:pPr>
            <w:r w:rsidRPr="00892DE3">
              <w:t>(c)</w:t>
            </w:r>
            <w:r w:rsidRPr="00892DE3">
              <w:tab/>
              <w:t xml:space="preserve">sector benchmarks such as the value of an orchard expressed per export tray, bushel, or hectare, and the value of cattle expressed per kilogram of meat. </w:t>
            </w:r>
            <w:r w:rsidRPr="00892DE3">
              <w:rPr>
                <w:rStyle w:val="SourceReference"/>
              </w:rPr>
              <w:t>[AASB 141.18]</w:t>
            </w:r>
          </w:p>
          <w:p w:rsidR="006932C9" w:rsidRPr="00892DE3" w:rsidRDefault="006932C9" w:rsidP="006932C9">
            <w:r w:rsidRPr="00892DE3">
              <w:t xml:space="preserve">In some cases, the information sources listed above may suggest different conclusions as to the fair value of a biological asset. An entity considers the reasons for those differences, in order to arrive at the most reliable estimate of fair value within a relatively narrow range of reasonable estimates. </w:t>
            </w:r>
            <w:r w:rsidRPr="00892DE3">
              <w:rPr>
                <w:rStyle w:val="SourceReference"/>
              </w:rPr>
              <w:t>[AASB 141.19]</w:t>
            </w:r>
          </w:p>
          <w:p w:rsidR="006932C9" w:rsidRPr="00892DE3" w:rsidRDefault="006932C9" w:rsidP="006932C9">
            <w:r w:rsidRPr="00892DE3">
              <w:t xml:space="preserve">In some circumstances, market determined prices or values may not be available for a biological asset in its present condition. In these circumstances, an entity uses the present value of expected net cash flows from the asset discounted at a current market determined rate in determining fair value. </w:t>
            </w:r>
            <w:r w:rsidRPr="00892DE3">
              <w:rPr>
                <w:rStyle w:val="SourceReference"/>
              </w:rPr>
              <w:t>[AASB 141.20]</w:t>
            </w:r>
          </w:p>
          <w:p w:rsidR="006932C9" w:rsidRPr="00892DE3" w:rsidRDefault="006932C9" w:rsidP="006932C9">
            <w:r w:rsidRPr="00892DE3">
              <w:t xml:space="preserve">The objective of a calculation of the present value of expected net cash flows is to determine the fair value of a biological asset in its present location and condition. </w:t>
            </w:r>
          </w:p>
          <w:p w:rsidR="006932C9" w:rsidRPr="00892DE3" w:rsidRDefault="006932C9" w:rsidP="006932C9">
            <w:r w:rsidRPr="00892DE3">
              <w:t xml:space="preserve">An entity considers this in determining an appropriate discount rate to be used and in estimating expected net cash flows. In determining the present value of expected net cash flows, an entity includes the net cash flows that market participants would expect the asset to generate in its most relevant market. </w:t>
            </w:r>
            <w:r w:rsidRPr="00892DE3">
              <w:rPr>
                <w:rStyle w:val="SourceReference"/>
              </w:rPr>
              <w:t>[AASB 141.21]</w:t>
            </w:r>
          </w:p>
          <w:p w:rsidR="006932C9" w:rsidRPr="00892DE3" w:rsidRDefault="006932C9" w:rsidP="006932C9">
            <w:r w:rsidRPr="00892DE3">
              <w:t xml:space="preserve">An entity does not include any cash flows for financing the assets, taxation, or re-establishing biological assets after harvest. </w:t>
            </w:r>
            <w:r w:rsidRPr="00892DE3">
              <w:rPr>
                <w:rStyle w:val="SourceReference"/>
              </w:rPr>
              <w:t>[AASB 141.22]</w:t>
            </w:r>
          </w:p>
          <w:p w:rsidR="006932C9" w:rsidRPr="00892DE3" w:rsidRDefault="006932C9" w:rsidP="006932C9">
            <w:r w:rsidRPr="00892DE3">
              <w:t xml:space="preserve">In agreeing an arm’s length transaction price, knowledgeable, willing buyers and sellers consider the possibility of variations in cash flows. It follows that fair value reflects the possibility of such variations. Accordingly, an entity incorporates expectations about possible variations in cash flows into either the expected cash flows, or the discount rate, or some combination of the two. In determining a discount rate, an entity uses assumptions consistent with those used in estimating the expected cash flows, to avoid the effect of some assumptions being double counted or ignored. </w:t>
            </w:r>
            <w:r w:rsidRPr="00892DE3">
              <w:rPr>
                <w:rStyle w:val="SourceReference"/>
              </w:rPr>
              <w:t>[AASB 141.23]</w:t>
            </w:r>
          </w:p>
          <w:p w:rsidR="006932C9" w:rsidRPr="00892DE3" w:rsidRDefault="006932C9" w:rsidP="006932C9">
            <w:r w:rsidRPr="00892DE3">
              <w:t>Cost may sometimes approximate fair value, particularly when:</w:t>
            </w:r>
          </w:p>
          <w:p w:rsidR="006932C9" w:rsidRPr="00892DE3" w:rsidRDefault="006932C9" w:rsidP="006932C9">
            <w:pPr>
              <w:pStyle w:val="List"/>
            </w:pPr>
            <w:r w:rsidRPr="00892DE3">
              <w:t>(a)</w:t>
            </w:r>
            <w:r w:rsidRPr="00892DE3">
              <w:tab/>
              <w:t>little biological transformation has taken place since initial cost incurrence; or</w:t>
            </w:r>
          </w:p>
          <w:p w:rsidR="006932C9" w:rsidRPr="00892DE3" w:rsidRDefault="006932C9" w:rsidP="006932C9">
            <w:pPr>
              <w:pStyle w:val="List"/>
            </w:pPr>
            <w:r w:rsidRPr="00892DE3">
              <w:t>(b)</w:t>
            </w:r>
            <w:r w:rsidRPr="00892DE3">
              <w:tab/>
              <w:t xml:space="preserve">the impact of the biological transformation on price is not expected to be material. </w:t>
            </w:r>
            <w:r w:rsidRPr="00892DE3">
              <w:rPr>
                <w:rStyle w:val="SourceReference"/>
              </w:rPr>
              <w:t>[AASB 141.24]</w:t>
            </w:r>
          </w:p>
          <w:p w:rsidR="006932C9" w:rsidRPr="00892DE3" w:rsidRDefault="006932C9" w:rsidP="006932C9">
            <w:r w:rsidRPr="00892DE3">
              <w:t xml:space="preserve">Biological assets are often physically attached to land. Where 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 </w:t>
            </w:r>
            <w:r w:rsidRPr="00892DE3">
              <w:rPr>
                <w:rStyle w:val="SourceReference"/>
              </w:rPr>
              <w:t>[</w:t>
            </w:r>
          </w:p>
        </w:tc>
      </w:tr>
    </w:tbl>
    <w:p w:rsidR="0014605A" w:rsidRPr="00892DE3" w:rsidRDefault="0014605A"/>
    <w:bookmarkEnd w:id="151"/>
    <w:p w:rsidR="00D16285" w:rsidRPr="00892DE3" w:rsidRDefault="00D16285" w:rsidP="00B07C01"/>
    <w:p w:rsidR="00821277" w:rsidRDefault="00821277">
      <w:pPr>
        <w:keepLines w:val="0"/>
        <w:rPr>
          <w:rFonts w:asciiTheme="majorHAnsi" w:hAnsiTheme="majorHAnsi"/>
          <w:b/>
          <w:szCs w:val="20"/>
        </w:rPr>
      </w:pPr>
      <w:r>
        <w:br w:type="page"/>
      </w:r>
    </w:p>
    <w:p w:rsidR="002E6B47" w:rsidRPr="00892DE3" w:rsidRDefault="00D61905" w:rsidP="002E6B47">
      <w:pPr>
        <w:pStyle w:val="TableHeading"/>
      </w:pPr>
      <w:r w:rsidRPr="00892DE3">
        <w:t>Non-financial physical assets classified as held for sale</w:t>
      </w:r>
      <w:r w:rsidR="002E6B47" w:rsidRPr="00892DE3">
        <w:t xml:space="preserve"> </w:t>
      </w:r>
      <w:r w:rsidRPr="00892DE3">
        <w:rPr>
          <w:rStyle w:val="SourceReference"/>
          <w:b w:val="0"/>
        </w:rPr>
        <w:t>[AASB 13.93 (a)(b)]</w:t>
      </w:r>
    </w:p>
    <w:p w:rsidR="002E6B47" w:rsidRPr="00892DE3" w:rsidRDefault="002E6B47" w:rsidP="002E6B47">
      <w:pPr>
        <w:pStyle w:val="TableUnits"/>
        <w:jc w:val="left"/>
        <w:rPr>
          <w:b w:val="0"/>
        </w:rPr>
      </w:pPr>
    </w:p>
    <w:p w:rsidR="002E6B47" w:rsidRPr="00892DE3" w:rsidRDefault="002E6B47" w:rsidP="002E6B47">
      <w:r w:rsidRPr="00892DE3">
        <w:t xml:space="preserve">The following table provides the fair value measurement hierarchy of the Department’s non-financial physical assets held for sale. </w:t>
      </w:r>
    </w:p>
    <w:p w:rsidR="002E6B47" w:rsidRPr="00892DE3" w:rsidRDefault="002E6B47" w:rsidP="002E6B47">
      <w:pPr>
        <w:pStyle w:val="TableUnits"/>
      </w:pPr>
      <w:r w:rsidRPr="00892DE3">
        <w:t>($ thousand)</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4301"/>
        <w:gridCol w:w="1869"/>
        <w:gridCol w:w="1155"/>
        <w:gridCol w:w="1157"/>
        <w:gridCol w:w="1155"/>
      </w:tblGrid>
      <w:tr w:rsidR="002E6B47" w:rsidRPr="00892DE3" w:rsidTr="002E6B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hideMark/>
          </w:tcPr>
          <w:p w:rsidR="002E6B47" w:rsidRPr="00892DE3" w:rsidRDefault="002E6B47" w:rsidP="002E6B47">
            <w:pPr>
              <w:ind w:left="0" w:firstLine="0"/>
            </w:pPr>
          </w:p>
        </w:tc>
        <w:tc>
          <w:tcPr>
            <w:tcW w:w="1887" w:type="dxa"/>
            <w:noWrap/>
            <w:hideMark/>
          </w:tcPr>
          <w:p w:rsidR="002E6B47" w:rsidRPr="00892DE3" w:rsidRDefault="002E6B47" w:rsidP="002E6B47">
            <w:pPr>
              <w:cnfStyle w:val="100000000000" w:firstRow="1" w:lastRow="0" w:firstColumn="0" w:lastColumn="0" w:oddVBand="0" w:evenVBand="0" w:oddHBand="0" w:evenHBand="0" w:firstRowFirstColumn="0" w:firstRowLastColumn="0" w:lastRowFirstColumn="0" w:lastRowLastColumn="0"/>
            </w:pPr>
            <w:r w:rsidRPr="00892DE3">
              <w:t xml:space="preserve">Carrying amount </w:t>
            </w:r>
          </w:p>
        </w:tc>
        <w:tc>
          <w:tcPr>
            <w:tcW w:w="3497" w:type="dxa"/>
            <w:gridSpan w:val="3"/>
            <w:hideMark/>
          </w:tcPr>
          <w:p w:rsidR="002E6B47" w:rsidRPr="00892DE3" w:rsidRDefault="002E6B47" w:rsidP="002E6B47">
            <w:pPr>
              <w:jc w:val="center"/>
              <w:cnfStyle w:val="100000000000" w:firstRow="1" w:lastRow="0" w:firstColumn="0" w:lastColumn="0" w:oddVBand="0" w:evenVBand="0" w:oddHBand="0" w:evenHBand="0" w:firstRowFirstColumn="0" w:firstRowLastColumn="0" w:lastRowFirstColumn="0" w:lastRowLastColumn="0"/>
            </w:pPr>
            <w:r w:rsidRPr="00892DE3">
              <w:t xml:space="preserve">Fair value measurement at end of </w:t>
            </w:r>
            <w:r w:rsidRPr="00892DE3">
              <w:br/>
              <w:t>reporting period using:</w:t>
            </w:r>
          </w:p>
        </w:tc>
      </w:tr>
      <w:tr w:rsidR="002E6B47" w:rsidRPr="00892DE3" w:rsidTr="002E6B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hideMark/>
          </w:tcPr>
          <w:p w:rsidR="002E6B47" w:rsidRPr="00892DE3" w:rsidRDefault="002E6B47" w:rsidP="002E6B47">
            <w:pPr>
              <w:ind w:left="0" w:firstLine="0"/>
            </w:pPr>
            <w:r w:rsidRPr="00892DE3">
              <w:t>2017</w:t>
            </w:r>
          </w:p>
        </w:tc>
        <w:tc>
          <w:tcPr>
            <w:tcW w:w="1887" w:type="dxa"/>
            <w:noWrap/>
            <w:hideMark/>
          </w:tcPr>
          <w:p w:rsidR="002E6B47" w:rsidRPr="00892DE3" w:rsidRDefault="002E6B47" w:rsidP="002E6B47">
            <w:pPr>
              <w:cnfStyle w:val="100000000000" w:firstRow="1" w:lastRow="0" w:firstColumn="0" w:lastColumn="0" w:oddVBand="0" w:evenVBand="0" w:oddHBand="0" w:evenHBand="0" w:firstRowFirstColumn="0" w:firstRowLastColumn="0" w:lastRowFirstColumn="0" w:lastRowLastColumn="0"/>
            </w:pPr>
            <w:r w:rsidRPr="00892DE3">
              <w:t>as at 30 June</w:t>
            </w:r>
          </w:p>
        </w:tc>
        <w:tc>
          <w:tcPr>
            <w:tcW w:w="1165" w:type="dxa"/>
            <w:noWrap/>
            <w:hideMark/>
          </w:tcPr>
          <w:p w:rsidR="002E6B47" w:rsidRPr="00892DE3" w:rsidRDefault="002E6B47" w:rsidP="002E6B47">
            <w:pPr>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(a)</w:t>
            </w:r>
          </w:p>
        </w:tc>
        <w:tc>
          <w:tcPr>
            <w:tcW w:w="1167" w:type="dxa"/>
            <w:noWrap/>
            <w:hideMark/>
          </w:tcPr>
          <w:p w:rsidR="002E6B47" w:rsidRPr="00892DE3" w:rsidRDefault="002E6B47" w:rsidP="002E6B47">
            <w:pPr>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(a)</w:t>
            </w:r>
          </w:p>
        </w:tc>
        <w:tc>
          <w:tcPr>
            <w:tcW w:w="1165" w:type="dxa"/>
            <w:noWrap/>
            <w:hideMark/>
          </w:tcPr>
          <w:p w:rsidR="002E6B47" w:rsidRPr="00892DE3" w:rsidRDefault="002E6B47" w:rsidP="002E6B47">
            <w:pPr>
              <w:cnfStyle w:val="100000000000" w:firstRow="1" w:lastRow="0" w:firstColumn="0" w:lastColumn="0" w:oddVBand="0" w:evenVBand="0" w:oddHBand="0" w:evenHBand="0" w:firstRowFirstColumn="0" w:firstRowLastColumn="0" w:lastRowFirstColumn="0" w:lastRowLastColumn="0"/>
            </w:pPr>
            <w:r w:rsidRPr="00892DE3">
              <w:t xml:space="preserve">Level 3 </w:t>
            </w:r>
            <w:r w:rsidRPr="00892DE3">
              <w:rPr>
                <w:vertAlign w:val="superscript"/>
              </w:rPr>
              <w:t>(a)</w:t>
            </w:r>
          </w:p>
        </w:tc>
      </w:tr>
      <w:tr w:rsidR="002E6B47" w:rsidRPr="00892DE3" w:rsidTr="002E6B47">
        <w:tc>
          <w:tcPr>
            <w:cnfStyle w:val="001000000000" w:firstRow="0" w:lastRow="0" w:firstColumn="1" w:lastColumn="0" w:oddVBand="0" w:evenVBand="0" w:oddHBand="0" w:evenHBand="0" w:firstRowFirstColumn="0" w:firstRowLastColumn="0" w:lastRowFirstColumn="0" w:lastRowLastColumn="0"/>
            <w:tcW w:w="4344" w:type="dxa"/>
            <w:hideMark/>
          </w:tcPr>
          <w:p w:rsidR="002E6B47" w:rsidRPr="00892DE3" w:rsidRDefault="002E6B47" w:rsidP="002E6B47">
            <w:pPr>
              <w:rPr>
                <w:rFonts w:cstheme="majorHAnsi"/>
                <w:vertAlign w:val="superscript"/>
              </w:rPr>
            </w:pPr>
            <w:r w:rsidRPr="00892DE3">
              <w:rPr>
                <w:rFonts w:cstheme="majorHAnsi"/>
              </w:rPr>
              <w:t>Freehold land held for sale</w:t>
            </w:r>
            <w:r w:rsidRPr="00892DE3">
              <w:rPr>
                <w:rFonts w:cstheme="majorHAnsi"/>
                <w:vertAlign w:val="superscript"/>
              </w:rPr>
              <w:t>(b)</w:t>
            </w:r>
          </w:p>
        </w:tc>
        <w:tc>
          <w:tcPr>
            <w:tcW w:w="1887" w:type="dxa"/>
            <w:shd w:val="clear" w:color="auto" w:fill="EBEBEB" w:themeFill="background2"/>
            <w:noWrap/>
            <w:hideMark/>
          </w:tcPr>
          <w:p w:rsidR="002E6B47" w:rsidRPr="00892DE3" w:rsidRDefault="00C31C68"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753</w:t>
            </w:r>
          </w:p>
        </w:tc>
        <w:tc>
          <w:tcPr>
            <w:tcW w:w="1165" w:type="dxa"/>
            <w:noWrap/>
            <w:hideMark/>
          </w:tcPr>
          <w:p w:rsidR="002E6B47" w:rsidRPr="00892DE3" w:rsidRDefault="002E6B47"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67" w:type="dxa"/>
            <w:shd w:val="clear" w:color="auto" w:fill="EBEBEB" w:themeFill="background2"/>
            <w:noWrap/>
            <w:hideMark/>
          </w:tcPr>
          <w:p w:rsidR="002E6B47" w:rsidRPr="00892DE3" w:rsidRDefault="00C31C68"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753</w:t>
            </w:r>
          </w:p>
        </w:tc>
        <w:tc>
          <w:tcPr>
            <w:tcW w:w="1165" w:type="dxa"/>
            <w:noWrap/>
            <w:hideMark/>
          </w:tcPr>
          <w:p w:rsidR="002E6B47" w:rsidRPr="00892DE3" w:rsidRDefault="002E6B47"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2E6B47" w:rsidRPr="00892DE3" w:rsidTr="002E6B47">
        <w:tc>
          <w:tcPr>
            <w:cnfStyle w:val="001000000000" w:firstRow="0" w:lastRow="0" w:firstColumn="1" w:lastColumn="0" w:oddVBand="0" w:evenVBand="0" w:oddHBand="0" w:evenHBand="0" w:firstRowFirstColumn="0" w:firstRowLastColumn="0" w:lastRowFirstColumn="0" w:lastRowLastColumn="0"/>
            <w:tcW w:w="4344" w:type="dxa"/>
            <w:hideMark/>
          </w:tcPr>
          <w:p w:rsidR="002E6B47" w:rsidRPr="00892DE3" w:rsidRDefault="002E6B47" w:rsidP="002E6B47">
            <w:pPr>
              <w:rPr>
                <w:rFonts w:cstheme="majorHAnsi"/>
                <w:vertAlign w:val="superscript"/>
              </w:rPr>
            </w:pPr>
            <w:r w:rsidRPr="00892DE3">
              <w:rPr>
                <w:rFonts w:cstheme="majorHAnsi"/>
              </w:rPr>
              <w:t>Investments and other financial assets</w:t>
            </w:r>
            <w:r w:rsidRPr="00892DE3">
              <w:rPr>
                <w:rFonts w:cstheme="majorHAnsi"/>
                <w:vertAlign w:val="superscript"/>
              </w:rPr>
              <w:t>(c)</w:t>
            </w:r>
          </w:p>
        </w:tc>
        <w:tc>
          <w:tcPr>
            <w:tcW w:w="1887" w:type="dxa"/>
            <w:shd w:val="clear" w:color="auto" w:fill="EBEBEB" w:themeFill="background2"/>
            <w:noWrap/>
            <w:hideMark/>
          </w:tcPr>
          <w:p w:rsidR="002E6B47" w:rsidRPr="00892DE3" w:rsidRDefault="002E6B47"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521</w:t>
            </w:r>
          </w:p>
        </w:tc>
        <w:tc>
          <w:tcPr>
            <w:tcW w:w="1165" w:type="dxa"/>
            <w:noWrap/>
            <w:hideMark/>
          </w:tcPr>
          <w:p w:rsidR="002E6B47" w:rsidRPr="00892DE3" w:rsidRDefault="002E6B47"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67" w:type="dxa"/>
            <w:shd w:val="clear" w:color="auto" w:fill="EBEBEB" w:themeFill="background2"/>
            <w:noWrap/>
            <w:hideMark/>
          </w:tcPr>
          <w:p w:rsidR="002E6B47" w:rsidRPr="00892DE3" w:rsidRDefault="002E6B47"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521</w:t>
            </w:r>
          </w:p>
        </w:tc>
        <w:tc>
          <w:tcPr>
            <w:tcW w:w="1165" w:type="dxa"/>
            <w:noWrap/>
            <w:hideMark/>
          </w:tcPr>
          <w:p w:rsidR="002E6B47" w:rsidRPr="00892DE3" w:rsidRDefault="002E6B47"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2E6B47" w:rsidRPr="00892DE3" w:rsidRDefault="002E6B47" w:rsidP="002E6B47"/>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4301"/>
        <w:gridCol w:w="1869"/>
        <w:gridCol w:w="1155"/>
        <w:gridCol w:w="1157"/>
        <w:gridCol w:w="1155"/>
      </w:tblGrid>
      <w:tr w:rsidR="002E6B47" w:rsidRPr="00892DE3" w:rsidTr="002E6B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01" w:type="dxa"/>
            <w:hideMark/>
          </w:tcPr>
          <w:p w:rsidR="002E6B47" w:rsidRPr="00892DE3" w:rsidRDefault="002E6B47" w:rsidP="002E6B47">
            <w:pPr>
              <w:ind w:left="0" w:firstLine="0"/>
            </w:pPr>
            <w:r w:rsidRPr="00892DE3">
              <w:t>2016</w:t>
            </w:r>
          </w:p>
        </w:tc>
        <w:tc>
          <w:tcPr>
            <w:tcW w:w="1869" w:type="dxa"/>
            <w:noWrap/>
          </w:tcPr>
          <w:p w:rsidR="002E6B47" w:rsidRPr="00892DE3" w:rsidRDefault="002E6B47" w:rsidP="002E6B47">
            <w:pPr>
              <w:cnfStyle w:val="100000000000" w:firstRow="1" w:lastRow="0" w:firstColumn="0" w:lastColumn="0" w:oddVBand="0" w:evenVBand="0" w:oddHBand="0" w:evenHBand="0" w:firstRowFirstColumn="0" w:firstRowLastColumn="0" w:lastRowFirstColumn="0" w:lastRowLastColumn="0"/>
            </w:pPr>
          </w:p>
        </w:tc>
        <w:tc>
          <w:tcPr>
            <w:tcW w:w="1155" w:type="dxa"/>
            <w:noWrap/>
          </w:tcPr>
          <w:p w:rsidR="002E6B47" w:rsidRPr="00892DE3" w:rsidRDefault="002E6B47" w:rsidP="002E6B47">
            <w:pPr>
              <w:cnfStyle w:val="100000000000" w:firstRow="1" w:lastRow="0" w:firstColumn="0" w:lastColumn="0" w:oddVBand="0" w:evenVBand="0" w:oddHBand="0" w:evenHBand="0" w:firstRowFirstColumn="0" w:firstRowLastColumn="0" w:lastRowFirstColumn="0" w:lastRowLastColumn="0"/>
            </w:pPr>
          </w:p>
        </w:tc>
        <w:tc>
          <w:tcPr>
            <w:tcW w:w="1157" w:type="dxa"/>
            <w:noWrap/>
          </w:tcPr>
          <w:p w:rsidR="002E6B47" w:rsidRPr="00892DE3" w:rsidRDefault="002E6B47" w:rsidP="002E6B47">
            <w:pPr>
              <w:cnfStyle w:val="100000000000" w:firstRow="1" w:lastRow="0" w:firstColumn="0" w:lastColumn="0" w:oddVBand="0" w:evenVBand="0" w:oddHBand="0" w:evenHBand="0" w:firstRowFirstColumn="0" w:firstRowLastColumn="0" w:lastRowFirstColumn="0" w:lastRowLastColumn="0"/>
            </w:pPr>
          </w:p>
        </w:tc>
        <w:tc>
          <w:tcPr>
            <w:tcW w:w="1155" w:type="dxa"/>
            <w:noWrap/>
          </w:tcPr>
          <w:p w:rsidR="002E6B47" w:rsidRPr="00892DE3" w:rsidRDefault="002E6B47" w:rsidP="002E6B47">
            <w:pPr>
              <w:cnfStyle w:val="100000000000" w:firstRow="1" w:lastRow="0" w:firstColumn="0" w:lastColumn="0" w:oddVBand="0" w:evenVBand="0" w:oddHBand="0" w:evenHBand="0" w:firstRowFirstColumn="0" w:firstRowLastColumn="0" w:lastRowFirstColumn="0" w:lastRowLastColumn="0"/>
            </w:pPr>
          </w:p>
        </w:tc>
      </w:tr>
      <w:tr w:rsidR="002E6B47" w:rsidRPr="00892DE3" w:rsidTr="002E6B47">
        <w:tc>
          <w:tcPr>
            <w:cnfStyle w:val="001000000000" w:firstRow="0" w:lastRow="0" w:firstColumn="1" w:lastColumn="0" w:oddVBand="0" w:evenVBand="0" w:oddHBand="0" w:evenHBand="0" w:firstRowFirstColumn="0" w:firstRowLastColumn="0" w:lastRowFirstColumn="0" w:lastRowLastColumn="0"/>
            <w:tcW w:w="4301" w:type="dxa"/>
            <w:hideMark/>
          </w:tcPr>
          <w:p w:rsidR="002E6B47" w:rsidRPr="00892DE3" w:rsidRDefault="002E6B47" w:rsidP="002E6B47">
            <w:pPr>
              <w:rPr>
                <w:rFonts w:cstheme="majorHAnsi"/>
                <w:vertAlign w:val="superscript"/>
              </w:rPr>
            </w:pPr>
            <w:r w:rsidRPr="00892DE3">
              <w:rPr>
                <w:rFonts w:cstheme="majorHAnsi"/>
              </w:rPr>
              <w:t>Freehold land held for sale</w:t>
            </w:r>
            <w:r w:rsidRPr="00892DE3">
              <w:rPr>
                <w:rFonts w:cstheme="majorHAnsi"/>
                <w:vertAlign w:val="superscript"/>
              </w:rPr>
              <w:t>(b)</w:t>
            </w:r>
          </w:p>
        </w:tc>
        <w:tc>
          <w:tcPr>
            <w:tcW w:w="1869" w:type="dxa"/>
            <w:shd w:val="clear" w:color="auto" w:fill="EBEBEB" w:themeFill="background2"/>
            <w:noWrap/>
            <w:hideMark/>
          </w:tcPr>
          <w:p w:rsidR="002E6B47" w:rsidRPr="00892DE3" w:rsidRDefault="00C31C68" w:rsidP="00C31C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1 469</w:t>
            </w:r>
          </w:p>
        </w:tc>
        <w:tc>
          <w:tcPr>
            <w:tcW w:w="1155" w:type="dxa"/>
            <w:noWrap/>
            <w:hideMark/>
          </w:tcPr>
          <w:p w:rsidR="002E6B47" w:rsidRPr="00892DE3" w:rsidRDefault="00E725F7"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57" w:type="dxa"/>
            <w:shd w:val="clear" w:color="auto" w:fill="EBEBEB" w:themeFill="background2"/>
            <w:noWrap/>
            <w:hideMark/>
          </w:tcPr>
          <w:p w:rsidR="002E6B47" w:rsidRPr="00892DE3" w:rsidRDefault="00C31C68" w:rsidP="00C31C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1 469</w:t>
            </w:r>
          </w:p>
        </w:tc>
        <w:tc>
          <w:tcPr>
            <w:tcW w:w="1155" w:type="dxa"/>
            <w:noWrap/>
            <w:hideMark/>
          </w:tcPr>
          <w:p w:rsidR="002E6B47" w:rsidRPr="00892DE3" w:rsidRDefault="002E6B47"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2E6B47" w:rsidRPr="00892DE3" w:rsidTr="002E6B47">
        <w:tc>
          <w:tcPr>
            <w:cnfStyle w:val="001000000000" w:firstRow="0" w:lastRow="0" w:firstColumn="1" w:lastColumn="0" w:oddVBand="0" w:evenVBand="0" w:oddHBand="0" w:evenHBand="0" w:firstRowFirstColumn="0" w:firstRowLastColumn="0" w:lastRowFirstColumn="0" w:lastRowLastColumn="0"/>
            <w:tcW w:w="4301" w:type="dxa"/>
            <w:hideMark/>
          </w:tcPr>
          <w:p w:rsidR="002E6B47" w:rsidRPr="00892DE3" w:rsidRDefault="002E6B47" w:rsidP="002E6B47">
            <w:pPr>
              <w:rPr>
                <w:rFonts w:cstheme="majorHAnsi"/>
                <w:vertAlign w:val="superscript"/>
              </w:rPr>
            </w:pPr>
            <w:r w:rsidRPr="00892DE3">
              <w:rPr>
                <w:rFonts w:cstheme="majorHAnsi"/>
              </w:rPr>
              <w:t>Investments and other financial assets</w:t>
            </w:r>
            <w:r w:rsidRPr="00892DE3">
              <w:rPr>
                <w:rFonts w:cstheme="majorHAnsi"/>
                <w:vertAlign w:val="superscript"/>
              </w:rPr>
              <w:t>(c)</w:t>
            </w:r>
          </w:p>
        </w:tc>
        <w:tc>
          <w:tcPr>
            <w:tcW w:w="1869" w:type="dxa"/>
            <w:shd w:val="clear" w:color="auto" w:fill="EBEBEB" w:themeFill="background2"/>
            <w:noWrap/>
            <w:hideMark/>
          </w:tcPr>
          <w:p w:rsidR="002E6B47" w:rsidRPr="00892DE3" w:rsidRDefault="00C31C68" w:rsidP="00C31C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1 575</w:t>
            </w:r>
          </w:p>
        </w:tc>
        <w:tc>
          <w:tcPr>
            <w:tcW w:w="1155" w:type="dxa"/>
            <w:noWrap/>
            <w:hideMark/>
          </w:tcPr>
          <w:p w:rsidR="002E6B47" w:rsidRPr="00892DE3" w:rsidRDefault="00E725F7"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57" w:type="dxa"/>
            <w:shd w:val="clear" w:color="auto" w:fill="EBEBEB" w:themeFill="background2"/>
            <w:noWrap/>
            <w:hideMark/>
          </w:tcPr>
          <w:p w:rsidR="002E6B47" w:rsidRPr="00892DE3" w:rsidRDefault="00C31C68" w:rsidP="00C31C68">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1 575</w:t>
            </w:r>
          </w:p>
        </w:tc>
        <w:tc>
          <w:tcPr>
            <w:tcW w:w="1155" w:type="dxa"/>
            <w:noWrap/>
            <w:hideMark/>
          </w:tcPr>
          <w:p w:rsidR="002E6B47" w:rsidRPr="00892DE3" w:rsidRDefault="002E6B47" w:rsidP="002E6B47">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2E6B47" w:rsidRPr="00892DE3" w:rsidRDefault="002E6B47" w:rsidP="002E6B47">
      <w:pPr>
        <w:pStyle w:val="Note"/>
      </w:pPr>
      <w:r w:rsidRPr="00892DE3">
        <w:t>Note:</w:t>
      </w:r>
    </w:p>
    <w:p w:rsidR="002E6B47" w:rsidRPr="00892DE3" w:rsidRDefault="002E6B47" w:rsidP="002E6B47">
      <w:pPr>
        <w:pStyle w:val="Note"/>
      </w:pPr>
      <w:r w:rsidRPr="00892DE3">
        <w:t>(a)</w:t>
      </w:r>
      <w:r w:rsidRPr="00892DE3">
        <w:tab/>
        <w:t>Classified in accordance with the fair value hierarchy.</w:t>
      </w:r>
    </w:p>
    <w:p w:rsidR="002E6B47" w:rsidRPr="00892DE3" w:rsidRDefault="002E6B47" w:rsidP="002E6B47">
      <w:pPr>
        <w:pStyle w:val="Note"/>
      </w:pPr>
      <w:r w:rsidRPr="00892DE3">
        <w:t>(b)</w:t>
      </w:r>
      <w:r w:rsidRPr="00892DE3">
        <w:tab/>
      </w:r>
      <w:r w:rsidR="00E725F7" w:rsidRPr="00892DE3">
        <w:t xml:space="preserve">Freehold land held for sale is reported in Note </w:t>
      </w:r>
      <w:r w:rsidR="0081558E" w:rsidRPr="00892DE3">
        <w:t>9.3</w:t>
      </w:r>
      <w:r w:rsidR="00E725F7" w:rsidRPr="00892DE3">
        <w:t>.6</w:t>
      </w:r>
      <w:r w:rsidRPr="00892DE3">
        <w:t>.</w:t>
      </w:r>
    </w:p>
    <w:p w:rsidR="00CD36CF" w:rsidRPr="00892DE3" w:rsidRDefault="002E6B47" w:rsidP="00CD36CF">
      <w:pPr>
        <w:pStyle w:val="Note"/>
      </w:pPr>
      <w:r w:rsidRPr="00892DE3">
        <w:t>(c)</w:t>
      </w:r>
      <w:r w:rsidRPr="00892DE3">
        <w:tab/>
      </w:r>
      <w:r w:rsidR="00E725F7" w:rsidRPr="00892DE3">
        <w:t>Investments and other financial assets are reported in Note 9</w:t>
      </w:r>
      <w:r w:rsidR="0081558E" w:rsidRPr="00892DE3">
        <w:t>.3</w:t>
      </w:r>
      <w:r w:rsidR="00E725F7" w:rsidRPr="00892DE3">
        <w:t>.5</w:t>
      </w:r>
      <w:r w:rsidRPr="00892DE3">
        <w:t>.</w:t>
      </w:r>
    </w:p>
    <w:p w:rsidR="00D61905" w:rsidRPr="00892DE3" w:rsidRDefault="00D61905" w:rsidP="00CD36CF">
      <w:pPr>
        <w:pStyle w:val="Note"/>
      </w:pPr>
    </w:p>
    <w:tbl>
      <w:tblPr>
        <w:tblStyle w:val="ModelReportGuidanceTable"/>
        <w:tblW w:w="0" w:type="auto"/>
        <w:tblLook w:val="04A0" w:firstRow="1" w:lastRow="0" w:firstColumn="1" w:lastColumn="0" w:noHBand="0" w:noVBand="1"/>
      </w:tblPr>
      <w:tblGrid>
        <w:gridCol w:w="9752"/>
      </w:tblGrid>
      <w:tr w:rsidR="00D61905" w:rsidRPr="00892DE3" w:rsidTr="001712D9">
        <w:trPr>
          <w:cnfStyle w:val="100000000000" w:firstRow="1" w:lastRow="0" w:firstColumn="0" w:lastColumn="0" w:oddVBand="0" w:evenVBand="0" w:oddHBand="0" w:evenHBand="0" w:firstRowFirstColumn="0" w:firstRowLastColumn="0" w:lastRowFirstColumn="0" w:lastRowLastColumn="0"/>
        </w:trPr>
        <w:tc>
          <w:tcPr>
            <w:tcW w:w="9752" w:type="dxa"/>
          </w:tcPr>
          <w:p w:rsidR="00D61905" w:rsidRPr="00892DE3" w:rsidRDefault="00D61905" w:rsidP="00D61905">
            <w:r w:rsidRPr="00892DE3">
              <w:t>Guidance – Non-financial physical assets classified as held for sale</w:t>
            </w:r>
          </w:p>
        </w:tc>
      </w:tr>
      <w:tr w:rsidR="00D61905" w:rsidRPr="00892DE3" w:rsidTr="001712D9">
        <w:tc>
          <w:tcPr>
            <w:tcW w:w="9752" w:type="dxa"/>
          </w:tcPr>
          <w:p w:rsidR="00D61905" w:rsidRPr="00892DE3" w:rsidRDefault="00D61905" w:rsidP="00D61905">
            <w:r w:rsidRPr="00892DE3">
              <w:t>AASB 5 clarifies that disclosure requirements in other standards do not apply to non</w:t>
            </w:r>
            <w:r w:rsidRPr="00892DE3">
              <w:noBreakHyphen/>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w:t>
            </w:r>
            <w:r w:rsidRPr="00892DE3">
              <w:noBreakHyphen/>
              <w:t>for</w:t>
            </w:r>
            <w:r w:rsidRPr="00892DE3">
              <w:noBreakHyphen/>
              <w:t>sale equity instrument is a financial instrument as defined in AASB 139 and is, therefore, scoped out of the measurement requirements of AASB 5.</w:t>
            </w:r>
          </w:p>
          <w:p w:rsidR="00D61905" w:rsidRPr="00892DE3" w:rsidRDefault="00D61905" w:rsidP="00C32535">
            <w:r w:rsidRPr="00892DE3">
              <w:t>While the assets of discontinuing operations are fair valued on a non</w:t>
            </w:r>
            <w:r w:rsidRPr="00892DE3">
              <w:noBreakHyphen/>
              <w:t>recurring basis under AASB 13.93(a), fair value measurements of available</w:t>
            </w:r>
            <w:r w:rsidRPr="00892DE3">
              <w:noBreakHyphen/>
              <w:t>for</w:t>
            </w:r>
            <w:r w:rsidRPr="00892DE3">
              <w:noBreakHyphen/>
              <w:t>sale investments of the discontinuing operations are recurring since valuations are required at the end of each reporting period. As</w:t>
            </w:r>
            <w:r w:rsidR="008109EA" w:rsidRPr="00892DE3">
              <w:t xml:space="preserve"> the illustrative example categorises ‘investments and other financial assets’ as Level 2 assets, reconciliation required for recurring Level 3 assets or liabilities is not illustrated in the Model. Refer to Note </w:t>
            </w:r>
            <w:r w:rsidR="001F498E" w:rsidRPr="00892DE3">
              <w:t xml:space="preserve">5.1.3 </w:t>
            </w:r>
            <w:r w:rsidR="008109EA" w:rsidRPr="00892DE3">
              <w:t xml:space="preserve">and Note </w:t>
            </w:r>
            <w:r w:rsidR="00C32535" w:rsidRPr="00892DE3">
              <w:t xml:space="preserve">8.1.3 </w:t>
            </w:r>
            <w:r w:rsidR="008109EA" w:rsidRPr="00892DE3">
              <w:t xml:space="preserve">for illustration on reconciliation of recurring Level 3 assets. </w:t>
            </w:r>
          </w:p>
        </w:tc>
      </w:tr>
    </w:tbl>
    <w:p w:rsidR="002E6B47" w:rsidRPr="00892DE3" w:rsidRDefault="002E6B47" w:rsidP="00B07C01">
      <w:pPr>
        <w:sectPr w:rsidR="002E6B47" w:rsidRPr="00892DE3" w:rsidSect="002C2301">
          <w:type w:val="continuous"/>
          <w:pgSz w:w="11906" w:h="16838" w:code="9"/>
          <w:pgMar w:top="1134" w:right="1134" w:bottom="1134" w:left="1134" w:header="624" w:footer="567" w:gutter="0"/>
          <w:cols w:sep="1" w:space="567"/>
          <w:titlePg/>
          <w:docGrid w:linePitch="360"/>
        </w:sectPr>
      </w:pPr>
    </w:p>
    <w:p w:rsidR="00EA4184" w:rsidRPr="00892DE3" w:rsidRDefault="00EA4184" w:rsidP="0094700F">
      <w:pPr>
        <w:pStyle w:val="Heading1"/>
        <w:spacing w:after="120"/>
      </w:pPr>
      <w:bookmarkStart w:id="159" w:name="Section9"/>
      <w:r w:rsidRPr="00892DE3">
        <w:t>OTHER DISCLOSURES</w:t>
      </w:r>
    </w:p>
    <w:p w:rsidR="0043464D" w:rsidRPr="00892DE3" w:rsidRDefault="0043464D" w:rsidP="0094700F">
      <w:pPr>
        <w:pStyle w:val="Heading30"/>
        <w:spacing w:after="120"/>
        <w:sectPr w:rsidR="0043464D" w:rsidRPr="00892DE3" w:rsidSect="00FE6BAB">
          <w:footerReference w:type="first" r:id="rId156"/>
          <w:pgSz w:w="11906" w:h="16838" w:code="9"/>
          <w:pgMar w:top="1134" w:right="1134" w:bottom="1134" w:left="1134" w:header="624" w:footer="567" w:gutter="0"/>
          <w:cols w:sep="1" w:space="567"/>
          <w:titlePg/>
          <w:docGrid w:linePitch="360"/>
        </w:sectPr>
      </w:pPr>
    </w:p>
    <w:p w:rsidR="00EA4184" w:rsidRPr="00892DE3" w:rsidRDefault="00EA4184" w:rsidP="0043464D">
      <w:pPr>
        <w:pStyle w:val="Heading30"/>
      </w:pPr>
      <w:r w:rsidRPr="00892DE3">
        <w:t>Introduction</w:t>
      </w:r>
    </w:p>
    <w:p w:rsidR="00EA4184" w:rsidRPr="00892DE3" w:rsidRDefault="00EA4184" w:rsidP="00EA4184">
      <w:r w:rsidRPr="00892DE3">
        <w:t>This section includes additional material disclosures required by accounting standards or otherwise, for the understanding of this financial report.</w:t>
      </w:r>
    </w:p>
    <w:p w:rsidR="00EA4184" w:rsidRPr="00892DE3" w:rsidRDefault="00EA4184" w:rsidP="00EA4184">
      <w:pPr>
        <w:pStyle w:val="Heading30"/>
      </w:pPr>
      <w:r w:rsidRPr="00892DE3">
        <w:t>Structure</w:t>
      </w:r>
    </w:p>
    <w:p w:rsidR="007A5F71" w:rsidRPr="00892DE3" w:rsidRDefault="0043464D">
      <w:pPr>
        <w:pStyle w:val="TOC9"/>
        <w:rPr>
          <w:rFonts w:eastAsiaTheme="minorEastAsia"/>
          <w:spacing w:val="0"/>
          <w:sz w:val="22"/>
          <w:szCs w:val="22"/>
          <w:lang w:eastAsia="en-AU"/>
        </w:rPr>
      </w:pPr>
      <w:r w:rsidRPr="00892DE3">
        <w:fldChar w:fldCharType="begin"/>
      </w:r>
      <w:r w:rsidRPr="00892DE3">
        <w:instrText xml:space="preserve"> TOC \h \z \t "Heading 2 (#),9" \b Section9 \* MERGEFORMAT </w:instrText>
      </w:r>
      <w:r w:rsidRPr="00892DE3">
        <w:fldChar w:fldCharType="separate"/>
      </w:r>
      <w:hyperlink w:anchor="_Toc478729312" w:history="1">
        <w:r w:rsidR="007A5F71" w:rsidRPr="00892DE3">
          <w:rPr>
            <w:rStyle w:val="Hyperlink"/>
          </w:rPr>
          <w:t>9.1</w:t>
        </w:r>
        <w:r w:rsidR="007A5F71" w:rsidRPr="00892DE3">
          <w:rPr>
            <w:rFonts w:eastAsiaTheme="minorEastAsia"/>
            <w:spacing w:val="0"/>
            <w:sz w:val="22"/>
            <w:szCs w:val="22"/>
            <w:lang w:eastAsia="en-AU"/>
          </w:rPr>
          <w:tab/>
        </w:r>
        <w:r w:rsidR="007A5F71" w:rsidRPr="00892DE3">
          <w:rPr>
            <w:rStyle w:val="Hyperlink"/>
          </w:rPr>
          <w:t xml:space="preserve">Ex-gratia expenses </w:t>
        </w:r>
        <w:r w:rsidR="007A5F71" w:rsidRPr="00892DE3">
          <w:rPr>
            <w:webHidden/>
          </w:rPr>
          <w:tab/>
        </w:r>
        <w:r w:rsidR="007A5F71" w:rsidRPr="00892DE3">
          <w:rPr>
            <w:webHidden/>
          </w:rPr>
          <w:fldChar w:fldCharType="begin"/>
        </w:r>
        <w:r w:rsidR="007A5F71" w:rsidRPr="00892DE3">
          <w:rPr>
            <w:webHidden/>
          </w:rPr>
          <w:instrText xml:space="preserve"> PAGEREF _Toc478729312 \h </w:instrText>
        </w:r>
        <w:r w:rsidR="007A5F71" w:rsidRPr="00892DE3">
          <w:rPr>
            <w:webHidden/>
          </w:rPr>
        </w:r>
        <w:r w:rsidR="007A5F71" w:rsidRPr="00892DE3">
          <w:rPr>
            <w:webHidden/>
          </w:rPr>
          <w:fldChar w:fldCharType="separate"/>
        </w:r>
        <w:r w:rsidR="00F63B17">
          <w:rPr>
            <w:webHidden/>
          </w:rPr>
          <w:t>194</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13" w:history="1">
        <w:r w:rsidR="007A5F71" w:rsidRPr="00892DE3">
          <w:rPr>
            <w:rStyle w:val="Hyperlink"/>
          </w:rPr>
          <w:t>9.2</w:t>
        </w:r>
        <w:r w:rsidR="007A5F71" w:rsidRPr="00892DE3">
          <w:rPr>
            <w:rFonts w:eastAsiaTheme="minorEastAsia"/>
            <w:spacing w:val="0"/>
            <w:sz w:val="22"/>
            <w:szCs w:val="22"/>
            <w:lang w:eastAsia="en-AU"/>
          </w:rPr>
          <w:tab/>
        </w:r>
        <w:r w:rsidR="007A5F71" w:rsidRPr="00892DE3">
          <w:rPr>
            <w:rStyle w:val="Hyperlink"/>
          </w:rPr>
          <w:t>Other economic flows included in net result</w:t>
        </w:r>
        <w:r w:rsidR="007A5F71" w:rsidRPr="00892DE3">
          <w:rPr>
            <w:webHidden/>
          </w:rPr>
          <w:tab/>
        </w:r>
        <w:r w:rsidR="007A5F71" w:rsidRPr="00892DE3">
          <w:rPr>
            <w:webHidden/>
          </w:rPr>
          <w:fldChar w:fldCharType="begin"/>
        </w:r>
        <w:r w:rsidR="007A5F71" w:rsidRPr="00892DE3">
          <w:rPr>
            <w:webHidden/>
          </w:rPr>
          <w:instrText xml:space="preserve"> PAGEREF _Toc478729313 \h </w:instrText>
        </w:r>
        <w:r w:rsidR="007A5F71" w:rsidRPr="00892DE3">
          <w:rPr>
            <w:webHidden/>
          </w:rPr>
        </w:r>
        <w:r w:rsidR="007A5F71" w:rsidRPr="00892DE3">
          <w:rPr>
            <w:webHidden/>
          </w:rPr>
          <w:fldChar w:fldCharType="separate"/>
        </w:r>
        <w:r w:rsidR="00F63B17">
          <w:rPr>
            <w:webHidden/>
          </w:rPr>
          <w:t>195</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14" w:history="1">
        <w:r w:rsidR="007A5F71" w:rsidRPr="00892DE3">
          <w:rPr>
            <w:rStyle w:val="Hyperlink"/>
          </w:rPr>
          <w:t>9.3</w:t>
        </w:r>
        <w:r w:rsidR="007A5F71" w:rsidRPr="00892DE3">
          <w:rPr>
            <w:rFonts w:eastAsiaTheme="minorEastAsia"/>
            <w:spacing w:val="0"/>
            <w:sz w:val="22"/>
            <w:szCs w:val="22"/>
            <w:lang w:eastAsia="en-AU"/>
          </w:rPr>
          <w:tab/>
        </w:r>
        <w:r w:rsidR="007A5F71" w:rsidRPr="00892DE3">
          <w:rPr>
            <w:rStyle w:val="Hyperlink"/>
          </w:rPr>
          <w:t>Discontinued operations and non-current assets held for sale</w:t>
        </w:r>
        <w:r w:rsidR="007A5F71" w:rsidRPr="00892DE3">
          <w:rPr>
            <w:webHidden/>
          </w:rPr>
          <w:tab/>
        </w:r>
        <w:r w:rsidR="007A5F71" w:rsidRPr="00892DE3">
          <w:rPr>
            <w:webHidden/>
          </w:rPr>
          <w:fldChar w:fldCharType="begin"/>
        </w:r>
        <w:r w:rsidR="007A5F71" w:rsidRPr="00892DE3">
          <w:rPr>
            <w:webHidden/>
          </w:rPr>
          <w:instrText xml:space="preserve"> PAGEREF _Toc478729314 \h </w:instrText>
        </w:r>
        <w:r w:rsidR="007A5F71" w:rsidRPr="00892DE3">
          <w:rPr>
            <w:webHidden/>
          </w:rPr>
        </w:r>
        <w:r w:rsidR="007A5F71" w:rsidRPr="00892DE3">
          <w:rPr>
            <w:webHidden/>
          </w:rPr>
          <w:fldChar w:fldCharType="separate"/>
        </w:r>
        <w:r w:rsidR="00F63B17">
          <w:rPr>
            <w:webHidden/>
          </w:rPr>
          <w:t>196</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15" w:history="1">
        <w:r w:rsidR="007A5F71" w:rsidRPr="00892DE3">
          <w:rPr>
            <w:rStyle w:val="Hyperlink"/>
          </w:rPr>
          <w:t>9.4</w:t>
        </w:r>
        <w:r w:rsidR="007A5F71" w:rsidRPr="00892DE3">
          <w:rPr>
            <w:rFonts w:eastAsiaTheme="minorEastAsia"/>
            <w:spacing w:val="0"/>
            <w:sz w:val="22"/>
            <w:szCs w:val="22"/>
            <w:lang w:eastAsia="en-AU"/>
          </w:rPr>
          <w:tab/>
        </w:r>
        <w:r w:rsidR="007A5F71" w:rsidRPr="00892DE3">
          <w:rPr>
            <w:rStyle w:val="Hyperlink"/>
          </w:rPr>
          <w:t>Reserves</w:t>
        </w:r>
        <w:r w:rsidR="007A5F71" w:rsidRPr="00892DE3">
          <w:rPr>
            <w:webHidden/>
          </w:rPr>
          <w:tab/>
        </w:r>
        <w:r w:rsidR="007A5F71" w:rsidRPr="00892DE3">
          <w:rPr>
            <w:webHidden/>
          </w:rPr>
          <w:fldChar w:fldCharType="begin"/>
        </w:r>
        <w:r w:rsidR="007A5F71" w:rsidRPr="00892DE3">
          <w:rPr>
            <w:webHidden/>
          </w:rPr>
          <w:instrText xml:space="preserve"> PAGEREF _Toc478729315 \h </w:instrText>
        </w:r>
        <w:r w:rsidR="007A5F71" w:rsidRPr="00892DE3">
          <w:rPr>
            <w:webHidden/>
          </w:rPr>
        </w:r>
        <w:r w:rsidR="007A5F71" w:rsidRPr="00892DE3">
          <w:rPr>
            <w:webHidden/>
          </w:rPr>
          <w:fldChar w:fldCharType="separate"/>
        </w:r>
        <w:r w:rsidR="00F63B17">
          <w:rPr>
            <w:webHidden/>
          </w:rPr>
          <w:t>199</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16" w:history="1">
        <w:r w:rsidR="007A5F71" w:rsidRPr="00892DE3">
          <w:rPr>
            <w:rStyle w:val="Hyperlink"/>
          </w:rPr>
          <w:t>9.5</w:t>
        </w:r>
        <w:r w:rsidR="007A5F71" w:rsidRPr="00892DE3">
          <w:rPr>
            <w:rFonts w:eastAsiaTheme="minorEastAsia"/>
            <w:spacing w:val="0"/>
            <w:sz w:val="22"/>
            <w:szCs w:val="22"/>
            <w:lang w:eastAsia="en-AU"/>
          </w:rPr>
          <w:tab/>
        </w:r>
        <w:r w:rsidR="007A5F71" w:rsidRPr="00892DE3">
          <w:rPr>
            <w:rStyle w:val="Hyperlink"/>
          </w:rPr>
          <w:t>Entities consolidated pursuant to section 53(1)(b) of the FMA</w:t>
        </w:r>
        <w:r w:rsidR="007A5F71" w:rsidRPr="00892DE3">
          <w:rPr>
            <w:webHidden/>
          </w:rPr>
          <w:tab/>
        </w:r>
        <w:r w:rsidR="007A5F71" w:rsidRPr="00892DE3">
          <w:rPr>
            <w:webHidden/>
          </w:rPr>
          <w:fldChar w:fldCharType="begin"/>
        </w:r>
        <w:r w:rsidR="007A5F71" w:rsidRPr="00892DE3">
          <w:rPr>
            <w:webHidden/>
          </w:rPr>
          <w:instrText xml:space="preserve"> PAGEREF _Toc478729316 \h </w:instrText>
        </w:r>
        <w:r w:rsidR="007A5F71" w:rsidRPr="00892DE3">
          <w:rPr>
            <w:webHidden/>
          </w:rPr>
        </w:r>
        <w:r w:rsidR="007A5F71" w:rsidRPr="00892DE3">
          <w:rPr>
            <w:webHidden/>
          </w:rPr>
          <w:fldChar w:fldCharType="separate"/>
        </w:r>
        <w:r w:rsidR="00F63B17">
          <w:rPr>
            <w:webHidden/>
          </w:rPr>
          <w:t>200</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17" w:history="1">
        <w:r w:rsidR="007A5F71" w:rsidRPr="00892DE3">
          <w:rPr>
            <w:rStyle w:val="Hyperlink"/>
          </w:rPr>
          <w:t>9.6</w:t>
        </w:r>
        <w:r w:rsidR="007A5F71" w:rsidRPr="00892DE3">
          <w:rPr>
            <w:rFonts w:eastAsiaTheme="minorEastAsia"/>
            <w:spacing w:val="0"/>
            <w:sz w:val="22"/>
            <w:szCs w:val="22"/>
            <w:lang w:eastAsia="en-AU"/>
          </w:rPr>
          <w:tab/>
        </w:r>
        <w:r w:rsidR="007A5F71" w:rsidRPr="00892DE3">
          <w:rPr>
            <w:rStyle w:val="Hyperlink"/>
          </w:rPr>
          <w:t>Correction of a prior period error</w:t>
        </w:r>
        <w:r w:rsidR="007A5F71" w:rsidRPr="00892DE3">
          <w:rPr>
            <w:webHidden/>
          </w:rPr>
          <w:tab/>
        </w:r>
        <w:r w:rsidR="007A5F71" w:rsidRPr="00892DE3">
          <w:rPr>
            <w:webHidden/>
          </w:rPr>
          <w:fldChar w:fldCharType="begin"/>
        </w:r>
        <w:r w:rsidR="007A5F71" w:rsidRPr="00892DE3">
          <w:rPr>
            <w:webHidden/>
          </w:rPr>
          <w:instrText xml:space="preserve"> PAGEREF _Toc478729317 \h </w:instrText>
        </w:r>
        <w:r w:rsidR="007A5F71" w:rsidRPr="00892DE3">
          <w:rPr>
            <w:webHidden/>
          </w:rPr>
        </w:r>
        <w:r w:rsidR="007A5F71" w:rsidRPr="00892DE3">
          <w:rPr>
            <w:webHidden/>
          </w:rPr>
          <w:fldChar w:fldCharType="separate"/>
        </w:r>
        <w:r w:rsidR="00F63B17">
          <w:rPr>
            <w:webHidden/>
          </w:rPr>
          <w:t>201</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18" w:history="1">
        <w:r w:rsidR="007A5F71" w:rsidRPr="00892DE3">
          <w:rPr>
            <w:rStyle w:val="Hyperlink"/>
          </w:rPr>
          <w:t>9.7</w:t>
        </w:r>
        <w:r w:rsidR="007A5F71" w:rsidRPr="00892DE3">
          <w:rPr>
            <w:rFonts w:eastAsiaTheme="minorEastAsia"/>
            <w:spacing w:val="0"/>
            <w:sz w:val="22"/>
            <w:szCs w:val="22"/>
            <w:lang w:eastAsia="en-AU"/>
          </w:rPr>
          <w:tab/>
        </w:r>
        <w:r w:rsidR="007A5F71" w:rsidRPr="00892DE3">
          <w:rPr>
            <w:rStyle w:val="Hyperlink"/>
          </w:rPr>
          <w:t>Responsible persons</w:t>
        </w:r>
        <w:r w:rsidR="007A5F71" w:rsidRPr="00892DE3">
          <w:rPr>
            <w:webHidden/>
          </w:rPr>
          <w:tab/>
        </w:r>
        <w:r w:rsidR="007A5F71" w:rsidRPr="00892DE3">
          <w:rPr>
            <w:webHidden/>
          </w:rPr>
          <w:fldChar w:fldCharType="begin"/>
        </w:r>
        <w:r w:rsidR="007A5F71" w:rsidRPr="00892DE3">
          <w:rPr>
            <w:webHidden/>
          </w:rPr>
          <w:instrText xml:space="preserve"> PAGEREF _Toc478729318 \h </w:instrText>
        </w:r>
        <w:r w:rsidR="007A5F71" w:rsidRPr="00892DE3">
          <w:rPr>
            <w:webHidden/>
          </w:rPr>
        </w:r>
        <w:r w:rsidR="007A5F71" w:rsidRPr="00892DE3">
          <w:rPr>
            <w:webHidden/>
          </w:rPr>
          <w:fldChar w:fldCharType="separate"/>
        </w:r>
        <w:r w:rsidR="00F63B17">
          <w:rPr>
            <w:webHidden/>
          </w:rPr>
          <w:t>206</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19" w:history="1">
        <w:r w:rsidR="007A5F71" w:rsidRPr="00892DE3">
          <w:rPr>
            <w:rStyle w:val="Hyperlink"/>
          </w:rPr>
          <w:t>9.8</w:t>
        </w:r>
        <w:r w:rsidR="007A5F71" w:rsidRPr="00892DE3">
          <w:rPr>
            <w:rFonts w:eastAsiaTheme="minorEastAsia"/>
            <w:spacing w:val="0"/>
            <w:sz w:val="22"/>
            <w:szCs w:val="22"/>
            <w:lang w:eastAsia="en-AU"/>
          </w:rPr>
          <w:tab/>
        </w:r>
        <w:r w:rsidR="007A5F71" w:rsidRPr="00892DE3">
          <w:rPr>
            <w:rStyle w:val="Hyperlink"/>
          </w:rPr>
          <w:t xml:space="preserve">Remuneration of executives </w:t>
        </w:r>
        <w:r w:rsidR="007A5F71" w:rsidRPr="00892DE3">
          <w:rPr>
            <w:webHidden/>
          </w:rPr>
          <w:tab/>
        </w:r>
        <w:r w:rsidR="007A5F71" w:rsidRPr="00892DE3">
          <w:rPr>
            <w:webHidden/>
          </w:rPr>
          <w:fldChar w:fldCharType="begin"/>
        </w:r>
        <w:r w:rsidR="007A5F71" w:rsidRPr="00892DE3">
          <w:rPr>
            <w:webHidden/>
          </w:rPr>
          <w:instrText xml:space="preserve"> PAGEREF _Toc478729319 \h </w:instrText>
        </w:r>
        <w:r w:rsidR="007A5F71" w:rsidRPr="00892DE3">
          <w:rPr>
            <w:webHidden/>
          </w:rPr>
        </w:r>
        <w:r w:rsidR="007A5F71" w:rsidRPr="00892DE3">
          <w:rPr>
            <w:webHidden/>
          </w:rPr>
          <w:fldChar w:fldCharType="separate"/>
        </w:r>
        <w:r w:rsidR="00F63B17">
          <w:rPr>
            <w:webHidden/>
          </w:rPr>
          <w:t>206</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20" w:history="1">
        <w:r w:rsidR="007A5F71" w:rsidRPr="00892DE3">
          <w:rPr>
            <w:rStyle w:val="Hyperlink"/>
          </w:rPr>
          <w:t>9.9</w:t>
        </w:r>
        <w:r w:rsidR="007A5F71" w:rsidRPr="00892DE3">
          <w:rPr>
            <w:rFonts w:eastAsiaTheme="minorEastAsia"/>
            <w:spacing w:val="0"/>
            <w:sz w:val="22"/>
            <w:szCs w:val="22"/>
            <w:lang w:eastAsia="en-AU"/>
          </w:rPr>
          <w:tab/>
        </w:r>
        <w:r w:rsidR="007A5F71" w:rsidRPr="00892DE3">
          <w:rPr>
            <w:rStyle w:val="Hyperlink"/>
          </w:rPr>
          <w:t xml:space="preserve">Related parties </w:t>
        </w:r>
        <w:r w:rsidR="007A5F71" w:rsidRPr="00892DE3">
          <w:rPr>
            <w:webHidden/>
          </w:rPr>
          <w:tab/>
        </w:r>
        <w:r w:rsidR="007A5F71" w:rsidRPr="00892DE3">
          <w:rPr>
            <w:webHidden/>
          </w:rPr>
          <w:fldChar w:fldCharType="begin"/>
        </w:r>
        <w:r w:rsidR="007A5F71" w:rsidRPr="00892DE3">
          <w:rPr>
            <w:webHidden/>
          </w:rPr>
          <w:instrText xml:space="preserve"> PAGEREF _Toc478729320 \h </w:instrText>
        </w:r>
        <w:r w:rsidR="007A5F71" w:rsidRPr="00892DE3">
          <w:rPr>
            <w:webHidden/>
          </w:rPr>
        </w:r>
        <w:r w:rsidR="007A5F71" w:rsidRPr="00892DE3">
          <w:rPr>
            <w:webHidden/>
          </w:rPr>
          <w:fldChar w:fldCharType="separate"/>
        </w:r>
        <w:r w:rsidR="00F63B17">
          <w:rPr>
            <w:webHidden/>
          </w:rPr>
          <w:t>208</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21" w:history="1">
        <w:r w:rsidR="007A5F71" w:rsidRPr="00892DE3">
          <w:rPr>
            <w:rStyle w:val="Hyperlink"/>
          </w:rPr>
          <w:t>9.10</w:t>
        </w:r>
        <w:r w:rsidR="007A5F71" w:rsidRPr="00892DE3">
          <w:rPr>
            <w:rFonts w:eastAsiaTheme="minorEastAsia"/>
            <w:spacing w:val="0"/>
            <w:sz w:val="22"/>
            <w:szCs w:val="22"/>
            <w:lang w:eastAsia="en-AU"/>
          </w:rPr>
          <w:tab/>
        </w:r>
        <w:r w:rsidR="007A5F71" w:rsidRPr="00892DE3">
          <w:rPr>
            <w:rStyle w:val="Hyperlink"/>
          </w:rPr>
          <w:t>Remuneration of auditors</w:t>
        </w:r>
        <w:r w:rsidR="007A5F71" w:rsidRPr="00892DE3">
          <w:rPr>
            <w:webHidden/>
          </w:rPr>
          <w:tab/>
        </w:r>
        <w:r w:rsidR="007A5F71" w:rsidRPr="00892DE3">
          <w:rPr>
            <w:webHidden/>
          </w:rPr>
          <w:fldChar w:fldCharType="begin"/>
        </w:r>
        <w:r w:rsidR="007A5F71" w:rsidRPr="00892DE3">
          <w:rPr>
            <w:webHidden/>
          </w:rPr>
          <w:instrText xml:space="preserve"> PAGEREF _Toc478729321 \h </w:instrText>
        </w:r>
        <w:r w:rsidR="007A5F71" w:rsidRPr="00892DE3">
          <w:rPr>
            <w:webHidden/>
          </w:rPr>
        </w:r>
        <w:r w:rsidR="007A5F71" w:rsidRPr="00892DE3">
          <w:rPr>
            <w:webHidden/>
          </w:rPr>
          <w:fldChar w:fldCharType="separate"/>
        </w:r>
        <w:r w:rsidR="00F63B17">
          <w:rPr>
            <w:webHidden/>
          </w:rPr>
          <w:t>211</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22" w:history="1">
        <w:r w:rsidR="007A5F71" w:rsidRPr="00892DE3">
          <w:rPr>
            <w:rStyle w:val="Hyperlink"/>
          </w:rPr>
          <w:t>9.11</w:t>
        </w:r>
        <w:r w:rsidR="007A5F71" w:rsidRPr="00892DE3">
          <w:rPr>
            <w:rFonts w:eastAsiaTheme="minorEastAsia"/>
            <w:spacing w:val="0"/>
            <w:sz w:val="22"/>
            <w:szCs w:val="22"/>
            <w:lang w:eastAsia="en-AU"/>
          </w:rPr>
          <w:tab/>
        </w:r>
        <w:r w:rsidR="007A5F71" w:rsidRPr="00892DE3">
          <w:rPr>
            <w:rStyle w:val="Hyperlink"/>
          </w:rPr>
          <w:t>Subsequent events</w:t>
        </w:r>
        <w:r w:rsidR="007A5F71" w:rsidRPr="00892DE3">
          <w:rPr>
            <w:webHidden/>
          </w:rPr>
          <w:tab/>
        </w:r>
        <w:r w:rsidR="007A5F71" w:rsidRPr="00892DE3">
          <w:rPr>
            <w:webHidden/>
          </w:rPr>
          <w:fldChar w:fldCharType="begin"/>
        </w:r>
        <w:r w:rsidR="007A5F71" w:rsidRPr="00892DE3">
          <w:rPr>
            <w:webHidden/>
          </w:rPr>
          <w:instrText xml:space="preserve"> PAGEREF _Toc478729322 \h </w:instrText>
        </w:r>
        <w:r w:rsidR="007A5F71" w:rsidRPr="00892DE3">
          <w:rPr>
            <w:webHidden/>
          </w:rPr>
        </w:r>
        <w:r w:rsidR="007A5F71" w:rsidRPr="00892DE3">
          <w:rPr>
            <w:webHidden/>
          </w:rPr>
          <w:fldChar w:fldCharType="separate"/>
        </w:r>
        <w:r w:rsidR="00F63B17">
          <w:rPr>
            <w:webHidden/>
          </w:rPr>
          <w:t>211</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23" w:history="1">
        <w:r w:rsidR="007A5F71" w:rsidRPr="00892DE3">
          <w:rPr>
            <w:rStyle w:val="Hyperlink"/>
          </w:rPr>
          <w:t>9.12</w:t>
        </w:r>
        <w:r w:rsidR="007A5F71" w:rsidRPr="00892DE3">
          <w:rPr>
            <w:rFonts w:eastAsiaTheme="minorEastAsia"/>
            <w:spacing w:val="0"/>
            <w:sz w:val="22"/>
            <w:szCs w:val="22"/>
            <w:lang w:eastAsia="en-AU"/>
          </w:rPr>
          <w:tab/>
        </w:r>
        <w:r w:rsidR="007A5F71" w:rsidRPr="00892DE3">
          <w:rPr>
            <w:rStyle w:val="Hyperlink"/>
          </w:rPr>
          <w:t>Other accounting policies</w:t>
        </w:r>
        <w:r w:rsidR="007A5F71" w:rsidRPr="00892DE3">
          <w:rPr>
            <w:webHidden/>
          </w:rPr>
          <w:tab/>
        </w:r>
        <w:r w:rsidR="007A5F71" w:rsidRPr="00892DE3">
          <w:rPr>
            <w:webHidden/>
          </w:rPr>
          <w:fldChar w:fldCharType="begin"/>
        </w:r>
        <w:r w:rsidR="007A5F71" w:rsidRPr="00892DE3">
          <w:rPr>
            <w:webHidden/>
          </w:rPr>
          <w:instrText xml:space="preserve"> PAGEREF _Toc478729323 \h </w:instrText>
        </w:r>
        <w:r w:rsidR="007A5F71" w:rsidRPr="00892DE3">
          <w:rPr>
            <w:webHidden/>
          </w:rPr>
        </w:r>
        <w:r w:rsidR="007A5F71" w:rsidRPr="00892DE3">
          <w:rPr>
            <w:webHidden/>
          </w:rPr>
          <w:fldChar w:fldCharType="separate"/>
        </w:r>
        <w:r w:rsidR="00F63B17">
          <w:rPr>
            <w:webHidden/>
          </w:rPr>
          <w:t>212</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24" w:history="1">
        <w:r w:rsidR="007A5F71" w:rsidRPr="00892DE3">
          <w:rPr>
            <w:rStyle w:val="Hyperlink"/>
          </w:rPr>
          <w:t>9.13</w:t>
        </w:r>
        <w:r w:rsidR="007A5F71" w:rsidRPr="00892DE3">
          <w:rPr>
            <w:rFonts w:eastAsiaTheme="minorEastAsia"/>
            <w:spacing w:val="0"/>
            <w:sz w:val="22"/>
            <w:szCs w:val="22"/>
            <w:lang w:eastAsia="en-AU"/>
          </w:rPr>
          <w:tab/>
        </w:r>
        <w:r w:rsidR="007A5F71" w:rsidRPr="00892DE3">
          <w:rPr>
            <w:rStyle w:val="Hyperlink"/>
          </w:rPr>
          <w:t>Australian Accounting Standards issued that are not yet effective</w:t>
        </w:r>
        <w:r w:rsidR="007A5F71" w:rsidRPr="00892DE3">
          <w:rPr>
            <w:webHidden/>
          </w:rPr>
          <w:tab/>
        </w:r>
        <w:r w:rsidR="007A5F71" w:rsidRPr="00892DE3">
          <w:rPr>
            <w:webHidden/>
          </w:rPr>
          <w:fldChar w:fldCharType="begin"/>
        </w:r>
        <w:r w:rsidR="007A5F71" w:rsidRPr="00892DE3">
          <w:rPr>
            <w:webHidden/>
          </w:rPr>
          <w:instrText xml:space="preserve"> PAGEREF _Toc478729324 \h </w:instrText>
        </w:r>
        <w:r w:rsidR="007A5F71" w:rsidRPr="00892DE3">
          <w:rPr>
            <w:webHidden/>
          </w:rPr>
        </w:r>
        <w:r w:rsidR="007A5F71" w:rsidRPr="00892DE3">
          <w:rPr>
            <w:webHidden/>
          </w:rPr>
          <w:fldChar w:fldCharType="separate"/>
        </w:r>
        <w:r w:rsidR="00F63B17">
          <w:rPr>
            <w:webHidden/>
          </w:rPr>
          <w:t>213</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25" w:history="1">
        <w:r w:rsidR="007A5F71" w:rsidRPr="00892DE3">
          <w:rPr>
            <w:rStyle w:val="Hyperlink"/>
          </w:rPr>
          <w:t>9.14</w:t>
        </w:r>
        <w:r w:rsidR="007A5F71" w:rsidRPr="00892DE3">
          <w:rPr>
            <w:rFonts w:eastAsiaTheme="minorEastAsia"/>
            <w:spacing w:val="0"/>
            <w:sz w:val="22"/>
            <w:szCs w:val="22"/>
            <w:lang w:eastAsia="en-AU"/>
          </w:rPr>
          <w:tab/>
        </w:r>
        <w:r w:rsidR="007A5F71" w:rsidRPr="00892DE3">
          <w:rPr>
            <w:rStyle w:val="Hyperlink"/>
          </w:rPr>
          <w:t>Glossary of technical terms</w:t>
        </w:r>
        <w:r w:rsidR="007A5F71" w:rsidRPr="00892DE3">
          <w:rPr>
            <w:webHidden/>
          </w:rPr>
          <w:tab/>
        </w:r>
        <w:r w:rsidR="007A5F71" w:rsidRPr="00892DE3">
          <w:rPr>
            <w:webHidden/>
          </w:rPr>
          <w:fldChar w:fldCharType="begin"/>
        </w:r>
        <w:r w:rsidR="007A5F71" w:rsidRPr="00892DE3">
          <w:rPr>
            <w:webHidden/>
          </w:rPr>
          <w:instrText xml:space="preserve"> PAGEREF _Toc478729325 \h </w:instrText>
        </w:r>
        <w:r w:rsidR="007A5F71" w:rsidRPr="00892DE3">
          <w:rPr>
            <w:webHidden/>
          </w:rPr>
        </w:r>
        <w:r w:rsidR="007A5F71" w:rsidRPr="00892DE3">
          <w:rPr>
            <w:webHidden/>
          </w:rPr>
          <w:fldChar w:fldCharType="separate"/>
        </w:r>
        <w:r w:rsidR="00F63B17">
          <w:rPr>
            <w:webHidden/>
          </w:rPr>
          <w:t>213</w:t>
        </w:r>
        <w:r w:rsidR="007A5F71" w:rsidRPr="00892DE3">
          <w:rPr>
            <w:webHidden/>
          </w:rPr>
          <w:fldChar w:fldCharType="end"/>
        </w:r>
      </w:hyperlink>
    </w:p>
    <w:p w:rsidR="007A5F71" w:rsidRPr="00892DE3" w:rsidRDefault="003C212D">
      <w:pPr>
        <w:pStyle w:val="TOC9"/>
        <w:rPr>
          <w:rFonts w:eastAsiaTheme="minorEastAsia"/>
          <w:spacing w:val="0"/>
          <w:sz w:val="22"/>
          <w:szCs w:val="22"/>
          <w:lang w:eastAsia="en-AU"/>
        </w:rPr>
      </w:pPr>
      <w:hyperlink w:anchor="_Toc478729326" w:history="1">
        <w:r w:rsidR="007A5F71" w:rsidRPr="00892DE3">
          <w:rPr>
            <w:rStyle w:val="Hyperlink"/>
          </w:rPr>
          <w:t>9.15</w:t>
        </w:r>
        <w:r w:rsidR="007A5F71" w:rsidRPr="00892DE3">
          <w:rPr>
            <w:rFonts w:eastAsiaTheme="minorEastAsia"/>
            <w:spacing w:val="0"/>
            <w:sz w:val="22"/>
            <w:szCs w:val="22"/>
            <w:lang w:eastAsia="en-AU"/>
          </w:rPr>
          <w:tab/>
        </w:r>
        <w:r w:rsidR="007A5F71" w:rsidRPr="00892DE3">
          <w:rPr>
            <w:rStyle w:val="Hyperlink"/>
          </w:rPr>
          <w:t>Style conventions</w:t>
        </w:r>
        <w:r w:rsidR="007A5F71" w:rsidRPr="00892DE3">
          <w:rPr>
            <w:webHidden/>
          </w:rPr>
          <w:tab/>
        </w:r>
        <w:r w:rsidR="007A5F71" w:rsidRPr="00892DE3">
          <w:rPr>
            <w:webHidden/>
          </w:rPr>
          <w:fldChar w:fldCharType="begin"/>
        </w:r>
        <w:r w:rsidR="007A5F71" w:rsidRPr="00892DE3">
          <w:rPr>
            <w:webHidden/>
          </w:rPr>
          <w:instrText xml:space="preserve"> PAGEREF _Toc478729326 \h </w:instrText>
        </w:r>
        <w:r w:rsidR="007A5F71" w:rsidRPr="00892DE3">
          <w:rPr>
            <w:webHidden/>
          </w:rPr>
        </w:r>
        <w:r w:rsidR="007A5F71" w:rsidRPr="00892DE3">
          <w:rPr>
            <w:webHidden/>
          </w:rPr>
          <w:fldChar w:fldCharType="separate"/>
        </w:r>
        <w:r w:rsidR="00F63B17">
          <w:rPr>
            <w:webHidden/>
          </w:rPr>
          <w:t>217</w:t>
        </w:r>
        <w:r w:rsidR="007A5F71" w:rsidRPr="00892DE3">
          <w:rPr>
            <w:webHidden/>
          </w:rPr>
          <w:fldChar w:fldCharType="end"/>
        </w:r>
      </w:hyperlink>
    </w:p>
    <w:p w:rsidR="0043464D" w:rsidRPr="00892DE3" w:rsidRDefault="0043464D" w:rsidP="00C85AA1">
      <w:pPr>
        <w:sectPr w:rsidR="0043464D" w:rsidRPr="00892DE3" w:rsidSect="0043464D">
          <w:type w:val="continuous"/>
          <w:pgSz w:w="11906" w:h="16838" w:code="9"/>
          <w:pgMar w:top="1134" w:right="1134" w:bottom="1134" w:left="1134" w:header="624" w:footer="567" w:gutter="0"/>
          <w:cols w:num="2" w:space="709"/>
          <w:titlePg/>
          <w:docGrid w:linePitch="360"/>
        </w:sectPr>
      </w:pPr>
      <w:r w:rsidRPr="00892DE3">
        <w:fldChar w:fldCharType="end"/>
      </w:r>
    </w:p>
    <w:p w:rsidR="00EA4184" w:rsidRPr="00892DE3" w:rsidRDefault="00EA4184" w:rsidP="00560604">
      <w:pPr>
        <w:spacing w:before="0"/>
      </w:pPr>
    </w:p>
    <w:p w:rsidR="00600C1B" w:rsidRPr="00892DE3" w:rsidRDefault="00600C1B" w:rsidP="00600C1B">
      <w:pPr>
        <w:pStyle w:val="Heading2"/>
      </w:pPr>
      <w:bookmarkStart w:id="160" w:name="_Toc478729312"/>
      <w:bookmarkStart w:id="161" w:name="_Toc479085163"/>
      <w:bookmarkStart w:id="162" w:name="_Toc477432293"/>
      <w:r w:rsidRPr="00892DE3">
        <w:t xml:space="preserve">Ex-gratia expenses </w:t>
      </w:r>
      <w:r w:rsidRPr="00892DE3">
        <w:rPr>
          <w:vertAlign w:val="superscript"/>
        </w:rPr>
        <w:t>(a)</w:t>
      </w:r>
      <w:bookmarkEnd w:id="160"/>
      <w:bookmarkEnd w:id="161"/>
    </w:p>
    <w:p w:rsidR="00600C1B" w:rsidRPr="00892DE3" w:rsidRDefault="00600C1B" w:rsidP="00600C1B">
      <w:pPr>
        <w:pStyle w:val="TableUnits"/>
      </w:pPr>
      <w:r w:rsidRPr="00892DE3">
        <w:t>($ thousand)</w:t>
      </w:r>
    </w:p>
    <w:tbl>
      <w:tblPr>
        <w:tblStyle w:val="ModelReportFinancialTable"/>
        <w:tblW w:w="9639" w:type="dxa"/>
        <w:tblLayout w:type="fixed"/>
        <w:tblLook w:val="02E0" w:firstRow="1" w:lastRow="1" w:firstColumn="1" w:lastColumn="0" w:noHBand="1" w:noVBand="0"/>
      </w:tblPr>
      <w:tblGrid>
        <w:gridCol w:w="1306"/>
        <w:gridCol w:w="6211"/>
        <w:gridCol w:w="1062"/>
        <w:gridCol w:w="1060"/>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7" w:type="pct"/>
            <w:tcBorders>
              <w:bottom w:val="nil"/>
            </w:tcBorders>
            <w:shd w:val="clear" w:color="auto" w:fill="auto"/>
          </w:tcPr>
          <w:p w:rsidR="00600C1B" w:rsidRPr="00892DE3" w:rsidRDefault="00600C1B" w:rsidP="00DB5273">
            <w:r w:rsidRPr="00892DE3">
              <w:t>Source reference</w:t>
            </w:r>
          </w:p>
        </w:tc>
        <w:tc>
          <w:tcPr>
            <w:tcW w:w="3222" w:type="pct"/>
          </w:tcPr>
          <w:p w:rsidR="00600C1B" w:rsidRPr="00892DE3" w:rsidRDefault="00600C1B" w:rsidP="00DB5273">
            <w:pPr>
              <w:jc w:val="left"/>
              <w:cnfStyle w:val="100000000000" w:firstRow="1" w:lastRow="0" w:firstColumn="0" w:lastColumn="0" w:oddVBand="0" w:evenVBand="0" w:oddHBand="0" w:evenHBand="0" w:firstRowFirstColumn="0" w:firstRowLastColumn="0" w:lastRowFirstColumn="0" w:lastRowLastColumn="0"/>
            </w:pPr>
          </w:p>
        </w:tc>
        <w:tc>
          <w:tcPr>
            <w:tcW w:w="551" w:type="pct"/>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2017</w:t>
            </w:r>
          </w:p>
        </w:tc>
        <w:tc>
          <w:tcPr>
            <w:tcW w:w="550" w:type="pct"/>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2016</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tc>
        <w:tc>
          <w:tcPr>
            <w:tcW w:w="3222" w:type="pct"/>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 xml:space="preserve">Forgiveness or waiver of debt </w:t>
            </w:r>
            <w:r w:rsidRPr="00892DE3">
              <w:rPr>
                <w:vertAlign w:val="superscript"/>
              </w:rPr>
              <w:t>(b)</w:t>
            </w:r>
          </w:p>
        </w:tc>
        <w:tc>
          <w:tcPr>
            <w:tcW w:w="551" w:type="pct"/>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100</w:t>
            </w:r>
          </w:p>
        </w:tc>
        <w:tc>
          <w:tcPr>
            <w:tcW w:w="550" w:type="pct"/>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tc>
        <w:tc>
          <w:tcPr>
            <w:tcW w:w="3222" w:type="pct"/>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 xml:space="preserve">Compensation for economic loss </w:t>
            </w:r>
            <w:r w:rsidRPr="00892DE3">
              <w:rPr>
                <w:vertAlign w:val="superscript"/>
              </w:rPr>
              <w:t>(c)</w:t>
            </w:r>
          </w:p>
        </w:tc>
        <w:tc>
          <w:tcPr>
            <w:tcW w:w="551" w:type="pct"/>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56</w:t>
            </w:r>
          </w:p>
        </w:tc>
        <w:tc>
          <w:tcPr>
            <w:tcW w:w="550" w:type="pct"/>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tc>
        <w:tc>
          <w:tcPr>
            <w:tcW w:w="3222" w:type="pct"/>
          </w:tcPr>
          <w:p w:rsidR="00600C1B" w:rsidRPr="00892DE3" w:rsidDel="00B344F7"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 xml:space="preserve">Property damage payments </w:t>
            </w:r>
            <w:r w:rsidRPr="00892DE3">
              <w:rPr>
                <w:vertAlign w:val="superscript"/>
              </w:rPr>
              <w:t>(d)</w:t>
            </w:r>
          </w:p>
        </w:tc>
        <w:tc>
          <w:tcPr>
            <w:tcW w:w="551" w:type="pct"/>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p>
        </w:tc>
        <w:tc>
          <w:tcPr>
            <w:tcW w:w="550" w:type="pct"/>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16</w:t>
            </w:r>
          </w:p>
        </w:tc>
      </w:tr>
      <w:tr w:rsidR="00600C1B" w:rsidRPr="00892DE3" w:rsidTr="00DB527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77" w:type="pct"/>
            <w:shd w:val="clear" w:color="auto" w:fill="auto"/>
          </w:tcPr>
          <w:p w:rsidR="00600C1B" w:rsidRPr="00892DE3" w:rsidRDefault="00600C1B" w:rsidP="00DB5273">
            <w:r w:rsidRPr="00892DE3">
              <w:t>FRD 11A</w:t>
            </w:r>
          </w:p>
        </w:tc>
        <w:tc>
          <w:tcPr>
            <w:tcW w:w="3222" w:type="pct"/>
          </w:tcPr>
          <w:p w:rsidR="00600C1B" w:rsidRPr="00892DE3" w:rsidRDefault="00600C1B" w:rsidP="00DB5273">
            <w:pPr>
              <w:jc w:val="left"/>
              <w:cnfStyle w:val="010000000000" w:firstRow="0" w:lastRow="1" w:firstColumn="0" w:lastColumn="0" w:oddVBand="0" w:evenVBand="0" w:oddHBand="0" w:evenHBand="0" w:firstRowFirstColumn="0" w:firstRowLastColumn="0" w:lastRowFirstColumn="0" w:lastRowLastColumn="0"/>
            </w:pPr>
            <w:r w:rsidRPr="00892DE3">
              <w:t xml:space="preserve">Total ex-gratia expenses </w:t>
            </w:r>
            <w:r w:rsidRPr="00892DE3">
              <w:rPr>
                <w:vertAlign w:val="superscript"/>
              </w:rPr>
              <w:t>(e)</w:t>
            </w:r>
          </w:p>
        </w:tc>
        <w:tc>
          <w:tcPr>
            <w:tcW w:w="551" w:type="pct"/>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156</w:t>
            </w:r>
          </w:p>
        </w:tc>
        <w:tc>
          <w:tcPr>
            <w:tcW w:w="550" w:type="pct"/>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16</w:t>
            </w:r>
          </w:p>
        </w:tc>
      </w:tr>
    </w:tbl>
    <w:p w:rsidR="00600C1B" w:rsidRPr="00892DE3" w:rsidRDefault="00600C1B" w:rsidP="00600C1B">
      <w:pPr>
        <w:pStyle w:val="Note"/>
      </w:pPr>
      <w:r w:rsidRPr="00892DE3">
        <w:t>Notes:</w:t>
      </w:r>
    </w:p>
    <w:p w:rsidR="00600C1B" w:rsidRPr="00892DE3" w:rsidRDefault="00600C1B" w:rsidP="00600C1B">
      <w:pPr>
        <w:pStyle w:val="Note"/>
      </w:pPr>
      <w:r w:rsidRPr="00892DE3">
        <w:t>(a)</w:t>
      </w:r>
      <w:r w:rsidRPr="00892DE3">
        <w:tab/>
        <w:t>Includes ex-gratia expenses for both individual items and in aggregate that are greater than or equal to $5 000.</w:t>
      </w:r>
    </w:p>
    <w:p w:rsidR="00600C1B" w:rsidRPr="00892DE3" w:rsidRDefault="00600C1B" w:rsidP="00600C1B">
      <w:pPr>
        <w:pStyle w:val="Note"/>
      </w:pPr>
      <w:r w:rsidRPr="00892DE3">
        <w:t>(b)</w:t>
      </w:r>
      <w:r w:rsidRPr="00892DE3">
        <w:tab/>
        <w:t>Forgiveness of loans to several organisations under the ‘Upgrade Your Technology’ program, due to excessive hardship from severe flood damage in March [Refer to Guidance – Ex-gratia expenses for more guidance on write-offs.]</w:t>
      </w:r>
    </w:p>
    <w:p w:rsidR="00600C1B" w:rsidRPr="00892DE3" w:rsidRDefault="00600C1B" w:rsidP="00600C1B">
      <w:pPr>
        <w:pStyle w:val="Note"/>
      </w:pPr>
      <w:r w:rsidRPr="00892DE3">
        <w:t>(c)</w:t>
      </w:r>
      <w:r w:rsidRPr="00892DE3">
        <w:tab/>
        <w:t>Payment to a commercial fishing operator who assisted authorities in a sea search and rescue.</w:t>
      </w:r>
    </w:p>
    <w:p w:rsidR="00600C1B" w:rsidRPr="00892DE3" w:rsidRDefault="00600C1B" w:rsidP="00600C1B">
      <w:pPr>
        <w:pStyle w:val="Note"/>
      </w:pPr>
      <w:r w:rsidRPr="00892DE3">
        <w:t>(d)</w:t>
      </w:r>
      <w:r w:rsidRPr="00892DE3">
        <w:tab/>
        <w:t>Payments for water damage to properties adjacent to the Victorian Highway site due to burst pipes in the March storms (not being in settlement of a legal liability).</w:t>
      </w:r>
    </w:p>
    <w:p w:rsidR="00600C1B" w:rsidRPr="00892DE3" w:rsidRDefault="00600C1B" w:rsidP="00600C1B">
      <w:pPr>
        <w:pStyle w:val="Note"/>
      </w:pPr>
      <w:r w:rsidRPr="00892DE3">
        <w:t>(e)</w:t>
      </w:r>
      <w:r w:rsidRPr="00892DE3">
        <w:tab/>
        <w:t>The total for ex-gratia expenses is also presented in ‘other operating expenses’ of Note 5 Expenses from transactions.</w:t>
      </w:r>
    </w:p>
    <w:p w:rsidR="00600C1B" w:rsidRPr="00892DE3" w:rsidRDefault="00600C1B" w:rsidP="00600C1B"/>
    <w:p w:rsidR="00600C1B" w:rsidRPr="00892DE3" w:rsidRDefault="00600C1B" w:rsidP="00600C1B"/>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DB5273">
            <w:r w:rsidRPr="00892DE3">
              <w:t xml:space="preserve">Guidance – Ex-gratia expenses </w:t>
            </w:r>
            <w:r w:rsidRPr="00892DE3">
              <w:rPr>
                <w:rStyle w:val="SourceReference"/>
                <w:b w:val="0"/>
                <w:color w:val="FFFFFF" w:themeColor="background1"/>
              </w:rPr>
              <w:t>[FRD 11A; FMA s3]</w:t>
            </w:r>
          </w:p>
        </w:tc>
      </w:tr>
      <w:tr w:rsidR="00600C1B" w:rsidRPr="00892DE3" w:rsidTr="00DB5273">
        <w:tc>
          <w:tcPr>
            <w:tcW w:w="9752" w:type="dxa"/>
          </w:tcPr>
          <w:p w:rsidR="00600C1B" w:rsidRPr="00892DE3" w:rsidRDefault="00600C1B" w:rsidP="00DB5273">
            <w:r w:rsidRPr="00892DE3">
              <w:t xml:space="preserve">The disclosure of ex-gratia expenses is required for all entities that are defined as either a public body or a department under section 3 of the </w:t>
            </w:r>
            <w:r w:rsidRPr="00892DE3">
              <w:rPr>
                <w:i/>
              </w:rPr>
              <w:t>Financial Management Act 1994</w:t>
            </w:r>
            <w:r w:rsidRPr="00892DE3">
              <w:t>. Public bodies include the following:</w:t>
            </w:r>
          </w:p>
          <w:p w:rsidR="00600C1B" w:rsidRPr="00892DE3" w:rsidRDefault="00600C1B" w:rsidP="00DB5273">
            <w:pPr>
              <w:pStyle w:val="List"/>
            </w:pPr>
            <w:r w:rsidRPr="00892DE3">
              <w:t>(a)</w:t>
            </w:r>
            <w:r w:rsidRPr="00892DE3">
              <w:tab/>
              <w:t>public statutory authority;</w:t>
            </w:r>
          </w:p>
          <w:p w:rsidR="00600C1B" w:rsidRPr="00892DE3" w:rsidRDefault="00600C1B" w:rsidP="00DB5273">
            <w:pPr>
              <w:pStyle w:val="List"/>
            </w:pPr>
            <w:r w:rsidRPr="00892DE3">
              <w:t>(b)</w:t>
            </w:r>
            <w:r w:rsidRPr="00892DE3">
              <w:tab/>
              <w:t xml:space="preserve">a State business corporation or State body within the meaning of the </w:t>
            </w:r>
            <w:r w:rsidRPr="00892DE3">
              <w:rPr>
                <w:i/>
              </w:rPr>
              <w:t>State Owned Enterprises Act 1992</w:t>
            </w:r>
            <w:r w:rsidRPr="00892DE3">
              <w:t>;</w:t>
            </w:r>
          </w:p>
          <w:p w:rsidR="00600C1B" w:rsidRPr="00892DE3" w:rsidRDefault="00600C1B" w:rsidP="00DB5273">
            <w:pPr>
              <w:pStyle w:val="List"/>
            </w:pPr>
            <w:r w:rsidRPr="00892DE3">
              <w:t>(c)</w:t>
            </w:r>
            <w:r w:rsidRPr="00892DE3">
              <w:tab/>
              <w:t>Court Services Victoria;</w:t>
            </w:r>
          </w:p>
          <w:p w:rsidR="00600C1B" w:rsidRPr="00892DE3" w:rsidRDefault="00600C1B" w:rsidP="00DB5273">
            <w:pPr>
              <w:pStyle w:val="List"/>
            </w:pPr>
            <w:r w:rsidRPr="00892DE3">
              <w:t>(d)</w:t>
            </w:r>
            <w:r w:rsidRPr="00892DE3">
              <w:tab/>
              <w:t>a body, office or trust body that is:</w:t>
            </w:r>
          </w:p>
          <w:p w:rsidR="00600C1B" w:rsidRPr="00892DE3" w:rsidRDefault="00600C1B" w:rsidP="00DB5273">
            <w:pPr>
              <w:pStyle w:val="List2"/>
            </w:pPr>
            <w:r w:rsidRPr="00892DE3">
              <w:t>(i)</w:t>
            </w:r>
            <w:r w:rsidRPr="00892DE3">
              <w:tab/>
              <w:t xml:space="preserve">established by or under an Act or enactment; or </w:t>
            </w:r>
          </w:p>
          <w:p w:rsidR="00600C1B" w:rsidRPr="00892DE3" w:rsidRDefault="00600C1B" w:rsidP="00DB5273">
            <w:pPr>
              <w:pStyle w:val="List2"/>
            </w:pPr>
            <w:r w:rsidRPr="00892DE3">
              <w:t>(ii)</w:t>
            </w:r>
            <w:r w:rsidRPr="00892DE3">
              <w:tab/>
              <w:t>established by the Governor in Council or a Minister;</w:t>
            </w:r>
          </w:p>
          <w:p w:rsidR="00600C1B" w:rsidRPr="00892DE3" w:rsidRDefault="00600C1B" w:rsidP="00DB5273">
            <w:pPr>
              <w:pStyle w:val="List"/>
            </w:pPr>
            <w:r w:rsidRPr="00892DE3">
              <w:tab/>
              <w:t xml:space="preserve">and that is declared by the Minister, by notice published in the Government Gazette, to be a body or office to which Part 7 of </w:t>
            </w:r>
            <w:r w:rsidRPr="00892DE3">
              <w:rPr>
                <w:i/>
              </w:rPr>
              <w:t>Financial Management Act 1994</w:t>
            </w:r>
            <w:r w:rsidRPr="00892DE3">
              <w:t xml:space="preserve"> applies.</w:t>
            </w:r>
          </w:p>
          <w:p w:rsidR="00600C1B" w:rsidRPr="00892DE3" w:rsidRDefault="00600C1B" w:rsidP="00DB5273">
            <w:r w:rsidRPr="00892DE3">
              <w:t>Departments should include information on ex-gratia expenses (greater or equal to $5 000 or material in nature) with a description of the nature and purpose of the expenses, together with amounts written off that are considered as ex</w:t>
            </w:r>
            <w:r w:rsidRPr="00892DE3">
              <w:noBreakHyphen/>
              <w:t xml:space="preserve">gratia expenses. </w:t>
            </w:r>
          </w:p>
          <w:p w:rsidR="00600C1B" w:rsidRPr="00892DE3" w:rsidRDefault="00600C1B" w:rsidP="00DB5273">
            <w:pPr>
              <w:rPr>
                <w:b/>
              </w:rPr>
            </w:pPr>
            <w:r w:rsidRPr="00892DE3">
              <w:rPr>
                <w:b/>
              </w:rPr>
              <w:t xml:space="preserve">Materiality threshold of $5 000 for ex-gratia expenses disclosure </w:t>
            </w:r>
          </w:p>
          <w:p w:rsidR="00600C1B" w:rsidRPr="00892DE3" w:rsidRDefault="00600C1B" w:rsidP="00DB5273">
            <w:r w:rsidRPr="00892DE3">
              <w:t>An entity shall apply the ex-gratia expenses materiality threshold of $5 000 to both individual items and in aggregate, unless there are factors (e.g. material by nature) that make an expense item of less than $5 000 material in the circumstances.</w:t>
            </w:r>
          </w:p>
          <w:p w:rsidR="00600C1B" w:rsidRPr="00892DE3" w:rsidRDefault="00600C1B" w:rsidP="00DB5273">
            <w:pPr>
              <w:rPr>
                <w:b/>
              </w:rPr>
            </w:pPr>
            <w:r w:rsidRPr="00892DE3">
              <w:rPr>
                <w:b/>
              </w:rPr>
              <w:t>Write-offs captured as ex-gratia expenses</w:t>
            </w:r>
          </w:p>
          <w:p w:rsidR="00600C1B" w:rsidRPr="00892DE3" w:rsidRDefault="00600C1B" w:rsidP="00600C1B">
            <w:r w:rsidRPr="00892DE3">
              <w:t>To determine whether a write-off meets the scope of ‘ex-gratia’ under FRD 11A Disclosure of Ex-gratia Expenses, it is important to understand the underlying purpose of the write-off.</w:t>
            </w:r>
          </w:p>
        </w:tc>
      </w:tr>
    </w:tbl>
    <w:p w:rsidR="00600C1B" w:rsidRPr="00892DE3" w:rsidRDefault="00600C1B"/>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600C1B">
            <w:r w:rsidRPr="00892DE3">
              <w:t xml:space="preserve">Guidance – Ex-gratia expenses </w:t>
            </w:r>
            <w:r w:rsidRPr="00C33142">
              <w:rPr>
                <w:i/>
              </w:rPr>
              <w:t>(continued)</w:t>
            </w:r>
          </w:p>
        </w:tc>
      </w:tr>
      <w:tr w:rsidR="00600C1B" w:rsidRPr="00892DE3" w:rsidTr="00DB5273">
        <w:tc>
          <w:tcPr>
            <w:tcW w:w="9752" w:type="dxa"/>
          </w:tcPr>
          <w:p w:rsidR="00600C1B" w:rsidRPr="00892DE3" w:rsidRDefault="00600C1B" w:rsidP="00600C1B">
            <w:r w:rsidRPr="00892DE3">
              <w:t xml:space="preserve">For trade receivable write-offs, while the reduction in economic benefits (i.e. receivable) is driven by AASB 136 Impairment of Assets, the entity needs to consider whether there is still an intention to pursue the recovery of the receivables from the customer. </w:t>
            </w:r>
          </w:p>
          <w:p w:rsidR="00600C1B" w:rsidRPr="00892DE3" w:rsidRDefault="00600C1B" w:rsidP="00600C1B">
            <w:r w:rsidRPr="00892DE3">
              <w:t xml:space="preserve">If the entity writes off a trade receivable but still has and intends to keep the legal entitlement to payment for services rendered, a write-off to debtors under such circumstances does not equate to a waiver of the debt. In this instance, trade receivable write-offs would not be considered as ‘ex-gratia’ expenses. </w:t>
            </w:r>
          </w:p>
          <w:p w:rsidR="00600C1B" w:rsidRPr="00892DE3" w:rsidRDefault="00600C1B" w:rsidP="00600C1B">
            <w:r w:rsidRPr="00892DE3">
              <w:t>Conversely, if the entity has voluntarily decided to waive the legal entitlement to the payment, it is reasonable to consider this as a ‘benefit’ to the debtor, and therefore such a write-off should be disclosed as ‘ex-gratia’ expenses for reporting purposes under FRD 11A.</w:t>
            </w:r>
          </w:p>
        </w:tc>
      </w:tr>
    </w:tbl>
    <w:p w:rsidR="00600C1B" w:rsidRPr="00892DE3" w:rsidRDefault="00600C1B" w:rsidP="00600C1B">
      <w:pPr>
        <w:pStyle w:val="Heading2"/>
      </w:pPr>
      <w:bookmarkStart w:id="163" w:name="_Toc477432294"/>
      <w:bookmarkStart w:id="164" w:name="_Toc478729313"/>
      <w:bookmarkStart w:id="165" w:name="_Toc479085164"/>
      <w:r w:rsidRPr="00892DE3">
        <w:t>Other economic flows included in net result</w:t>
      </w:r>
      <w:bookmarkEnd w:id="163"/>
      <w:bookmarkEnd w:id="164"/>
      <w:bookmarkEnd w:id="165"/>
    </w:p>
    <w:p w:rsidR="00600C1B" w:rsidRPr="00892DE3" w:rsidRDefault="00600C1B" w:rsidP="00600C1B">
      <w:r w:rsidRPr="00892DE3">
        <w:t>Other economic flows are changes in the volume or value of an asset or liability that do not result from transactions. Other gains/(losses) from other economic flows include the gains or losses from:</w:t>
      </w:r>
    </w:p>
    <w:p w:rsidR="00600C1B" w:rsidRPr="00892DE3" w:rsidRDefault="00600C1B" w:rsidP="00600C1B">
      <w:pPr>
        <w:pStyle w:val="ListBullet"/>
      </w:pPr>
      <w:r w:rsidRPr="00892DE3">
        <w:t>the revaluation of the present value of the long service leave liability due to changes in the bond interest rates; and</w:t>
      </w:r>
    </w:p>
    <w:p w:rsidR="00600C1B" w:rsidRPr="00892DE3" w:rsidRDefault="00600C1B" w:rsidP="00600C1B">
      <w:pPr>
        <w:pStyle w:val="ListBullet"/>
      </w:pPr>
      <w:r w:rsidRPr="00892DE3">
        <w:t>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w:t>
      </w:r>
    </w:p>
    <w:p w:rsidR="00600C1B" w:rsidRPr="00892DE3" w:rsidRDefault="00600C1B" w:rsidP="00600C1B">
      <w:pPr>
        <w:pStyle w:val="TableUnits"/>
      </w:pPr>
      <w:r w:rsidRPr="00892DE3">
        <w:t>($ thousand)</w:t>
      </w:r>
    </w:p>
    <w:tbl>
      <w:tblPr>
        <w:tblStyle w:val="ModelReportFinancialTable"/>
        <w:tblW w:w="9639" w:type="dxa"/>
        <w:tblLayout w:type="fixed"/>
        <w:tblLook w:val="06E0" w:firstRow="1" w:lastRow="1" w:firstColumn="1" w:lastColumn="0" w:noHBand="1" w:noVBand="1"/>
      </w:tblPr>
      <w:tblGrid>
        <w:gridCol w:w="1305"/>
        <w:gridCol w:w="6466"/>
        <w:gridCol w:w="935"/>
        <w:gridCol w:w="933"/>
      </w:tblGrid>
      <w:tr w:rsidR="00600C1B" w:rsidRPr="00892DE3" w:rsidTr="00DB5273">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77" w:type="pct"/>
            <w:tcBorders>
              <w:bottom w:val="nil"/>
            </w:tcBorders>
            <w:shd w:val="clear" w:color="auto" w:fill="auto"/>
          </w:tcPr>
          <w:p w:rsidR="00600C1B" w:rsidRPr="00892DE3" w:rsidRDefault="00600C1B" w:rsidP="00DB5273">
            <w:pPr>
              <w:ind w:left="170" w:hanging="170"/>
            </w:pPr>
            <w:r w:rsidRPr="00892DE3">
              <w:t>Source reference</w:t>
            </w:r>
          </w:p>
        </w:tc>
        <w:tc>
          <w:tcPr>
            <w:tcW w:w="3354" w:type="pct"/>
          </w:tcPr>
          <w:p w:rsidR="00600C1B" w:rsidRPr="00892DE3" w:rsidRDefault="00600C1B" w:rsidP="00DB5273">
            <w:pPr>
              <w:ind w:left="170" w:hanging="170"/>
              <w:jc w:val="left"/>
              <w:cnfStyle w:val="100000000000" w:firstRow="1" w:lastRow="0" w:firstColumn="0" w:lastColumn="0" w:oddVBand="0" w:evenVBand="0" w:oddHBand="0" w:evenHBand="0" w:firstRowFirstColumn="0" w:firstRowLastColumn="0" w:lastRowFirstColumn="0" w:lastRowLastColumn="0"/>
            </w:pPr>
          </w:p>
        </w:tc>
        <w:tc>
          <w:tcPr>
            <w:tcW w:w="485" w:type="pct"/>
            <w:noWrap/>
          </w:tcPr>
          <w:p w:rsidR="00600C1B" w:rsidRPr="00892DE3" w:rsidRDefault="00600C1B" w:rsidP="00DB5273">
            <w:pPr>
              <w:ind w:left="170" w:hanging="170"/>
              <w:cnfStyle w:val="100000000000" w:firstRow="1" w:lastRow="0" w:firstColumn="0" w:lastColumn="0" w:oddVBand="0" w:evenVBand="0" w:oddHBand="0" w:evenHBand="0" w:firstRowFirstColumn="0" w:firstRowLastColumn="0" w:lastRowFirstColumn="0" w:lastRowLastColumn="0"/>
            </w:pPr>
            <w:r w:rsidRPr="00892DE3">
              <w:t>2017</w:t>
            </w:r>
          </w:p>
        </w:tc>
        <w:tc>
          <w:tcPr>
            <w:tcW w:w="484" w:type="pct"/>
            <w:noWrap/>
          </w:tcPr>
          <w:p w:rsidR="00600C1B" w:rsidRPr="00892DE3" w:rsidRDefault="00600C1B" w:rsidP="00DB5273">
            <w:pPr>
              <w:ind w:left="170" w:hanging="170"/>
              <w:cnfStyle w:val="100000000000" w:firstRow="1" w:lastRow="0" w:firstColumn="0" w:lastColumn="0" w:oddVBand="0" w:evenVBand="0" w:oddHBand="0" w:evenHBand="0" w:firstRowFirstColumn="0" w:firstRowLastColumn="0" w:lastRowFirstColumn="0" w:lastRowLastColumn="0"/>
            </w:pPr>
            <w:r w:rsidRPr="00892DE3">
              <w:t>2016</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r w:rsidRPr="00892DE3">
              <w:t>AASB 101.97</w:t>
            </w: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gain/(loss) on non</w:t>
            </w:r>
            <w:r w:rsidRPr="00892DE3">
              <w:rPr>
                <w:b/>
              </w:rPr>
              <w:noBreakHyphen/>
              <w:t>financial assets</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r w:rsidRPr="00892DE3">
              <w:t>AASB 136.126(a)</w:t>
            </w: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Impairment of property plant and equipment (including intangible assets)</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(3 025)</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115</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Impairment of biological assets</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Amortisation of non</w:t>
            </w:r>
            <w:r w:rsidRPr="00892DE3">
              <w:noBreakHyphen/>
              <w:t xml:space="preserve">produced intangible assets </w:t>
            </w:r>
            <w:r w:rsidRPr="00892DE3">
              <w:rPr>
                <w:vertAlign w:val="superscript"/>
              </w:rPr>
              <w:t>(a)</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Write down of inventory</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(178)</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(19)</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Revaluation of investment property</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(3 485)</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450</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r w:rsidRPr="00892DE3">
              <w:t>AASB 101.104</w:t>
            </w: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 arising from changes in fair value less estimated point</w:t>
            </w:r>
            <w:r w:rsidRPr="00892DE3">
              <w:noBreakHyphen/>
              <w:t>of</w:t>
            </w:r>
            <w:r w:rsidRPr="00892DE3">
              <w:noBreakHyphen/>
              <w:t>sale costs of biological assets</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1 476</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r w:rsidRPr="00892DE3">
              <w:t>AASB 101.98(a)</w:t>
            </w: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 on disposal of property plant and equipment</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171</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1 019</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r w:rsidRPr="00892DE3">
              <w:t>AASB 141.40</w:t>
            </w:r>
          </w:p>
        </w:tc>
        <w:tc>
          <w:tcPr>
            <w:tcW w:w="3354" w:type="pct"/>
            <w:tcBorders>
              <w:bottom w:val="single" w:sz="6" w:space="0" w:color="auto"/>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 on disposal of investment properties</w:t>
            </w:r>
          </w:p>
        </w:tc>
        <w:tc>
          <w:tcPr>
            <w:tcW w:w="485" w:type="pct"/>
            <w:tcBorders>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(120)</w:t>
            </w:r>
          </w:p>
        </w:tc>
        <w:tc>
          <w:tcPr>
            <w:tcW w:w="484" w:type="pct"/>
            <w:tcBorders>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240</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Borders>
              <w:top w:val="single" w:sz="6" w:space="0" w:color="auto"/>
              <w:bottom w:val="single" w:sz="6" w:space="0" w:color="auto"/>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net gain/(loss) on non</w:t>
            </w:r>
            <w:r w:rsidRPr="00892DE3">
              <w:rPr>
                <w:b/>
              </w:rPr>
              <w:noBreakHyphen/>
              <w:t>financial assets</w:t>
            </w:r>
          </w:p>
        </w:tc>
        <w:tc>
          <w:tcPr>
            <w:tcW w:w="485" w:type="pct"/>
            <w:tcBorders>
              <w:top w:val="single" w:sz="6" w:space="0" w:color="auto"/>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(5 161)</w:t>
            </w:r>
          </w:p>
        </w:tc>
        <w:tc>
          <w:tcPr>
            <w:tcW w:w="484" w:type="pct"/>
            <w:tcBorders>
              <w:top w:val="single" w:sz="6" w:space="0" w:color="auto"/>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1 805</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r w:rsidRPr="00892DE3">
              <w:t>AASB 101.98(c)</w:t>
            </w:r>
          </w:p>
        </w:tc>
        <w:tc>
          <w:tcPr>
            <w:tcW w:w="3354" w:type="pct"/>
            <w:tcBorders>
              <w:top w:val="single" w:sz="6" w:space="0" w:color="auto"/>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gain/(loss) on financial instruments</w:t>
            </w:r>
          </w:p>
        </w:tc>
        <w:tc>
          <w:tcPr>
            <w:tcW w:w="485" w:type="pct"/>
            <w:tcBorders>
              <w:top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484" w:type="pct"/>
            <w:tcBorders>
              <w:top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r w:rsidRPr="00892DE3">
              <w:t>AASB 101.98 (d)</w:t>
            </w: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Impairment of: </w:t>
            </w:r>
            <w:r w:rsidRPr="00892DE3">
              <w:rPr>
                <w:vertAlign w:val="superscript"/>
              </w:rPr>
              <w:t>(b)</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340" w:hanging="170"/>
              <w:jc w:val="left"/>
              <w:cnfStyle w:val="000000000000" w:firstRow="0" w:lastRow="0" w:firstColumn="0" w:lastColumn="0" w:oddVBand="0" w:evenVBand="0" w:oddHBand="0" w:evenHBand="0" w:firstRowFirstColumn="0" w:firstRowLastColumn="0" w:lastRowFirstColumn="0" w:lastRowLastColumn="0"/>
            </w:pPr>
            <w:r w:rsidRPr="00892DE3">
              <w:t>Loans and receivables</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(485)</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(341)</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340" w:hanging="170"/>
              <w:jc w:val="left"/>
              <w:cnfStyle w:val="000000000000" w:firstRow="0" w:lastRow="0" w:firstColumn="0" w:lastColumn="0" w:oddVBand="0" w:evenVBand="0" w:oddHBand="0" w:evenHBand="0" w:firstRowFirstColumn="0" w:firstRowLastColumn="0" w:lastRowFirstColumn="0" w:lastRowLastColumn="0"/>
            </w:pPr>
            <w:r w:rsidRPr="00892DE3">
              <w:t>Available</w:t>
            </w:r>
            <w:r w:rsidRPr="00892DE3">
              <w:noBreakHyphen/>
              <w:t>for</w:t>
            </w:r>
            <w:r w:rsidRPr="00892DE3">
              <w:noBreakHyphen/>
              <w:t>sale financial assets transferred from revaluation surplus</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(920)</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r w:rsidRPr="00892DE3">
              <w:t>AASB 7.20 (e)</w:t>
            </w: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FX gain/(loss) arising from foreign cash held</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(385)</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105</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FX gain/(loss) arising from financial instruments</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(86)</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55</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810FC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Bad debts written off </w:t>
            </w:r>
            <w:r w:rsidR="00810FC5">
              <w:t>unilaterally</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75</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50</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disposal of financial instruments</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arising from revaluation of financial assets at fair value – market risk</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30</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321</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arising from revaluation of financial assets at fair value – credit risk</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35</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79</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Borders>
              <w:bottom w:val="single" w:sz="6" w:space="0" w:color="auto"/>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on government advances</w:t>
            </w:r>
          </w:p>
        </w:tc>
        <w:tc>
          <w:tcPr>
            <w:tcW w:w="485" w:type="pct"/>
            <w:tcBorders>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(4 155)</w:t>
            </w:r>
          </w:p>
        </w:tc>
        <w:tc>
          <w:tcPr>
            <w:tcW w:w="484" w:type="pct"/>
            <w:tcBorders>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(4 240)</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Borders>
              <w:top w:val="single" w:sz="6" w:space="0" w:color="auto"/>
              <w:bottom w:val="single" w:sz="6" w:space="0" w:color="auto"/>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net gain/(loss) on financial instruments</w:t>
            </w:r>
          </w:p>
        </w:tc>
        <w:tc>
          <w:tcPr>
            <w:tcW w:w="485" w:type="pct"/>
            <w:tcBorders>
              <w:top w:val="single" w:sz="6" w:space="0" w:color="auto"/>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(5 891)</w:t>
            </w:r>
          </w:p>
        </w:tc>
        <w:tc>
          <w:tcPr>
            <w:tcW w:w="484" w:type="pct"/>
            <w:tcBorders>
              <w:top w:val="single" w:sz="6" w:space="0" w:color="auto"/>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(3 971)</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Borders>
              <w:top w:val="single" w:sz="6" w:space="0" w:color="auto"/>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Share of net profits/(losses) of associates and joint entities, excluding dividends</w:t>
            </w:r>
          </w:p>
        </w:tc>
        <w:tc>
          <w:tcPr>
            <w:tcW w:w="485" w:type="pct"/>
            <w:tcBorders>
              <w:top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84" w:type="pct"/>
            <w:tcBorders>
              <w:top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profits/(losses) of associates, excluding dividends</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1 055</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652</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Borders>
              <w:bottom w:val="single" w:sz="6" w:space="0" w:color="auto"/>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profits/(losses) of joint entities, excluding dividends</w:t>
            </w:r>
          </w:p>
        </w:tc>
        <w:tc>
          <w:tcPr>
            <w:tcW w:w="485" w:type="pct"/>
            <w:tcBorders>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231</w:t>
            </w:r>
          </w:p>
        </w:tc>
        <w:tc>
          <w:tcPr>
            <w:tcW w:w="484" w:type="pct"/>
            <w:tcBorders>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745</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Borders>
              <w:top w:val="single" w:sz="6" w:space="0" w:color="auto"/>
              <w:bottom w:val="single" w:sz="6" w:space="0" w:color="auto"/>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share of net profits/(losses) of associates and joint entities, excluding dividends</w:t>
            </w:r>
          </w:p>
        </w:tc>
        <w:tc>
          <w:tcPr>
            <w:tcW w:w="485" w:type="pct"/>
            <w:tcBorders>
              <w:top w:val="single" w:sz="6" w:space="0" w:color="auto"/>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1 286</w:t>
            </w:r>
          </w:p>
        </w:tc>
        <w:tc>
          <w:tcPr>
            <w:tcW w:w="484" w:type="pct"/>
            <w:tcBorders>
              <w:top w:val="single" w:sz="6" w:space="0" w:color="auto"/>
              <w:bottom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1 397</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Borders>
              <w:top w:val="single" w:sz="6" w:space="0" w:color="auto"/>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Other gains/(losses) from other economic flows</w:t>
            </w:r>
          </w:p>
        </w:tc>
        <w:tc>
          <w:tcPr>
            <w:tcW w:w="485" w:type="pct"/>
            <w:tcBorders>
              <w:top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484" w:type="pct"/>
            <w:tcBorders>
              <w:top w:val="single" w:sz="6" w:space="0" w:color="auto"/>
            </w:tcBorders>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Net gain/(loss) arising from revaluation of long service liability </w:t>
            </w:r>
            <w:r w:rsidRPr="00892DE3">
              <w:rPr>
                <w:vertAlign w:val="superscript"/>
              </w:rPr>
              <w:t>(c)</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(2 846)</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(2 009)</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600C1B" w:rsidRPr="00892DE3" w:rsidRDefault="00600C1B" w:rsidP="00DB5273">
            <w:pPr>
              <w:ind w:left="170" w:hanging="170"/>
            </w:pPr>
            <w:r w:rsidRPr="00892DE3">
              <w:t>AASB 137.60</w:t>
            </w:r>
          </w:p>
        </w:tc>
        <w:tc>
          <w:tcPr>
            <w:tcW w:w="3354" w:type="pct"/>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pPr>
            <w:r w:rsidRPr="00892DE3">
              <w:t>Unwinding of other provision</w:t>
            </w:r>
          </w:p>
        </w:tc>
        <w:tc>
          <w:tcPr>
            <w:tcW w:w="485"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(49)</w:t>
            </w:r>
          </w:p>
        </w:tc>
        <w:tc>
          <w:tcPr>
            <w:tcW w:w="484" w:type="pct"/>
            <w:noWrap/>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pPr>
            <w:r w:rsidRPr="00892DE3">
              <w:t>(39)</w:t>
            </w:r>
          </w:p>
        </w:tc>
      </w:tr>
      <w:tr w:rsidR="00600C1B" w:rsidRPr="00892DE3" w:rsidTr="00DB5273">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677" w:type="pct"/>
            <w:shd w:val="clear" w:color="auto" w:fill="auto"/>
          </w:tcPr>
          <w:p w:rsidR="00600C1B" w:rsidRPr="00892DE3" w:rsidRDefault="00600C1B" w:rsidP="00DB5273">
            <w:pPr>
              <w:ind w:left="170" w:hanging="170"/>
            </w:pPr>
          </w:p>
        </w:tc>
        <w:tc>
          <w:tcPr>
            <w:tcW w:w="3354" w:type="pct"/>
          </w:tcPr>
          <w:p w:rsidR="00600C1B" w:rsidRPr="00892DE3" w:rsidRDefault="00600C1B" w:rsidP="00DB5273">
            <w:pPr>
              <w:ind w:left="170" w:hanging="170"/>
              <w:jc w:val="left"/>
              <w:cnfStyle w:val="010000000000" w:firstRow="0" w:lastRow="1" w:firstColumn="0" w:lastColumn="0" w:oddVBand="0" w:evenVBand="0" w:oddHBand="0" w:evenHBand="0" w:firstRowFirstColumn="0" w:firstRowLastColumn="0" w:lastRowFirstColumn="0" w:lastRowLastColumn="0"/>
            </w:pPr>
            <w:r w:rsidRPr="00892DE3">
              <w:t>Total other gains/(losses) from other economic flows</w:t>
            </w:r>
          </w:p>
        </w:tc>
        <w:tc>
          <w:tcPr>
            <w:tcW w:w="485" w:type="pct"/>
            <w:noWrap/>
          </w:tcPr>
          <w:p w:rsidR="00600C1B" w:rsidRPr="00892DE3" w:rsidRDefault="00600C1B" w:rsidP="00DB5273">
            <w:pPr>
              <w:ind w:left="170" w:hanging="170"/>
              <w:cnfStyle w:val="010000000000" w:firstRow="0" w:lastRow="1" w:firstColumn="0" w:lastColumn="0" w:oddVBand="0" w:evenVBand="0" w:oddHBand="0" w:evenHBand="0" w:firstRowFirstColumn="0" w:firstRowLastColumn="0" w:lastRowFirstColumn="0" w:lastRowLastColumn="0"/>
            </w:pPr>
            <w:r w:rsidRPr="00892DE3">
              <w:t>(2 895)</w:t>
            </w:r>
          </w:p>
        </w:tc>
        <w:tc>
          <w:tcPr>
            <w:tcW w:w="484" w:type="pct"/>
            <w:noWrap/>
          </w:tcPr>
          <w:p w:rsidR="00600C1B" w:rsidRPr="00892DE3" w:rsidRDefault="00600C1B" w:rsidP="00DB5273">
            <w:pPr>
              <w:ind w:left="170" w:hanging="170"/>
              <w:cnfStyle w:val="010000000000" w:firstRow="0" w:lastRow="1" w:firstColumn="0" w:lastColumn="0" w:oddVBand="0" w:evenVBand="0" w:oddHBand="0" w:evenHBand="0" w:firstRowFirstColumn="0" w:firstRowLastColumn="0" w:lastRowFirstColumn="0" w:lastRowLastColumn="0"/>
            </w:pPr>
            <w:r w:rsidRPr="00892DE3">
              <w:t>(2 047)</w:t>
            </w:r>
          </w:p>
        </w:tc>
      </w:tr>
    </w:tbl>
    <w:p w:rsidR="00600C1B" w:rsidRPr="00892DE3" w:rsidRDefault="00600C1B" w:rsidP="00600C1B">
      <w:pPr>
        <w:pStyle w:val="Note"/>
      </w:pPr>
      <w:r w:rsidRPr="00892DE3">
        <w:t>Notes:</w:t>
      </w:r>
    </w:p>
    <w:p w:rsidR="00600C1B" w:rsidRPr="00892DE3" w:rsidRDefault="00600C1B" w:rsidP="00600C1B">
      <w:pPr>
        <w:pStyle w:val="Note"/>
      </w:pPr>
      <w:r w:rsidRPr="00892DE3">
        <w:t>(a)</w:t>
      </w:r>
      <w:r w:rsidRPr="00892DE3">
        <w:tab/>
        <w:t>This is amortisation of non-produced intangible assets with finite useful lives.</w:t>
      </w:r>
    </w:p>
    <w:p w:rsidR="00600C1B" w:rsidRPr="00892DE3" w:rsidRDefault="00600C1B" w:rsidP="00600C1B">
      <w:pPr>
        <w:pStyle w:val="Note"/>
      </w:pPr>
      <w:r w:rsidRPr="00892DE3">
        <w:t>(b)</w:t>
      </w:r>
      <w:r w:rsidRPr="00892DE3">
        <w:tab/>
        <w:t xml:space="preserve">Including increase/(decrease) in provision for doubtful debts and bad debts from other economic flows – refer to Note </w:t>
      </w:r>
      <w:r w:rsidR="007325F2" w:rsidRPr="00892DE3">
        <w:t>6.1</w:t>
      </w:r>
      <w:r w:rsidRPr="00892DE3">
        <w:t>.</w:t>
      </w:r>
    </w:p>
    <w:p w:rsidR="00600C1B" w:rsidRPr="00892DE3" w:rsidRDefault="00600C1B" w:rsidP="00600C1B">
      <w:pPr>
        <w:pStyle w:val="Note"/>
      </w:pPr>
      <w:r w:rsidRPr="00892DE3">
        <w:t>(c)</w:t>
      </w:r>
      <w:r w:rsidRPr="00892DE3">
        <w:tab/>
        <w:t>Revaluation gain/(loss) due to changes in bond rates.</w:t>
      </w:r>
    </w:p>
    <w:p w:rsidR="00600C1B" w:rsidRPr="00892DE3" w:rsidRDefault="00600C1B" w:rsidP="00600C1B">
      <w:pPr>
        <w:pStyle w:val="Note"/>
        <w:rPr>
          <w:color w:val="0063A6" w:themeColor="accent1"/>
        </w:rPr>
      </w:pPr>
      <w:r w:rsidRPr="00892DE3">
        <w:rPr>
          <w:color w:val="0063A6" w:themeColor="accent1"/>
        </w:rPr>
        <w:t>[Please note that revaluation gain/(loss) on the long service leave liability due to the changes in the discount bond rates is included in other economic flows.]</w:t>
      </w:r>
    </w:p>
    <w:p w:rsidR="00600C1B" w:rsidRPr="00892DE3" w:rsidRDefault="00600C1B" w:rsidP="00600C1B"/>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DB5273">
            <w:r w:rsidRPr="00892DE3">
              <w:t>Guidance – Other economic flows</w:t>
            </w:r>
          </w:p>
        </w:tc>
      </w:tr>
      <w:tr w:rsidR="00600C1B" w:rsidRPr="00892DE3" w:rsidTr="00DB5273">
        <w:tc>
          <w:tcPr>
            <w:tcW w:w="9752" w:type="dxa"/>
          </w:tcPr>
          <w:p w:rsidR="00600C1B" w:rsidRPr="00892DE3" w:rsidRDefault="00600C1B" w:rsidP="00DB5273">
            <w:pPr>
              <w:rPr>
                <w:b/>
              </w:rPr>
            </w:pPr>
            <w:r w:rsidRPr="00892DE3">
              <w:rPr>
                <w:b/>
              </w:rPr>
              <w:t>Disclosure requirements</w:t>
            </w:r>
          </w:p>
          <w:p w:rsidR="00600C1B" w:rsidRPr="00892DE3" w:rsidRDefault="00600C1B" w:rsidP="006A58CA">
            <w:r w:rsidRPr="00892DE3">
              <w:t>To align with whole of government reporting, which complies with AASB 1049 requirements, departments are required to classify items of expense between transactions and other economic flows as appropriate. Departments should refer to the Glossary of terms and style conventions (Note 9.1</w:t>
            </w:r>
            <w:r w:rsidR="007325F2" w:rsidRPr="00892DE3">
              <w:t>4 and Note 9.15</w:t>
            </w:r>
            <w:r w:rsidRPr="00892DE3">
              <w:t xml:space="preserve">) in the Model for definitions on ‘transactions’ and ‘other economic flows’, and refer to Appendix </w:t>
            </w:r>
            <w:r w:rsidR="006A58CA">
              <w:t>8</w:t>
            </w:r>
            <w:r w:rsidR="006A58CA" w:rsidRPr="00892DE3">
              <w:t xml:space="preserve"> </w:t>
            </w:r>
            <w:r w:rsidRPr="00892DE3">
              <w:t>for the Practical classification guide between transactions and other economic flows for further examples.</w:t>
            </w:r>
          </w:p>
        </w:tc>
      </w:tr>
    </w:tbl>
    <w:p w:rsidR="00600C1B" w:rsidRPr="00892DE3" w:rsidRDefault="00600C1B" w:rsidP="00600C1B">
      <w:pPr>
        <w:pStyle w:val="Heading2"/>
      </w:pPr>
      <w:bookmarkStart w:id="166" w:name="_Toc477432300"/>
      <w:bookmarkStart w:id="167" w:name="_Toc478729314"/>
      <w:bookmarkStart w:id="168" w:name="_Toc479085165"/>
      <w:r w:rsidRPr="00892DE3">
        <w:t xml:space="preserve">Discontinued operations and non-current assets held for sale </w:t>
      </w:r>
      <w:r w:rsidRPr="00892DE3">
        <w:rPr>
          <w:rStyle w:val="SourceReference"/>
          <w:b w:val="0"/>
        </w:rPr>
        <w:t>[AASB 5.41, 101.98(e)]</w:t>
      </w:r>
      <w:bookmarkEnd w:id="166"/>
      <w:bookmarkEnd w:id="167"/>
      <w:bookmarkEnd w:id="168"/>
    </w:p>
    <w:p w:rsidR="00600C1B" w:rsidRPr="00892DE3" w:rsidRDefault="00600C1B" w:rsidP="00600C1B">
      <w:pPr>
        <w:pStyle w:val="Heading3"/>
      </w:pPr>
      <w:r w:rsidRPr="00892DE3">
        <w:t>Disposal of activities of the Commissioner for Technology</w:t>
      </w:r>
    </w:p>
    <w:p w:rsidR="00600C1B" w:rsidRPr="00892DE3" w:rsidRDefault="00600C1B" w:rsidP="00600C1B">
      <w:r w:rsidRPr="00892DE3">
        <w:t xml:space="preserve">On 28 March 2017, the Minister for the Department, the Hon. John Bristol, MP approved a sale plan to dispose of the activities of the Commissioner for Technology under the strategic policy advice output to the third parties external to Victorian Government. The proceeds of the sale substantially exceeded the book value of the related net assets. </w:t>
      </w:r>
    </w:p>
    <w:p w:rsidR="00600C1B" w:rsidRPr="00892DE3" w:rsidRDefault="00600C1B" w:rsidP="00600C1B">
      <w:r w:rsidRPr="00892DE3">
        <w:t xml:space="preserve">The disposal of Commissioner for Technology activities is consistent with the Department’s long-term policy to promote the adoption of new technology and monitor its appropriate use. The disposal was completed on 30 June 2017, being the date control of the officer passed to the acquirer. </w:t>
      </w:r>
    </w:p>
    <w:p w:rsidR="00600C1B" w:rsidRPr="00892DE3" w:rsidRDefault="00600C1B" w:rsidP="00600C1B">
      <w:pPr>
        <w:pStyle w:val="Heading3"/>
      </w:pPr>
      <w:r w:rsidRPr="00892DE3">
        <w:t xml:space="preserve">Plan to dispose of Gene Services business </w:t>
      </w:r>
    </w:p>
    <w:p w:rsidR="00600C1B" w:rsidRPr="00892DE3" w:rsidRDefault="00600C1B" w:rsidP="00600C1B">
      <w:r w:rsidRPr="00892DE3">
        <w:t xml:space="preserve">On 30 November 2016, the Minister for the Department, the Hon. John Bristol, MP announced a plan to dispose of the Department’s Gene Services business to parties outside of the Victorian Government Sector, which involves provision of information technology and telecommunication systems for new biological technology. The disposal is consistent with the Department’s long-term policy to focus its activities in the information technology and telecommunications services industry. The Department is actively seeking a buyer for its Gene Services business and expects to complete the sale by 31 July 2017. </w:t>
      </w:r>
    </w:p>
    <w:p w:rsidR="00600C1B" w:rsidRPr="00892DE3" w:rsidRDefault="00600C1B" w:rsidP="00600C1B">
      <w:pPr>
        <w:keepLines w:val="0"/>
        <w:rPr>
          <w:rFonts w:asciiTheme="majorHAnsi" w:eastAsiaTheme="majorEastAsia" w:hAnsiTheme="majorHAnsi" w:cstheme="majorBidi"/>
          <w:i/>
          <w:iCs/>
          <w:sz w:val="20"/>
          <w:szCs w:val="26"/>
        </w:rPr>
      </w:pPr>
      <w:r w:rsidRPr="00892DE3">
        <w:rPr>
          <w:rStyle w:val="Heading4Char"/>
        </w:rPr>
        <w:t>Reclassification of these operations as held for sale</w:t>
      </w:r>
      <w:r w:rsidRPr="00892DE3">
        <w:t xml:space="preserve"> </w:t>
      </w:r>
      <w:r w:rsidRPr="00892DE3">
        <w:rPr>
          <w:rStyle w:val="SourceReference"/>
        </w:rPr>
        <w:t>[AASB 5.33(b), 34 and 38]</w:t>
      </w:r>
    </w:p>
    <w:p w:rsidR="00600C1B" w:rsidRPr="00892DE3" w:rsidRDefault="00600C1B" w:rsidP="00600C1B">
      <w:r w:rsidRPr="00892DE3">
        <w:t>On initial reclassification of these operations as held for sale, the Department has not recognised any impairment losses.</w:t>
      </w:r>
    </w:p>
    <w:p w:rsidR="00600C1B" w:rsidRPr="00892DE3" w:rsidRDefault="00600C1B" w:rsidP="00600C1B">
      <w:r w:rsidRPr="00892DE3">
        <w:t>The results of the discontinued operations, which have been included in the comprehensive operating statement are as set out. The comparative net result and cash flows from discontinued operations have been represented to include those operations classified as discontinued in the current period.</w:t>
      </w:r>
    </w:p>
    <w:p w:rsidR="00600C1B" w:rsidRPr="00892DE3" w:rsidRDefault="00600C1B" w:rsidP="00600C1B">
      <w:r w:rsidRPr="00892DE3">
        <w:t>Amounts recognised in other comprehensive income relating to discontinued operations reflect cumulative income or expense recognised in other comprehensive income that are attributable to the discontinued operation.</w:t>
      </w:r>
    </w:p>
    <w:p w:rsidR="00600C1B" w:rsidRPr="00892DE3" w:rsidRDefault="00600C1B" w:rsidP="00600C1B">
      <w:pPr>
        <w:pStyle w:val="Heading3"/>
      </w:pPr>
      <w:r w:rsidRPr="00892DE3">
        <w:t xml:space="preserve">Net result from discontinued operations </w:t>
      </w:r>
      <w:r w:rsidRPr="00892DE3">
        <w:rPr>
          <w:rStyle w:val="SourceReference"/>
          <w:b w:val="0"/>
        </w:rPr>
        <w:t>[AASB 5.33(b) and 34]</w:t>
      </w:r>
    </w:p>
    <w:p w:rsidR="00600C1B" w:rsidRPr="00892DE3" w:rsidRDefault="00600C1B" w:rsidP="00600C1B">
      <w:pPr>
        <w:pStyle w:val="TableUnits"/>
      </w:pPr>
      <w:r w:rsidRPr="00892DE3">
        <w:t>($ thousand)</w:t>
      </w:r>
    </w:p>
    <w:tbl>
      <w:tblPr>
        <w:tblStyle w:val="ModelReportFinancialTable"/>
        <w:tblW w:w="9639" w:type="dxa"/>
        <w:tblLayout w:type="fixed"/>
        <w:tblLook w:val="06E0" w:firstRow="1" w:lastRow="1" w:firstColumn="1" w:lastColumn="0" w:noHBand="1" w:noVBand="1"/>
      </w:tblPr>
      <w:tblGrid>
        <w:gridCol w:w="1527"/>
        <w:gridCol w:w="6439"/>
        <w:gridCol w:w="825"/>
        <w:gridCol w:w="11"/>
        <w:gridCol w:w="814"/>
        <w:gridCol w:w="23"/>
      </w:tblGrid>
      <w:tr w:rsidR="00600C1B" w:rsidRPr="00892DE3" w:rsidTr="00DB5273">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527" w:type="dxa"/>
            <w:tcBorders>
              <w:bottom w:val="nil"/>
            </w:tcBorders>
            <w:shd w:val="clear" w:color="auto" w:fill="auto"/>
          </w:tcPr>
          <w:p w:rsidR="00600C1B" w:rsidRPr="00892DE3" w:rsidRDefault="00600C1B" w:rsidP="00DB5273">
            <w:r w:rsidRPr="00892DE3">
              <w:t>Source reference</w:t>
            </w:r>
          </w:p>
        </w:tc>
        <w:tc>
          <w:tcPr>
            <w:tcW w:w="6439" w:type="dxa"/>
          </w:tcPr>
          <w:p w:rsidR="00600C1B" w:rsidRPr="00892DE3" w:rsidRDefault="00600C1B" w:rsidP="00DB5273">
            <w:pPr>
              <w:jc w:val="left"/>
              <w:cnfStyle w:val="100000000000" w:firstRow="1" w:lastRow="0" w:firstColumn="0" w:lastColumn="0" w:oddVBand="0" w:evenVBand="0" w:oddHBand="0" w:evenHBand="0" w:firstRowFirstColumn="0" w:firstRowLastColumn="0" w:lastRowFirstColumn="0" w:lastRowLastColumn="0"/>
            </w:pPr>
          </w:p>
        </w:tc>
        <w:tc>
          <w:tcPr>
            <w:tcW w:w="836" w:type="dxa"/>
            <w:gridSpan w:val="2"/>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2017</w:t>
            </w:r>
          </w:p>
        </w:tc>
        <w:tc>
          <w:tcPr>
            <w:tcW w:w="837" w:type="dxa"/>
            <w:gridSpan w:val="2"/>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2016</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r w:rsidRPr="00892DE3">
              <w:t>AASB 5.33(b) and 34</w:t>
            </w:r>
          </w:p>
        </w:tc>
        <w:tc>
          <w:tcPr>
            <w:tcW w:w="6439" w:type="dxa"/>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rPr>
                <w:b/>
              </w:rPr>
            </w:pPr>
            <w:r w:rsidRPr="00892DE3">
              <w:rPr>
                <w:b/>
              </w:rPr>
              <w:t>Income from transactions</w:t>
            </w:r>
          </w:p>
        </w:tc>
        <w:tc>
          <w:tcPr>
            <w:tcW w:w="825" w:type="dxa"/>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p>
        </w:tc>
        <w:tc>
          <w:tcPr>
            <w:tcW w:w="825"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Output appropriations</w:t>
            </w:r>
          </w:p>
        </w:tc>
        <w:tc>
          <w:tcPr>
            <w:tcW w:w="825" w:type="dxa"/>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10 426</w:t>
            </w:r>
          </w:p>
        </w:tc>
        <w:tc>
          <w:tcPr>
            <w:tcW w:w="825"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14 242</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Special appropriations</w:t>
            </w:r>
          </w:p>
        </w:tc>
        <w:tc>
          <w:tcPr>
            <w:tcW w:w="825" w:type="dxa"/>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1 781</w:t>
            </w:r>
          </w:p>
        </w:tc>
        <w:tc>
          <w:tcPr>
            <w:tcW w:w="825"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2 401</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Interest</w:t>
            </w:r>
          </w:p>
        </w:tc>
        <w:tc>
          <w:tcPr>
            <w:tcW w:w="825" w:type="dxa"/>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245</w:t>
            </w:r>
          </w:p>
        </w:tc>
        <w:tc>
          <w:tcPr>
            <w:tcW w:w="825"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578</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Sale of goods and services</w:t>
            </w:r>
          </w:p>
        </w:tc>
        <w:tc>
          <w:tcPr>
            <w:tcW w:w="825" w:type="dxa"/>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278</w:t>
            </w:r>
          </w:p>
        </w:tc>
        <w:tc>
          <w:tcPr>
            <w:tcW w:w="825"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532</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Grants</w:t>
            </w:r>
          </w:p>
        </w:tc>
        <w:tc>
          <w:tcPr>
            <w:tcW w:w="825" w:type="dxa"/>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87</w:t>
            </w:r>
          </w:p>
        </w:tc>
        <w:tc>
          <w:tcPr>
            <w:tcW w:w="825"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75</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Fair value of assets and services received free of charge or for nominal consideration</w:t>
            </w:r>
          </w:p>
        </w:tc>
        <w:tc>
          <w:tcPr>
            <w:tcW w:w="825" w:type="dxa"/>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25"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58</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Borders>
              <w:bottom w:val="single" w:sz="6" w:space="0" w:color="000000"/>
            </w:tcBorders>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Other income</w:t>
            </w:r>
          </w:p>
        </w:tc>
        <w:tc>
          <w:tcPr>
            <w:tcW w:w="825" w:type="dxa"/>
            <w:tcBorders>
              <w:bottom w:val="single" w:sz="6" w:space="0" w:color="000000"/>
            </w:tcBorders>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125</w:t>
            </w:r>
          </w:p>
        </w:tc>
        <w:tc>
          <w:tcPr>
            <w:tcW w:w="825" w:type="dxa"/>
            <w:gridSpan w:val="2"/>
            <w:tcBorders>
              <w:bottom w:val="single" w:sz="6" w:space="0" w:color="000000"/>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414</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Borders>
              <w:top w:val="single" w:sz="6" w:space="0" w:color="000000"/>
              <w:bottom w:val="single" w:sz="6" w:space="0" w:color="000000"/>
            </w:tcBorders>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income from transactions</w:t>
            </w:r>
          </w:p>
        </w:tc>
        <w:tc>
          <w:tcPr>
            <w:tcW w:w="825" w:type="dxa"/>
            <w:tcBorders>
              <w:top w:val="single" w:sz="6" w:space="0" w:color="000000"/>
              <w:bottom w:val="single" w:sz="6" w:space="0" w:color="000000"/>
            </w:tcBorders>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b/>
              </w:rPr>
            </w:pPr>
            <w:r w:rsidRPr="00892DE3">
              <w:rPr>
                <w:b/>
              </w:rPr>
              <w:t>12 942</w:t>
            </w:r>
          </w:p>
        </w:tc>
        <w:tc>
          <w:tcPr>
            <w:tcW w:w="825" w:type="dxa"/>
            <w:gridSpan w:val="2"/>
            <w:tcBorders>
              <w:top w:val="single" w:sz="6" w:space="0" w:color="000000"/>
              <w:bottom w:val="single" w:sz="6" w:space="0" w:color="000000"/>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b/>
              </w:rPr>
            </w:pPr>
            <w:r w:rsidRPr="00892DE3">
              <w:rPr>
                <w:b/>
              </w:rPr>
              <w:t>18 300</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Borders>
              <w:top w:val="single" w:sz="6" w:space="0" w:color="000000"/>
              <w:bottom w:val="single" w:sz="6" w:space="0" w:color="000000"/>
            </w:tcBorders>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expenses from transactions</w:t>
            </w:r>
          </w:p>
        </w:tc>
        <w:tc>
          <w:tcPr>
            <w:tcW w:w="825" w:type="dxa"/>
            <w:tcBorders>
              <w:top w:val="single" w:sz="6" w:space="0" w:color="000000"/>
              <w:bottom w:val="single" w:sz="6" w:space="0" w:color="000000"/>
            </w:tcBorders>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b/>
              </w:rPr>
            </w:pPr>
            <w:r w:rsidRPr="00892DE3">
              <w:rPr>
                <w:b/>
              </w:rPr>
              <w:t>(10 269)</w:t>
            </w:r>
          </w:p>
        </w:tc>
        <w:tc>
          <w:tcPr>
            <w:tcW w:w="825" w:type="dxa"/>
            <w:gridSpan w:val="2"/>
            <w:tcBorders>
              <w:top w:val="single" w:sz="6" w:space="0" w:color="000000"/>
              <w:bottom w:val="single" w:sz="6" w:space="0" w:color="000000"/>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b/>
              </w:rPr>
            </w:pPr>
            <w:r w:rsidRPr="00892DE3">
              <w:rPr>
                <w:b/>
              </w:rPr>
              <w:t>(12 970)</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Borders>
              <w:top w:val="single" w:sz="6" w:space="0" w:color="000000"/>
              <w:bottom w:val="single" w:sz="6" w:space="0" w:color="000000"/>
            </w:tcBorders>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transactions (net operating balance)</w:t>
            </w:r>
          </w:p>
        </w:tc>
        <w:tc>
          <w:tcPr>
            <w:tcW w:w="825" w:type="dxa"/>
            <w:tcBorders>
              <w:top w:val="single" w:sz="6" w:space="0" w:color="000000"/>
              <w:bottom w:val="single" w:sz="6" w:space="0" w:color="000000"/>
            </w:tcBorders>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b/>
              </w:rPr>
            </w:pPr>
            <w:r w:rsidRPr="00892DE3">
              <w:rPr>
                <w:b/>
              </w:rPr>
              <w:t>2 673</w:t>
            </w:r>
          </w:p>
        </w:tc>
        <w:tc>
          <w:tcPr>
            <w:tcW w:w="825" w:type="dxa"/>
            <w:gridSpan w:val="2"/>
            <w:tcBorders>
              <w:top w:val="single" w:sz="6" w:space="0" w:color="000000"/>
              <w:bottom w:val="single" w:sz="6" w:space="0" w:color="000000"/>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b/>
              </w:rPr>
            </w:pPr>
            <w:r w:rsidRPr="00892DE3">
              <w:rPr>
                <w:b/>
              </w:rPr>
              <w:t>5 330</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Borders>
              <w:top w:val="single" w:sz="6" w:space="0" w:color="000000"/>
            </w:tcBorders>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rPr>
                <w:b/>
              </w:rPr>
            </w:pPr>
            <w:r w:rsidRPr="00892DE3">
              <w:rPr>
                <w:b/>
              </w:rPr>
              <w:t>Other economic flows included in net result</w:t>
            </w:r>
          </w:p>
        </w:tc>
        <w:tc>
          <w:tcPr>
            <w:tcW w:w="825" w:type="dxa"/>
            <w:tcBorders>
              <w:top w:val="single" w:sz="6" w:space="0" w:color="000000"/>
            </w:tcBorders>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25" w:type="dxa"/>
            <w:gridSpan w:val="2"/>
            <w:tcBorders>
              <w:top w:val="single" w:sz="6" w:space="0" w:color="000000"/>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Net gain/(loss) on non</w:t>
            </w:r>
            <w:r w:rsidRPr="00892DE3">
              <w:noBreakHyphen/>
              <w:t>financial assets</w:t>
            </w:r>
          </w:p>
        </w:tc>
        <w:tc>
          <w:tcPr>
            <w:tcW w:w="825" w:type="dxa"/>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43</w:t>
            </w:r>
          </w:p>
        </w:tc>
        <w:tc>
          <w:tcPr>
            <w:tcW w:w="825"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329</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Net gain/(loss) on financial instruments</w:t>
            </w:r>
          </w:p>
        </w:tc>
        <w:tc>
          <w:tcPr>
            <w:tcW w:w="825" w:type="dxa"/>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(440)</w:t>
            </w:r>
          </w:p>
        </w:tc>
        <w:tc>
          <w:tcPr>
            <w:tcW w:w="825"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(863)</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Borders>
              <w:bottom w:val="single" w:sz="6" w:space="0" w:color="000000"/>
            </w:tcBorders>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Other gains/(losses) from other economic flows</w:t>
            </w:r>
          </w:p>
        </w:tc>
        <w:tc>
          <w:tcPr>
            <w:tcW w:w="825" w:type="dxa"/>
            <w:tcBorders>
              <w:bottom w:val="single" w:sz="6" w:space="0" w:color="000000"/>
            </w:tcBorders>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(1 046)</w:t>
            </w:r>
          </w:p>
        </w:tc>
        <w:tc>
          <w:tcPr>
            <w:tcW w:w="825" w:type="dxa"/>
            <w:gridSpan w:val="2"/>
            <w:tcBorders>
              <w:bottom w:val="single" w:sz="6" w:space="0" w:color="000000"/>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(941)</w:t>
            </w:r>
          </w:p>
        </w:tc>
      </w:tr>
      <w:tr w:rsidR="00600C1B" w:rsidRPr="00892DE3" w:rsidTr="00DB5273">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600C1B" w:rsidRPr="00892DE3" w:rsidRDefault="00600C1B" w:rsidP="00DB5273"/>
        </w:tc>
        <w:tc>
          <w:tcPr>
            <w:tcW w:w="6439" w:type="dxa"/>
            <w:tcBorders>
              <w:top w:val="single" w:sz="6" w:space="0" w:color="000000"/>
              <w:bottom w:val="single" w:sz="6" w:space="0" w:color="000000"/>
            </w:tcBorders>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economic flows included in net result</w:t>
            </w:r>
          </w:p>
        </w:tc>
        <w:tc>
          <w:tcPr>
            <w:tcW w:w="825" w:type="dxa"/>
            <w:tcBorders>
              <w:top w:val="single" w:sz="6" w:space="0" w:color="000000"/>
              <w:bottom w:val="single" w:sz="6" w:space="0" w:color="000000"/>
            </w:tcBorders>
            <w:shd w:val="clear" w:color="auto" w:fill="EBEBEB"/>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b/>
              </w:rPr>
            </w:pPr>
            <w:r w:rsidRPr="00892DE3">
              <w:rPr>
                <w:b/>
              </w:rPr>
              <w:t>(1 444)</w:t>
            </w:r>
          </w:p>
        </w:tc>
        <w:tc>
          <w:tcPr>
            <w:tcW w:w="825" w:type="dxa"/>
            <w:gridSpan w:val="2"/>
            <w:tcBorders>
              <w:top w:val="single" w:sz="6" w:space="0" w:color="000000"/>
              <w:bottom w:val="single" w:sz="6" w:space="0" w:color="000000"/>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b/>
              </w:rPr>
            </w:pPr>
            <w:r w:rsidRPr="00892DE3">
              <w:rPr>
                <w:b/>
              </w:rPr>
              <w:t>(1 475)</w:t>
            </w:r>
          </w:p>
        </w:tc>
      </w:tr>
      <w:tr w:rsidR="00600C1B" w:rsidRPr="00892DE3" w:rsidTr="00DB5273">
        <w:trPr>
          <w:gridAfter w:val="1"/>
          <w:cnfStyle w:val="010000000000" w:firstRow="0" w:lastRow="1" w:firstColumn="0" w:lastColumn="0" w:oddVBand="0" w:evenVBand="0" w:oddHBand="0" w:evenHBand="0" w:firstRowFirstColumn="0" w:firstRowLastColumn="0" w:lastRowFirstColumn="0" w:lastRowLastColumn="0"/>
          <w:wAfter w:w="23" w:type="dxa"/>
          <w:trHeight w:val="255"/>
        </w:trPr>
        <w:tc>
          <w:tcPr>
            <w:cnfStyle w:val="001000000001" w:firstRow="0" w:lastRow="0" w:firstColumn="1" w:lastColumn="0" w:oddVBand="0" w:evenVBand="0" w:oddHBand="0" w:evenHBand="0" w:firstRowFirstColumn="0" w:firstRowLastColumn="0" w:lastRowFirstColumn="1" w:lastRowLastColumn="0"/>
            <w:tcW w:w="1527" w:type="dxa"/>
            <w:shd w:val="clear" w:color="auto" w:fill="auto"/>
          </w:tcPr>
          <w:p w:rsidR="00600C1B" w:rsidRPr="00892DE3" w:rsidRDefault="00600C1B" w:rsidP="00DB5273"/>
        </w:tc>
        <w:tc>
          <w:tcPr>
            <w:tcW w:w="6439" w:type="dxa"/>
          </w:tcPr>
          <w:p w:rsidR="00600C1B" w:rsidRPr="00892DE3" w:rsidRDefault="00600C1B" w:rsidP="00DB5273">
            <w:pPr>
              <w:jc w:val="left"/>
              <w:cnfStyle w:val="010000000000" w:firstRow="0" w:lastRow="1" w:firstColumn="0" w:lastColumn="0" w:oddVBand="0" w:evenVBand="0" w:oddHBand="0" w:evenHBand="0" w:firstRowFirstColumn="0" w:firstRowLastColumn="0" w:lastRowFirstColumn="0" w:lastRowLastColumn="0"/>
            </w:pPr>
            <w:r w:rsidRPr="00892DE3">
              <w:t>Net result from discontinued operations</w:t>
            </w:r>
          </w:p>
        </w:tc>
        <w:tc>
          <w:tcPr>
            <w:tcW w:w="825" w:type="dxa"/>
            <w:shd w:val="clear" w:color="auto" w:fill="EBEBEB"/>
            <w:noWrap/>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1 229</w:t>
            </w:r>
          </w:p>
        </w:tc>
        <w:tc>
          <w:tcPr>
            <w:tcW w:w="825" w:type="dxa"/>
            <w:gridSpan w:val="2"/>
            <w:noWrap/>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3 856</w:t>
            </w:r>
          </w:p>
        </w:tc>
      </w:tr>
    </w:tbl>
    <w:p w:rsidR="00600C1B" w:rsidRPr="00892DE3" w:rsidRDefault="00600C1B" w:rsidP="00600C1B"/>
    <w:p w:rsidR="00600C1B" w:rsidRPr="00892DE3" w:rsidRDefault="00600C1B" w:rsidP="00600C1B">
      <w:pPr>
        <w:pStyle w:val="Heading3"/>
      </w:pPr>
      <w:r w:rsidRPr="00892DE3">
        <w:t xml:space="preserve">Net cash flows from discontinued operations </w:t>
      </w:r>
      <w:r w:rsidRPr="00892DE3">
        <w:rPr>
          <w:rStyle w:val="SourceReference"/>
          <w:b w:val="0"/>
        </w:rPr>
        <w:t>[AASB 5.33(c)]</w:t>
      </w:r>
    </w:p>
    <w:p w:rsidR="00600C1B" w:rsidRPr="00892DE3" w:rsidRDefault="00600C1B" w:rsidP="00600C1B">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909"/>
        <w:gridCol w:w="852"/>
        <w:gridCol w:w="12"/>
        <w:gridCol w:w="841"/>
        <w:gridCol w:w="23"/>
      </w:tblGrid>
      <w:tr w:rsidR="00600C1B" w:rsidRPr="00892DE3" w:rsidTr="00DB52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909" w:type="dxa"/>
          </w:tcPr>
          <w:p w:rsidR="00600C1B" w:rsidRPr="00892DE3" w:rsidRDefault="00600C1B" w:rsidP="00DB5273"/>
        </w:tc>
        <w:tc>
          <w:tcPr>
            <w:tcW w:w="864" w:type="dxa"/>
            <w:gridSpan w:val="2"/>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2017</w:t>
            </w:r>
          </w:p>
        </w:tc>
        <w:tc>
          <w:tcPr>
            <w:tcW w:w="864" w:type="dxa"/>
            <w:gridSpan w:val="2"/>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2016</w:t>
            </w:r>
          </w:p>
        </w:tc>
      </w:tr>
      <w:tr w:rsidR="00600C1B" w:rsidRPr="00892DE3" w:rsidTr="00DB5273">
        <w:trPr>
          <w:gridAfter w:val="1"/>
          <w:wAfter w:w="23" w:type="dxa"/>
        </w:trPr>
        <w:tc>
          <w:tcPr>
            <w:cnfStyle w:val="001000000000" w:firstRow="0" w:lastRow="0" w:firstColumn="1" w:lastColumn="0" w:oddVBand="0" w:evenVBand="0" w:oddHBand="0" w:evenHBand="0" w:firstRowFirstColumn="0" w:firstRowLastColumn="0" w:lastRowFirstColumn="0" w:lastRowLastColumn="0"/>
            <w:tcW w:w="7909" w:type="dxa"/>
          </w:tcPr>
          <w:p w:rsidR="00600C1B" w:rsidRPr="00892DE3" w:rsidRDefault="00600C1B" w:rsidP="00DB5273">
            <w:pPr>
              <w:rPr>
                <w:rFonts w:cstheme="majorHAnsi"/>
              </w:rPr>
            </w:pPr>
            <w:r w:rsidRPr="00892DE3">
              <w:rPr>
                <w:rFonts w:cstheme="majorHAnsi"/>
              </w:rPr>
              <w:t>Net cash flows from operating activities</w:t>
            </w:r>
          </w:p>
        </w:tc>
        <w:tc>
          <w:tcPr>
            <w:tcW w:w="852" w:type="dxa"/>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1 326</w:t>
            </w:r>
          </w:p>
        </w:tc>
        <w:tc>
          <w:tcPr>
            <w:tcW w:w="853"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6 655</w:t>
            </w:r>
          </w:p>
        </w:tc>
      </w:tr>
      <w:tr w:rsidR="00600C1B" w:rsidRPr="00892DE3" w:rsidTr="00DB5273">
        <w:trPr>
          <w:gridAfter w:val="1"/>
          <w:wAfter w:w="23" w:type="dxa"/>
        </w:trPr>
        <w:tc>
          <w:tcPr>
            <w:cnfStyle w:val="001000000000" w:firstRow="0" w:lastRow="0" w:firstColumn="1" w:lastColumn="0" w:oddVBand="0" w:evenVBand="0" w:oddHBand="0" w:evenHBand="0" w:firstRowFirstColumn="0" w:firstRowLastColumn="0" w:lastRowFirstColumn="0" w:lastRowLastColumn="0"/>
            <w:tcW w:w="7909" w:type="dxa"/>
          </w:tcPr>
          <w:p w:rsidR="00600C1B" w:rsidRPr="00892DE3" w:rsidRDefault="00600C1B" w:rsidP="00DB5273">
            <w:pPr>
              <w:rPr>
                <w:rFonts w:cstheme="majorHAnsi"/>
              </w:rPr>
            </w:pPr>
            <w:r w:rsidRPr="00892DE3">
              <w:rPr>
                <w:rFonts w:cstheme="majorHAnsi"/>
              </w:rPr>
              <w:t>Net cash flows from investing activities</w:t>
            </w:r>
          </w:p>
        </w:tc>
        <w:tc>
          <w:tcPr>
            <w:tcW w:w="852" w:type="dxa"/>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(1 376)</w:t>
            </w:r>
          </w:p>
        </w:tc>
        <w:tc>
          <w:tcPr>
            <w:tcW w:w="853" w:type="dxa"/>
            <w:gridSpan w:val="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(2 484)</w:t>
            </w:r>
          </w:p>
        </w:tc>
      </w:tr>
      <w:tr w:rsidR="00600C1B" w:rsidRPr="00892DE3" w:rsidTr="00DB5273">
        <w:trPr>
          <w:gridAfter w:val="1"/>
          <w:wAfter w:w="23" w:type="dxa"/>
        </w:trPr>
        <w:tc>
          <w:tcPr>
            <w:cnfStyle w:val="001000000000" w:firstRow="0" w:lastRow="0" w:firstColumn="1" w:lastColumn="0" w:oddVBand="0" w:evenVBand="0" w:oddHBand="0" w:evenHBand="0" w:firstRowFirstColumn="0" w:firstRowLastColumn="0" w:lastRowFirstColumn="0" w:lastRowLastColumn="0"/>
            <w:tcW w:w="7909" w:type="dxa"/>
            <w:tcBorders>
              <w:bottom w:val="single" w:sz="6" w:space="0" w:color="auto"/>
            </w:tcBorders>
          </w:tcPr>
          <w:p w:rsidR="00600C1B" w:rsidRPr="00892DE3" w:rsidRDefault="00600C1B" w:rsidP="00DB5273">
            <w:pPr>
              <w:rPr>
                <w:rFonts w:cstheme="majorHAnsi"/>
              </w:rPr>
            </w:pPr>
            <w:r w:rsidRPr="00892DE3">
              <w:rPr>
                <w:rFonts w:cstheme="majorHAnsi"/>
              </w:rPr>
              <w:t>Net cash flows from financing activities</w:t>
            </w:r>
          </w:p>
        </w:tc>
        <w:tc>
          <w:tcPr>
            <w:tcW w:w="852" w:type="dxa"/>
            <w:tcBorders>
              <w:bottom w:val="single" w:sz="6" w:space="0" w:color="auto"/>
            </w:tcBorders>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(325)</w:t>
            </w:r>
          </w:p>
        </w:tc>
        <w:tc>
          <w:tcPr>
            <w:tcW w:w="853" w:type="dxa"/>
            <w:gridSpan w:val="2"/>
            <w:tcBorders>
              <w:bottom w:val="single" w:sz="6"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(116)</w:t>
            </w:r>
          </w:p>
        </w:tc>
      </w:tr>
      <w:tr w:rsidR="00600C1B" w:rsidRPr="00892DE3" w:rsidTr="00DB5273">
        <w:trPr>
          <w:gridAfter w:val="1"/>
          <w:cnfStyle w:val="010000000000" w:firstRow="0" w:lastRow="1" w:firstColumn="0" w:lastColumn="0" w:oddVBand="0" w:evenVBand="0" w:oddHBand="0"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bottom w:val="single" w:sz="12" w:space="0" w:color="auto"/>
            </w:tcBorders>
          </w:tcPr>
          <w:p w:rsidR="00600C1B" w:rsidRPr="00892DE3" w:rsidRDefault="00600C1B" w:rsidP="00DB5273">
            <w:r w:rsidRPr="00892DE3">
              <w:t>Net cash flows from discontinued operations</w:t>
            </w:r>
          </w:p>
        </w:tc>
        <w:tc>
          <w:tcPr>
            <w:tcW w:w="852" w:type="dxa"/>
            <w:tcBorders>
              <w:top w:val="single" w:sz="6" w:space="0" w:color="auto"/>
              <w:bottom w:val="single" w:sz="12" w:space="0" w:color="auto"/>
            </w:tcBorders>
            <w:shd w:val="clear" w:color="auto" w:fill="EBEBEB" w:themeFill="background2"/>
            <w:noWrap/>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(376)</w:t>
            </w:r>
          </w:p>
        </w:tc>
        <w:tc>
          <w:tcPr>
            <w:tcW w:w="853" w:type="dxa"/>
            <w:gridSpan w:val="2"/>
            <w:tcBorders>
              <w:top w:val="single" w:sz="6" w:space="0" w:color="auto"/>
              <w:bottom w:val="single" w:sz="12" w:space="0" w:color="auto"/>
            </w:tcBorders>
            <w:noWrap/>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4 055</w:t>
            </w:r>
          </w:p>
        </w:tc>
      </w:tr>
    </w:tbl>
    <w:p w:rsidR="00600C1B" w:rsidRPr="00892DE3" w:rsidRDefault="00600C1B" w:rsidP="00600C1B"/>
    <w:p w:rsidR="00600C1B" w:rsidRPr="00892DE3" w:rsidRDefault="00600C1B" w:rsidP="00600C1B">
      <w:pPr>
        <w:pStyle w:val="Heading3"/>
      </w:pPr>
      <w:r w:rsidRPr="00892DE3">
        <w:t xml:space="preserve">Discontinued operations: Carrying amounts of assets and liabilities (major classes) comprising the operations classified as held for sale </w:t>
      </w:r>
      <w:r w:rsidRPr="00892DE3">
        <w:rPr>
          <w:rStyle w:val="SourceReference"/>
          <w:b w:val="0"/>
        </w:rPr>
        <w:t>[AASB 5.38]</w:t>
      </w:r>
    </w:p>
    <w:p w:rsidR="00600C1B" w:rsidRPr="00892DE3" w:rsidRDefault="00600C1B" w:rsidP="00600C1B">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909"/>
        <w:gridCol w:w="864"/>
        <w:gridCol w:w="864"/>
      </w:tblGrid>
      <w:tr w:rsidR="00600C1B" w:rsidRPr="00892DE3" w:rsidTr="00DB52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909" w:type="dxa"/>
            <w:hideMark/>
          </w:tcPr>
          <w:p w:rsidR="00600C1B" w:rsidRPr="00892DE3" w:rsidRDefault="00600C1B" w:rsidP="00DB5273"/>
        </w:tc>
        <w:tc>
          <w:tcPr>
            <w:tcW w:w="864" w:type="dxa"/>
            <w:noWrap/>
            <w:hideMark/>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2017</w:t>
            </w:r>
          </w:p>
        </w:tc>
        <w:tc>
          <w:tcPr>
            <w:tcW w:w="864" w:type="dxa"/>
            <w:noWrap/>
            <w:hideMark/>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2016</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Pr>
          <w:p w:rsidR="00600C1B" w:rsidRPr="00892DE3" w:rsidRDefault="00600C1B" w:rsidP="00DB5273">
            <w:pPr>
              <w:rPr>
                <w:rFonts w:cstheme="majorHAnsi"/>
              </w:rPr>
            </w:pPr>
            <w:r w:rsidRPr="00892DE3">
              <w:rPr>
                <w:rFonts w:cstheme="majorHAnsi"/>
              </w:rPr>
              <w:t>Cash and deposits</w:t>
            </w:r>
          </w:p>
        </w:tc>
        <w:tc>
          <w:tcPr>
            <w:tcW w:w="864" w:type="dxa"/>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1 800</w:t>
            </w:r>
          </w:p>
        </w:tc>
        <w:tc>
          <w:tcPr>
            <w:tcW w:w="864" w:type="dxa"/>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1 283</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Pr>
          <w:p w:rsidR="00600C1B" w:rsidRPr="00892DE3" w:rsidRDefault="00600C1B" w:rsidP="00DB5273">
            <w:pPr>
              <w:rPr>
                <w:rFonts w:cstheme="majorHAnsi"/>
              </w:rPr>
            </w:pPr>
            <w:r w:rsidRPr="00892DE3">
              <w:rPr>
                <w:rFonts w:cstheme="majorHAnsi"/>
              </w:rPr>
              <w:t>Receivables</w:t>
            </w:r>
          </w:p>
        </w:tc>
        <w:tc>
          <w:tcPr>
            <w:tcW w:w="864" w:type="dxa"/>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1 075</w:t>
            </w:r>
          </w:p>
        </w:tc>
        <w:tc>
          <w:tcPr>
            <w:tcW w:w="864" w:type="dxa"/>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1 678</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Pr>
          <w:p w:rsidR="00600C1B" w:rsidRPr="00892DE3" w:rsidRDefault="00600C1B" w:rsidP="00DB5273">
            <w:pPr>
              <w:rPr>
                <w:rFonts w:cstheme="majorHAnsi"/>
              </w:rPr>
            </w:pPr>
            <w:r w:rsidRPr="00892DE3">
              <w:rPr>
                <w:rFonts w:cstheme="majorHAnsi"/>
              </w:rPr>
              <w:t>Investments and other financial assets</w:t>
            </w:r>
          </w:p>
        </w:tc>
        <w:tc>
          <w:tcPr>
            <w:tcW w:w="864" w:type="dxa"/>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521</w:t>
            </w:r>
          </w:p>
        </w:tc>
        <w:tc>
          <w:tcPr>
            <w:tcW w:w="864" w:type="dxa"/>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1 575</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Pr>
          <w:p w:rsidR="00600C1B" w:rsidRPr="00892DE3" w:rsidRDefault="00600C1B" w:rsidP="00DB5273">
            <w:pPr>
              <w:rPr>
                <w:rFonts w:cstheme="majorHAnsi"/>
              </w:rPr>
            </w:pPr>
            <w:r w:rsidRPr="00892DE3">
              <w:rPr>
                <w:rFonts w:cstheme="majorHAnsi"/>
              </w:rPr>
              <w:t>Inventories</w:t>
            </w:r>
          </w:p>
        </w:tc>
        <w:tc>
          <w:tcPr>
            <w:tcW w:w="864" w:type="dxa"/>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946</w:t>
            </w:r>
          </w:p>
        </w:tc>
        <w:tc>
          <w:tcPr>
            <w:tcW w:w="864" w:type="dxa"/>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2 034</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Borders>
              <w:bottom w:val="single" w:sz="6" w:space="0" w:color="auto"/>
            </w:tcBorders>
          </w:tcPr>
          <w:p w:rsidR="00600C1B" w:rsidRPr="00892DE3" w:rsidRDefault="00600C1B" w:rsidP="00DB5273">
            <w:pPr>
              <w:rPr>
                <w:rFonts w:cstheme="majorHAnsi"/>
              </w:rPr>
            </w:pPr>
            <w:r w:rsidRPr="00892DE3">
              <w:rPr>
                <w:rFonts w:cstheme="majorHAnsi"/>
              </w:rPr>
              <w:t>Property, plant and equipment</w:t>
            </w:r>
          </w:p>
        </w:tc>
        <w:tc>
          <w:tcPr>
            <w:tcW w:w="864" w:type="dxa"/>
            <w:tcBorders>
              <w:bottom w:val="single" w:sz="6" w:space="0" w:color="auto"/>
            </w:tcBorders>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1 686</w:t>
            </w:r>
          </w:p>
        </w:tc>
        <w:tc>
          <w:tcPr>
            <w:tcW w:w="864" w:type="dxa"/>
            <w:tcBorders>
              <w:bottom w:val="single" w:sz="6"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6 560</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bottom w:val="single" w:sz="6" w:space="0" w:color="auto"/>
            </w:tcBorders>
          </w:tcPr>
          <w:p w:rsidR="00600C1B" w:rsidRPr="00892DE3" w:rsidRDefault="00600C1B" w:rsidP="00DB5273">
            <w:pPr>
              <w:rPr>
                <w:rFonts w:cstheme="majorHAnsi"/>
                <w:b/>
              </w:rPr>
            </w:pPr>
            <w:r w:rsidRPr="00892DE3">
              <w:rPr>
                <w:rFonts w:cstheme="majorHAnsi"/>
                <w:b/>
              </w:rPr>
              <w:t>Total assets classified as held for sale</w:t>
            </w:r>
          </w:p>
        </w:tc>
        <w:tc>
          <w:tcPr>
            <w:tcW w:w="864" w:type="dxa"/>
            <w:tcBorders>
              <w:top w:val="single" w:sz="6" w:space="0" w:color="auto"/>
              <w:bottom w:val="single" w:sz="6" w:space="0" w:color="auto"/>
            </w:tcBorders>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6 028</w:t>
            </w:r>
          </w:p>
        </w:tc>
        <w:tc>
          <w:tcPr>
            <w:tcW w:w="864" w:type="dxa"/>
            <w:tcBorders>
              <w:top w:val="single" w:sz="6" w:space="0" w:color="auto"/>
              <w:bottom w:val="single" w:sz="6"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13 130</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tcBorders>
          </w:tcPr>
          <w:p w:rsidR="00600C1B" w:rsidRPr="00892DE3" w:rsidRDefault="00600C1B" w:rsidP="00DB5273">
            <w:pPr>
              <w:rPr>
                <w:rFonts w:cstheme="majorHAnsi"/>
              </w:rPr>
            </w:pPr>
            <w:r w:rsidRPr="00892DE3">
              <w:rPr>
                <w:rFonts w:cstheme="majorHAnsi"/>
              </w:rPr>
              <w:t>Payables</w:t>
            </w:r>
          </w:p>
        </w:tc>
        <w:tc>
          <w:tcPr>
            <w:tcW w:w="864" w:type="dxa"/>
            <w:tcBorders>
              <w:top w:val="single" w:sz="6" w:space="0" w:color="auto"/>
            </w:tcBorders>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(378)</w:t>
            </w:r>
          </w:p>
        </w:tc>
        <w:tc>
          <w:tcPr>
            <w:tcW w:w="864" w:type="dxa"/>
            <w:tcBorders>
              <w:top w:val="single" w:sz="6"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(2 713)</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Pr>
          <w:p w:rsidR="00600C1B" w:rsidRPr="00892DE3" w:rsidRDefault="00600C1B" w:rsidP="00DB5273">
            <w:pPr>
              <w:rPr>
                <w:rFonts w:cstheme="majorHAnsi"/>
              </w:rPr>
            </w:pPr>
            <w:r w:rsidRPr="00892DE3">
              <w:rPr>
                <w:rFonts w:cstheme="majorHAnsi"/>
              </w:rPr>
              <w:t>Borrowings</w:t>
            </w:r>
          </w:p>
        </w:tc>
        <w:tc>
          <w:tcPr>
            <w:tcW w:w="864" w:type="dxa"/>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(860)</w:t>
            </w:r>
          </w:p>
        </w:tc>
        <w:tc>
          <w:tcPr>
            <w:tcW w:w="864" w:type="dxa"/>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(2 567)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Pr>
          <w:p w:rsidR="00600C1B" w:rsidRPr="00892DE3" w:rsidRDefault="00600C1B" w:rsidP="00DB5273">
            <w:pPr>
              <w:rPr>
                <w:rFonts w:cstheme="majorHAnsi"/>
              </w:rPr>
            </w:pPr>
            <w:r w:rsidRPr="00892DE3">
              <w:rPr>
                <w:rFonts w:cstheme="majorHAnsi"/>
              </w:rPr>
              <w:t>Provisions</w:t>
            </w:r>
          </w:p>
        </w:tc>
        <w:tc>
          <w:tcPr>
            <w:tcW w:w="864" w:type="dxa"/>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(3 149)</w:t>
            </w:r>
          </w:p>
        </w:tc>
        <w:tc>
          <w:tcPr>
            <w:tcW w:w="864" w:type="dxa"/>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(3 680)</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Borders>
              <w:bottom w:val="single" w:sz="6" w:space="0" w:color="auto"/>
            </w:tcBorders>
          </w:tcPr>
          <w:p w:rsidR="00600C1B" w:rsidRPr="00892DE3" w:rsidRDefault="00600C1B" w:rsidP="00DB5273">
            <w:pPr>
              <w:rPr>
                <w:rFonts w:cstheme="majorHAnsi"/>
              </w:rPr>
            </w:pPr>
            <w:r w:rsidRPr="00892DE3">
              <w:rPr>
                <w:rFonts w:cstheme="majorHAnsi"/>
              </w:rPr>
              <w:t>Other liabilities</w:t>
            </w:r>
          </w:p>
        </w:tc>
        <w:tc>
          <w:tcPr>
            <w:tcW w:w="864" w:type="dxa"/>
            <w:tcBorders>
              <w:bottom w:val="single" w:sz="6" w:space="0" w:color="auto"/>
            </w:tcBorders>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w:t>
            </w:r>
          </w:p>
        </w:tc>
        <w:tc>
          <w:tcPr>
            <w:tcW w:w="864" w:type="dxa"/>
            <w:tcBorders>
              <w:bottom w:val="single" w:sz="6"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bottom w:val="single" w:sz="6" w:space="0" w:color="auto"/>
            </w:tcBorders>
          </w:tcPr>
          <w:p w:rsidR="00600C1B" w:rsidRPr="00892DE3" w:rsidRDefault="00600C1B" w:rsidP="00DB5273">
            <w:pPr>
              <w:rPr>
                <w:rFonts w:cstheme="majorHAnsi"/>
                <w:b/>
              </w:rPr>
            </w:pPr>
            <w:r w:rsidRPr="00892DE3">
              <w:rPr>
                <w:rFonts w:cstheme="majorHAnsi"/>
                <w:b/>
              </w:rPr>
              <w:t xml:space="preserve">Total liabilities classified as held for sale </w:t>
            </w:r>
          </w:p>
        </w:tc>
        <w:tc>
          <w:tcPr>
            <w:tcW w:w="864" w:type="dxa"/>
            <w:tcBorders>
              <w:top w:val="single" w:sz="6" w:space="0" w:color="auto"/>
              <w:bottom w:val="single" w:sz="6" w:space="0" w:color="auto"/>
            </w:tcBorders>
            <w:shd w:val="clear" w:color="auto" w:fill="EBEBEB" w:themeFill="background2"/>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(4 438)</w:t>
            </w:r>
          </w:p>
        </w:tc>
        <w:tc>
          <w:tcPr>
            <w:tcW w:w="864" w:type="dxa"/>
            <w:tcBorders>
              <w:top w:val="single" w:sz="6" w:space="0" w:color="auto"/>
              <w:bottom w:val="single" w:sz="6"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(8 980)</w:t>
            </w:r>
          </w:p>
        </w:tc>
      </w:tr>
      <w:tr w:rsidR="00600C1B" w:rsidRPr="00892DE3" w:rsidTr="00DB527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tcBorders>
          </w:tcPr>
          <w:p w:rsidR="00600C1B" w:rsidRPr="00892DE3" w:rsidRDefault="00600C1B" w:rsidP="00DB5273">
            <w:pPr>
              <w:rPr>
                <w:rFonts w:cstheme="majorHAnsi"/>
              </w:rPr>
            </w:pPr>
            <w:r w:rsidRPr="00892DE3">
              <w:rPr>
                <w:rFonts w:cstheme="majorHAnsi"/>
              </w:rPr>
              <w:t>Net assets held for sale</w:t>
            </w:r>
          </w:p>
        </w:tc>
        <w:tc>
          <w:tcPr>
            <w:tcW w:w="864" w:type="dxa"/>
            <w:tcBorders>
              <w:top w:val="single" w:sz="6" w:space="0" w:color="auto"/>
            </w:tcBorders>
            <w:shd w:val="clear" w:color="auto" w:fill="EBEBEB" w:themeFill="background2"/>
            <w:noWrap/>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1 590</w:t>
            </w:r>
          </w:p>
        </w:tc>
        <w:tc>
          <w:tcPr>
            <w:tcW w:w="864" w:type="dxa"/>
            <w:tcBorders>
              <w:top w:val="single" w:sz="6" w:space="0" w:color="auto"/>
            </w:tcBorders>
            <w:noWrap/>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4 150</w:t>
            </w:r>
          </w:p>
        </w:tc>
      </w:tr>
    </w:tbl>
    <w:p w:rsidR="00904063" w:rsidRPr="00892DE3" w:rsidRDefault="00904063" w:rsidP="00904063"/>
    <w:p w:rsidR="00600C1B" w:rsidRPr="00892DE3" w:rsidRDefault="00600C1B" w:rsidP="00600C1B">
      <w:pPr>
        <w:pStyle w:val="Heading3"/>
      </w:pPr>
      <w:r w:rsidRPr="00892DE3">
        <w:t xml:space="preserve">Non-financial assets held for sale </w:t>
      </w:r>
      <w:r w:rsidRPr="00892DE3">
        <w:rPr>
          <w:rStyle w:val="SourceReference"/>
          <w:b w:val="0"/>
        </w:rPr>
        <w:t>[AASB 5.38, 5.41]</w:t>
      </w:r>
    </w:p>
    <w:p w:rsidR="00600C1B" w:rsidRPr="00892DE3" w:rsidRDefault="00600C1B" w:rsidP="00600C1B">
      <w:r w:rsidRPr="00892DE3">
        <w:t>In addition to the assets and liabilities disclosed above as part of the disposal groups, the following non-financial assets held for sale exist at the reporting date:</w:t>
      </w:r>
    </w:p>
    <w:p w:rsidR="00600C1B" w:rsidRPr="00892DE3" w:rsidRDefault="00600C1B" w:rsidP="00600C1B">
      <w:pPr>
        <w:pStyle w:val="TableUnits"/>
      </w:pPr>
      <w:r w:rsidRPr="00892DE3">
        <w:t>($ thousand)</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7799"/>
        <w:gridCol w:w="919"/>
        <w:gridCol w:w="919"/>
      </w:tblGrid>
      <w:tr w:rsidR="00600C1B" w:rsidRPr="00892DE3" w:rsidTr="00DB52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799" w:type="dxa"/>
            <w:hideMark/>
          </w:tcPr>
          <w:p w:rsidR="00600C1B" w:rsidRPr="00892DE3" w:rsidRDefault="00600C1B" w:rsidP="00DB5273"/>
        </w:tc>
        <w:tc>
          <w:tcPr>
            <w:tcW w:w="919" w:type="dxa"/>
            <w:noWrap/>
            <w:hideMark/>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2017</w:t>
            </w:r>
          </w:p>
        </w:tc>
        <w:tc>
          <w:tcPr>
            <w:tcW w:w="919" w:type="dxa"/>
            <w:noWrap/>
            <w:hideMark/>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2016</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799" w:type="dxa"/>
          </w:tcPr>
          <w:p w:rsidR="00600C1B" w:rsidRPr="00892DE3" w:rsidRDefault="00600C1B" w:rsidP="00DB5273">
            <w:pPr>
              <w:rPr>
                <w:rFonts w:cstheme="majorHAnsi"/>
                <w:i/>
              </w:rPr>
            </w:pPr>
            <w:r w:rsidRPr="00892DE3">
              <w:rPr>
                <w:rFonts w:cstheme="majorHAnsi"/>
                <w:i/>
              </w:rPr>
              <w:t>Non-current assets:</w:t>
            </w:r>
          </w:p>
        </w:tc>
        <w:tc>
          <w:tcPr>
            <w:tcW w:w="919" w:type="dxa"/>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c>
          <w:tcPr>
            <w:tcW w:w="919" w:type="dxa"/>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799" w:type="dxa"/>
          </w:tcPr>
          <w:p w:rsidR="00600C1B" w:rsidRPr="00892DE3" w:rsidRDefault="00600C1B" w:rsidP="00DB5273">
            <w:pPr>
              <w:rPr>
                <w:rFonts w:cstheme="majorHAnsi"/>
              </w:rPr>
            </w:pPr>
            <w:r w:rsidRPr="00892DE3">
              <w:rPr>
                <w:rFonts w:cstheme="majorHAnsi"/>
              </w:rPr>
              <w:t>Freehold land held for sale</w:t>
            </w:r>
            <w:r w:rsidRPr="00892DE3">
              <w:rPr>
                <w:rFonts w:cstheme="majorHAnsi"/>
                <w:vertAlign w:val="superscript"/>
              </w:rPr>
              <w:t>(a)</w:t>
            </w:r>
          </w:p>
        </w:tc>
        <w:tc>
          <w:tcPr>
            <w:tcW w:w="919" w:type="dxa"/>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753</w:t>
            </w:r>
          </w:p>
        </w:tc>
        <w:tc>
          <w:tcPr>
            <w:tcW w:w="919" w:type="dxa"/>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1 469</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799" w:type="dxa"/>
            <w:tcBorders>
              <w:bottom w:val="nil"/>
            </w:tcBorders>
          </w:tcPr>
          <w:p w:rsidR="00600C1B" w:rsidRPr="00892DE3" w:rsidRDefault="00600C1B" w:rsidP="00DB5273">
            <w:pPr>
              <w:rPr>
                <w:rFonts w:cstheme="majorHAnsi"/>
                <w:i/>
              </w:rPr>
            </w:pPr>
            <w:r w:rsidRPr="00892DE3">
              <w:rPr>
                <w:rFonts w:cstheme="majorHAnsi"/>
                <w:i/>
              </w:rPr>
              <w:t>Disposal group assets:</w:t>
            </w:r>
          </w:p>
        </w:tc>
        <w:tc>
          <w:tcPr>
            <w:tcW w:w="919" w:type="dxa"/>
            <w:tcBorders>
              <w:bottom w:val="nil"/>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c>
          <w:tcPr>
            <w:tcW w:w="919" w:type="dxa"/>
            <w:tcBorders>
              <w:bottom w:val="nil"/>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799" w:type="dxa"/>
            <w:tcBorders>
              <w:bottom w:val="single" w:sz="4" w:space="0" w:color="auto"/>
            </w:tcBorders>
          </w:tcPr>
          <w:p w:rsidR="00600C1B" w:rsidRPr="00892DE3" w:rsidRDefault="00600C1B" w:rsidP="00DB5273">
            <w:pPr>
              <w:rPr>
                <w:rFonts w:cstheme="majorHAnsi"/>
              </w:rPr>
            </w:pPr>
            <w:r w:rsidRPr="00892DE3">
              <w:rPr>
                <w:rFonts w:cstheme="majorHAnsi"/>
              </w:rPr>
              <w:t>Assets of discontinued operations (Note 9.</w:t>
            </w:r>
            <w:r w:rsidR="007325F2" w:rsidRPr="00892DE3">
              <w:rPr>
                <w:rFonts w:cstheme="majorHAnsi"/>
              </w:rPr>
              <w:t>3</w:t>
            </w:r>
            <w:r w:rsidRPr="00892DE3">
              <w:rPr>
                <w:rFonts w:cstheme="majorHAnsi"/>
              </w:rPr>
              <w:t>.5)</w:t>
            </w:r>
          </w:p>
        </w:tc>
        <w:tc>
          <w:tcPr>
            <w:tcW w:w="919" w:type="dxa"/>
            <w:tcBorders>
              <w:bottom w:val="single" w:sz="4"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6 028</w:t>
            </w:r>
          </w:p>
        </w:tc>
        <w:tc>
          <w:tcPr>
            <w:tcW w:w="919" w:type="dxa"/>
            <w:tcBorders>
              <w:bottom w:val="single" w:sz="4"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13 130</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7799" w:type="dxa"/>
            <w:tcBorders>
              <w:top w:val="single" w:sz="4" w:space="0" w:color="auto"/>
            </w:tcBorders>
          </w:tcPr>
          <w:p w:rsidR="00600C1B" w:rsidRPr="00892DE3" w:rsidRDefault="00600C1B" w:rsidP="00DB5273">
            <w:pPr>
              <w:rPr>
                <w:rFonts w:cstheme="majorHAnsi"/>
                <w:b/>
              </w:rPr>
            </w:pPr>
            <w:r w:rsidRPr="00892DE3" w:rsidDel="004E2D22">
              <w:rPr>
                <w:rFonts w:cstheme="majorHAnsi"/>
                <w:b/>
                <w:vertAlign w:val="superscript"/>
              </w:rPr>
              <w:t xml:space="preserve"> </w:t>
            </w:r>
            <w:r w:rsidRPr="00892DE3">
              <w:rPr>
                <w:rFonts w:cstheme="majorHAnsi"/>
                <w:b/>
              </w:rPr>
              <w:t>Total non-financial physical assets and disposal group classified as held for sale</w:t>
            </w:r>
          </w:p>
        </w:tc>
        <w:tc>
          <w:tcPr>
            <w:tcW w:w="919" w:type="dxa"/>
            <w:tcBorders>
              <w:top w:val="single" w:sz="4"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6 781</w:t>
            </w:r>
          </w:p>
        </w:tc>
        <w:tc>
          <w:tcPr>
            <w:tcW w:w="919" w:type="dxa"/>
            <w:tcBorders>
              <w:top w:val="single" w:sz="4"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14 599</w:t>
            </w:r>
          </w:p>
        </w:tc>
      </w:tr>
    </w:tbl>
    <w:p w:rsidR="00600C1B" w:rsidRPr="00892DE3" w:rsidRDefault="00600C1B" w:rsidP="00600C1B">
      <w:pPr>
        <w:pStyle w:val="Note"/>
      </w:pPr>
      <w:r w:rsidRPr="00892DE3">
        <w:t>Note:</w:t>
      </w:r>
    </w:p>
    <w:p w:rsidR="00600C1B" w:rsidRPr="00892DE3" w:rsidRDefault="00600C1B" w:rsidP="00600C1B">
      <w:pPr>
        <w:pStyle w:val="Note"/>
      </w:pPr>
      <w:r w:rsidRPr="00892DE3">
        <w:t>(a)</w:t>
      </w:r>
      <w:r w:rsidRPr="00892DE3">
        <w:tab/>
        <w:t>The Department intends to dispose of freehold land it no longer utilises in the next 10 months. The land was previously vacant land used as a storage site. A search is under way for a buyer. No impairment loss was recognised on reclassification of the freehold land as held for sale or at the end of the reporting period.</w:t>
      </w:r>
    </w:p>
    <w:p w:rsidR="00600C1B" w:rsidRPr="00892DE3" w:rsidRDefault="00600C1B" w:rsidP="00600C1B">
      <w:pPr>
        <w:pStyle w:val="Heading4"/>
      </w:pPr>
      <w:r w:rsidRPr="00892DE3">
        <w:t>Measurement of non-financial physical assets (including disposal group assets)</w:t>
      </w:r>
    </w:p>
    <w:p w:rsidR="00600C1B" w:rsidRPr="00892DE3" w:rsidRDefault="00600C1B" w:rsidP="00600C1B">
      <w:r w:rsidRPr="00892DE3">
        <w:t>Non-financial physical assets (including disposal group assets) are treated as current and classified as held for sale if their carrying amount will be recovered through a sale transaction rather than through continuing use.</w:t>
      </w:r>
    </w:p>
    <w:p w:rsidR="00600C1B" w:rsidRPr="00892DE3" w:rsidRDefault="00600C1B" w:rsidP="00600C1B">
      <w:r w:rsidRPr="00892DE3">
        <w:t>This condition is regarded as met only when:</w:t>
      </w:r>
    </w:p>
    <w:p w:rsidR="00600C1B" w:rsidRPr="00892DE3" w:rsidRDefault="00600C1B" w:rsidP="00600C1B">
      <w:pPr>
        <w:pStyle w:val="ListBullet"/>
      </w:pPr>
      <w:r w:rsidRPr="00892DE3">
        <w:t>the asset is available for immediate use in the current condition; and</w:t>
      </w:r>
    </w:p>
    <w:p w:rsidR="00600C1B" w:rsidRPr="00892DE3" w:rsidRDefault="00600C1B" w:rsidP="00600C1B">
      <w:pPr>
        <w:pStyle w:val="ListBullet"/>
      </w:pPr>
      <w:r w:rsidRPr="00892DE3">
        <w:t>the sale is highly probable and the asset’s sale is expected to be completed within 12 months from the date of classification.</w:t>
      </w:r>
    </w:p>
    <w:p w:rsidR="00600C1B" w:rsidRPr="00892DE3" w:rsidRDefault="00600C1B" w:rsidP="00600C1B">
      <w:r w:rsidRPr="00892DE3">
        <w:t>These non-financial physical assets, related liabilities and financial assets are measured at the lower of carrying amount and fair value less costs to sell, and are not subject to depreciation or amortisation.</w:t>
      </w:r>
    </w:p>
    <w:p w:rsidR="00600C1B" w:rsidRPr="00892DE3" w:rsidRDefault="00600C1B" w:rsidP="00600C1B">
      <w:r w:rsidRPr="00892DE3">
        <w:t>Freehold land held for sale is carried at fair value less costs to disposal. Refer to Note 8.3 for the valuation technique applied to non</w:t>
      </w:r>
      <w:r w:rsidRPr="00892DE3">
        <w:noBreakHyphen/>
        <w:t>specialised land.</w:t>
      </w:r>
    </w:p>
    <w:p w:rsidR="00600C1B" w:rsidRPr="00892DE3" w:rsidRDefault="00600C1B" w:rsidP="00600C1B">
      <w:r w:rsidRPr="00892DE3">
        <w:t>The discontinued operation includes an investment in unlisted securities with a carrying amount of $521 000 in 2017. These are classified as available</w:t>
      </w:r>
      <w:r w:rsidRPr="00892DE3">
        <w:noBreakHyphen/>
        <w:t>for</w:t>
      </w:r>
      <w:r w:rsidRPr="00892DE3">
        <w:noBreakHyphen/>
        <w:t>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8.3.</w:t>
      </w:r>
    </w:p>
    <w:p w:rsidR="00904063" w:rsidRPr="00892DE3" w:rsidRDefault="00904063" w:rsidP="00600C1B"/>
    <w:p w:rsidR="00821277" w:rsidRDefault="00821277">
      <w:r>
        <w:rPr>
          <w:b/>
        </w:rPr>
        <w:br w:type="page"/>
      </w:r>
    </w:p>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DB5273">
            <w:r w:rsidRPr="00892DE3">
              <w:t>Guidance – Discontinued Operations and non-current assets held for sale</w:t>
            </w:r>
          </w:p>
        </w:tc>
      </w:tr>
      <w:tr w:rsidR="00600C1B" w:rsidRPr="00892DE3" w:rsidTr="00DB5273">
        <w:tc>
          <w:tcPr>
            <w:tcW w:w="9752" w:type="dxa"/>
          </w:tcPr>
          <w:p w:rsidR="00600C1B" w:rsidRPr="00892DE3" w:rsidRDefault="00600C1B" w:rsidP="00DB5273">
            <w:r w:rsidRPr="00892DE3">
              <w:rPr>
                <w:b/>
              </w:rPr>
              <w:t>Scope</w:t>
            </w:r>
            <w:r w:rsidRPr="00892DE3">
              <w:t xml:space="preserve">: The illustrated disclosures are for a discontinued operation that is material to the economic entity and where the operation was classified as held for sale in the previous reporting period and was sold during the current reporting period. The disclosures will need to be amended to cover the specific disclosure requirements of AASB 5 relevant to the circumstances of each discontinued operation. </w:t>
            </w:r>
          </w:p>
          <w:p w:rsidR="00600C1B" w:rsidRPr="00892DE3" w:rsidRDefault="00600C1B" w:rsidP="00DB5273">
            <w:r w:rsidRPr="00892DE3">
              <w:t xml:space="preserve">Disclosure requirements of other standards do not apply to assets held for sale or discontinued operations unless those standards require: </w:t>
            </w:r>
            <w:r w:rsidRPr="00892DE3">
              <w:rPr>
                <w:rStyle w:val="SourceReference"/>
              </w:rPr>
              <w:t>[AASB 5.5B]</w:t>
            </w:r>
          </w:p>
          <w:p w:rsidR="00600C1B" w:rsidRPr="00892DE3" w:rsidRDefault="00600C1B" w:rsidP="00DB5273">
            <w:pPr>
              <w:pStyle w:val="ListBullet"/>
            </w:pPr>
            <w:r w:rsidRPr="00892DE3">
              <w:t>specific disclosures for non-current assets (or disposal groups) classified as held for sale or discontinued operations; or</w:t>
            </w:r>
          </w:p>
          <w:p w:rsidR="00600C1B" w:rsidRPr="00892DE3" w:rsidRDefault="00600C1B" w:rsidP="00DB5273">
            <w:pPr>
              <w:pStyle w:val="ListBullet"/>
            </w:pPr>
            <w:r w:rsidRPr="00892DE3">
              <w:t xml:space="preserve">disclosures about measurement of assets and liabilities in a disposal group that are not in the scope of the measurement requirement of AASB 5 and such disclosures are not already provided in the other notes to the financial statements. </w:t>
            </w:r>
          </w:p>
          <w:p w:rsidR="00600C1B" w:rsidRPr="00892DE3" w:rsidRDefault="00600C1B" w:rsidP="00DB5273">
            <w:r w:rsidRPr="00892DE3">
              <w:t xml:space="preserve">Note machinery of government changes are not discontinued operations, and should be reported separately. Therefore, AASB 5 requirements do not apply to such administrative changes. </w:t>
            </w:r>
            <w:r w:rsidRPr="00892DE3">
              <w:rPr>
                <w:rStyle w:val="SourceReference"/>
              </w:rPr>
              <w:t>[AASB 5.Aus2.1]</w:t>
            </w:r>
          </w:p>
          <w:p w:rsidR="00600C1B" w:rsidRPr="00892DE3" w:rsidRDefault="00600C1B" w:rsidP="00DB5273">
            <w:r w:rsidRPr="00892DE3">
              <w:rPr>
                <w:b/>
              </w:rPr>
              <w:t>Discontinued administered activity</w:t>
            </w:r>
            <w:r w:rsidRPr="00892DE3">
              <w:t>: 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rsidR="00600C1B" w:rsidRPr="00892DE3" w:rsidRDefault="00600C1B" w:rsidP="00DB5273">
            <w:r w:rsidRPr="00892DE3">
              <w:rPr>
                <w:b/>
              </w:rPr>
              <w:t>Definition of a discontinued operation</w:t>
            </w:r>
            <w:r w:rsidRPr="00892DE3">
              <w:t>: A discontinued operation is a component of an entity that either has been disposed of or is classified as held for sale and:</w:t>
            </w:r>
          </w:p>
          <w:p w:rsidR="00600C1B" w:rsidRPr="00892DE3" w:rsidRDefault="00600C1B" w:rsidP="00DB5273">
            <w:pPr>
              <w:pStyle w:val="List"/>
            </w:pPr>
            <w:r w:rsidRPr="00892DE3">
              <w:t>(a)</w:t>
            </w:r>
            <w:r w:rsidRPr="00892DE3">
              <w:tab/>
              <w:t>represents a separate major line of business or geographical area of operations; or</w:t>
            </w:r>
          </w:p>
          <w:p w:rsidR="00600C1B" w:rsidRPr="00892DE3" w:rsidRDefault="00600C1B" w:rsidP="00DB5273">
            <w:pPr>
              <w:pStyle w:val="List"/>
            </w:pPr>
            <w:r w:rsidRPr="00892DE3">
              <w:t>(b)</w:t>
            </w:r>
            <w:r w:rsidRPr="00892DE3">
              <w:tab/>
              <w:t>is part of a single coordinated plan to dispose of a separate major line of business or geographical area of operations; or</w:t>
            </w:r>
          </w:p>
          <w:p w:rsidR="00600C1B" w:rsidRPr="00892DE3" w:rsidRDefault="00600C1B" w:rsidP="00DB5273">
            <w:pPr>
              <w:pStyle w:val="List"/>
            </w:pPr>
            <w:r w:rsidRPr="00892DE3">
              <w:t>(c)</w:t>
            </w:r>
            <w:r w:rsidRPr="00892DE3">
              <w:tab/>
              <w:t xml:space="preserve">is a subsidiary acquired exclusively with a view to resale. </w:t>
            </w:r>
            <w:r w:rsidRPr="00892DE3">
              <w:rPr>
                <w:rStyle w:val="SourceReference"/>
              </w:rPr>
              <w:t>[AASB 5.32]</w:t>
            </w:r>
          </w:p>
          <w:p w:rsidR="00600C1B" w:rsidRPr="00892DE3" w:rsidRDefault="00600C1B" w:rsidP="00DB5273">
            <w:pPr>
              <w:rPr>
                <w:rStyle w:val="SourceReference"/>
              </w:rPr>
            </w:pPr>
            <w:r w:rsidRPr="00892DE3">
              <w:t xml:space="preserve">A component of an entity comprises of operations and cash flows that can be clearly distinguished, operationally and for financial reporting purposes, from the rest of the entity. In other words, a component of an entity will have been a cash generating unit or a group of cash generating units while being held for use. </w:t>
            </w:r>
            <w:r w:rsidRPr="00892DE3">
              <w:rPr>
                <w:rStyle w:val="SourceReference"/>
              </w:rPr>
              <w:t>[AASB 5. App A]</w:t>
            </w:r>
          </w:p>
          <w:p w:rsidR="00904063" w:rsidRPr="00892DE3" w:rsidRDefault="00904063" w:rsidP="00904063">
            <w:pPr>
              <w:rPr>
                <w:b/>
              </w:rPr>
            </w:pPr>
            <w:r w:rsidRPr="00892DE3">
              <w:rPr>
                <w:b/>
              </w:rPr>
              <w:t>Disclosure requirements</w:t>
            </w:r>
          </w:p>
          <w:p w:rsidR="00904063" w:rsidRPr="00892DE3" w:rsidRDefault="00904063" w:rsidP="00904063">
            <w:r w:rsidRPr="00892DE3">
              <w:t xml:space="preserve">Adjustments in the current period to amounts previously presented in discontinued operations that are directly related to the disposal of a discontinued operation in a prior period shall be classified separately in discontinued operations. The nature and amount of such adjustments shall be disclosed. </w:t>
            </w:r>
            <w:r w:rsidRPr="00892DE3">
              <w:rPr>
                <w:rStyle w:val="SourceReference"/>
              </w:rPr>
              <w:t>[AASB 5.35]</w:t>
            </w:r>
          </w:p>
          <w:p w:rsidR="00904063" w:rsidRPr="00892DE3" w:rsidRDefault="00904063" w:rsidP="00904063">
            <w:r w:rsidRPr="00892DE3">
              <w:t xml:space="preserve">If an entity ceases to classify a component of an entity as held for sale, the results of operations of the component previously presented in discontinued operations in accordance with AASB 5 paragraphs 33-35 shall be reclassified and included in income from continuing operations for all periods presented. The amounts for prior periods shall be described as having been represented. </w:t>
            </w:r>
            <w:r w:rsidRPr="00892DE3">
              <w:rPr>
                <w:rStyle w:val="SourceReference"/>
              </w:rPr>
              <w:t>[AASB 5.36]</w:t>
            </w:r>
          </w:p>
          <w:p w:rsidR="00904063" w:rsidRPr="00892DE3" w:rsidRDefault="00904063" w:rsidP="00904063">
            <w:r w:rsidRPr="00892DE3">
              <w:t xml:space="preserve">Where a commitment to a sale plan involves the loss of control of a subsidiary, disclosure shall be provided for the information required as per AASB 5.33-36 when the subsidiary is a disposal group that meets the definition of a discontinued operation. </w:t>
            </w:r>
            <w:r w:rsidRPr="00892DE3">
              <w:rPr>
                <w:rStyle w:val="SourceReference"/>
              </w:rPr>
              <w:t>[AASB 5.36A]</w:t>
            </w:r>
          </w:p>
          <w:p w:rsidR="00904063" w:rsidRPr="00892DE3" w:rsidRDefault="00904063" w:rsidP="00904063">
            <w:r w:rsidRPr="00892DE3">
              <w:t xml:space="preserve">Amounts presented for non-current assets or for the assets and liabilities of disposal groups classified as held for sale in the statements of financial position for prior periods shall not be reclassified or represented to reflect the classification in the statement of financial position for the latest period presented. </w:t>
            </w:r>
            <w:r w:rsidRPr="00892DE3">
              <w:rPr>
                <w:rStyle w:val="SourceReference"/>
              </w:rPr>
              <w:t>[AASB 5.40]</w:t>
            </w:r>
          </w:p>
          <w:p w:rsidR="00904063" w:rsidRPr="00892DE3" w:rsidRDefault="00904063" w:rsidP="00904063">
            <w:r w:rsidRPr="00892DE3">
              <w:t>When an entity decides to change the plan to sell such that the non-current assets (or disposal group) no longer meet the criteria of held for sale, the non-current asset (or disposal group) shall cease to be classified as held for sale.</w:t>
            </w:r>
          </w:p>
          <w:p w:rsidR="00904063" w:rsidRPr="00892DE3" w:rsidRDefault="00904063" w:rsidP="00904063">
            <w:r w:rsidRPr="00892DE3">
              <w:t xml:space="preserve">In the period where the non-financial physical assets (or disposal group) cease to be classified as held for sale, an entity shall disclose a description of the facts and circumstances leading to the decision and the effect of the decision on the results of operations for the period and any prior periods presented. </w:t>
            </w:r>
            <w:r w:rsidRPr="00892DE3">
              <w:rPr>
                <w:rStyle w:val="SourceReference"/>
              </w:rPr>
              <w:t>[AASB 5.42]</w:t>
            </w:r>
          </w:p>
          <w:p w:rsidR="00904063" w:rsidRPr="00892DE3" w:rsidRDefault="00904063" w:rsidP="00904063">
            <w:r w:rsidRPr="00892DE3">
              <w:t>In addition, where there is a tax implication related to a discontinued operation, the entity should disclose the tax expense relating to:</w:t>
            </w:r>
          </w:p>
          <w:p w:rsidR="00904063" w:rsidRPr="00892DE3" w:rsidRDefault="00904063" w:rsidP="00904063">
            <w:pPr>
              <w:pStyle w:val="ListBullet"/>
            </w:pPr>
            <w:r w:rsidRPr="00892DE3">
              <w:t>the gain or loss on discontinuance; and</w:t>
            </w:r>
          </w:p>
          <w:p w:rsidR="00904063" w:rsidRPr="00892DE3" w:rsidRDefault="00904063" w:rsidP="007D23E7">
            <w:pPr>
              <w:pStyle w:val="ListBullet"/>
            </w:pPr>
            <w:r w:rsidRPr="00892DE3">
              <w:t xml:space="preserve">the net result from the ordinary activities of the discontinued operation for the period together with the corresponding amounts for each prior period presented. </w:t>
            </w:r>
            <w:r w:rsidRPr="00892DE3">
              <w:rPr>
                <w:rStyle w:val="SourceReference"/>
              </w:rPr>
              <w:t>[AASB 112.81(h)]</w:t>
            </w:r>
          </w:p>
        </w:tc>
      </w:tr>
    </w:tbl>
    <w:p w:rsidR="007D23E7" w:rsidRDefault="007D23E7"/>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904063">
            <w:pPr>
              <w:pageBreakBefore/>
            </w:pPr>
            <w:r w:rsidRPr="00892DE3">
              <w:t xml:space="preserve">Guidance – Discontinued Operations and non-current assets held for sale </w:t>
            </w:r>
            <w:r w:rsidRPr="00C33142">
              <w:rPr>
                <w:i/>
              </w:rPr>
              <w:t>(continued)</w:t>
            </w:r>
          </w:p>
        </w:tc>
      </w:tr>
      <w:tr w:rsidR="00600C1B" w:rsidRPr="00892DE3" w:rsidTr="00DB5273">
        <w:tc>
          <w:tcPr>
            <w:tcW w:w="9752" w:type="dxa"/>
          </w:tcPr>
          <w:p w:rsidR="007D23E7" w:rsidRPr="00892DE3" w:rsidRDefault="007D23E7" w:rsidP="007D23E7">
            <w:pPr>
              <w:pStyle w:val="Heading30"/>
              <w:outlineLvl w:val="2"/>
              <w:rPr>
                <w:rStyle w:val="SourceReference"/>
              </w:rPr>
            </w:pPr>
            <w:r w:rsidRPr="00892DE3">
              <w:t>Administered activity classified as held for sale</w:t>
            </w:r>
          </w:p>
          <w:p w:rsidR="007D23E7" w:rsidRDefault="007D23E7" w:rsidP="007D23E7">
            <w:r w:rsidRPr="00892DE3">
              <w:t>Assets classified as non</w:t>
            </w:r>
            <w:r w:rsidRPr="00892DE3">
              <w:noBreakHyphen/>
              <w:t>current in accordance with AASB 101 shall not be reclassified as current assets until they meet the criteria to be classified as held for sale in accordance with this standard. Assets of a class that an entity would normally regard as non</w:t>
            </w:r>
            <w:r w:rsidRPr="00892DE3">
              <w:noBreakHyphen/>
              <w:t>current that are acquired exclusively with a view to resell shall not be classified as current unless they meet the criteria to be classified as held for sale in accordance with this standard.</w:t>
            </w:r>
          </w:p>
          <w:p w:rsidR="00600C1B" w:rsidRPr="00892DE3" w:rsidRDefault="00600C1B" w:rsidP="007D23E7">
            <w:r w:rsidRPr="00892DE3">
              <w:t>As with discontinued operations, machinery of government changes do not meet the definition of non</w:t>
            </w:r>
            <w:r w:rsidRPr="00892DE3">
              <w:noBreakHyphen/>
              <w:t xml:space="preserve">current assets and disposal group assets held for sale. Therefore, AASB 5 </w:t>
            </w:r>
            <w:r w:rsidRPr="00892DE3">
              <w:rPr>
                <w:i/>
              </w:rPr>
              <w:t>Non</w:t>
            </w:r>
            <w:r w:rsidRPr="00892DE3">
              <w:rPr>
                <w:i/>
              </w:rPr>
              <w:noBreakHyphen/>
              <w:t>current Assets Held for Sale and Discontinued Operations</w:t>
            </w:r>
            <w:r w:rsidRPr="00892DE3">
              <w:t xml:space="preserve"> requirements do not apply to such administrative changes.</w:t>
            </w:r>
          </w:p>
          <w:p w:rsidR="00600C1B" w:rsidRPr="00892DE3" w:rsidRDefault="00600C1B" w:rsidP="00DB5273">
            <w:r w:rsidRPr="00892DE3">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rsidR="00600C1B" w:rsidRPr="00892DE3" w:rsidRDefault="00600C1B" w:rsidP="007D23E7">
            <w:pPr>
              <w:pStyle w:val="Heading30"/>
              <w:outlineLvl w:val="2"/>
            </w:pPr>
            <w:r w:rsidRPr="00892DE3">
              <w:t>Classification of non</w:t>
            </w:r>
            <w:r w:rsidRPr="00892DE3">
              <w:noBreakHyphen/>
              <w:t>financial physical asset as held for sale</w:t>
            </w:r>
          </w:p>
          <w:p w:rsidR="00600C1B" w:rsidRPr="00892DE3" w:rsidRDefault="00600C1B" w:rsidP="00DB5273">
            <w:r w:rsidRPr="00892DE3">
              <w:t>An entity shall classify a non</w:t>
            </w:r>
            <w:r w:rsidRPr="00892DE3">
              <w:noBreakHyphen/>
              <w:t>financial physical asset (or disposal group) as held for sale if its carrying amount will be recovered principally through a sale transaction rather than through continuing use. For this to be the case, the asset (or disposal group) must be available for immediate sale in its present condition subject only to terms that are usual and customary for sales of such assets (or disposal groups) and its sale must be highly probable.</w:t>
            </w:r>
            <w:r w:rsidR="0094531C" w:rsidRPr="00892DE3">
              <w:t xml:space="preserve"> Please refer to Appendix 11 </w:t>
            </w:r>
            <w:r w:rsidR="0094531C" w:rsidRPr="00892DE3">
              <w:rPr>
                <w:i/>
              </w:rPr>
              <w:t>When to account for surplus assets as ‘held for sale’</w:t>
            </w:r>
            <w:r w:rsidR="0094531C" w:rsidRPr="00892DE3">
              <w:t xml:space="preserve"> for more information. </w:t>
            </w:r>
          </w:p>
          <w:p w:rsidR="00600C1B" w:rsidRPr="00892DE3" w:rsidRDefault="00600C1B" w:rsidP="007D23E7">
            <w:pPr>
              <w:pStyle w:val="Heading30"/>
              <w:outlineLvl w:val="2"/>
            </w:pPr>
            <w:r w:rsidRPr="00892DE3">
              <w:t>Fair value measurement for non</w:t>
            </w:r>
            <w:r w:rsidRPr="00892DE3">
              <w:noBreakHyphen/>
              <w:t>financial physical assets classified as held for sale</w:t>
            </w:r>
          </w:p>
          <w:p w:rsidR="00600C1B" w:rsidRPr="00892DE3" w:rsidRDefault="00600C1B" w:rsidP="00DB5273">
            <w:r w:rsidRPr="00892DE3">
              <w:t>AASB 5 clarifies that disclosure requirements in other standards do not apply to non</w:t>
            </w:r>
            <w:r w:rsidRPr="00892DE3">
              <w:noBreakHyphen/>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w:t>
            </w:r>
            <w:r w:rsidRPr="00892DE3">
              <w:noBreakHyphen/>
              <w:t>for</w:t>
            </w:r>
            <w:r w:rsidRPr="00892DE3">
              <w:noBreakHyphen/>
              <w:t>sale equity instrument is a financial instrument as defined in AASB 139 and is, therefore, scoped out of the measurement requirements of AASB 5.</w:t>
            </w:r>
          </w:p>
          <w:p w:rsidR="00600C1B" w:rsidRPr="00892DE3" w:rsidRDefault="00600C1B" w:rsidP="00DB5273">
            <w:r w:rsidRPr="00892DE3">
              <w:t>While the assets of discontinuing operations are fair valued on a non</w:t>
            </w:r>
            <w:r w:rsidRPr="00892DE3">
              <w:noBreakHyphen/>
              <w:t>recurring basis under AASB 13.93(a), fair value measurements of available</w:t>
            </w:r>
            <w:r w:rsidRPr="00892DE3">
              <w:noBreakHyphen/>
              <w:t>for</w:t>
            </w:r>
            <w:r w:rsidRPr="00892DE3">
              <w:noBreakHyphen/>
              <w:t xml:space="preserve">sale investments of the discontinuing operations are recurring since valuations are required at the end of each reporting period. As the illustrative example in Note 8.3 categories ‘investments and other financial assets’ as Level 2 assets, reconciliation required for recurring Level 3 assets or liabilities is not illustrated in the Model. Refer to Note 8.3 for illustration on reconciliation of recurring Level 3 assets. </w:t>
            </w:r>
          </w:p>
        </w:tc>
      </w:tr>
    </w:tbl>
    <w:p w:rsidR="00600C1B" w:rsidRPr="00892DE3" w:rsidRDefault="00600C1B" w:rsidP="007D23E7">
      <w:pPr>
        <w:pStyle w:val="Heading2"/>
        <w:spacing w:before="180"/>
      </w:pPr>
      <w:bookmarkStart w:id="169" w:name="_Toc477432301"/>
      <w:bookmarkStart w:id="170" w:name="_Toc478729315"/>
      <w:bookmarkStart w:id="171" w:name="_Toc479085166"/>
      <w:r w:rsidRPr="00892DE3">
        <w:t>Reserves</w:t>
      </w:r>
      <w:bookmarkEnd w:id="169"/>
      <w:bookmarkEnd w:id="170"/>
      <w:bookmarkEnd w:id="171"/>
    </w:p>
    <w:p w:rsidR="00600C1B" w:rsidRPr="00892DE3" w:rsidRDefault="00600C1B" w:rsidP="00600C1B">
      <w:pPr>
        <w:pStyle w:val="TableUnits"/>
      </w:pPr>
      <w:r w:rsidRPr="00892DE3">
        <w:t>($ thousand)</w:t>
      </w:r>
    </w:p>
    <w:tbl>
      <w:tblPr>
        <w:tblStyle w:val="ModelReportFinancialTable"/>
        <w:tblW w:w="9639" w:type="dxa"/>
        <w:tblLayout w:type="fixed"/>
        <w:tblLook w:val="06A0" w:firstRow="1" w:lastRow="0" w:firstColumn="1" w:lastColumn="0" w:noHBand="1" w:noVBand="1"/>
      </w:tblPr>
      <w:tblGrid>
        <w:gridCol w:w="1242"/>
        <w:gridCol w:w="6482"/>
        <w:gridCol w:w="935"/>
        <w:gridCol w:w="980"/>
      </w:tblGrid>
      <w:tr w:rsidR="00600C1B" w:rsidRPr="00892DE3" w:rsidTr="007D23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2" w:type="dxa"/>
            <w:tcBorders>
              <w:bottom w:val="nil"/>
            </w:tcBorders>
            <w:shd w:val="clear" w:color="auto" w:fill="auto"/>
          </w:tcPr>
          <w:p w:rsidR="00600C1B" w:rsidRPr="00892DE3" w:rsidRDefault="00600C1B" w:rsidP="007D23E7">
            <w:r w:rsidRPr="00892DE3">
              <w:t>Source reference</w:t>
            </w:r>
          </w:p>
        </w:tc>
        <w:tc>
          <w:tcPr>
            <w:tcW w:w="6482" w:type="dxa"/>
          </w:tcPr>
          <w:p w:rsidR="00600C1B" w:rsidRPr="00892DE3" w:rsidRDefault="00600C1B" w:rsidP="007D23E7">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35" w:type="dxa"/>
            <w:tcBorders>
              <w:bottom w:val="nil"/>
            </w:tcBorders>
            <w:noWrap/>
          </w:tcPr>
          <w:p w:rsidR="00600C1B" w:rsidRPr="00892DE3" w:rsidRDefault="00600C1B" w:rsidP="007D23E7">
            <w:pPr>
              <w:cnfStyle w:val="100000000000" w:firstRow="1" w:lastRow="0" w:firstColumn="0" w:lastColumn="0" w:oddVBand="0" w:evenVBand="0" w:oddHBand="0" w:evenHBand="0" w:firstRowFirstColumn="0" w:firstRowLastColumn="0" w:lastRowFirstColumn="0" w:lastRowLastColumn="0"/>
            </w:pPr>
            <w:r w:rsidRPr="00892DE3">
              <w:t>2017</w:t>
            </w:r>
          </w:p>
        </w:tc>
        <w:tc>
          <w:tcPr>
            <w:tcW w:w="980" w:type="dxa"/>
            <w:noWrap/>
          </w:tcPr>
          <w:p w:rsidR="00600C1B" w:rsidRPr="00892DE3" w:rsidRDefault="00600C1B" w:rsidP="007D23E7">
            <w:pPr>
              <w:cnfStyle w:val="100000000000" w:firstRow="1" w:lastRow="0" w:firstColumn="0" w:lastColumn="0" w:oddVBand="0" w:evenVBand="0" w:oddHBand="0" w:evenHBand="0" w:firstRowFirstColumn="0" w:firstRowLastColumn="0" w:lastRowFirstColumn="0" w:lastRowLastColumn="0"/>
            </w:pPr>
            <w:r w:rsidRPr="00892DE3">
              <w:t>2016</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r w:rsidRPr="00892DE3">
              <w:t>AASB 101.106(d)</w:t>
            </w:r>
          </w:p>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Physical asset revaluation surplus </w:t>
            </w:r>
            <w:r w:rsidRPr="00892DE3">
              <w:rPr>
                <w:b/>
                <w:vertAlign w:val="superscript"/>
              </w:rPr>
              <w:t>(a)</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Balance at beginning of financial year</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3 759</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2 626</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r w:rsidRPr="00892DE3">
              <w:t>AASB 136.126(c)</w:t>
            </w:r>
          </w:p>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Revaluation increments/(decrements)</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7 903</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2 989</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r w:rsidRPr="00892DE3">
              <w:t>AASB 136.126(d)</w:t>
            </w:r>
          </w:p>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Impairment losses</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(500)</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(164)</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Reversals of impairment losses</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Transfers to accumulated surplus</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(637)</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(1 822)</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Share of increments in revaluation surplus attributable to joint ventures</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Share of increments in revaluation surplus attributable to associates</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 xml:space="preserve"> 210</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 xml:space="preserve"> 130</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Borders>
              <w:bottom w:val="single" w:sz="6" w:space="0" w:color="auto"/>
            </w:tcBorders>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Disposal or transferred out</w:t>
            </w:r>
          </w:p>
        </w:tc>
        <w:tc>
          <w:tcPr>
            <w:tcW w:w="935" w:type="dxa"/>
            <w:tcBorders>
              <w:bottom w:val="single" w:sz="6" w:space="0" w:color="auto"/>
            </w:tcBorders>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(3 396)</w:t>
            </w:r>
          </w:p>
        </w:tc>
        <w:tc>
          <w:tcPr>
            <w:tcW w:w="980" w:type="dxa"/>
            <w:tcBorders>
              <w:bottom w:val="single" w:sz="6" w:space="0" w:color="auto"/>
            </w:tcBorders>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Borders>
              <w:top w:val="single" w:sz="6" w:space="0" w:color="auto"/>
              <w:bottom w:val="single" w:sz="6" w:space="0" w:color="auto"/>
            </w:tcBorders>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end of financial year</w:t>
            </w:r>
          </w:p>
        </w:tc>
        <w:tc>
          <w:tcPr>
            <w:tcW w:w="935" w:type="dxa"/>
            <w:tcBorders>
              <w:top w:val="single" w:sz="6" w:space="0" w:color="auto"/>
              <w:bottom w:val="single" w:sz="6" w:space="0" w:color="auto"/>
            </w:tcBorders>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rPr>
                <w:b/>
              </w:rPr>
            </w:pPr>
            <w:r w:rsidRPr="00892DE3">
              <w:rPr>
                <w:b/>
              </w:rPr>
              <w:t>7 338</w:t>
            </w:r>
          </w:p>
        </w:tc>
        <w:tc>
          <w:tcPr>
            <w:tcW w:w="980" w:type="dxa"/>
            <w:tcBorders>
              <w:top w:val="single" w:sz="6" w:space="0" w:color="auto"/>
              <w:bottom w:val="single" w:sz="6" w:space="0" w:color="auto"/>
            </w:tcBorders>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rPr>
                <w:b/>
              </w:rPr>
            </w:pPr>
            <w:r w:rsidRPr="00892DE3">
              <w:rPr>
                <w:b/>
              </w:rPr>
              <w:t>3 759</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r w:rsidRPr="00892DE3">
              <w:t>AASB 101.106(d)</w:t>
            </w:r>
          </w:p>
        </w:tc>
        <w:tc>
          <w:tcPr>
            <w:tcW w:w="6482" w:type="dxa"/>
            <w:tcBorders>
              <w:top w:val="single" w:sz="6" w:space="0" w:color="auto"/>
            </w:tcBorders>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rPr>
                <w:b/>
              </w:rPr>
            </w:pPr>
            <w:r w:rsidRPr="00892DE3">
              <w:rPr>
                <w:b/>
              </w:rPr>
              <w:t>Financial assets available</w:t>
            </w:r>
            <w:r w:rsidRPr="00892DE3">
              <w:rPr>
                <w:b/>
              </w:rPr>
              <w:noBreakHyphen/>
              <w:t>for</w:t>
            </w:r>
            <w:r w:rsidRPr="00892DE3">
              <w:rPr>
                <w:b/>
              </w:rPr>
              <w:noBreakHyphen/>
              <w:t xml:space="preserve">sale revaluation surplus </w:t>
            </w:r>
            <w:r w:rsidRPr="00892DE3">
              <w:rPr>
                <w:b/>
                <w:vertAlign w:val="superscript"/>
              </w:rPr>
              <w:t>(b)</w:t>
            </w:r>
          </w:p>
        </w:tc>
        <w:tc>
          <w:tcPr>
            <w:tcW w:w="935" w:type="dxa"/>
            <w:tcBorders>
              <w:top w:val="single" w:sz="6" w:space="0" w:color="auto"/>
            </w:tcBorders>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80" w:type="dxa"/>
            <w:tcBorders>
              <w:top w:val="single" w:sz="6" w:space="0" w:color="auto"/>
            </w:tcBorders>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Balance at beginning of financial year</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1 723</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 xml:space="preserve"> 577</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r w:rsidRPr="00892DE3">
              <w:t>AASB 7.20(a)(ii)</w:t>
            </w:r>
          </w:p>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Valuation gain/(loss) recognised</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(1 250)</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 xml:space="preserve"> 996</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r w:rsidRPr="00892DE3">
              <w:t>AASB 7.20(a)(ii)</w:t>
            </w:r>
          </w:p>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Cumulative gain/(loss) transferred to net result on impairment of financial assets</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Share of increments in revaluation surplus attributable to joint ventures</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Share of increments in revaluation surplus attributable to associates</w:t>
            </w:r>
          </w:p>
        </w:tc>
        <w:tc>
          <w:tcPr>
            <w:tcW w:w="935" w:type="dxa"/>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 xml:space="preserve"> 50</w:t>
            </w:r>
          </w:p>
        </w:tc>
        <w:tc>
          <w:tcPr>
            <w:tcW w:w="980" w:type="dxa"/>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 xml:space="preserve"> 150</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Borders>
              <w:bottom w:val="single" w:sz="6" w:space="0" w:color="auto"/>
            </w:tcBorders>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pPr>
            <w:r w:rsidRPr="00892DE3">
              <w:t>Disposal or transferred out</w:t>
            </w:r>
          </w:p>
        </w:tc>
        <w:tc>
          <w:tcPr>
            <w:tcW w:w="935" w:type="dxa"/>
            <w:tcBorders>
              <w:bottom w:val="single" w:sz="6" w:space="0" w:color="auto"/>
            </w:tcBorders>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(323)</w:t>
            </w:r>
          </w:p>
        </w:tc>
        <w:tc>
          <w:tcPr>
            <w:tcW w:w="980" w:type="dxa"/>
            <w:tcBorders>
              <w:bottom w:val="single" w:sz="6" w:space="0" w:color="auto"/>
            </w:tcBorders>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pPr>
            <w:r w:rsidRPr="00892DE3">
              <w:t>..</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Borders>
              <w:top w:val="single" w:sz="6" w:space="0" w:color="auto"/>
              <w:bottom w:val="single" w:sz="6" w:space="0" w:color="auto"/>
            </w:tcBorders>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end of financial year</w:t>
            </w:r>
          </w:p>
        </w:tc>
        <w:tc>
          <w:tcPr>
            <w:tcW w:w="935" w:type="dxa"/>
            <w:tcBorders>
              <w:top w:val="single" w:sz="6" w:space="0" w:color="auto"/>
              <w:bottom w:val="single" w:sz="6" w:space="0" w:color="auto"/>
            </w:tcBorders>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200</w:t>
            </w:r>
          </w:p>
        </w:tc>
        <w:tc>
          <w:tcPr>
            <w:tcW w:w="980" w:type="dxa"/>
            <w:tcBorders>
              <w:top w:val="single" w:sz="6" w:space="0" w:color="auto"/>
              <w:bottom w:val="single" w:sz="6" w:space="0" w:color="auto"/>
            </w:tcBorders>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rPr>
                <w:b/>
              </w:rPr>
            </w:pPr>
            <w:r w:rsidRPr="00892DE3">
              <w:rPr>
                <w:b/>
              </w:rPr>
              <w:t>1 723</w:t>
            </w:r>
          </w:p>
        </w:tc>
      </w:tr>
      <w:tr w:rsidR="00600C1B" w:rsidRPr="00892DE3" w:rsidTr="007D23E7">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600C1B" w:rsidRPr="00892DE3" w:rsidRDefault="00600C1B" w:rsidP="007D23E7"/>
        </w:tc>
        <w:tc>
          <w:tcPr>
            <w:tcW w:w="6482" w:type="dxa"/>
            <w:tcBorders>
              <w:top w:val="single" w:sz="6" w:space="0" w:color="auto"/>
              <w:bottom w:val="single" w:sz="12" w:space="0" w:color="auto"/>
            </w:tcBorders>
          </w:tcPr>
          <w:p w:rsidR="00600C1B" w:rsidRPr="00892DE3" w:rsidRDefault="00600C1B" w:rsidP="007D23E7">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changes in reserves</w:t>
            </w:r>
          </w:p>
        </w:tc>
        <w:tc>
          <w:tcPr>
            <w:tcW w:w="935" w:type="dxa"/>
            <w:tcBorders>
              <w:top w:val="single" w:sz="6" w:space="0" w:color="auto"/>
              <w:bottom w:val="single" w:sz="12" w:space="0" w:color="auto"/>
            </w:tcBorders>
            <w:shd w:val="clear" w:color="auto" w:fill="EBEBEB"/>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rPr>
                <w:b/>
              </w:rPr>
            </w:pPr>
            <w:r w:rsidRPr="00892DE3">
              <w:rPr>
                <w:b/>
              </w:rPr>
              <w:t>7 538</w:t>
            </w:r>
          </w:p>
        </w:tc>
        <w:tc>
          <w:tcPr>
            <w:tcW w:w="980" w:type="dxa"/>
            <w:tcBorders>
              <w:top w:val="single" w:sz="6" w:space="0" w:color="auto"/>
              <w:bottom w:val="single" w:sz="12" w:space="0" w:color="auto"/>
            </w:tcBorders>
            <w:noWrap/>
          </w:tcPr>
          <w:p w:rsidR="00600C1B" w:rsidRPr="00892DE3" w:rsidRDefault="00600C1B" w:rsidP="007D23E7">
            <w:pPr>
              <w:cnfStyle w:val="000000000000" w:firstRow="0" w:lastRow="0" w:firstColumn="0" w:lastColumn="0" w:oddVBand="0" w:evenVBand="0" w:oddHBand="0" w:evenHBand="0" w:firstRowFirstColumn="0" w:firstRowLastColumn="0" w:lastRowFirstColumn="0" w:lastRowLastColumn="0"/>
              <w:rPr>
                <w:b/>
              </w:rPr>
            </w:pPr>
            <w:r w:rsidRPr="00892DE3">
              <w:rPr>
                <w:b/>
              </w:rPr>
              <w:t>5 482</w:t>
            </w:r>
          </w:p>
        </w:tc>
      </w:tr>
    </w:tbl>
    <w:p w:rsidR="00600C1B" w:rsidRPr="00892DE3" w:rsidRDefault="00600C1B" w:rsidP="00600C1B">
      <w:pPr>
        <w:pStyle w:val="Note"/>
      </w:pPr>
      <w:r w:rsidRPr="00892DE3">
        <w:t>Notes:</w:t>
      </w:r>
    </w:p>
    <w:p w:rsidR="00600C1B" w:rsidRPr="00892DE3" w:rsidRDefault="00600C1B" w:rsidP="00600C1B">
      <w:pPr>
        <w:pStyle w:val="Note"/>
      </w:pPr>
      <w:r w:rsidRPr="00892DE3">
        <w:t>(a)</w:t>
      </w:r>
      <w:r w:rsidRPr="00892DE3">
        <w:tab/>
        <w:t xml:space="preserve">The physical assets revaluation surplus arises on the revaluation of infrastructure, land and buildings. </w:t>
      </w:r>
      <w:r w:rsidRPr="00892DE3">
        <w:rPr>
          <w:rStyle w:val="SourceReference"/>
        </w:rPr>
        <w:t>[AASB 101.79(B)]</w:t>
      </w:r>
    </w:p>
    <w:p w:rsidR="00600C1B" w:rsidRPr="00892DE3" w:rsidRDefault="00600C1B" w:rsidP="00600C1B">
      <w:pPr>
        <w:pStyle w:val="Note"/>
      </w:pPr>
      <w:r w:rsidRPr="00892DE3">
        <w:t>(b)</w:t>
      </w:r>
      <w:r w:rsidRPr="00892DE3">
        <w:tab/>
        <w:t xml:space="preserve">The financial assets available-for-sale revaluation surplus arises on the revaluation of available-for-sale financial assets. Where a revalued financial asset is sold, a portion of the revaluation surplus which relates to that financial asset is effectively realised, and is recognised in the net result. Where a revalued financial asset is impaired, that portion of the revaluation surplus which relates to that financial asset is recognised in the net result. </w:t>
      </w:r>
      <w:r w:rsidRPr="00892DE3">
        <w:rPr>
          <w:rStyle w:val="SourceReference"/>
        </w:rPr>
        <w:t>[AASB 101.79(B)]</w:t>
      </w:r>
    </w:p>
    <w:p w:rsidR="00600C1B" w:rsidRPr="00892DE3" w:rsidRDefault="00600C1B" w:rsidP="007D23E7"/>
    <w:tbl>
      <w:tblPr>
        <w:tblStyle w:val="ModelReportGuidanceTable"/>
        <w:tblW w:w="0" w:type="auto"/>
        <w:tblLook w:val="04A0" w:firstRow="1" w:lastRow="0" w:firstColumn="1" w:lastColumn="0" w:noHBand="0" w:noVBand="1"/>
      </w:tblPr>
      <w:tblGrid>
        <w:gridCol w:w="9724"/>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24" w:type="dxa"/>
          </w:tcPr>
          <w:p w:rsidR="00600C1B" w:rsidRPr="00892DE3" w:rsidRDefault="00600C1B" w:rsidP="00904063">
            <w:pPr>
              <w:pageBreakBefore/>
            </w:pPr>
            <w:r w:rsidRPr="00892DE3">
              <w:t>Guidance – Reserves</w:t>
            </w:r>
          </w:p>
        </w:tc>
      </w:tr>
      <w:tr w:rsidR="00600C1B" w:rsidRPr="00892DE3" w:rsidTr="00DB5273">
        <w:tc>
          <w:tcPr>
            <w:tcW w:w="9724" w:type="dxa"/>
          </w:tcPr>
          <w:p w:rsidR="00600C1B" w:rsidRPr="00892DE3" w:rsidRDefault="00600C1B" w:rsidP="00DB5273">
            <w:r w:rsidRPr="00892DE3">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rsidR="00600C1B" w:rsidRPr="00892DE3" w:rsidRDefault="00600C1B" w:rsidP="00DB5273">
            <w:r w:rsidRPr="00892DE3">
              <w:t>Please note, in accordance with amending standard AASB 2009 6, the term ‘revaluation reserve’ is now to be referred to as the ‘revaluation surplus’.</w:t>
            </w:r>
          </w:p>
          <w:p w:rsidR="00600C1B" w:rsidRPr="00892DE3" w:rsidRDefault="00600C1B" w:rsidP="00DB5273">
            <w:pPr>
              <w:rPr>
                <w:rStyle w:val="SourceReference"/>
              </w:rPr>
            </w:pPr>
            <w:r w:rsidRPr="00892DE3">
              <w:t xml:space="preserve">The Model does not include a description of the nature of ‘other reserves’ as the reason for creating it will be rare and specific to each department. Therefore, if used, agencies are required to provide a description of the nature and purpose of the ‘other reserves’. </w:t>
            </w:r>
            <w:r w:rsidRPr="00892DE3">
              <w:rPr>
                <w:rStyle w:val="SourceReference"/>
              </w:rPr>
              <w:t>[AASB 101.79(b)]</w:t>
            </w:r>
          </w:p>
          <w:p w:rsidR="00600C1B" w:rsidRPr="00892DE3" w:rsidRDefault="00600C1B" w:rsidP="00DB5273">
            <w:pPr>
              <w:rPr>
                <w:b/>
              </w:rPr>
            </w:pPr>
            <w:r w:rsidRPr="00892DE3">
              <w:rPr>
                <w:b/>
              </w:rPr>
              <w:t>Amounts recognised in other comprehensive income relating to non-current assets classified as held for sale</w:t>
            </w:r>
          </w:p>
          <w:p w:rsidR="00600C1B" w:rsidRPr="00892DE3" w:rsidRDefault="00600C1B" w:rsidP="00DB5273">
            <w:r w:rsidRPr="00892DE3">
              <w:t xml:space="preserve">An entity shall present separately any cumulative income or expense recognised in other comprehensive income relating to a non-current asset (or disposal group) classified as held for sale. </w:t>
            </w:r>
            <w:r w:rsidRPr="00892DE3">
              <w:rPr>
                <w:rStyle w:val="SourceReference"/>
              </w:rPr>
              <w:t>[AASB 5.38]</w:t>
            </w:r>
          </w:p>
          <w:p w:rsidR="00600C1B" w:rsidRPr="00892DE3" w:rsidRDefault="00600C1B" w:rsidP="00DB5273">
            <w:pPr>
              <w:rPr>
                <w:b/>
              </w:rPr>
            </w:pPr>
            <w:r w:rsidRPr="00892DE3">
              <w:rPr>
                <w:b/>
              </w:rPr>
              <w:t>Dividends</w:t>
            </w:r>
          </w:p>
          <w:p w:rsidR="00600C1B" w:rsidRPr="00892DE3" w:rsidRDefault="00600C1B" w:rsidP="00DB5273">
            <w:r w:rsidRPr="00892DE3">
              <w:t>An entity must disclose, in the notes only, any amount of dividends proposed or declared before the financial statements are authorised for issue but not recognised as a distribution during the period.</w:t>
            </w:r>
          </w:p>
        </w:tc>
      </w:tr>
    </w:tbl>
    <w:p w:rsidR="00600C1B" w:rsidRPr="00892DE3" w:rsidRDefault="00600C1B" w:rsidP="00600C1B">
      <w:pPr>
        <w:pStyle w:val="Heading2"/>
      </w:pPr>
      <w:bookmarkStart w:id="172" w:name="_Toc477432306"/>
      <w:bookmarkStart w:id="173" w:name="_Toc478729316"/>
      <w:bookmarkStart w:id="174" w:name="_Toc479085167"/>
      <w:r w:rsidRPr="00892DE3">
        <w:t>Entities consolidated pursuant to section 53(1)(b) of the FMA</w:t>
      </w:r>
      <w:bookmarkEnd w:id="172"/>
      <w:r w:rsidRPr="00892DE3">
        <w:t xml:space="preserve"> </w:t>
      </w:r>
      <w:r w:rsidRPr="00892DE3">
        <w:rPr>
          <w:color w:val="C00000"/>
          <w:sz w:val="16"/>
        </w:rPr>
        <w:t>[New]</w:t>
      </w:r>
      <w:bookmarkEnd w:id="173"/>
      <w:bookmarkEnd w:id="174"/>
    </w:p>
    <w:p w:rsidR="00600C1B" w:rsidRPr="00892DE3" w:rsidRDefault="00600C1B" w:rsidP="00600C1B">
      <w:r w:rsidRPr="00892DE3">
        <w:t xml:space="preserve">The following three entities have been consolidated into the department’s financial statements pursuant to a determination made by the Minister for Finance under section 53(1)(b) of the FMA: </w:t>
      </w:r>
    </w:p>
    <w:p w:rsidR="00600C1B" w:rsidRPr="00892DE3" w:rsidRDefault="00600C1B" w:rsidP="00600C1B">
      <w:pPr>
        <w:pStyle w:val="ListBullet"/>
      </w:pPr>
      <w:r w:rsidRPr="00892DE3">
        <w:t xml:space="preserve">Gene Sciences Victoria; </w:t>
      </w:r>
    </w:p>
    <w:p w:rsidR="00600C1B" w:rsidRPr="00892DE3" w:rsidRDefault="00600C1B" w:rsidP="00600C1B">
      <w:pPr>
        <w:pStyle w:val="ListBullet"/>
      </w:pPr>
      <w:r w:rsidRPr="00892DE3">
        <w:t>The Office of the Commissioner of New Technology; and</w:t>
      </w:r>
    </w:p>
    <w:p w:rsidR="00600C1B" w:rsidRPr="00892DE3" w:rsidRDefault="00600C1B" w:rsidP="00600C1B">
      <w:pPr>
        <w:pStyle w:val="ListBullet"/>
      </w:pPr>
      <w:r w:rsidRPr="00892DE3">
        <w:t xml:space="preserve">Innovation Victoria. </w:t>
      </w:r>
    </w:p>
    <w:p w:rsidR="00600C1B" w:rsidRPr="00892DE3" w:rsidRDefault="00600C1B" w:rsidP="00600C1B">
      <w:r w:rsidRPr="00892DE3">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rsidR="00600C1B" w:rsidRPr="00892DE3" w:rsidRDefault="00600C1B" w:rsidP="00600C1B">
      <w:pPr>
        <w:pStyle w:val="TableUnits"/>
      </w:pPr>
      <w:r w:rsidRPr="00892DE3">
        <w:t>($ thousand)</w:t>
      </w:r>
    </w:p>
    <w:tbl>
      <w:tblPr>
        <w:tblStyle w:val="ModelReportFinancialTable"/>
        <w:tblW w:w="9752" w:type="dxa"/>
        <w:tblLayout w:type="fixed"/>
        <w:tblLook w:val="06A0" w:firstRow="1" w:lastRow="0" w:firstColumn="1" w:lastColumn="0" w:noHBand="1" w:noVBand="1"/>
      </w:tblPr>
      <w:tblGrid>
        <w:gridCol w:w="1745"/>
        <w:gridCol w:w="864"/>
        <w:gridCol w:w="850"/>
        <w:gridCol w:w="142"/>
        <w:gridCol w:w="709"/>
        <w:gridCol w:w="850"/>
        <w:gridCol w:w="709"/>
        <w:gridCol w:w="767"/>
        <w:gridCol w:w="713"/>
        <w:gridCol w:w="801"/>
        <w:gridCol w:w="801"/>
        <w:gridCol w:w="801"/>
      </w:tblGrid>
      <w:tr w:rsidR="00600C1B" w:rsidRPr="00892DE3" w:rsidTr="00904063">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745" w:type="dxa"/>
            <w:shd w:val="clear" w:color="auto" w:fill="000000" w:themeFill="text1"/>
          </w:tcPr>
          <w:p w:rsidR="00600C1B" w:rsidRPr="00892DE3" w:rsidRDefault="00600C1B" w:rsidP="00DB5273">
            <w:pPr>
              <w:rPr>
                <w:color w:val="000000" w:themeColor="text1"/>
              </w:rPr>
            </w:pPr>
          </w:p>
        </w:tc>
        <w:tc>
          <w:tcPr>
            <w:tcW w:w="1856" w:type="dxa"/>
            <w:gridSpan w:val="3"/>
          </w:tcPr>
          <w:p w:rsidR="00600C1B" w:rsidRPr="00892DE3" w:rsidRDefault="00600C1B" w:rsidP="007D23E7">
            <w:pPr>
              <w:cnfStyle w:val="100000000000" w:firstRow="1" w:lastRow="0" w:firstColumn="0" w:lastColumn="0" w:oddVBand="0" w:evenVBand="0" w:oddHBand="0" w:evenHBand="0" w:firstRowFirstColumn="0" w:firstRowLastColumn="0" w:lastRowFirstColumn="0" w:lastRowLastColumn="0"/>
            </w:pPr>
            <w:r w:rsidRPr="00892DE3">
              <w:t>Department of Technology (DoT)</w:t>
            </w:r>
          </w:p>
        </w:tc>
        <w:tc>
          <w:tcPr>
            <w:tcW w:w="1559" w:type="dxa"/>
            <w:gridSpan w:val="2"/>
          </w:tcPr>
          <w:p w:rsidR="00600C1B" w:rsidRPr="00892DE3" w:rsidRDefault="00600C1B" w:rsidP="007D23E7">
            <w:pPr>
              <w:cnfStyle w:val="100000000000" w:firstRow="1" w:lastRow="0" w:firstColumn="0" w:lastColumn="0" w:oddVBand="0" w:evenVBand="0" w:oddHBand="0" w:evenHBand="0" w:firstRowFirstColumn="0" w:firstRowLastColumn="0" w:lastRowFirstColumn="0" w:lastRowLastColumn="0"/>
              <w:rPr>
                <w:vertAlign w:val="superscript"/>
              </w:rPr>
            </w:pPr>
            <w:r w:rsidRPr="00892DE3">
              <w:t>Material section 53(1)(b) entity</w:t>
            </w:r>
            <w:r w:rsidR="00904063" w:rsidRPr="00892DE3">
              <w:t xml:space="preserve"> </w:t>
            </w:r>
            <w:r w:rsidRPr="00892DE3">
              <w:rPr>
                <w:vertAlign w:val="superscript"/>
              </w:rPr>
              <w:t>(</w:t>
            </w:r>
            <w:r w:rsidR="00904063" w:rsidRPr="00892DE3">
              <w:rPr>
                <w:vertAlign w:val="superscript"/>
              </w:rPr>
              <w:t>a</w:t>
            </w:r>
            <w:r w:rsidRPr="00892DE3">
              <w:rPr>
                <w:vertAlign w:val="superscript"/>
              </w:rPr>
              <w:t>)</w:t>
            </w:r>
          </w:p>
        </w:tc>
        <w:tc>
          <w:tcPr>
            <w:tcW w:w="1476" w:type="dxa"/>
            <w:gridSpan w:val="2"/>
          </w:tcPr>
          <w:p w:rsidR="00600C1B" w:rsidRPr="00892DE3" w:rsidRDefault="00600C1B" w:rsidP="007D23E7">
            <w:pPr>
              <w:cnfStyle w:val="100000000000" w:firstRow="1" w:lastRow="0" w:firstColumn="0" w:lastColumn="0" w:oddVBand="0" w:evenVBand="0" w:oddHBand="0" w:evenHBand="0" w:firstRowFirstColumn="0" w:firstRowLastColumn="0" w:lastRowFirstColumn="0" w:lastRowLastColumn="0"/>
              <w:rPr>
                <w:vertAlign w:val="superscript"/>
              </w:rPr>
            </w:pPr>
            <w:r w:rsidRPr="00892DE3">
              <w:t>Other section 53(1)(b) entities</w:t>
            </w:r>
            <w:r w:rsidR="00904063" w:rsidRPr="00892DE3">
              <w:t xml:space="preserve"> </w:t>
            </w:r>
            <w:r w:rsidRPr="00892DE3">
              <w:rPr>
                <w:vertAlign w:val="superscript"/>
              </w:rPr>
              <w:t>(</w:t>
            </w:r>
            <w:r w:rsidR="00904063" w:rsidRPr="00892DE3">
              <w:rPr>
                <w:vertAlign w:val="superscript"/>
              </w:rPr>
              <w:t>b</w:t>
            </w:r>
            <w:r w:rsidRPr="00892DE3">
              <w:rPr>
                <w:vertAlign w:val="superscript"/>
              </w:rPr>
              <w:t>)</w:t>
            </w:r>
          </w:p>
        </w:tc>
        <w:tc>
          <w:tcPr>
            <w:tcW w:w="1514" w:type="dxa"/>
            <w:gridSpan w:val="2"/>
          </w:tcPr>
          <w:p w:rsidR="00600C1B" w:rsidRPr="00892DE3" w:rsidRDefault="00600C1B" w:rsidP="007D23E7">
            <w:pPr>
              <w:cnfStyle w:val="100000000000" w:firstRow="1" w:lastRow="0" w:firstColumn="0" w:lastColumn="0" w:oddVBand="0" w:evenVBand="0" w:oddHBand="0" w:evenHBand="0" w:firstRowFirstColumn="0" w:firstRowLastColumn="0" w:lastRowFirstColumn="0" w:lastRowLastColumn="0"/>
            </w:pPr>
            <w:r w:rsidRPr="00892DE3">
              <w:t>Eliminations and adjustments</w:t>
            </w:r>
          </w:p>
        </w:tc>
        <w:tc>
          <w:tcPr>
            <w:tcW w:w="1602" w:type="dxa"/>
            <w:gridSpan w:val="2"/>
            <w:tcBorders>
              <w:bottom w:val="nil"/>
            </w:tcBorders>
            <w:noWrap/>
          </w:tcPr>
          <w:p w:rsidR="00600C1B" w:rsidRPr="00892DE3" w:rsidRDefault="00600C1B" w:rsidP="007D23E7">
            <w:pPr>
              <w:cnfStyle w:val="100000000000" w:firstRow="1" w:lastRow="0" w:firstColumn="0" w:lastColumn="0" w:oddVBand="0" w:evenVBand="0" w:oddHBand="0" w:evenHBand="0" w:firstRowFirstColumn="0" w:firstRowLastColumn="0" w:lastRowFirstColumn="0" w:lastRowLastColumn="0"/>
            </w:pPr>
            <w:r w:rsidRPr="00892DE3">
              <w:t>DoT consolidated group</w:t>
            </w:r>
          </w:p>
        </w:tc>
      </w:tr>
      <w:tr w:rsidR="00D3365F" w:rsidRPr="00892DE3" w:rsidTr="00904063">
        <w:trPr>
          <w:trHeight w:val="260"/>
        </w:trPr>
        <w:tc>
          <w:tcPr>
            <w:cnfStyle w:val="001000000000" w:firstRow="0" w:lastRow="0" w:firstColumn="1" w:lastColumn="0" w:oddVBand="0" w:evenVBand="0" w:oddHBand="0" w:evenHBand="0" w:firstRowFirstColumn="0" w:firstRowLastColumn="0" w:lastRowFirstColumn="0" w:lastRowLastColumn="0"/>
            <w:tcW w:w="1745" w:type="dxa"/>
            <w:shd w:val="clear" w:color="auto" w:fill="000000" w:themeFill="text1"/>
          </w:tcPr>
          <w:p w:rsidR="00600C1B" w:rsidRPr="00892DE3" w:rsidRDefault="00600C1B" w:rsidP="00DB5273">
            <w:pPr>
              <w:rPr>
                <w:color w:val="000000" w:themeColor="text1"/>
              </w:rPr>
            </w:pPr>
            <w:r w:rsidRPr="00892DE3">
              <w:rPr>
                <w:color w:val="000000" w:themeColor="text1"/>
              </w:rPr>
              <w:t xml:space="preserve"> </w:t>
            </w:r>
          </w:p>
        </w:tc>
        <w:tc>
          <w:tcPr>
            <w:tcW w:w="864" w:type="dxa"/>
            <w:shd w:val="clear" w:color="auto" w:fill="000000" w:themeFill="text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i/>
              </w:rPr>
            </w:pPr>
            <w:r w:rsidRPr="00892DE3">
              <w:rPr>
                <w:i/>
              </w:rPr>
              <w:t>2017</w:t>
            </w:r>
          </w:p>
        </w:tc>
        <w:tc>
          <w:tcPr>
            <w:tcW w:w="992" w:type="dxa"/>
            <w:gridSpan w:val="2"/>
            <w:shd w:val="clear" w:color="auto" w:fill="000000" w:themeFill="text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i/>
              </w:rPr>
            </w:pPr>
            <w:r w:rsidRPr="00892DE3">
              <w:rPr>
                <w:i/>
              </w:rPr>
              <w:t>2016</w:t>
            </w:r>
          </w:p>
        </w:tc>
        <w:tc>
          <w:tcPr>
            <w:tcW w:w="709" w:type="dxa"/>
            <w:shd w:val="clear" w:color="auto" w:fill="000000" w:themeFill="text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i/>
              </w:rPr>
            </w:pPr>
            <w:r w:rsidRPr="00892DE3">
              <w:rPr>
                <w:i/>
              </w:rPr>
              <w:t>2017</w:t>
            </w:r>
          </w:p>
        </w:tc>
        <w:tc>
          <w:tcPr>
            <w:tcW w:w="850" w:type="dxa"/>
            <w:shd w:val="clear" w:color="auto" w:fill="000000" w:themeFill="text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i/>
              </w:rPr>
            </w:pPr>
            <w:r w:rsidRPr="00892DE3">
              <w:rPr>
                <w:i/>
              </w:rPr>
              <w:t>2016</w:t>
            </w:r>
          </w:p>
        </w:tc>
        <w:tc>
          <w:tcPr>
            <w:tcW w:w="709" w:type="dxa"/>
            <w:shd w:val="clear" w:color="auto" w:fill="000000" w:themeFill="text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i/>
              </w:rPr>
            </w:pPr>
            <w:r w:rsidRPr="00892DE3">
              <w:rPr>
                <w:i/>
              </w:rPr>
              <w:t>2017</w:t>
            </w:r>
          </w:p>
        </w:tc>
        <w:tc>
          <w:tcPr>
            <w:tcW w:w="767" w:type="dxa"/>
            <w:shd w:val="clear" w:color="auto" w:fill="000000" w:themeFill="text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i/>
              </w:rPr>
            </w:pPr>
            <w:r w:rsidRPr="00892DE3">
              <w:rPr>
                <w:i/>
              </w:rPr>
              <w:t>2016</w:t>
            </w:r>
          </w:p>
        </w:tc>
        <w:tc>
          <w:tcPr>
            <w:tcW w:w="713" w:type="dxa"/>
            <w:shd w:val="clear" w:color="auto" w:fill="000000" w:themeFill="text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i/>
              </w:rPr>
            </w:pPr>
            <w:r w:rsidRPr="00892DE3">
              <w:rPr>
                <w:i/>
              </w:rPr>
              <w:t>2017</w:t>
            </w:r>
          </w:p>
        </w:tc>
        <w:tc>
          <w:tcPr>
            <w:tcW w:w="801" w:type="dxa"/>
            <w:shd w:val="clear" w:color="auto" w:fill="000000" w:themeFill="text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i/>
              </w:rPr>
            </w:pPr>
            <w:r w:rsidRPr="00892DE3">
              <w:rPr>
                <w:i/>
              </w:rPr>
              <w:t>2016</w:t>
            </w:r>
          </w:p>
        </w:tc>
        <w:tc>
          <w:tcPr>
            <w:tcW w:w="801" w:type="dxa"/>
            <w:tcBorders>
              <w:bottom w:val="nil"/>
            </w:tcBorders>
            <w:shd w:val="clear" w:color="auto" w:fill="000000" w:themeFill="text1"/>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i/>
              </w:rPr>
            </w:pPr>
            <w:r w:rsidRPr="00892DE3">
              <w:rPr>
                <w:i/>
              </w:rPr>
              <w:t>2017</w:t>
            </w:r>
          </w:p>
        </w:tc>
        <w:tc>
          <w:tcPr>
            <w:tcW w:w="801" w:type="dxa"/>
            <w:shd w:val="clear" w:color="auto" w:fill="000000" w:themeFill="text1"/>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i/>
              </w:rPr>
            </w:pPr>
            <w:r w:rsidRPr="00892DE3">
              <w:rPr>
                <w:i/>
              </w:rPr>
              <w:t>2016</w:t>
            </w:r>
          </w:p>
        </w:tc>
      </w:tr>
      <w:tr w:rsidR="00600C1B" w:rsidRPr="00892DE3" w:rsidTr="00904063">
        <w:trPr>
          <w:trHeight w:val="260"/>
        </w:trPr>
        <w:tc>
          <w:tcPr>
            <w:cnfStyle w:val="001000000000" w:firstRow="0" w:lastRow="0" w:firstColumn="1" w:lastColumn="0" w:oddVBand="0" w:evenVBand="0" w:oddHBand="0" w:evenHBand="0" w:firstRowFirstColumn="0" w:firstRowLastColumn="0" w:lastRowFirstColumn="0" w:lastRowLastColumn="0"/>
            <w:tcW w:w="1745" w:type="dxa"/>
          </w:tcPr>
          <w:p w:rsidR="00600C1B" w:rsidRPr="00892DE3" w:rsidRDefault="00600C1B" w:rsidP="00DB5273">
            <w:pPr>
              <w:rPr>
                <w:color w:val="000000" w:themeColor="text1"/>
              </w:rPr>
            </w:pPr>
            <w:r w:rsidRPr="00892DE3">
              <w:rPr>
                <w:color w:val="000000" w:themeColor="text1"/>
              </w:rPr>
              <w:t>Total income from transactions</w:t>
            </w:r>
          </w:p>
        </w:tc>
        <w:tc>
          <w:tcPr>
            <w:tcW w:w="864" w:type="dxa"/>
            <w:shd w:val="clear" w:color="auto" w:fill="D9D9D9" w:themeFill="background1" w:themeFillShade="D9"/>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103 068</w:t>
            </w:r>
          </w:p>
        </w:tc>
        <w:tc>
          <w:tcPr>
            <w:tcW w:w="850" w:type="dxa"/>
            <w:shd w:val="clear" w:color="auto" w:fill="FFFFFF" w:themeFill="background1"/>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82 723</w:t>
            </w:r>
          </w:p>
        </w:tc>
        <w:tc>
          <w:tcPr>
            <w:tcW w:w="851" w:type="dxa"/>
            <w:gridSpan w:val="2"/>
            <w:shd w:val="clear" w:color="auto" w:fill="D9D9D9" w:themeFill="background1" w:themeFillShade="D9"/>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50" w:type="dxa"/>
            <w:shd w:val="clear" w:color="auto" w:fill="FFFFFF" w:themeFill="background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709" w:type="dxa"/>
            <w:shd w:val="clear" w:color="auto" w:fill="D9D9D9" w:themeFill="background1" w:themeFillShade="D9"/>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4 406</w:t>
            </w:r>
          </w:p>
        </w:tc>
        <w:tc>
          <w:tcPr>
            <w:tcW w:w="767" w:type="dxa"/>
            <w:shd w:val="clear" w:color="auto" w:fill="FFFFFF" w:themeFill="background1"/>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3 537</w:t>
            </w:r>
          </w:p>
        </w:tc>
        <w:tc>
          <w:tcPr>
            <w:tcW w:w="713" w:type="dxa"/>
            <w:shd w:val="clear" w:color="auto" w:fill="D9D9D9" w:themeFill="background1" w:themeFillShade="D9"/>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FFFFFF" w:themeFill="background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D9D9D9" w:themeFill="background1" w:themeFillShade="D9"/>
            <w:noWrap/>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107 474</w:t>
            </w:r>
          </w:p>
        </w:tc>
        <w:tc>
          <w:tcPr>
            <w:tcW w:w="801" w:type="dxa"/>
            <w:shd w:val="clear" w:color="auto" w:fill="FFFFFF" w:themeFill="background1"/>
            <w:noWrap/>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86 260</w:t>
            </w:r>
          </w:p>
        </w:tc>
      </w:tr>
      <w:tr w:rsidR="00600C1B" w:rsidRPr="00892DE3" w:rsidTr="00904063">
        <w:trPr>
          <w:trHeight w:val="260"/>
        </w:trPr>
        <w:tc>
          <w:tcPr>
            <w:cnfStyle w:val="001000000000" w:firstRow="0" w:lastRow="0" w:firstColumn="1" w:lastColumn="0" w:oddVBand="0" w:evenVBand="0" w:oddHBand="0" w:evenHBand="0" w:firstRowFirstColumn="0" w:firstRowLastColumn="0" w:lastRowFirstColumn="0" w:lastRowLastColumn="0"/>
            <w:tcW w:w="1745" w:type="dxa"/>
          </w:tcPr>
          <w:p w:rsidR="00600C1B" w:rsidRPr="00892DE3" w:rsidRDefault="00600C1B" w:rsidP="00DB5273">
            <w:pPr>
              <w:rPr>
                <w:color w:val="000000" w:themeColor="text1"/>
              </w:rPr>
            </w:pPr>
            <w:r w:rsidRPr="00892DE3">
              <w:rPr>
                <w:color w:val="000000" w:themeColor="text1"/>
              </w:rPr>
              <w:t>Net result from transactions</w:t>
            </w:r>
          </w:p>
        </w:tc>
        <w:tc>
          <w:tcPr>
            <w:tcW w:w="864" w:type="dxa"/>
            <w:shd w:val="clear" w:color="auto" w:fill="D9D9D9" w:themeFill="background1" w:themeFillShade="D9"/>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25 342</w:t>
            </w:r>
          </w:p>
        </w:tc>
        <w:tc>
          <w:tcPr>
            <w:tcW w:w="850" w:type="dxa"/>
            <w:shd w:val="clear" w:color="auto" w:fill="FFFFFF" w:themeFill="background1"/>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8 132</w:t>
            </w:r>
          </w:p>
        </w:tc>
        <w:tc>
          <w:tcPr>
            <w:tcW w:w="851" w:type="dxa"/>
            <w:gridSpan w:val="2"/>
            <w:shd w:val="clear" w:color="auto" w:fill="D9D9D9" w:themeFill="background1" w:themeFillShade="D9"/>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50" w:type="dxa"/>
            <w:shd w:val="clear" w:color="auto" w:fill="FFFFFF" w:themeFill="background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709" w:type="dxa"/>
            <w:shd w:val="clear" w:color="auto" w:fill="D9D9D9" w:themeFill="background1" w:themeFillShade="D9"/>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881</w:t>
            </w:r>
          </w:p>
        </w:tc>
        <w:tc>
          <w:tcPr>
            <w:tcW w:w="767" w:type="dxa"/>
            <w:shd w:val="clear" w:color="auto" w:fill="FFFFFF" w:themeFill="background1"/>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 xml:space="preserve"> 707</w:t>
            </w:r>
          </w:p>
        </w:tc>
        <w:tc>
          <w:tcPr>
            <w:tcW w:w="713" w:type="dxa"/>
            <w:shd w:val="clear" w:color="auto" w:fill="D9D9D9" w:themeFill="background1" w:themeFillShade="D9"/>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FFFFFF" w:themeFill="background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D9D9D9" w:themeFill="background1" w:themeFillShade="D9"/>
            <w:noWrap/>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26 223</w:t>
            </w:r>
          </w:p>
        </w:tc>
        <w:tc>
          <w:tcPr>
            <w:tcW w:w="801" w:type="dxa"/>
            <w:shd w:val="clear" w:color="auto" w:fill="FFFFFF" w:themeFill="background1"/>
            <w:noWrap/>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8 839</w:t>
            </w:r>
          </w:p>
        </w:tc>
      </w:tr>
      <w:tr w:rsidR="00600C1B" w:rsidRPr="00892DE3" w:rsidTr="00904063">
        <w:trPr>
          <w:trHeight w:val="260"/>
        </w:trPr>
        <w:tc>
          <w:tcPr>
            <w:cnfStyle w:val="001000000000" w:firstRow="0" w:lastRow="0" w:firstColumn="1" w:lastColumn="0" w:oddVBand="0" w:evenVBand="0" w:oddHBand="0" w:evenHBand="0" w:firstRowFirstColumn="0" w:firstRowLastColumn="0" w:lastRowFirstColumn="0" w:lastRowLastColumn="0"/>
            <w:tcW w:w="1745" w:type="dxa"/>
          </w:tcPr>
          <w:p w:rsidR="00600C1B" w:rsidRPr="00892DE3" w:rsidRDefault="00600C1B" w:rsidP="00904063">
            <w:pPr>
              <w:rPr>
                <w:color w:val="000000" w:themeColor="text1"/>
                <w:vertAlign w:val="superscript"/>
              </w:rPr>
            </w:pPr>
            <w:r w:rsidRPr="00892DE3">
              <w:rPr>
                <w:color w:val="000000" w:themeColor="text1"/>
              </w:rPr>
              <w:t>Total assets</w:t>
            </w:r>
            <w:r w:rsidR="00904063" w:rsidRPr="00892DE3">
              <w:rPr>
                <w:color w:val="000000" w:themeColor="text1"/>
              </w:rPr>
              <w:t xml:space="preserve"> </w:t>
            </w:r>
            <w:r w:rsidRPr="00892DE3">
              <w:rPr>
                <w:color w:val="000000" w:themeColor="text1"/>
                <w:vertAlign w:val="superscript"/>
              </w:rPr>
              <w:t>(</w:t>
            </w:r>
            <w:r w:rsidR="00904063" w:rsidRPr="00892DE3">
              <w:rPr>
                <w:color w:val="000000" w:themeColor="text1"/>
                <w:vertAlign w:val="superscript"/>
              </w:rPr>
              <w:t>c</w:t>
            </w:r>
            <w:r w:rsidRPr="00892DE3">
              <w:rPr>
                <w:color w:val="000000" w:themeColor="text1"/>
                <w:vertAlign w:val="superscript"/>
              </w:rPr>
              <w:t>)</w:t>
            </w:r>
          </w:p>
        </w:tc>
        <w:tc>
          <w:tcPr>
            <w:tcW w:w="864" w:type="dxa"/>
            <w:shd w:val="clear" w:color="auto" w:fill="D9D9D9" w:themeFill="background1" w:themeFillShade="D9"/>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203 179</w:t>
            </w:r>
          </w:p>
        </w:tc>
        <w:tc>
          <w:tcPr>
            <w:tcW w:w="850" w:type="dxa"/>
            <w:shd w:val="clear" w:color="auto" w:fill="FFFFFF" w:themeFill="background1"/>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202 730</w:t>
            </w:r>
          </w:p>
        </w:tc>
        <w:tc>
          <w:tcPr>
            <w:tcW w:w="851" w:type="dxa"/>
            <w:gridSpan w:val="2"/>
            <w:shd w:val="clear" w:color="auto" w:fill="D9D9D9" w:themeFill="background1" w:themeFillShade="D9"/>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50" w:type="dxa"/>
            <w:shd w:val="clear" w:color="auto" w:fill="FFFFFF" w:themeFill="background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709" w:type="dxa"/>
            <w:shd w:val="clear" w:color="auto" w:fill="D9D9D9" w:themeFill="background1" w:themeFillShade="D9"/>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35 855</w:t>
            </w:r>
          </w:p>
        </w:tc>
        <w:tc>
          <w:tcPr>
            <w:tcW w:w="767" w:type="dxa"/>
            <w:shd w:val="clear" w:color="auto" w:fill="FFFFFF" w:themeFill="background1"/>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25 056</w:t>
            </w:r>
          </w:p>
        </w:tc>
        <w:tc>
          <w:tcPr>
            <w:tcW w:w="713" w:type="dxa"/>
            <w:shd w:val="clear" w:color="auto" w:fill="D9D9D9" w:themeFill="background1" w:themeFillShade="D9"/>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FFFFFF" w:themeFill="background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D9D9D9" w:themeFill="background1" w:themeFillShade="D9"/>
            <w:noWrap/>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239 034</w:t>
            </w:r>
          </w:p>
        </w:tc>
        <w:tc>
          <w:tcPr>
            <w:tcW w:w="801" w:type="dxa"/>
            <w:shd w:val="clear" w:color="auto" w:fill="FFFFFF" w:themeFill="background1"/>
            <w:noWrap/>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227 787</w:t>
            </w:r>
          </w:p>
        </w:tc>
      </w:tr>
      <w:tr w:rsidR="00D3365F" w:rsidRPr="00892DE3" w:rsidTr="00904063">
        <w:trPr>
          <w:trHeight w:val="260"/>
        </w:trPr>
        <w:tc>
          <w:tcPr>
            <w:cnfStyle w:val="001000000000" w:firstRow="0" w:lastRow="0" w:firstColumn="1" w:lastColumn="0" w:oddVBand="0" w:evenVBand="0" w:oddHBand="0" w:evenHBand="0" w:firstRowFirstColumn="0" w:firstRowLastColumn="0" w:lastRowFirstColumn="0" w:lastRowLastColumn="0"/>
            <w:tcW w:w="1745" w:type="dxa"/>
            <w:tcBorders>
              <w:bottom w:val="single" w:sz="4" w:space="0" w:color="00497A" w:themeColor="accent2"/>
            </w:tcBorders>
          </w:tcPr>
          <w:p w:rsidR="00600C1B" w:rsidRPr="00892DE3" w:rsidRDefault="00600C1B" w:rsidP="00DB5273">
            <w:pPr>
              <w:rPr>
                <w:color w:val="000000" w:themeColor="text1"/>
              </w:rPr>
            </w:pPr>
            <w:r w:rsidRPr="00892DE3">
              <w:rPr>
                <w:color w:val="000000" w:themeColor="text1"/>
              </w:rPr>
              <w:t>Total liabilities</w:t>
            </w:r>
          </w:p>
        </w:tc>
        <w:tc>
          <w:tcPr>
            <w:tcW w:w="864" w:type="dxa"/>
            <w:tcBorders>
              <w:bottom w:val="single" w:sz="4" w:space="0" w:color="00497A" w:themeColor="accent2"/>
            </w:tcBorders>
            <w:shd w:val="clear" w:color="auto" w:fill="D9D9D9" w:themeFill="background1" w:themeFillShade="D9"/>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95 649</w:t>
            </w:r>
          </w:p>
        </w:tc>
        <w:tc>
          <w:tcPr>
            <w:tcW w:w="850" w:type="dxa"/>
            <w:tcBorders>
              <w:bottom w:val="single" w:sz="4" w:space="0" w:color="00497A" w:themeColor="accent2"/>
            </w:tcBorders>
            <w:shd w:val="clear" w:color="auto" w:fill="FFFFFF" w:themeFill="background1"/>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110 569</w:t>
            </w:r>
          </w:p>
        </w:tc>
        <w:tc>
          <w:tcPr>
            <w:tcW w:w="851" w:type="dxa"/>
            <w:gridSpan w:val="2"/>
            <w:tcBorders>
              <w:bottom w:val="single" w:sz="4" w:space="0" w:color="00497A" w:themeColor="accent2"/>
            </w:tcBorders>
            <w:shd w:val="clear" w:color="auto" w:fill="D9D9D9" w:themeFill="background1" w:themeFillShade="D9"/>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50" w:type="dxa"/>
            <w:tcBorders>
              <w:bottom w:val="single" w:sz="4" w:space="0" w:color="00497A" w:themeColor="accent2"/>
            </w:tcBorders>
            <w:shd w:val="clear" w:color="auto" w:fill="FFFFFF" w:themeFill="background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709" w:type="dxa"/>
            <w:tcBorders>
              <w:bottom w:val="single" w:sz="4" w:space="0" w:color="00497A" w:themeColor="accent2"/>
            </w:tcBorders>
            <w:shd w:val="clear" w:color="auto" w:fill="D9D9D9" w:themeFill="background1" w:themeFillShade="D9"/>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1 952</w:t>
            </w:r>
          </w:p>
        </w:tc>
        <w:tc>
          <w:tcPr>
            <w:tcW w:w="767" w:type="dxa"/>
            <w:tcBorders>
              <w:bottom w:val="single" w:sz="4" w:space="0" w:color="00497A" w:themeColor="accent2"/>
            </w:tcBorders>
            <w:shd w:val="clear" w:color="auto" w:fill="FFFFFF" w:themeFill="background1"/>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2 257</w:t>
            </w:r>
          </w:p>
        </w:tc>
        <w:tc>
          <w:tcPr>
            <w:tcW w:w="713" w:type="dxa"/>
            <w:tcBorders>
              <w:bottom w:val="single" w:sz="4" w:space="0" w:color="00497A" w:themeColor="accent2"/>
            </w:tcBorders>
            <w:shd w:val="clear" w:color="auto" w:fill="D9D9D9" w:themeFill="background1" w:themeFillShade="D9"/>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tcBorders>
              <w:bottom w:val="single" w:sz="4" w:space="0" w:color="00497A" w:themeColor="accent2"/>
            </w:tcBorders>
            <w:shd w:val="clear" w:color="auto" w:fill="FFFFFF" w:themeFill="background1"/>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tcBorders>
              <w:bottom w:val="single" w:sz="4" w:space="0" w:color="00497A" w:themeColor="accent2"/>
            </w:tcBorders>
            <w:shd w:val="clear" w:color="auto" w:fill="D9D9D9" w:themeFill="background1" w:themeFillShade="D9"/>
            <w:noWrap/>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97 601</w:t>
            </w:r>
          </w:p>
        </w:tc>
        <w:tc>
          <w:tcPr>
            <w:tcW w:w="801" w:type="dxa"/>
            <w:tcBorders>
              <w:bottom w:val="single" w:sz="4" w:space="0" w:color="00497A" w:themeColor="accent2"/>
            </w:tcBorders>
            <w:shd w:val="clear" w:color="auto" w:fill="FFFFFF" w:themeFill="background1"/>
            <w:noWrap/>
            <w:vAlign w:val="center"/>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112 826</w:t>
            </w:r>
          </w:p>
        </w:tc>
      </w:tr>
    </w:tbl>
    <w:p w:rsidR="00600C1B" w:rsidRPr="00892DE3" w:rsidRDefault="00600C1B" w:rsidP="00600C1B">
      <w:pPr>
        <w:pStyle w:val="Note"/>
      </w:pPr>
      <w:r w:rsidRPr="00892DE3">
        <w:t>Notes:</w:t>
      </w:r>
    </w:p>
    <w:p w:rsidR="00600C1B" w:rsidRPr="00892DE3" w:rsidRDefault="00600C1B" w:rsidP="00600C1B">
      <w:pPr>
        <w:pStyle w:val="Note"/>
      </w:pPr>
      <w:r w:rsidRPr="00892DE3">
        <w:t>(</w:t>
      </w:r>
      <w:r w:rsidR="00904063" w:rsidRPr="00892DE3">
        <w:t>a</w:t>
      </w:r>
      <w:r w:rsidRPr="00892DE3">
        <w:t>)</w:t>
      </w:r>
      <w:r w:rsidRPr="00892DE3">
        <w:tab/>
        <w:t xml:space="preserve">Each of the material entities are reported individually. </w:t>
      </w:r>
    </w:p>
    <w:p w:rsidR="00600C1B" w:rsidRPr="00892DE3" w:rsidRDefault="00600C1B" w:rsidP="00600C1B">
      <w:pPr>
        <w:pStyle w:val="Note"/>
      </w:pPr>
      <w:r w:rsidRPr="00892DE3">
        <w:t>(</w:t>
      </w:r>
      <w:r w:rsidR="00904063" w:rsidRPr="00892DE3">
        <w:t>b</w:t>
      </w:r>
      <w:r w:rsidRPr="00892DE3">
        <w:t>)</w:t>
      </w:r>
      <w:r w:rsidRPr="00892DE3">
        <w:tab/>
        <w:t>Other non-material entities that are material in aggregate are reported in aggregate.</w:t>
      </w:r>
    </w:p>
    <w:p w:rsidR="00600C1B" w:rsidRPr="00892DE3" w:rsidRDefault="00600C1B" w:rsidP="00600C1B">
      <w:pPr>
        <w:pStyle w:val="Note"/>
      </w:pPr>
      <w:r w:rsidRPr="00892DE3">
        <w:t>(</w:t>
      </w:r>
      <w:r w:rsidR="00904063" w:rsidRPr="00892DE3">
        <w:t>c</w:t>
      </w:r>
      <w:r w:rsidRPr="00892DE3">
        <w:t>)</w:t>
      </w:r>
      <w:r w:rsidRPr="00892DE3">
        <w:tab/>
        <w:t xml:space="preserve">Total assets for other section 53(1)(b) entities in aggregate were material to the DoT consolidated group. </w:t>
      </w:r>
    </w:p>
    <w:p w:rsidR="00600C1B" w:rsidRPr="00892DE3" w:rsidRDefault="00600C1B" w:rsidP="00821277"/>
    <w:tbl>
      <w:tblPr>
        <w:tblStyle w:val="ModelReportGuidanceTable"/>
        <w:tblW w:w="0" w:type="auto"/>
        <w:tblLook w:val="04A0" w:firstRow="1" w:lastRow="0" w:firstColumn="1" w:lastColumn="0" w:noHBand="0" w:noVBand="1"/>
      </w:tblPr>
      <w:tblGrid>
        <w:gridCol w:w="9724"/>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24" w:type="dxa"/>
          </w:tcPr>
          <w:p w:rsidR="00600C1B" w:rsidRPr="00892DE3" w:rsidRDefault="00600C1B" w:rsidP="00DB5273">
            <w:r w:rsidRPr="00892DE3">
              <w:t>Guidance – Entities consolidated pursuant to section 53(1)(b) of the FMA</w:t>
            </w:r>
          </w:p>
        </w:tc>
      </w:tr>
      <w:tr w:rsidR="00600C1B" w:rsidRPr="00892DE3" w:rsidTr="00DB5273">
        <w:tc>
          <w:tcPr>
            <w:tcW w:w="9724" w:type="dxa"/>
          </w:tcPr>
          <w:p w:rsidR="00600C1B" w:rsidRPr="00892DE3" w:rsidRDefault="00600C1B" w:rsidP="00DB5273">
            <w:r w:rsidRPr="00892DE3">
              <w:t xml:space="preserve">Departments shall disclose total income from transactions, net result from transactions, total assets and total liabilities for each of material entities that have been consolidated into their financial statements, pursuant to section 53(1)(b) of the FMA, in a relevant note to their financial statements. </w:t>
            </w:r>
          </w:p>
          <w:p w:rsidR="00600C1B" w:rsidRPr="00892DE3" w:rsidRDefault="00600C1B" w:rsidP="00DB5273">
            <w:r w:rsidRPr="00892DE3">
              <w:t>Where those entities are not material individually but material in aggregate, departments shall report them in aggregate.</w:t>
            </w:r>
          </w:p>
        </w:tc>
      </w:tr>
    </w:tbl>
    <w:p w:rsidR="00904063" w:rsidRPr="00892DE3" w:rsidRDefault="00904063" w:rsidP="007D23E7">
      <w:bookmarkStart w:id="175" w:name="_Toc477432295"/>
    </w:p>
    <w:p w:rsidR="00904063" w:rsidRPr="00892DE3" w:rsidRDefault="00904063" w:rsidP="00904063">
      <w:pPr>
        <w:rPr>
          <w:rFonts w:asciiTheme="majorHAnsi" w:eastAsiaTheme="majorEastAsia" w:hAnsiTheme="majorHAnsi" w:cstheme="majorBidi"/>
          <w:spacing w:val="-2"/>
          <w:sz w:val="24"/>
          <w:szCs w:val="26"/>
        </w:rPr>
      </w:pPr>
      <w:r w:rsidRPr="00892DE3">
        <w:br w:type="page"/>
      </w:r>
    </w:p>
    <w:p w:rsidR="00600C1B" w:rsidRPr="00892DE3" w:rsidRDefault="00600C1B" w:rsidP="00600C1B">
      <w:pPr>
        <w:pStyle w:val="Heading2"/>
      </w:pPr>
      <w:bookmarkStart w:id="176" w:name="_Toc478729317"/>
      <w:bookmarkStart w:id="177" w:name="_Toc479085168"/>
      <w:r w:rsidRPr="00892DE3">
        <w:t>Correction of a prior period error</w:t>
      </w:r>
      <w:bookmarkEnd w:id="175"/>
      <w:bookmarkEnd w:id="176"/>
      <w:bookmarkEnd w:id="177"/>
    </w:p>
    <w:p w:rsidR="00600C1B" w:rsidRPr="00892DE3" w:rsidRDefault="00600C1B" w:rsidP="002F376C">
      <w:pPr>
        <w:pStyle w:val="HighlightBoxHeading"/>
        <w:shd w:val="clear" w:color="auto" w:fill="BFBFBF" w:themeFill="background1" w:themeFillShade="BF"/>
      </w:pPr>
      <w:r w:rsidRPr="002F376C">
        <w:rPr>
          <w:b/>
        </w:rPr>
        <w:t>Sample disclosure</w:t>
      </w:r>
      <w:r w:rsidRPr="00892DE3">
        <w:t xml:space="preserve"> </w:t>
      </w:r>
      <w:r w:rsidRPr="00892DE3">
        <w:rPr>
          <w:rStyle w:val="SourceReference"/>
          <w:i w:val="0"/>
        </w:rPr>
        <w:t>[AASB 108.49]</w:t>
      </w:r>
      <w:r w:rsidRPr="00892DE3">
        <w:t xml:space="preserve"> </w:t>
      </w:r>
    </w:p>
    <w:p w:rsidR="00600C1B" w:rsidRPr="00892DE3" w:rsidRDefault="00600C1B" w:rsidP="002F376C">
      <w:pPr>
        <w:pStyle w:val="HighlightBoxText"/>
        <w:shd w:val="clear" w:color="auto" w:fill="BFBFBF" w:themeFill="background1" w:themeFillShade="BF"/>
      </w:pPr>
      <w:r w:rsidRPr="00892DE3">
        <w:t>This note has been included as an example only to illustrate the disclosure of a restatement of prior period figures due to a material error correction. This note should be omitted if not relevant.</w:t>
      </w:r>
    </w:p>
    <w:p w:rsidR="00600C1B" w:rsidRPr="00892DE3" w:rsidRDefault="00600C1B" w:rsidP="00600C1B">
      <w:r w:rsidRPr="00892DE3">
        <w:t>The Department has identified two prior period errors. These are explained below and have since been adjusted for the error and restated each of the affected financial statements for the 2016 financial year, as shown in the tables below.</w:t>
      </w:r>
    </w:p>
    <w:p w:rsidR="00600C1B" w:rsidRPr="00892DE3" w:rsidRDefault="00600C1B" w:rsidP="00600C1B">
      <w:pPr>
        <w:pStyle w:val="Heading3"/>
      </w:pPr>
      <w:r w:rsidRPr="00892DE3">
        <w:t xml:space="preserve">Investment property not recognised </w:t>
      </w:r>
    </w:p>
    <w:p w:rsidR="00600C1B" w:rsidRPr="00892DE3" w:rsidRDefault="00600C1B" w:rsidP="00600C1B">
      <w:r w:rsidRPr="00892DE3">
        <w:t>During the 2015-16 financial year, the Department did not recognise an investment property, which was contributed to it for nil consideration. This error had the effect of understating investment properties and income for the year ended 30 June 2016 by $2 500 000. The error also had the effect of understating investment properties and accumulated surplus as at 30 June 2016 by $2 500 000.</w:t>
      </w:r>
    </w:p>
    <w:p w:rsidR="00600C1B" w:rsidRPr="00892DE3" w:rsidRDefault="00600C1B" w:rsidP="00600C1B">
      <w:pPr>
        <w:pStyle w:val="Heading3"/>
      </w:pPr>
      <w:r w:rsidRPr="00892DE3">
        <w:t xml:space="preserve">Error in not consolidating a controlled entity </w:t>
      </w:r>
    </w:p>
    <w:p w:rsidR="00600C1B" w:rsidRPr="00892DE3" w:rsidRDefault="00600C1B" w:rsidP="00600C1B">
      <w:r w:rsidRPr="00892DE3">
        <w:t xml:space="preserve">Innovation Victoria was established on 1 July 2015 as a new entity of the Department of Technology under the </w:t>
      </w:r>
      <w:r w:rsidRPr="00892DE3">
        <w:rPr>
          <w:i/>
        </w:rPr>
        <w:t>Innovation Victoria Act 2015</w:t>
      </w:r>
      <w:r w:rsidRPr="00892DE3">
        <w:t>. The Department determined that it controlled Innovation Victoria based on the control criteria in AASB 10 but due to an inadvertent human error, the Department did not include Innovation Victoria in its group financial statements for the 2015-16 reporting period.</w:t>
      </w:r>
    </w:p>
    <w:p w:rsidR="00600C1B" w:rsidRPr="00892DE3" w:rsidRDefault="00600C1B" w:rsidP="00600C1B">
      <w:pPr>
        <w:pStyle w:val="TableHeading"/>
      </w:pPr>
      <w:r w:rsidRPr="00892DE3">
        <w:t>Impact of correction of an error on the consolidated operating statement</w:t>
      </w:r>
      <w:r w:rsidRPr="00892DE3">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713"/>
        <w:gridCol w:w="1276"/>
        <w:gridCol w:w="1417"/>
        <w:gridCol w:w="1559"/>
        <w:gridCol w:w="1672"/>
      </w:tblGrid>
      <w:tr w:rsidR="00600C1B" w:rsidRPr="00892DE3" w:rsidTr="00DB52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5" w:type="dxa"/>
            <w:hideMark/>
          </w:tcPr>
          <w:p w:rsidR="00600C1B" w:rsidRPr="00892DE3" w:rsidRDefault="00600C1B" w:rsidP="00DB5273">
            <w:r w:rsidRPr="00892DE3">
              <w:t> </w:t>
            </w:r>
          </w:p>
        </w:tc>
        <w:tc>
          <w:tcPr>
            <w:tcW w:w="1276" w:type="dxa"/>
            <w:tcBorders>
              <w:bottom w:val="nil"/>
            </w:tcBorders>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 xml:space="preserve">For the </w:t>
            </w:r>
            <w:r w:rsidRPr="00892DE3">
              <w:br/>
              <w:t xml:space="preserve">period ended </w:t>
            </w:r>
            <w:r w:rsidRPr="00892DE3">
              <w:br/>
              <w:t>30 June 2017</w:t>
            </w:r>
          </w:p>
        </w:tc>
        <w:tc>
          <w:tcPr>
            <w:tcW w:w="1417" w:type="dxa"/>
            <w:tcBorders>
              <w:bottom w:val="nil"/>
            </w:tcBorders>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For the period ended 30 June 2016 (restated)</w:t>
            </w:r>
          </w:p>
        </w:tc>
        <w:tc>
          <w:tcPr>
            <w:tcW w:w="1559" w:type="dxa"/>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Consolidation of Innovation Victoria (100% owned)</w:t>
            </w:r>
          </w:p>
        </w:tc>
        <w:tc>
          <w:tcPr>
            <w:tcW w:w="1672" w:type="dxa"/>
            <w:hideMark/>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For the period ended 30 June 2016 as previously presented</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hideMark/>
          </w:tcPr>
          <w:p w:rsidR="00600C1B" w:rsidRPr="00892DE3" w:rsidRDefault="00600C1B" w:rsidP="00DB5273">
            <w:pPr>
              <w:rPr>
                <w:rFonts w:cstheme="majorHAnsi"/>
              </w:rPr>
            </w:pPr>
            <w:r w:rsidRPr="00892DE3">
              <w:rPr>
                <w:rFonts w:cstheme="majorHAnsi"/>
              </w:rPr>
              <w:t>Interest</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3 864</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2 897</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2 947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hideMark/>
          </w:tcPr>
          <w:p w:rsidR="00600C1B" w:rsidRPr="00892DE3" w:rsidRDefault="00600C1B" w:rsidP="00DB5273">
            <w:pPr>
              <w:rPr>
                <w:rFonts w:cstheme="majorHAnsi"/>
              </w:rPr>
            </w:pPr>
            <w:r w:rsidRPr="00892DE3">
              <w:rPr>
                <w:rFonts w:cstheme="majorHAnsi"/>
              </w:rPr>
              <w:t>Sale of goods and services</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1 839</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1 346</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1 296</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000000"/>
            </w:tcBorders>
            <w:hideMark/>
          </w:tcPr>
          <w:p w:rsidR="00600C1B" w:rsidRPr="00892DE3" w:rsidRDefault="00600C1B" w:rsidP="00DB5273">
            <w:pPr>
              <w:rPr>
                <w:rFonts w:cstheme="majorHAnsi"/>
              </w:rPr>
            </w:pPr>
            <w:r w:rsidRPr="00892DE3">
              <w:rPr>
                <w:rFonts w:cstheme="majorHAnsi"/>
              </w:rPr>
              <w:t>Other income</w:t>
            </w:r>
          </w:p>
        </w:tc>
        <w:tc>
          <w:tcPr>
            <w:tcW w:w="1276"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101 771</w:t>
            </w:r>
          </w:p>
        </w:tc>
        <w:tc>
          <w:tcPr>
            <w:tcW w:w="1417"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82 017</w:t>
            </w:r>
          </w:p>
        </w:tc>
        <w:tc>
          <w:tcPr>
            <w:tcW w:w="1559" w:type="dxa"/>
            <w:tcBorders>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82 017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Total income from transactions</w:t>
            </w:r>
          </w:p>
        </w:tc>
        <w:tc>
          <w:tcPr>
            <w:tcW w:w="1276"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107 474</w:t>
            </w:r>
          </w:p>
        </w:tc>
        <w:tc>
          <w:tcPr>
            <w:tcW w:w="1417"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86 260</w:t>
            </w:r>
          </w:p>
        </w:tc>
        <w:tc>
          <w:tcPr>
            <w:tcW w:w="1559" w:type="dxa"/>
            <w:tcBorders>
              <w:top w:val="single" w:sz="6" w:space="0" w:color="000000"/>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86 260</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tcBorders>
            <w:hideMark/>
          </w:tcPr>
          <w:p w:rsidR="00600C1B" w:rsidRPr="00892DE3" w:rsidRDefault="00600C1B" w:rsidP="00DB5273">
            <w:pPr>
              <w:rPr>
                <w:rFonts w:cstheme="majorHAnsi"/>
              </w:rPr>
            </w:pPr>
            <w:r w:rsidRPr="00892DE3">
              <w:rPr>
                <w:rFonts w:cstheme="majorHAnsi"/>
              </w:rPr>
              <w:t>Employee expenses</w:t>
            </w:r>
          </w:p>
        </w:tc>
        <w:tc>
          <w:tcPr>
            <w:tcW w:w="1276" w:type="dxa"/>
            <w:tcBorders>
              <w:top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(13 767)</w:t>
            </w:r>
          </w:p>
        </w:tc>
        <w:tc>
          <w:tcPr>
            <w:tcW w:w="1417" w:type="dxa"/>
            <w:tcBorders>
              <w:top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(10 970)</w:t>
            </w:r>
          </w:p>
        </w:tc>
        <w:tc>
          <w:tcPr>
            <w:tcW w:w="1559" w:type="dxa"/>
            <w:tcBorders>
              <w:top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1 950</w:t>
            </w:r>
          </w:p>
        </w:tc>
        <w:tc>
          <w:tcPr>
            <w:tcW w:w="1672" w:type="dxa"/>
            <w:tcBorders>
              <w:top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(12 920)</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hideMark/>
          </w:tcPr>
          <w:p w:rsidR="00600C1B" w:rsidRPr="00892DE3" w:rsidRDefault="00600C1B" w:rsidP="00DB5273">
            <w:pPr>
              <w:rPr>
                <w:rFonts w:cstheme="majorHAnsi"/>
              </w:rPr>
            </w:pPr>
            <w:r w:rsidRPr="00892DE3">
              <w:rPr>
                <w:rFonts w:cstheme="majorHAnsi"/>
              </w:rPr>
              <w:t xml:space="preserve">Depreciation </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(15 099)</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(12 157)</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900</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(13 057)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hideMark/>
          </w:tcPr>
          <w:p w:rsidR="00600C1B" w:rsidRPr="00892DE3" w:rsidRDefault="00600C1B" w:rsidP="00DB5273">
            <w:pPr>
              <w:rPr>
                <w:rFonts w:cstheme="majorHAnsi"/>
              </w:rPr>
            </w:pPr>
            <w:r w:rsidRPr="00892DE3">
              <w:rPr>
                <w:rFonts w:cstheme="majorHAnsi"/>
              </w:rPr>
              <w:t>Interest expense</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(2 366)</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(2 336)</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1 050</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(3 386)</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000000"/>
            </w:tcBorders>
            <w:hideMark/>
          </w:tcPr>
          <w:p w:rsidR="00600C1B" w:rsidRPr="00892DE3" w:rsidRDefault="00600C1B" w:rsidP="00DB5273">
            <w:pPr>
              <w:rPr>
                <w:rFonts w:cstheme="majorHAnsi"/>
              </w:rPr>
            </w:pPr>
            <w:r w:rsidRPr="00892DE3">
              <w:rPr>
                <w:rFonts w:cstheme="majorHAnsi"/>
              </w:rPr>
              <w:t>Other operating expenses</w:t>
            </w:r>
          </w:p>
        </w:tc>
        <w:tc>
          <w:tcPr>
            <w:tcW w:w="1276"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(50 020)</w:t>
            </w:r>
          </w:p>
        </w:tc>
        <w:tc>
          <w:tcPr>
            <w:tcW w:w="1417"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(51 958)</w:t>
            </w:r>
          </w:p>
        </w:tc>
        <w:tc>
          <w:tcPr>
            <w:tcW w:w="1559" w:type="dxa"/>
            <w:tcBorders>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(51 958)</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Total expenses from transactions</w:t>
            </w:r>
          </w:p>
        </w:tc>
        <w:tc>
          <w:tcPr>
            <w:tcW w:w="1276"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(81 252)</w:t>
            </w:r>
          </w:p>
        </w:tc>
        <w:tc>
          <w:tcPr>
            <w:tcW w:w="1417"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(77 421)</w:t>
            </w:r>
          </w:p>
        </w:tc>
        <w:tc>
          <w:tcPr>
            <w:tcW w:w="1559" w:type="dxa"/>
            <w:tcBorders>
              <w:top w:val="single" w:sz="6" w:space="0" w:color="000000"/>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3 900</w:t>
            </w:r>
          </w:p>
        </w:tc>
        <w:tc>
          <w:tcPr>
            <w:tcW w:w="1672" w:type="dxa"/>
            <w:tcBorders>
              <w:top w:val="single" w:sz="6" w:space="0" w:color="000000"/>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(81 321)</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 xml:space="preserve">Net result from transactions </w:t>
            </w:r>
            <w:r w:rsidRPr="00892DE3">
              <w:rPr>
                <w:rFonts w:cstheme="majorHAnsi"/>
                <w:b/>
              </w:rPr>
              <w:br/>
              <w:t>(net operating balance)</w:t>
            </w:r>
          </w:p>
        </w:tc>
        <w:tc>
          <w:tcPr>
            <w:tcW w:w="1276"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26 223</w:t>
            </w:r>
          </w:p>
        </w:tc>
        <w:tc>
          <w:tcPr>
            <w:tcW w:w="1417"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8 839</w:t>
            </w:r>
          </w:p>
        </w:tc>
        <w:tc>
          <w:tcPr>
            <w:tcW w:w="1559" w:type="dxa"/>
            <w:tcBorders>
              <w:top w:val="single" w:sz="6" w:space="0" w:color="000000"/>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4 939</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tcBorders>
            <w:hideMark/>
          </w:tcPr>
          <w:p w:rsidR="00600C1B" w:rsidRPr="00892DE3" w:rsidRDefault="00600C1B" w:rsidP="00DB5273">
            <w:pPr>
              <w:rPr>
                <w:rFonts w:cstheme="majorHAnsi"/>
              </w:rPr>
            </w:pPr>
            <w:r w:rsidRPr="00892DE3">
              <w:rPr>
                <w:rFonts w:cstheme="majorHAnsi"/>
              </w:rPr>
              <w:t>Share of net profits/(losses) of associates and joint entities, excluding dividends</w:t>
            </w:r>
          </w:p>
        </w:tc>
        <w:tc>
          <w:tcPr>
            <w:tcW w:w="1276" w:type="dxa"/>
            <w:tcBorders>
              <w:top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1 286</w:t>
            </w:r>
          </w:p>
        </w:tc>
        <w:tc>
          <w:tcPr>
            <w:tcW w:w="1417" w:type="dxa"/>
            <w:tcBorders>
              <w:top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1 397</w:t>
            </w:r>
          </w:p>
        </w:tc>
        <w:tc>
          <w:tcPr>
            <w:tcW w:w="1559" w:type="dxa"/>
            <w:tcBorders>
              <w:top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(3 900)</w:t>
            </w:r>
          </w:p>
        </w:tc>
        <w:tc>
          <w:tcPr>
            <w:tcW w:w="1672" w:type="dxa"/>
            <w:tcBorders>
              <w:top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5 297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000000"/>
            </w:tcBorders>
            <w:hideMark/>
          </w:tcPr>
          <w:p w:rsidR="00600C1B" w:rsidRPr="00892DE3" w:rsidRDefault="00600C1B" w:rsidP="00DB5273">
            <w:pPr>
              <w:rPr>
                <w:rFonts w:cstheme="majorHAnsi"/>
              </w:rPr>
            </w:pPr>
            <w:r w:rsidRPr="00892DE3">
              <w:rPr>
                <w:rFonts w:cstheme="majorHAnsi"/>
              </w:rPr>
              <w:t>Other gains/(losses) from other economic flows</w:t>
            </w:r>
          </w:p>
        </w:tc>
        <w:tc>
          <w:tcPr>
            <w:tcW w:w="1276"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(13 947)</w:t>
            </w:r>
          </w:p>
        </w:tc>
        <w:tc>
          <w:tcPr>
            <w:tcW w:w="1417"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(4 213)</w:t>
            </w:r>
          </w:p>
        </w:tc>
        <w:tc>
          <w:tcPr>
            <w:tcW w:w="1559" w:type="dxa"/>
            <w:tcBorders>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(4 213)</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 xml:space="preserve">Total other economic flows included in </w:t>
            </w:r>
            <w:r w:rsidRPr="00892DE3">
              <w:rPr>
                <w:rFonts w:cstheme="majorHAnsi"/>
                <w:b/>
              </w:rPr>
              <w:br/>
              <w:t>net result</w:t>
            </w:r>
          </w:p>
        </w:tc>
        <w:tc>
          <w:tcPr>
            <w:tcW w:w="1276"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(12 661)</w:t>
            </w:r>
          </w:p>
        </w:tc>
        <w:tc>
          <w:tcPr>
            <w:tcW w:w="1417"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(2 816)</w:t>
            </w:r>
          </w:p>
        </w:tc>
        <w:tc>
          <w:tcPr>
            <w:tcW w:w="1559" w:type="dxa"/>
            <w:tcBorders>
              <w:top w:val="single" w:sz="6" w:space="0" w:color="000000"/>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(3 900)</w:t>
            </w:r>
          </w:p>
        </w:tc>
        <w:tc>
          <w:tcPr>
            <w:tcW w:w="1672" w:type="dxa"/>
            <w:tcBorders>
              <w:top w:val="single" w:sz="6" w:space="0" w:color="000000"/>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1 084</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Net result from continuing operations</w:t>
            </w:r>
          </w:p>
        </w:tc>
        <w:tc>
          <w:tcPr>
            <w:tcW w:w="1276"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13 562</w:t>
            </w:r>
          </w:p>
        </w:tc>
        <w:tc>
          <w:tcPr>
            <w:tcW w:w="1417"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6 023</w:t>
            </w:r>
          </w:p>
        </w:tc>
        <w:tc>
          <w:tcPr>
            <w:tcW w:w="1559" w:type="dxa"/>
            <w:tcBorders>
              <w:top w:val="single" w:sz="6" w:space="0" w:color="000000"/>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6 023</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600C1B" w:rsidRPr="00892DE3" w:rsidRDefault="00600C1B" w:rsidP="00DB5273">
            <w:pPr>
              <w:rPr>
                <w:rFonts w:cstheme="majorHAnsi"/>
              </w:rPr>
            </w:pPr>
            <w:r w:rsidRPr="00892DE3">
              <w:rPr>
                <w:rFonts w:cstheme="majorHAnsi"/>
              </w:rPr>
              <w:t>Net result from discontinued operations</w:t>
            </w:r>
          </w:p>
        </w:tc>
        <w:tc>
          <w:tcPr>
            <w:tcW w:w="1276"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1 229</w:t>
            </w:r>
          </w:p>
        </w:tc>
        <w:tc>
          <w:tcPr>
            <w:tcW w:w="1417"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3 856</w:t>
            </w:r>
          </w:p>
        </w:tc>
        <w:tc>
          <w:tcPr>
            <w:tcW w:w="1559" w:type="dxa"/>
            <w:tcBorders>
              <w:top w:val="single" w:sz="6" w:space="0" w:color="000000"/>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top w:val="single" w:sz="6" w:space="0" w:color="000000"/>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3 856</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Net result</w:t>
            </w:r>
          </w:p>
        </w:tc>
        <w:tc>
          <w:tcPr>
            <w:tcW w:w="1276"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14 790</w:t>
            </w:r>
          </w:p>
        </w:tc>
        <w:tc>
          <w:tcPr>
            <w:tcW w:w="1417"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9 879</w:t>
            </w:r>
          </w:p>
        </w:tc>
        <w:tc>
          <w:tcPr>
            <w:tcW w:w="1559" w:type="dxa"/>
            <w:tcBorders>
              <w:top w:val="single" w:sz="6" w:space="0" w:color="000000"/>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9 879</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 xml:space="preserve">Total other economic flows – </w:t>
            </w:r>
            <w:r w:rsidRPr="00892DE3">
              <w:rPr>
                <w:rFonts w:cstheme="majorHAnsi"/>
                <w:b/>
              </w:rPr>
              <w:br/>
              <w:t>other comprehensive income</w:t>
            </w:r>
          </w:p>
        </w:tc>
        <w:tc>
          <w:tcPr>
            <w:tcW w:w="1276"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6 413</w:t>
            </w:r>
          </w:p>
        </w:tc>
        <w:tc>
          <w:tcPr>
            <w:tcW w:w="1417"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4 101</w:t>
            </w:r>
          </w:p>
        </w:tc>
        <w:tc>
          <w:tcPr>
            <w:tcW w:w="1559" w:type="dxa"/>
            <w:tcBorders>
              <w:top w:val="single" w:sz="6" w:space="0" w:color="000000"/>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4 101</w:t>
            </w:r>
          </w:p>
        </w:tc>
      </w:tr>
      <w:tr w:rsidR="00600C1B" w:rsidRPr="00892DE3" w:rsidTr="00DB527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000000"/>
            </w:tcBorders>
            <w:hideMark/>
          </w:tcPr>
          <w:p w:rsidR="00600C1B" w:rsidRPr="00892DE3" w:rsidRDefault="00600C1B" w:rsidP="00DB5273">
            <w:r w:rsidRPr="00892DE3">
              <w:t>Comprehensive result</w:t>
            </w:r>
          </w:p>
        </w:tc>
        <w:tc>
          <w:tcPr>
            <w:tcW w:w="1276" w:type="dxa"/>
            <w:tcBorders>
              <w:bottom w:val="single" w:sz="6" w:space="0" w:color="000000"/>
            </w:tcBorders>
            <w:shd w:val="clear" w:color="auto" w:fill="EBEBEB"/>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21 203</w:t>
            </w:r>
          </w:p>
        </w:tc>
        <w:tc>
          <w:tcPr>
            <w:tcW w:w="1417" w:type="dxa"/>
            <w:tcBorders>
              <w:bottom w:val="single" w:sz="6" w:space="0" w:color="000000"/>
            </w:tcBorders>
            <w:shd w:val="clear" w:color="auto" w:fill="EBEBEB"/>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13 980</w:t>
            </w:r>
          </w:p>
        </w:tc>
        <w:tc>
          <w:tcPr>
            <w:tcW w:w="1559" w:type="dxa"/>
            <w:tcBorders>
              <w:bottom w:val="single" w:sz="6" w:space="0" w:color="000000"/>
            </w:tcBorders>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w:t>
            </w:r>
          </w:p>
        </w:tc>
        <w:tc>
          <w:tcPr>
            <w:tcW w:w="1672" w:type="dxa"/>
            <w:tcBorders>
              <w:bottom w:val="single" w:sz="6" w:space="0" w:color="000000"/>
            </w:tcBorders>
            <w:noWrap/>
            <w:hideMark/>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13 980</w:t>
            </w:r>
          </w:p>
        </w:tc>
      </w:tr>
    </w:tbl>
    <w:p w:rsidR="00600C1B" w:rsidRPr="00892DE3" w:rsidRDefault="00600C1B" w:rsidP="00600C1B"/>
    <w:p w:rsidR="00600C1B" w:rsidRPr="00892DE3" w:rsidRDefault="00600C1B" w:rsidP="00600C1B">
      <w:pPr>
        <w:keepLines w:val="0"/>
        <w:rPr>
          <w:rFonts w:asciiTheme="majorHAnsi" w:hAnsiTheme="majorHAnsi"/>
          <w:b/>
          <w:szCs w:val="20"/>
        </w:rPr>
      </w:pPr>
      <w:r w:rsidRPr="00892DE3">
        <w:br w:type="page"/>
      </w:r>
    </w:p>
    <w:p w:rsidR="00600C1B" w:rsidRPr="00892DE3" w:rsidRDefault="00637932" w:rsidP="00600C1B">
      <w:pPr>
        <w:pStyle w:val="TableHeading"/>
      </w:pPr>
      <w:r w:rsidRPr="00892DE3">
        <w:t xml:space="preserve">Impact of correction of an error </w:t>
      </w:r>
      <w:r w:rsidR="00600C1B" w:rsidRPr="00892DE3">
        <w:t>on the consolidated balance sheet</w:t>
      </w:r>
      <w:r w:rsidR="00600C1B" w:rsidRPr="00892DE3">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713"/>
        <w:gridCol w:w="1276"/>
        <w:gridCol w:w="1417"/>
        <w:gridCol w:w="1559"/>
        <w:gridCol w:w="1672"/>
      </w:tblGrid>
      <w:tr w:rsidR="00600C1B" w:rsidRPr="00892DE3" w:rsidTr="00DB52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r w:rsidRPr="00892DE3">
              <w:t>Assets</w:t>
            </w:r>
          </w:p>
        </w:tc>
        <w:tc>
          <w:tcPr>
            <w:tcW w:w="1276" w:type="dxa"/>
            <w:tcBorders>
              <w:bottom w:val="nil"/>
            </w:tcBorders>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 xml:space="preserve">As at </w:t>
            </w:r>
            <w:r w:rsidRPr="00892DE3">
              <w:br/>
              <w:t>30 June 2017</w:t>
            </w:r>
          </w:p>
        </w:tc>
        <w:tc>
          <w:tcPr>
            <w:tcW w:w="1417" w:type="dxa"/>
            <w:tcBorders>
              <w:bottom w:val="nil"/>
            </w:tcBorders>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As at 30 June 2016 (restated)</w:t>
            </w:r>
          </w:p>
        </w:tc>
        <w:tc>
          <w:tcPr>
            <w:tcW w:w="1559" w:type="dxa"/>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Consolidation of Innovation Victoria (100% owned)</w:t>
            </w:r>
          </w:p>
        </w:tc>
        <w:tc>
          <w:tcPr>
            <w:tcW w:w="1672" w:type="dxa"/>
            <w:hideMark/>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As at 30 June 2016 (as previously reported)</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Cash and deposits</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(800)</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47 848</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Receivables</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36 045</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20 544</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(2 000)</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22 544</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Investments accounted for using equity method</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5 187</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6 112</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6 000</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112</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600C1B" w:rsidRPr="00892DE3" w:rsidRDefault="00600C1B" w:rsidP="00DB5273">
            <w:pPr>
              <w:rPr>
                <w:rFonts w:cstheme="majorHAnsi"/>
              </w:rPr>
            </w:pPr>
            <w:r w:rsidRPr="00892DE3">
              <w:rPr>
                <w:rFonts w:cstheme="majorHAnsi"/>
              </w:rPr>
              <w:t>Other financial assets</w:t>
            </w:r>
          </w:p>
        </w:tc>
        <w:tc>
          <w:tcPr>
            <w:tcW w:w="1276"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22 548</w:t>
            </w:r>
          </w:p>
        </w:tc>
        <w:tc>
          <w:tcPr>
            <w:tcW w:w="1417"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28 488</w:t>
            </w:r>
          </w:p>
        </w:tc>
        <w:tc>
          <w:tcPr>
            <w:tcW w:w="1559" w:type="dxa"/>
            <w:tcBorders>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28 488</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Total financial assets</w:t>
            </w:r>
          </w:p>
        </w:tc>
        <w:tc>
          <w:tcPr>
            <w:tcW w:w="1276"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123 308</w:t>
            </w:r>
          </w:p>
        </w:tc>
        <w:tc>
          <w:tcPr>
            <w:tcW w:w="1417"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103 792</w:t>
            </w:r>
          </w:p>
        </w:tc>
        <w:tc>
          <w:tcPr>
            <w:tcW w:w="1559" w:type="dxa"/>
            <w:tcBorders>
              <w:top w:val="single" w:sz="6" w:space="0" w:color="000000"/>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4 800</w:t>
            </w:r>
          </w:p>
        </w:tc>
        <w:tc>
          <w:tcPr>
            <w:tcW w:w="1672" w:type="dxa"/>
            <w:tcBorders>
              <w:top w:val="single" w:sz="6" w:space="0" w:color="000000"/>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98 992</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tcBorders>
            <w:hideMark/>
          </w:tcPr>
          <w:p w:rsidR="00600C1B" w:rsidRPr="00892DE3" w:rsidRDefault="00600C1B" w:rsidP="00DB5273">
            <w:pPr>
              <w:rPr>
                <w:rFonts w:cstheme="majorHAnsi"/>
              </w:rPr>
            </w:pPr>
            <w:r w:rsidRPr="00892DE3">
              <w:rPr>
                <w:rFonts w:cstheme="majorHAnsi"/>
              </w:rPr>
              <w:t>Inventories</w:t>
            </w:r>
          </w:p>
        </w:tc>
        <w:tc>
          <w:tcPr>
            <w:tcW w:w="1276" w:type="dxa"/>
            <w:tcBorders>
              <w:top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12 056</w:t>
            </w:r>
          </w:p>
        </w:tc>
        <w:tc>
          <w:tcPr>
            <w:tcW w:w="1417" w:type="dxa"/>
            <w:tcBorders>
              <w:top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19 733</w:t>
            </w:r>
          </w:p>
        </w:tc>
        <w:tc>
          <w:tcPr>
            <w:tcW w:w="1559" w:type="dxa"/>
            <w:tcBorders>
              <w:top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top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19 733</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Property, plant and equipment</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83 044</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76 807</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5 200</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71 607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600C1B" w:rsidRPr="00892DE3" w:rsidRDefault="00600C1B" w:rsidP="00DB5273">
            <w:pPr>
              <w:rPr>
                <w:rFonts w:cstheme="majorHAnsi"/>
              </w:rPr>
            </w:pPr>
            <w:r w:rsidRPr="00892DE3">
              <w:rPr>
                <w:rFonts w:cstheme="majorHAnsi"/>
              </w:rPr>
              <w:t>Other non</w:t>
            </w:r>
            <w:r w:rsidRPr="00892DE3">
              <w:rPr>
                <w:rFonts w:cstheme="majorHAnsi"/>
              </w:rPr>
              <w:noBreakHyphen/>
              <w:t>financial assets</w:t>
            </w:r>
          </w:p>
        </w:tc>
        <w:tc>
          <w:tcPr>
            <w:tcW w:w="1276"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22 826</w:t>
            </w:r>
          </w:p>
        </w:tc>
        <w:tc>
          <w:tcPr>
            <w:tcW w:w="1417"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27 455</w:t>
            </w:r>
          </w:p>
        </w:tc>
        <w:tc>
          <w:tcPr>
            <w:tcW w:w="1559" w:type="dxa"/>
            <w:tcBorders>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27 455</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nil"/>
            </w:tcBorders>
            <w:hideMark/>
          </w:tcPr>
          <w:p w:rsidR="00600C1B" w:rsidRPr="00892DE3" w:rsidRDefault="00600C1B" w:rsidP="00DB5273">
            <w:pPr>
              <w:rPr>
                <w:rFonts w:cstheme="majorHAnsi"/>
                <w:b/>
              </w:rPr>
            </w:pPr>
            <w:r w:rsidRPr="00892DE3">
              <w:rPr>
                <w:rFonts w:cstheme="majorHAnsi"/>
                <w:b/>
              </w:rPr>
              <w:t>Total non</w:t>
            </w:r>
            <w:r w:rsidRPr="00892DE3">
              <w:rPr>
                <w:rFonts w:cstheme="majorHAnsi"/>
                <w:b/>
              </w:rPr>
              <w:noBreakHyphen/>
              <w:t>financial assets</w:t>
            </w:r>
          </w:p>
        </w:tc>
        <w:tc>
          <w:tcPr>
            <w:tcW w:w="1276" w:type="dxa"/>
            <w:tcBorders>
              <w:top w:val="single" w:sz="6" w:space="0" w:color="000000"/>
              <w:bottom w:val="nil"/>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117 926</w:t>
            </w:r>
          </w:p>
        </w:tc>
        <w:tc>
          <w:tcPr>
            <w:tcW w:w="1417" w:type="dxa"/>
            <w:tcBorders>
              <w:top w:val="single" w:sz="6" w:space="0" w:color="000000"/>
              <w:bottom w:val="nil"/>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123 995</w:t>
            </w:r>
          </w:p>
        </w:tc>
        <w:tc>
          <w:tcPr>
            <w:tcW w:w="1559" w:type="dxa"/>
            <w:tcBorders>
              <w:top w:val="single" w:sz="6" w:space="0" w:color="000000"/>
              <w:bottom w:val="nil"/>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5 200</w:t>
            </w:r>
          </w:p>
        </w:tc>
        <w:tc>
          <w:tcPr>
            <w:tcW w:w="1672" w:type="dxa"/>
            <w:tcBorders>
              <w:top w:val="single" w:sz="6" w:space="0" w:color="000000"/>
              <w:bottom w:val="nil"/>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118 795</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600C1B" w:rsidRPr="00892DE3" w:rsidRDefault="00600C1B" w:rsidP="00DB5273">
            <w:pPr>
              <w:rPr>
                <w:rFonts w:cstheme="majorHAnsi"/>
                <w:b/>
              </w:rPr>
            </w:pPr>
            <w:r w:rsidRPr="00892DE3">
              <w:rPr>
                <w:rFonts w:cstheme="majorHAnsi"/>
                <w:b/>
              </w:rPr>
              <w:t>Total assets</w:t>
            </w:r>
          </w:p>
        </w:tc>
        <w:tc>
          <w:tcPr>
            <w:tcW w:w="1276"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241 234</w:t>
            </w:r>
          </w:p>
        </w:tc>
        <w:tc>
          <w:tcPr>
            <w:tcW w:w="1417"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227 787</w:t>
            </w:r>
          </w:p>
        </w:tc>
        <w:tc>
          <w:tcPr>
            <w:tcW w:w="1559" w:type="dxa"/>
            <w:tcBorders>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10 000</w:t>
            </w:r>
          </w:p>
        </w:tc>
        <w:tc>
          <w:tcPr>
            <w:tcW w:w="1672" w:type="dxa"/>
            <w:tcBorders>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217 787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tcBorders>
            <w:hideMark/>
          </w:tcPr>
          <w:p w:rsidR="00600C1B" w:rsidRPr="00892DE3" w:rsidRDefault="00600C1B" w:rsidP="00DB5273">
            <w:pPr>
              <w:rPr>
                <w:rFonts w:cstheme="majorHAnsi"/>
                <w:b/>
              </w:rPr>
            </w:pPr>
            <w:r w:rsidRPr="00892DE3">
              <w:rPr>
                <w:rFonts w:cstheme="majorHAnsi"/>
                <w:b/>
              </w:rPr>
              <w:t>Liabilities</w:t>
            </w:r>
          </w:p>
        </w:tc>
        <w:tc>
          <w:tcPr>
            <w:tcW w:w="1276" w:type="dxa"/>
            <w:tcBorders>
              <w:top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c>
          <w:tcPr>
            <w:tcW w:w="1417" w:type="dxa"/>
            <w:tcBorders>
              <w:top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c>
          <w:tcPr>
            <w:tcW w:w="1559" w:type="dxa"/>
            <w:tcBorders>
              <w:top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c>
          <w:tcPr>
            <w:tcW w:w="1672" w:type="dxa"/>
            <w:tcBorders>
              <w:top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Payables</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17 591</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16 704</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10 000</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6 704</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600C1B" w:rsidRPr="00892DE3" w:rsidRDefault="00600C1B" w:rsidP="00DB5273">
            <w:pPr>
              <w:rPr>
                <w:rFonts w:cstheme="majorHAnsi"/>
              </w:rPr>
            </w:pPr>
            <w:r w:rsidRPr="00892DE3">
              <w:rPr>
                <w:rFonts w:cstheme="majorHAnsi"/>
              </w:rPr>
              <w:t>Other liabilities</w:t>
            </w:r>
          </w:p>
        </w:tc>
        <w:tc>
          <w:tcPr>
            <w:tcW w:w="1276"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80 010</w:t>
            </w:r>
          </w:p>
        </w:tc>
        <w:tc>
          <w:tcPr>
            <w:tcW w:w="1417" w:type="dxa"/>
            <w:tcBorders>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96 122</w:t>
            </w:r>
          </w:p>
        </w:tc>
        <w:tc>
          <w:tcPr>
            <w:tcW w:w="1559" w:type="dxa"/>
            <w:tcBorders>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96 122</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Total liabilities</w:t>
            </w:r>
          </w:p>
        </w:tc>
        <w:tc>
          <w:tcPr>
            <w:tcW w:w="1276"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97 601</w:t>
            </w:r>
          </w:p>
        </w:tc>
        <w:tc>
          <w:tcPr>
            <w:tcW w:w="1417" w:type="dxa"/>
            <w:tcBorders>
              <w:top w:val="single" w:sz="6" w:space="0" w:color="000000"/>
              <w:bottom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112 826</w:t>
            </w:r>
          </w:p>
        </w:tc>
        <w:tc>
          <w:tcPr>
            <w:tcW w:w="1559" w:type="dxa"/>
            <w:tcBorders>
              <w:top w:val="single" w:sz="6" w:space="0" w:color="000000"/>
              <w:bottom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10 000</w:t>
            </w:r>
          </w:p>
        </w:tc>
        <w:tc>
          <w:tcPr>
            <w:tcW w:w="1672" w:type="dxa"/>
            <w:tcBorders>
              <w:top w:val="single" w:sz="6" w:space="0" w:color="000000"/>
              <w:bottom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102 826</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tcBorders>
            <w:hideMark/>
          </w:tcPr>
          <w:p w:rsidR="00600C1B" w:rsidRPr="00892DE3" w:rsidRDefault="00600C1B" w:rsidP="00DB5273">
            <w:pPr>
              <w:rPr>
                <w:rFonts w:cstheme="majorHAnsi"/>
                <w:b/>
              </w:rPr>
            </w:pPr>
            <w:r w:rsidRPr="00892DE3">
              <w:rPr>
                <w:rFonts w:cstheme="majorHAnsi"/>
                <w:b/>
              </w:rPr>
              <w:t>Equity</w:t>
            </w:r>
          </w:p>
        </w:tc>
        <w:tc>
          <w:tcPr>
            <w:tcW w:w="1276" w:type="dxa"/>
            <w:tcBorders>
              <w:top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c>
          <w:tcPr>
            <w:tcW w:w="1417" w:type="dxa"/>
            <w:tcBorders>
              <w:top w:val="single" w:sz="6" w:space="0" w:color="000000"/>
            </w:tcBorders>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c>
          <w:tcPr>
            <w:tcW w:w="1559" w:type="dxa"/>
            <w:tcBorders>
              <w:top w:val="single" w:sz="6" w:space="0" w:color="000000"/>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c>
          <w:tcPr>
            <w:tcW w:w="1672" w:type="dxa"/>
            <w:tcBorders>
              <w:top w:val="single" w:sz="6" w:space="0" w:color="000000"/>
            </w:tcBorders>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Accumulated surplus/(deficit)</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78 633</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71 133</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71 133</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Physical asset revaluation surplus</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7 338</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3 759</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3 759</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Financial assets available</w:t>
            </w:r>
            <w:r w:rsidRPr="00892DE3">
              <w:rPr>
                <w:rFonts w:cstheme="majorHAnsi"/>
              </w:rPr>
              <w:noBreakHyphen/>
              <w:t>for</w:t>
            </w:r>
            <w:r w:rsidRPr="00892DE3">
              <w:rPr>
                <w:rFonts w:cstheme="majorHAnsi"/>
              </w:rPr>
              <w:noBreakHyphen/>
              <w:t>sale</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200</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1 723</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1 723</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Contributed capital</w:t>
            </w:r>
          </w:p>
        </w:tc>
        <w:tc>
          <w:tcPr>
            <w:tcW w:w="1276"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57 460</w:t>
            </w:r>
          </w:p>
        </w:tc>
        <w:tc>
          <w:tcPr>
            <w:tcW w:w="1417" w:type="dxa"/>
            <w:shd w:val="clear" w:color="auto" w:fill="EBEBEB"/>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38 345</w:t>
            </w:r>
          </w:p>
        </w:tc>
        <w:tc>
          <w:tcPr>
            <w:tcW w:w="1559"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38 345</w:t>
            </w:r>
          </w:p>
        </w:tc>
      </w:tr>
      <w:tr w:rsidR="00600C1B" w:rsidRPr="00892DE3" w:rsidTr="00DB527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r w:rsidRPr="00892DE3">
              <w:t>Net worth</w:t>
            </w:r>
          </w:p>
        </w:tc>
        <w:tc>
          <w:tcPr>
            <w:tcW w:w="1276" w:type="dxa"/>
            <w:shd w:val="clear" w:color="auto" w:fill="EBEBEB"/>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143 632</w:t>
            </w:r>
          </w:p>
        </w:tc>
        <w:tc>
          <w:tcPr>
            <w:tcW w:w="1417" w:type="dxa"/>
            <w:shd w:val="clear" w:color="auto" w:fill="EBEBEB"/>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114 960</w:t>
            </w:r>
          </w:p>
        </w:tc>
        <w:tc>
          <w:tcPr>
            <w:tcW w:w="1559" w:type="dxa"/>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w:t>
            </w:r>
          </w:p>
        </w:tc>
        <w:tc>
          <w:tcPr>
            <w:tcW w:w="1672" w:type="dxa"/>
            <w:hideMark/>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114 960</w:t>
            </w:r>
          </w:p>
        </w:tc>
      </w:tr>
    </w:tbl>
    <w:p w:rsidR="00600C1B" w:rsidRPr="00892DE3" w:rsidRDefault="00600C1B" w:rsidP="00600C1B"/>
    <w:p w:rsidR="00600C1B" w:rsidRPr="00892DE3" w:rsidRDefault="00637932" w:rsidP="00600C1B">
      <w:pPr>
        <w:pStyle w:val="TableHeading"/>
      </w:pPr>
      <w:r w:rsidRPr="00892DE3">
        <w:t xml:space="preserve">Impact of correction of an error on </w:t>
      </w:r>
      <w:r w:rsidR="00600C1B" w:rsidRPr="00892DE3">
        <w:t>the consolidated cash flow statement</w:t>
      </w:r>
      <w:r w:rsidR="00600C1B" w:rsidRPr="00892DE3">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713"/>
        <w:gridCol w:w="1276"/>
        <w:gridCol w:w="1417"/>
        <w:gridCol w:w="1559"/>
        <w:gridCol w:w="1672"/>
      </w:tblGrid>
      <w:tr w:rsidR="00600C1B" w:rsidRPr="00892DE3" w:rsidTr="00DB52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tc>
        <w:tc>
          <w:tcPr>
            <w:tcW w:w="1276" w:type="dxa"/>
            <w:tcBorders>
              <w:bottom w:val="nil"/>
            </w:tcBorders>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 xml:space="preserve">As at </w:t>
            </w:r>
            <w:r w:rsidRPr="00892DE3">
              <w:br/>
              <w:t>30 June 2017</w:t>
            </w:r>
          </w:p>
        </w:tc>
        <w:tc>
          <w:tcPr>
            <w:tcW w:w="1417" w:type="dxa"/>
            <w:tcBorders>
              <w:bottom w:val="nil"/>
            </w:tcBorders>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As at 30 June 2016 (restated)</w:t>
            </w:r>
          </w:p>
        </w:tc>
        <w:tc>
          <w:tcPr>
            <w:tcW w:w="1559" w:type="dxa"/>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Consolidation of Innovation Victoria (100% owned)</w:t>
            </w:r>
          </w:p>
        </w:tc>
        <w:tc>
          <w:tcPr>
            <w:tcW w:w="1672" w:type="dxa"/>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 xml:space="preserve">As at 30 June 2016 </w:t>
            </w:r>
            <w:r w:rsidRPr="00892DE3">
              <w:br/>
              <w:t>(as previously reported)</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Receipts from government</w:t>
            </w:r>
          </w:p>
        </w:tc>
        <w:tc>
          <w:tcPr>
            <w:tcW w:w="1276"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78 344</w:t>
            </w:r>
          </w:p>
        </w:tc>
        <w:tc>
          <w:tcPr>
            <w:tcW w:w="1417"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87 135</w:t>
            </w:r>
          </w:p>
        </w:tc>
        <w:tc>
          <w:tcPr>
            <w:tcW w:w="1559"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(500)</w:t>
            </w:r>
          </w:p>
        </w:tc>
        <w:tc>
          <w:tcPr>
            <w:tcW w:w="1672"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87 635</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Receipts from other entities</w:t>
            </w:r>
          </w:p>
        </w:tc>
        <w:tc>
          <w:tcPr>
            <w:tcW w:w="1276"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5 536</w:t>
            </w:r>
          </w:p>
        </w:tc>
        <w:tc>
          <w:tcPr>
            <w:tcW w:w="1417"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4 373</w:t>
            </w:r>
          </w:p>
        </w:tc>
        <w:tc>
          <w:tcPr>
            <w:tcW w:w="1559"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(1 400)</w:t>
            </w:r>
          </w:p>
        </w:tc>
        <w:tc>
          <w:tcPr>
            <w:tcW w:w="1672"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5 773</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Interest received</w:t>
            </w:r>
          </w:p>
        </w:tc>
        <w:tc>
          <w:tcPr>
            <w:tcW w:w="1276"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1 749</w:t>
            </w:r>
          </w:p>
        </w:tc>
        <w:tc>
          <w:tcPr>
            <w:tcW w:w="1417"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1 606</w:t>
            </w:r>
          </w:p>
        </w:tc>
        <w:tc>
          <w:tcPr>
            <w:tcW w:w="1559"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1 606</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Dividends received</w:t>
            </w:r>
          </w:p>
        </w:tc>
        <w:tc>
          <w:tcPr>
            <w:tcW w:w="1276"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1 698</w:t>
            </w:r>
          </w:p>
        </w:tc>
        <w:tc>
          <w:tcPr>
            <w:tcW w:w="1417"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1 611</w:t>
            </w:r>
          </w:p>
        </w:tc>
        <w:tc>
          <w:tcPr>
            <w:tcW w:w="1559"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1 611</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600C1B" w:rsidRPr="00892DE3" w:rsidRDefault="00600C1B" w:rsidP="00DB5273">
            <w:pPr>
              <w:rPr>
                <w:rFonts w:cstheme="majorHAnsi"/>
              </w:rPr>
            </w:pPr>
            <w:r w:rsidRPr="00892DE3">
              <w:rPr>
                <w:rFonts w:cstheme="majorHAnsi"/>
              </w:rPr>
              <w:t>Other receipts</w:t>
            </w:r>
          </w:p>
        </w:tc>
        <w:tc>
          <w:tcPr>
            <w:tcW w:w="1276" w:type="dxa"/>
            <w:tcBorders>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516</w:t>
            </w:r>
          </w:p>
        </w:tc>
        <w:tc>
          <w:tcPr>
            <w:tcW w:w="1417" w:type="dxa"/>
            <w:tcBorders>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262</w:t>
            </w:r>
          </w:p>
        </w:tc>
        <w:tc>
          <w:tcPr>
            <w:tcW w:w="1559" w:type="dxa"/>
            <w:tcBorders>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262</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Total receipts</w:t>
            </w:r>
          </w:p>
        </w:tc>
        <w:tc>
          <w:tcPr>
            <w:tcW w:w="1276"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87 843</w:t>
            </w:r>
          </w:p>
        </w:tc>
        <w:tc>
          <w:tcPr>
            <w:tcW w:w="1417"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94 987</w:t>
            </w:r>
          </w:p>
        </w:tc>
        <w:tc>
          <w:tcPr>
            <w:tcW w:w="1559"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(1 900)</w:t>
            </w:r>
          </w:p>
        </w:tc>
        <w:tc>
          <w:tcPr>
            <w:tcW w:w="1672"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96 887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tcBorders>
            <w:hideMark/>
          </w:tcPr>
          <w:p w:rsidR="00600C1B" w:rsidRPr="00892DE3" w:rsidRDefault="00600C1B" w:rsidP="00DB5273">
            <w:pPr>
              <w:rPr>
                <w:rFonts w:cstheme="majorHAnsi"/>
              </w:rPr>
            </w:pPr>
            <w:r w:rsidRPr="00892DE3">
              <w:rPr>
                <w:rFonts w:cstheme="majorHAnsi"/>
              </w:rPr>
              <w:t>Payments of grants and other transfers</w:t>
            </w:r>
          </w:p>
        </w:tc>
        <w:tc>
          <w:tcPr>
            <w:tcW w:w="1276" w:type="dxa"/>
            <w:tcBorders>
              <w:top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(36 227)</w:t>
            </w:r>
          </w:p>
        </w:tc>
        <w:tc>
          <w:tcPr>
            <w:tcW w:w="1417" w:type="dxa"/>
            <w:tcBorders>
              <w:top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(47 011)</w:t>
            </w:r>
          </w:p>
        </w:tc>
        <w:tc>
          <w:tcPr>
            <w:tcW w:w="1559" w:type="dxa"/>
            <w:tcBorders>
              <w:top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top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(47 011)</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Payments to suppliers and employees</w:t>
            </w:r>
          </w:p>
        </w:tc>
        <w:tc>
          <w:tcPr>
            <w:tcW w:w="1276"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(22 979)</w:t>
            </w:r>
          </w:p>
        </w:tc>
        <w:tc>
          <w:tcPr>
            <w:tcW w:w="1417"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(19 167)</w:t>
            </w:r>
          </w:p>
        </w:tc>
        <w:tc>
          <w:tcPr>
            <w:tcW w:w="1559"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(1 500)</w:t>
            </w:r>
          </w:p>
        </w:tc>
        <w:tc>
          <w:tcPr>
            <w:tcW w:w="1672"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(20 667)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GST paid to the ATO</w:t>
            </w:r>
          </w:p>
        </w:tc>
        <w:tc>
          <w:tcPr>
            <w:tcW w:w="1276"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(3 055)</w:t>
            </w:r>
          </w:p>
        </w:tc>
        <w:tc>
          <w:tcPr>
            <w:tcW w:w="1417"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(3 497)</w:t>
            </w:r>
          </w:p>
        </w:tc>
        <w:tc>
          <w:tcPr>
            <w:tcW w:w="1559"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(3 497)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Capital asset charge payments</w:t>
            </w:r>
          </w:p>
        </w:tc>
        <w:tc>
          <w:tcPr>
            <w:tcW w:w="1276"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(1 567)</w:t>
            </w:r>
          </w:p>
        </w:tc>
        <w:tc>
          <w:tcPr>
            <w:tcW w:w="1417"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(952)</w:t>
            </w:r>
          </w:p>
        </w:tc>
        <w:tc>
          <w:tcPr>
            <w:tcW w:w="1559"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(952)</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Interest and other costs of finance paid</w:t>
            </w:r>
          </w:p>
        </w:tc>
        <w:tc>
          <w:tcPr>
            <w:tcW w:w="1276"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(2 427)</w:t>
            </w:r>
          </w:p>
        </w:tc>
        <w:tc>
          <w:tcPr>
            <w:tcW w:w="1417"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(2 507)</w:t>
            </w:r>
          </w:p>
        </w:tc>
        <w:tc>
          <w:tcPr>
            <w:tcW w:w="1559"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(2 507)</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600C1B" w:rsidRPr="00892DE3" w:rsidRDefault="00600C1B" w:rsidP="00DB5273">
            <w:pPr>
              <w:rPr>
                <w:rFonts w:cstheme="majorHAnsi"/>
              </w:rPr>
            </w:pPr>
            <w:r w:rsidRPr="00892DE3">
              <w:rPr>
                <w:rFonts w:cstheme="majorHAnsi"/>
              </w:rPr>
              <w:t>Other payments</w:t>
            </w:r>
          </w:p>
        </w:tc>
        <w:tc>
          <w:tcPr>
            <w:tcW w:w="1276" w:type="dxa"/>
            <w:tcBorders>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(6 382)</w:t>
            </w:r>
          </w:p>
        </w:tc>
        <w:tc>
          <w:tcPr>
            <w:tcW w:w="1417" w:type="dxa"/>
            <w:tcBorders>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(3 200)</w:t>
            </w:r>
          </w:p>
        </w:tc>
        <w:tc>
          <w:tcPr>
            <w:tcW w:w="1559" w:type="dxa"/>
            <w:tcBorders>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(3 200)</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Total payments</w:t>
            </w:r>
          </w:p>
        </w:tc>
        <w:tc>
          <w:tcPr>
            <w:tcW w:w="1276"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(72 637)</w:t>
            </w:r>
          </w:p>
        </w:tc>
        <w:tc>
          <w:tcPr>
            <w:tcW w:w="1417"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(76 334)</w:t>
            </w:r>
          </w:p>
        </w:tc>
        <w:tc>
          <w:tcPr>
            <w:tcW w:w="1559"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14 500</w:t>
            </w:r>
          </w:p>
        </w:tc>
        <w:tc>
          <w:tcPr>
            <w:tcW w:w="1672"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(77 834)</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Net cash flows from operating activities</w:t>
            </w:r>
          </w:p>
        </w:tc>
        <w:tc>
          <w:tcPr>
            <w:tcW w:w="1276"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15 207</w:t>
            </w:r>
          </w:p>
        </w:tc>
        <w:tc>
          <w:tcPr>
            <w:tcW w:w="1417"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18 654</w:t>
            </w:r>
          </w:p>
        </w:tc>
        <w:tc>
          <w:tcPr>
            <w:tcW w:w="1559"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(3 400)</w:t>
            </w:r>
          </w:p>
        </w:tc>
        <w:tc>
          <w:tcPr>
            <w:tcW w:w="1672"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22 054</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Net cash flows from/(used in) investing activities</w:t>
            </w:r>
          </w:p>
        </w:tc>
        <w:tc>
          <w:tcPr>
            <w:tcW w:w="1276"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(25 403)</w:t>
            </w:r>
          </w:p>
        </w:tc>
        <w:tc>
          <w:tcPr>
            <w:tcW w:w="1417"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(23 124)</w:t>
            </w:r>
          </w:p>
        </w:tc>
        <w:tc>
          <w:tcPr>
            <w:tcW w:w="1559"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(23 124)</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Net cash flows from/(used in) financing activities</w:t>
            </w:r>
          </w:p>
        </w:tc>
        <w:tc>
          <w:tcPr>
            <w:tcW w:w="1276"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30 607</w:t>
            </w:r>
          </w:p>
        </w:tc>
        <w:tc>
          <w:tcPr>
            <w:tcW w:w="1417"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13 711</w:t>
            </w:r>
          </w:p>
        </w:tc>
        <w:tc>
          <w:tcPr>
            <w:tcW w:w="1559"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13 711</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600C1B" w:rsidRPr="00892DE3" w:rsidRDefault="00600C1B" w:rsidP="00DB5273">
            <w:pPr>
              <w:rPr>
                <w:rFonts w:cstheme="majorHAnsi"/>
                <w:b/>
              </w:rPr>
            </w:pPr>
            <w:r w:rsidRPr="00892DE3">
              <w:rPr>
                <w:rFonts w:cstheme="majorHAnsi"/>
                <w:b/>
              </w:rPr>
              <w:t>Net increase/(decrease) in cash and cash equivalents</w:t>
            </w:r>
          </w:p>
        </w:tc>
        <w:tc>
          <w:tcPr>
            <w:tcW w:w="1276"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20 411</w:t>
            </w:r>
          </w:p>
        </w:tc>
        <w:tc>
          <w:tcPr>
            <w:tcW w:w="1417" w:type="dxa"/>
            <w:tcBorders>
              <w:top w:val="single" w:sz="6" w:space="0" w:color="000000"/>
              <w:bottom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9 241</w:t>
            </w:r>
          </w:p>
        </w:tc>
        <w:tc>
          <w:tcPr>
            <w:tcW w:w="1559"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(3 400)</w:t>
            </w:r>
          </w:p>
        </w:tc>
        <w:tc>
          <w:tcPr>
            <w:tcW w:w="1672" w:type="dxa"/>
            <w:tcBorders>
              <w:top w:val="single" w:sz="6" w:space="0" w:color="000000"/>
              <w:bottom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12 641</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tcBorders>
            <w:hideMark/>
          </w:tcPr>
          <w:p w:rsidR="00600C1B" w:rsidRPr="00892DE3" w:rsidRDefault="00600C1B" w:rsidP="00DB5273">
            <w:pPr>
              <w:rPr>
                <w:rFonts w:cstheme="majorHAnsi"/>
              </w:rPr>
            </w:pPr>
            <w:r w:rsidRPr="00892DE3">
              <w:rPr>
                <w:rFonts w:cstheme="majorHAnsi"/>
              </w:rPr>
              <w:t>Cash and cash equivalents at beginning of financial year</w:t>
            </w:r>
          </w:p>
        </w:tc>
        <w:tc>
          <w:tcPr>
            <w:tcW w:w="1276" w:type="dxa"/>
            <w:tcBorders>
              <w:top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44 494</w:t>
            </w:r>
          </w:p>
        </w:tc>
        <w:tc>
          <w:tcPr>
            <w:tcW w:w="1417" w:type="dxa"/>
            <w:tcBorders>
              <w:top w:val="single" w:sz="6" w:space="0" w:color="000000"/>
            </w:tcBorders>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35 094</w:t>
            </w:r>
          </w:p>
        </w:tc>
        <w:tc>
          <w:tcPr>
            <w:tcW w:w="1559" w:type="dxa"/>
            <w:tcBorders>
              <w:top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13 000</w:t>
            </w:r>
          </w:p>
        </w:tc>
        <w:tc>
          <w:tcPr>
            <w:tcW w:w="1672" w:type="dxa"/>
            <w:tcBorders>
              <w:top w:val="single" w:sz="6" w:space="0" w:color="000000"/>
            </w:tcBorders>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22 094</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pPr>
              <w:rPr>
                <w:rFonts w:cstheme="majorHAnsi"/>
              </w:rPr>
            </w:pPr>
            <w:r w:rsidRPr="00892DE3">
              <w:rPr>
                <w:rFonts w:cstheme="majorHAnsi"/>
              </w:rPr>
              <w:t>Effect of exchange rate on cash held in foreign currency</w:t>
            </w:r>
          </w:p>
        </w:tc>
        <w:tc>
          <w:tcPr>
            <w:tcW w:w="1276"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(471)</w:t>
            </w:r>
          </w:p>
        </w:tc>
        <w:tc>
          <w:tcPr>
            <w:tcW w:w="1417" w:type="dxa"/>
            <w:shd w:val="clear" w:color="auto" w:fill="EBEBEB"/>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160</w:t>
            </w:r>
          </w:p>
        </w:tc>
        <w:tc>
          <w:tcPr>
            <w:tcW w:w="1559"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(8 800)</w:t>
            </w:r>
          </w:p>
        </w:tc>
        <w:tc>
          <w:tcPr>
            <w:tcW w:w="1672" w:type="dxa"/>
          </w:tcPr>
          <w:p w:rsidR="00600C1B" w:rsidRPr="00892DE3" w:rsidRDefault="00600C1B" w:rsidP="00DB5273">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8 960</w:t>
            </w:r>
          </w:p>
        </w:tc>
      </w:tr>
      <w:tr w:rsidR="00600C1B" w:rsidRPr="00892DE3" w:rsidTr="00DB527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3" w:type="dxa"/>
            <w:hideMark/>
          </w:tcPr>
          <w:p w:rsidR="00600C1B" w:rsidRPr="00892DE3" w:rsidRDefault="00600C1B" w:rsidP="00DB5273">
            <w:r w:rsidRPr="00892DE3">
              <w:t>Cash and cash equivalents at end of financial year</w:t>
            </w:r>
          </w:p>
        </w:tc>
        <w:tc>
          <w:tcPr>
            <w:tcW w:w="1276" w:type="dxa"/>
            <w:shd w:val="clear" w:color="auto" w:fill="EBEBEB"/>
          </w:tcPr>
          <w:p w:rsidR="00600C1B" w:rsidRPr="00892DE3" w:rsidRDefault="00600C1B" w:rsidP="00DB5273">
            <w:pPr>
              <w:ind w:left="170" w:hanging="170"/>
              <w:cnfStyle w:val="010000000000" w:firstRow="0" w:lastRow="1" w:firstColumn="0" w:lastColumn="0" w:oddVBand="0" w:evenVBand="0" w:oddHBand="0" w:evenHBand="0" w:firstRowFirstColumn="0" w:firstRowLastColumn="0" w:lastRowFirstColumn="0" w:lastRowLastColumn="0"/>
            </w:pPr>
            <w:r w:rsidRPr="00892DE3">
              <w:t>64 434</w:t>
            </w:r>
          </w:p>
        </w:tc>
        <w:tc>
          <w:tcPr>
            <w:tcW w:w="1417" w:type="dxa"/>
            <w:shd w:val="clear" w:color="auto" w:fill="EBEBEB"/>
          </w:tcPr>
          <w:p w:rsidR="00600C1B" w:rsidRPr="00892DE3" w:rsidRDefault="00600C1B" w:rsidP="00DB5273">
            <w:pPr>
              <w:ind w:left="170" w:hanging="170"/>
              <w:cnfStyle w:val="010000000000" w:firstRow="0" w:lastRow="1" w:firstColumn="0" w:lastColumn="0" w:oddVBand="0" w:evenVBand="0" w:oddHBand="0" w:evenHBand="0" w:firstRowFirstColumn="0" w:firstRowLastColumn="0" w:lastRowFirstColumn="0" w:lastRowLastColumn="0"/>
            </w:pPr>
            <w:r w:rsidRPr="00892DE3">
              <w:t>44 494</w:t>
            </w:r>
          </w:p>
        </w:tc>
        <w:tc>
          <w:tcPr>
            <w:tcW w:w="1559" w:type="dxa"/>
          </w:tcPr>
          <w:p w:rsidR="00600C1B" w:rsidRPr="00892DE3" w:rsidRDefault="00600C1B" w:rsidP="00DB5273">
            <w:pPr>
              <w:ind w:left="170" w:hanging="170"/>
              <w:cnfStyle w:val="010000000000" w:firstRow="0" w:lastRow="1" w:firstColumn="0" w:lastColumn="0" w:oddVBand="0" w:evenVBand="0" w:oddHBand="0" w:evenHBand="0" w:firstRowFirstColumn="0" w:firstRowLastColumn="0" w:lastRowFirstColumn="0" w:lastRowLastColumn="0"/>
            </w:pPr>
            <w:r w:rsidRPr="00892DE3">
              <w:t>800</w:t>
            </w:r>
          </w:p>
        </w:tc>
        <w:tc>
          <w:tcPr>
            <w:tcW w:w="1672" w:type="dxa"/>
          </w:tcPr>
          <w:p w:rsidR="00600C1B" w:rsidRPr="00892DE3" w:rsidRDefault="00600C1B" w:rsidP="00DB5273">
            <w:pPr>
              <w:ind w:left="170" w:hanging="170"/>
              <w:cnfStyle w:val="010000000000" w:firstRow="0" w:lastRow="1" w:firstColumn="0" w:lastColumn="0" w:oddVBand="0" w:evenVBand="0" w:oddHBand="0" w:evenHBand="0" w:firstRowFirstColumn="0" w:firstRowLastColumn="0" w:lastRowFirstColumn="0" w:lastRowLastColumn="0"/>
            </w:pPr>
            <w:r w:rsidRPr="00892DE3">
              <w:t>43 694</w:t>
            </w:r>
          </w:p>
        </w:tc>
      </w:tr>
    </w:tbl>
    <w:p w:rsidR="00600C1B" w:rsidRPr="00892DE3" w:rsidRDefault="00600C1B" w:rsidP="00600C1B">
      <w:pPr>
        <w:pStyle w:val="Heading30"/>
      </w:pPr>
      <w:r w:rsidRPr="00892DE3">
        <w:t xml:space="preserve">Impact of changes in accounting policies on the statement of changes in equity </w:t>
      </w:r>
    </w:p>
    <w:p w:rsidR="00600C1B" w:rsidRPr="00892DE3" w:rsidRDefault="00600C1B" w:rsidP="00600C1B">
      <w:r w:rsidRPr="00892DE3">
        <w:t>As the Department’s equity has not been affected by the consolidation of Innovation Victoria, no adjustments to the Department’s statement of changes in equity are made.</w:t>
      </w:r>
    </w:p>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DB5273">
            <w:r w:rsidRPr="00892DE3">
              <w:t>Guidance – Correction of prior period errors and changes in accounting policy and accounting estimates</w:t>
            </w:r>
          </w:p>
        </w:tc>
      </w:tr>
      <w:tr w:rsidR="00600C1B" w:rsidRPr="00892DE3" w:rsidTr="00DB5273">
        <w:tc>
          <w:tcPr>
            <w:tcW w:w="9752" w:type="dxa"/>
          </w:tcPr>
          <w:p w:rsidR="00600C1B" w:rsidRPr="00892DE3" w:rsidRDefault="00600C1B" w:rsidP="00DB5273">
            <w:pPr>
              <w:rPr>
                <w:b/>
              </w:rPr>
            </w:pPr>
            <w:r w:rsidRPr="00892DE3">
              <w:rPr>
                <w:b/>
              </w:rPr>
              <w:t>Prior period errors</w:t>
            </w:r>
          </w:p>
          <w:p w:rsidR="00600C1B" w:rsidRPr="00892DE3" w:rsidRDefault="00600C1B" w:rsidP="00DB5273">
            <w:r w:rsidRPr="00892DE3">
              <w:t>Material prior period errors shall be retrospectively corrected in the first complete set of financial statements authorised for issue after their discovery by:</w:t>
            </w:r>
          </w:p>
          <w:p w:rsidR="00600C1B" w:rsidRPr="00892DE3" w:rsidRDefault="00600C1B" w:rsidP="00DB5273">
            <w:pPr>
              <w:pStyle w:val="List"/>
            </w:pPr>
            <w:r w:rsidRPr="00892DE3">
              <w:t>(a)</w:t>
            </w:r>
            <w:r w:rsidRPr="00892DE3">
              <w:tab/>
              <w:t>restating the comparative amounts for the prior period(s) presented in which the error occurred; or</w:t>
            </w:r>
          </w:p>
          <w:p w:rsidR="00600C1B" w:rsidRPr="00892DE3" w:rsidRDefault="00600C1B" w:rsidP="00DB5273">
            <w:pPr>
              <w:pStyle w:val="List"/>
            </w:pPr>
            <w:r w:rsidRPr="00892DE3">
              <w:t>(b)</w:t>
            </w:r>
            <w:r w:rsidRPr="00892DE3">
              <w:tab/>
              <w:t xml:space="preserve">if the error occurred before the earliest prior period presented, restating the opening balances of assets, liabilities and equity for the earliest prior period presented. </w:t>
            </w:r>
            <w:r w:rsidRPr="00892DE3">
              <w:rPr>
                <w:rStyle w:val="SourceReference"/>
              </w:rPr>
              <w:t>[AASB 108.42]</w:t>
            </w:r>
          </w:p>
          <w:p w:rsidR="00600C1B" w:rsidRPr="00892DE3" w:rsidRDefault="00600C1B" w:rsidP="00DB5273">
            <w:r w:rsidRPr="00892DE3">
              <w:t>Exceptions to this will be made to the extent that it is impracticable to determine the:</w:t>
            </w:r>
          </w:p>
          <w:p w:rsidR="00600C1B" w:rsidRPr="00892DE3" w:rsidRDefault="00600C1B" w:rsidP="00DB5273">
            <w:pPr>
              <w:pStyle w:val="List"/>
            </w:pPr>
            <w:r w:rsidRPr="00892DE3">
              <w:t>(a)</w:t>
            </w:r>
            <w:r w:rsidRPr="00892DE3">
              <w:tab/>
              <w:t xml:space="preserve">period specific effects of an error on comparative information for one or more prior periods presented. The entity shall then restate the opening balances of assets, liabilities and equity for the earliest period for which retrospective restatement is practicable (which may be the current period); and/or </w:t>
            </w:r>
            <w:r w:rsidRPr="00892DE3">
              <w:rPr>
                <w:rStyle w:val="SourceReference"/>
              </w:rPr>
              <w:t>[AASB 108.44]</w:t>
            </w:r>
          </w:p>
          <w:p w:rsidR="00600C1B" w:rsidRPr="00892DE3" w:rsidRDefault="00600C1B" w:rsidP="00DB5273">
            <w:pPr>
              <w:pStyle w:val="List"/>
            </w:pPr>
            <w:r w:rsidRPr="00892DE3">
              <w:t>(b)</w:t>
            </w:r>
            <w:r w:rsidRPr="00892DE3">
              <w:tab/>
              <w:t xml:space="preserve">cumulative effect, at the beginning of the current period, of an error on all prior periods. The entity shall then restate the comparative information to correct the error prospectively from the earliest date practicable. </w:t>
            </w:r>
            <w:r w:rsidRPr="00892DE3">
              <w:br/>
            </w:r>
            <w:r w:rsidRPr="00892DE3">
              <w:rPr>
                <w:rStyle w:val="SourceReference"/>
              </w:rPr>
              <w:t>[AASB 108.45]</w:t>
            </w:r>
          </w:p>
          <w:p w:rsidR="00600C1B" w:rsidRPr="00892DE3" w:rsidRDefault="00600C1B" w:rsidP="00DB5273">
            <w:pPr>
              <w:rPr>
                <w:rStyle w:val="SourceReference"/>
              </w:rPr>
            </w:pPr>
            <w:r w:rsidRPr="00892DE3">
              <w:t xml:space="preserve">The correction of a prior period error is excluded from the net result for the period in which the error is discovered. Any information presented about prior periods, including any historical summaries of financial data, is restated as far back as is practicable. </w:t>
            </w:r>
            <w:r w:rsidRPr="00892DE3">
              <w:rPr>
                <w:rStyle w:val="SourceReference"/>
              </w:rPr>
              <w:t>[AASB 108.46]</w:t>
            </w:r>
          </w:p>
          <w:p w:rsidR="00600C1B" w:rsidRPr="00892DE3" w:rsidRDefault="00600C1B" w:rsidP="00DB5273">
            <w:pPr>
              <w:rPr>
                <w:b/>
              </w:rPr>
            </w:pPr>
            <w:r w:rsidRPr="00892DE3">
              <w:rPr>
                <w:b/>
              </w:rPr>
              <w:t>Changes in accounting policy</w:t>
            </w:r>
          </w:p>
          <w:p w:rsidR="00600C1B" w:rsidRPr="00892DE3" w:rsidRDefault="00600C1B" w:rsidP="00DB5273">
            <w:r w:rsidRPr="00892DE3">
              <w:t xml:space="preserve">A change in accounting policy resulting from the initial application of an AAS shall be applied in accordance with the transitional provisions of that AAS. Where specific transitional provisions are not included, the change shall be applied retrospectively. </w:t>
            </w:r>
            <w:r w:rsidRPr="00892DE3">
              <w:rPr>
                <w:rStyle w:val="SourceReference"/>
              </w:rPr>
              <w:t>[AASB 108.19]</w:t>
            </w:r>
          </w:p>
          <w:p w:rsidR="00600C1B" w:rsidRPr="00892DE3" w:rsidRDefault="00600C1B" w:rsidP="00DB5273">
            <w:r w:rsidRPr="00892DE3">
              <w:t xml:space="preserve">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 </w:t>
            </w:r>
            <w:r w:rsidRPr="00892DE3">
              <w:rPr>
                <w:rStyle w:val="SourceReference"/>
              </w:rPr>
              <w:t>[AASB 108.22]</w:t>
            </w:r>
          </w:p>
          <w:p w:rsidR="00600C1B" w:rsidRPr="00892DE3" w:rsidRDefault="00600C1B" w:rsidP="00DB5273">
            <w:r w:rsidRPr="00892DE3">
              <w:t xml:space="preserve">When there is a change in accounting policy that requires the changes to be applied retrospectively, entities must disclose the amount of the adjustment relating to the previous periods to the extent practicable. </w:t>
            </w:r>
            <w:r w:rsidRPr="00892DE3">
              <w:rPr>
                <w:rStyle w:val="SourceReference"/>
              </w:rPr>
              <w:t>[AASB 108.28 9(g)]</w:t>
            </w:r>
          </w:p>
          <w:p w:rsidR="00600C1B" w:rsidRPr="00892DE3" w:rsidRDefault="00600C1B" w:rsidP="00DB5273">
            <w:r w:rsidRPr="00892DE3">
              <w:rPr>
                <w:b/>
              </w:rPr>
              <w:t>Third balance sheet</w:t>
            </w:r>
            <w:r w:rsidRPr="00892DE3">
              <w:t>: When an accounting policy is applied retrospectively, the correction of an error is made retrospectively and/or a reclassification of items is made in the financial statements, the public sector entity will be required to present, as a minimum, three balance sheets.</w:t>
            </w:r>
          </w:p>
          <w:p w:rsidR="00600C1B" w:rsidRPr="00892DE3" w:rsidRDefault="00600C1B" w:rsidP="00DB5273">
            <w:r w:rsidRPr="00892DE3">
              <w:t xml:space="preserve">The balance sheets to be presented are: </w:t>
            </w:r>
          </w:p>
          <w:p w:rsidR="00600C1B" w:rsidRPr="00892DE3" w:rsidRDefault="00600C1B" w:rsidP="00DB5273">
            <w:pPr>
              <w:pStyle w:val="ListBullet"/>
            </w:pPr>
            <w:r w:rsidRPr="00892DE3">
              <w:t>at the end of the current period;</w:t>
            </w:r>
          </w:p>
          <w:p w:rsidR="00600C1B" w:rsidRPr="00892DE3" w:rsidRDefault="00600C1B" w:rsidP="00DB5273">
            <w:pPr>
              <w:pStyle w:val="ListBullet"/>
            </w:pPr>
            <w:r w:rsidRPr="00892DE3">
              <w:t>at the end of the previous period; and</w:t>
            </w:r>
          </w:p>
          <w:p w:rsidR="00600C1B" w:rsidRPr="00892DE3" w:rsidRDefault="00600C1B" w:rsidP="00DB5273">
            <w:pPr>
              <w:pStyle w:val="ListBullet"/>
            </w:pPr>
            <w:r w:rsidRPr="00892DE3">
              <w:t xml:space="preserve">at the beginning of the earliest comparative period. </w:t>
            </w:r>
          </w:p>
          <w:p w:rsidR="00600C1B" w:rsidRPr="00892DE3" w:rsidRDefault="00600C1B" w:rsidP="00DB5273">
            <w:r w:rsidRPr="00892DE3">
              <w:t xml:space="preserve">However, a third balance sheet is not required when the adjustment is immaterial to the financial position at the beginning of the preceding period. </w:t>
            </w:r>
            <w:r w:rsidRPr="00892DE3">
              <w:rPr>
                <w:rStyle w:val="SourceReference"/>
              </w:rPr>
              <w:t>[AASB 101.40A]</w:t>
            </w:r>
          </w:p>
          <w:p w:rsidR="00600C1B" w:rsidRPr="00892DE3" w:rsidRDefault="00600C1B" w:rsidP="00DB5273">
            <w:pPr>
              <w:rPr>
                <w:b/>
              </w:rPr>
            </w:pPr>
            <w:r w:rsidRPr="00892DE3">
              <w:rPr>
                <w:b/>
              </w:rPr>
              <w:t xml:space="preserve">Inappropriate accounting policies not rectified by disclosure </w:t>
            </w:r>
            <w:r w:rsidRPr="00892DE3">
              <w:rPr>
                <w:rStyle w:val="SourceReference"/>
              </w:rPr>
              <w:t>[AASB 101.18]</w:t>
            </w:r>
          </w:p>
          <w:p w:rsidR="00600C1B" w:rsidRPr="00892DE3" w:rsidRDefault="00600C1B" w:rsidP="00DB5273">
            <w:r w:rsidRPr="00892DE3">
              <w:t>Inappropriate accounting policies are not rectified either by disclosure of the accounting policies used or by notes or explanatory material.</w:t>
            </w:r>
          </w:p>
        </w:tc>
      </w:tr>
    </w:tbl>
    <w:p w:rsidR="00600C1B" w:rsidRPr="00892DE3" w:rsidRDefault="00600C1B" w:rsidP="00600C1B"/>
    <w:p w:rsidR="00600C1B" w:rsidRPr="00892DE3" w:rsidRDefault="00600C1B" w:rsidP="00600C1B"/>
    <w:p w:rsidR="00600C1B" w:rsidRPr="00892DE3" w:rsidRDefault="00600C1B" w:rsidP="00600C1B">
      <w:r w:rsidRPr="00892DE3">
        <w:rPr>
          <w:b/>
        </w:rPr>
        <w:br w:type="page"/>
      </w:r>
    </w:p>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DB5273">
            <w:r w:rsidRPr="00892DE3">
              <w:t xml:space="preserve">Guidance – Correction of prior period errors and changes in accounting policy and accounting estimates </w:t>
            </w:r>
            <w:r w:rsidRPr="00C33142">
              <w:rPr>
                <w:i/>
              </w:rPr>
              <w:t>(continued)</w:t>
            </w:r>
          </w:p>
        </w:tc>
      </w:tr>
      <w:tr w:rsidR="00600C1B" w:rsidRPr="00892DE3" w:rsidTr="00DB5273">
        <w:tc>
          <w:tcPr>
            <w:tcW w:w="9752" w:type="dxa"/>
          </w:tcPr>
          <w:p w:rsidR="00600C1B" w:rsidRPr="00892DE3" w:rsidRDefault="00600C1B" w:rsidP="00DB5273">
            <w:r w:rsidRPr="00892DE3">
              <w:rPr>
                <w:b/>
              </w:rPr>
              <w:t>Initial application of an AAS</w:t>
            </w:r>
            <w:r w:rsidRPr="00892DE3">
              <w:t xml:space="preserve"> </w:t>
            </w:r>
            <w:r w:rsidRPr="00892DE3">
              <w:rPr>
                <w:rStyle w:val="SourceReference"/>
              </w:rPr>
              <w:t>[AASB 108.28]</w:t>
            </w:r>
          </w:p>
          <w:p w:rsidR="00600C1B" w:rsidRPr="00892DE3" w:rsidRDefault="00600C1B" w:rsidP="00DB5273">
            <w:r w:rsidRPr="00892DE3">
              <w:t xml:space="preserve">When initial application of an AAS has an effect on the current period or any prior period, or would have such an effect except that it is impracticable to determine the amount of the adjustment, or might have an effect on future periods, </w:t>
            </w:r>
            <w:r w:rsidRPr="00892DE3">
              <w:br/>
              <w:t>an entity shall disclose:</w:t>
            </w:r>
          </w:p>
          <w:p w:rsidR="00600C1B" w:rsidRPr="00892DE3" w:rsidRDefault="00600C1B" w:rsidP="00DB5273">
            <w:pPr>
              <w:pStyle w:val="List"/>
            </w:pPr>
            <w:r w:rsidRPr="00892DE3">
              <w:t>(a)</w:t>
            </w:r>
            <w:r w:rsidRPr="00892DE3">
              <w:tab/>
              <w:t>the title of the AAS;</w:t>
            </w:r>
          </w:p>
          <w:p w:rsidR="00600C1B" w:rsidRPr="00892DE3" w:rsidRDefault="00600C1B" w:rsidP="00DB5273">
            <w:pPr>
              <w:pStyle w:val="List"/>
            </w:pPr>
            <w:r w:rsidRPr="00892DE3">
              <w:t>(b)</w:t>
            </w:r>
            <w:r w:rsidRPr="00892DE3">
              <w:tab/>
              <w:t>when applicable, that the change in accounting policy is made in accordance with its transitional provisions;</w:t>
            </w:r>
          </w:p>
          <w:p w:rsidR="00600C1B" w:rsidRPr="00892DE3" w:rsidRDefault="00600C1B" w:rsidP="00DB5273">
            <w:pPr>
              <w:pStyle w:val="List"/>
            </w:pPr>
            <w:r w:rsidRPr="00892DE3">
              <w:t>(c)</w:t>
            </w:r>
            <w:r w:rsidRPr="00892DE3">
              <w:tab/>
              <w:t>the nature of the change in accounting policy;</w:t>
            </w:r>
          </w:p>
          <w:p w:rsidR="00600C1B" w:rsidRPr="00892DE3" w:rsidRDefault="00600C1B" w:rsidP="00DB5273">
            <w:pPr>
              <w:pStyle w:val="List"/>
            </w:pPr>
            <w:r w:rsidRPr="00892DE3">
              <w:t>(d)</w:t>
            </w:r>
            <w:r w:rsidRPr="00892DE3">
              <w:tab/>
              <w:t>when applicable, a description of the transitional provisions;</w:t>
            </w:r>
          </w:p>
          <w:p w:rsidR="00600C1B" w:rsidRPr="00892DE3" w:rsidRDefault="00600C1B" w:rsidP="00DB5273">
            <w:pPr>
              <w:pStyle w:val="List"/>
            </w:pPr>
            <w:r w:rsidRPr="00892DE3">
              <w:t>(e)</w:t>
            </w:r>
            <w:r w:rsidRPr="00892DE3">
              <w:tab/>
              <w:t>when applicable, the transitional provisions that might have an effect on future periods;</w:t>
            </w:r>
          </w:p>
          <w:p w:rsidR="00600C1B" w:rsidRPr="00892DE3" w:rsidRDefault="00600C1B" w:rsidP="00DB5273">
            <w:pPr>
              <w:pStyle w:val="List"/>
            </w:pPr>
            <w:r w:rsidRPr="00892DE3">
              <w:t>(f)</w:t>
            </w:r>
            <w:r w:rsidRPr="00892DE3">
              <w:tab/>
              <w:t>for the current period and each prior period presented, to the extent practicable, the amount of the adjustment:</w:t>
            </w:r>
          </w:p>
          <w:p w:rsidR="00600C1B" w:rsidRPr="00892DE3" w:rsidRDefault="00600C1B" w:rsidP="00DB5273">
            <w:pPr>
              <w:pStyle w:val="List2"/>
            </w:pPr>
            <w:r w:rsidRPr="00892DE3">
              <w:t>(i)</w:t>
            </w:r>
            <w:r w:rsidRPr="00892DE3">
              <w:tab/>
              <w:t>for each financial statement’s line item affected; and</w:t>
            </w:r>
          </w:p>
          <w:p w:rsidR="00600C1B" w:rsidRPr="00892DE3" w:rsidRDefault="00600C1B" w:rsidP="00DB5273">
            <w:pPr>
              <w:pStyle w:val="List2"/>
            </w:pPr>
            <w:r w:rsidRPr="00892DE3">
              <w:t>(ii)</w:t>
            </w:r>
            <w:r w:rsidRPr="00892DE3">
              <w:tab/>
              <w:t>if AASB 133 Earnings per Share applies to the entity, for basic and diluted earnings per share;</w:t>
            </w:r>
          </w:p>
          <w:p w:rsidR="00600C1B" w:rsidRPr="00892DE3" w:rsidRDefault="00600C1B" w:rsidP="00DB5273">
            <w:pPr>
              <w:pStyle w:val="List"/>
            </w:pPr>
            <w:r w:rsidRPr="00892DE3">
              <w:t>(g)</w:t>
            </w:r>
            <w:r w:rsidRPr="00892DE3">
              <w:tab/>
              <w:t>the amount of the adjustment relating to periods before those presented, to the extent practicable; and</w:t>
            </w:r>
          </w:p>
          <w:p w:rsidR="00600C1B" w:rsidRPr="00892DE3" w:rsidRDefault="00600C1B" w:rsidP="00DB5273">
            <w:pPr>
              <w:pStyle w:val="List"/>
            </w:pPr>
            <w:r w:rsidRPr="00892DE3">
              <w:t>(h)</w:t>
            </w:r>
            <w:r w:rsidRPr="00892DE3">
              <w:tab/>
              <w:t>if retrospective application required by paragraph 19(a) or (b) of AASB 108 Accounting Policies, Changes in Accounting Estimates and Errors is impracticable for a particular prior period, or for periods before those presented, the circumstances that led to the existence of that condition and a description of how and from when the change in accounting policy has been applied.</w:t>
            </w:r>
          </w:p>
          <w:p w:rsidR="00600C1B" w:rsidRPr="00892DE3" w:rsidRDefault="00600C1B" w:rsidP="00DB5273">
            <w:r w:rsidRPr="00892DE3">
              <w:rPr>
                <w:b/>
              </w:rPr>
              <w:t>Voluntary changes in accounting policies</w:t>
            </w:r>
            <w:r w:rsidRPr="00892DE3">
              <w:t xml:space="preserve"> </w:t>
            </w:r>
            <w:r w:rsidRPr="00892DE3">
              <w:rPr>
                <w:rStyle w:val="SourceReference"/>
              </w:rPr>
              <w:t>[AASB 108.14]</w:t>
            </w:r>
          </w:p>
          <w:p w:rsidR="00600C1B" w:rsidRPr="00892DE3" w:rsidRDefault="00600C1B" w:rsidP="00DB5273">
            <w:r w:rsidRPr="00892DE3">
              <w:t>An entity shall change an accounting policy only if the change:</w:t>
            </w:r>
          </w:p>
          <w:p w:rsidR="00600C1B" w:rsidRPr="00892DE3" w:rsidRDefault="00600C1B" w:rsidP="00DB5273">
            <w:pPr>
              <w:pStyle w:val="ListBullet"/>
            </w:pPr>
            <w:r w:rsidRPr="00892DE3">
              <w:t>is required by an AAS; or</w:t>
            </w:r>
          </w:p>
          <w:p w:rsidR="00600C1B" w:rsidRPr="00892DE3" w:rsidRDefault="00600C1B" w:rsidP="00DB5273">
            <w:pPr>
              <w:pStyle w:val="ListBullet"/>
            </w:pPr>
            <w:r w:rsidRPr="00892DE3">
              <w:t>results in the financial statements providing reliable and more relevant information about the effects of transactions, other events or conditions on the entity’s financial position, financial performance or cash flows.</w:t>
            </w:r>
          </w:p>
          <w:p w:rsidR="00600C1B" w:rsidRPr="00892DE3" w:rsidRDefault="00600C1B" w:rsidP="00DB5273">
            <w:r w:rsidRPr="00892DE3">
              <w:t xml:space="preserve">When a voluntary change in accounting policy has an effect on the current period or any prior period, or would have an effect on that period except that it is impracticable to determine the amount of the adjustment, or might have an effect on future periods, an entity shall disclose: </w:t>
            </w:r>
            <w:r w:rsidRPr="00892DE3">
              <w:rPr>
                <w:rStyle w:val="SourceReference"/>
              </w:rPr>
              <w:t>[AASB 108.29]</w:t>
            </w:r>
          </w:p>
          <w:p w:rsidR="00600C1B" w:rsidRPr="00892DE3" w:rsidRDefault="00600C1B" w:rsidP="00DB5273">
            <w:pPr>
              <w:pStyle w:val="List"/>
            </w:pPr>
            <w:r w:rsidRPr="00892DE3">
              <w:t>(a)</w:t>
            </w:r>
            <w:r w:rsidRPr="00892DE3">
              <w:tab/>
              <w:t>the nature of the change in accounting policy;</w:t>
            </w:r>
          </w:p>
          <w:p w:rsidR="00600C1B" w:rsidRPr="00892DE3" w:rsidRDefault="00600C1B" w:rsidP="00DB5273">
            <w:pPr>
              <w:pStyle w:val="List"/>
            </w:pPr>
            <w:r w:rsidRPr="00892DE3">
              <w:t>(b)</w:t>
            </w:r>
            <w:r w:rsidRPr="00892DE3">
              <w:tab/>
              <w:t>the reasons why applying the new accounting policy provides reliable and more relevant information;</w:t>
            </w:r>
          </w:p>
          <w:p w:rsidR="00600C1B" w:rsidRPr="00892DE3" w:rsidRDefault="00600C1B" w:rsidP="00DB5273">
            <w:pPr>
              <w:pStyle w:val="List"/>
            </w:pPr>
            <w:r w:rsidRPr="00892DE3">
              <w:t>(c)</w:t>
            </w:r>
            <w:r w:rsidRPr="00892DE3">
              <w:tab/>
              <w:t>for the current period and each prior period presented, to the extent practicable, the amount of the adjustment:</w:t>
            </w:r>
          </w:p>
          <w:p w:rsidR="00600C1B" w:rsidRPr="00892DE3" w:rsidRDefault="00600C1B" w:rsidP="00DB5273">
            <w:pPr>
              <w:pStyle w:val="List2"/>
            </w:pPr>
            <w:r w:rsidRPr="00892DE3">
              <w:t>(i)</w:t>
            </w:r>
            <w:r w:rsidRPr="00892DE3">
              <w:tab/>
              <w:t>for each financial statement’s line item affected; and</w:t>
            </w:r>
          </w:p>
          <w:p w:rsidR="00600C1B" w:rsidRPr="00892DE3" w:rsidRDefault="00600C1B" w:rsidP="00DB5273">
            <w:pPr>
              <w:pStyle w:val="List2"/>
            </w:pPr>
            <w:r w:rsidRPr="00892DE3">
              <w:t>(ii)</w:t>
            </w:r>
            <w:r w:rsidRPr="00892DE3">
              <w:tab/>
              <w:t>if AASB 133 Earnings per Share applies, for basic and diluted earnings per share;</w:t>
            </w:r>
          </w:p>
          <w:p w:rsidR="00600C1B" w:rsidRPr="00892DE3" w:rsidRDefault="00600C1B" w:rsidP="00DB5273">
            <w:pPr>
              <w:pStyle w:val="List"/>
            </w:pPr>
            <w:r w:rsidRPr="00892DE3">
              <w:t>(d)</w:t>
            </w:r>
            <w:r w:rsidRPr="00892DE3">
              <w:tab/>
              <w:t xml:space="preserve">the amount of the adjustment relating to periods before those presented, to the extent practicable; </w:t>
            </w:r>
          </w:p>
          <w:p w:rsidR="00600C1B" w:rsidRPr="00892DE3" w:rsidRDefault="00600C1B" w:rsidP="00DB5273">
            <w:pPr>
              <w:pStyle w:val="List"/>
            </w:pPr>
            <w:r w:rsidRPr="00892DE3">
              <w:t>(e)</w:t>
            </w:r>
            <w:r w:rsidRPr="00892DE3">
              <w:tab/>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rsidR="00600C1B" w:rsidRPr="00892DE3" w:rsidRDefault="00600C1B" w:rsidP="00DB5273">
            <w:r w:rsidRPr="00892DE3">
              <w:rPr>
                <w:b/>
              </w:rPr>
              <w:t>Effect of changes in accounting policy of equity</w:t>
            </w:r>
            <w:r w:rsidRPr="00892DE3">
              <w:t xml:space="preserve"> </w:t>
            </w:r>
            <w:r w:rsidRPr="00892DE3">
              <w:rPr>
                <w:rStyle w:val="SourceReference"/>
              </w:rPr>
              <w:t>[AASB 101.106(b)]</w:t>
            </w:r>
          </w:p>
          <w:p w:rsidR="00600C1B" w:rsidRPr="00892DE3" w:rsidRDefault="00600C1B" w:rsidP="00DB5273">
            <w:r w:rsidRPr="00892DE3">
              <w:t>For each component of equity affected by the change in accounting policy, AASB 101 requires that the entity discloses the effects of retrospective application or retrospective restatement recognised in accordance with AASB 108.</w:t>
            </w:r>
          </w:p>
          <w:p w:rsidR="00600C1B" w:rsidRPr="00892DE3" w:rsidRDefault="00600C1B" w:rsidP="00DB5273">
            <w:r w:rsidRPr="00892DE3">
              <w:rPr>
                <w:b/>
              </w:rPr>
              <w:t>Where compliance with an AAS is misleading</w:t>
            </w:r>
            <w:r w:rsidRPr="00892DE3">
              <w:t xml:space="preserve"> </w:t>
            </w:r>
            <w:r w:rsidRPr="00892DE3">
              <w:rPr>
                <w:rStyle w:val="SourceReference"/>
              </w:rPr>
              <w:t>[AASB 101.23]</w:t>
            </w:r>
          </w:p>
          <w:p w:rsidR="00600C1B" w:rsidRPr="00892DE3" w:rsidRDefault="00600C1B" w:rsidP="00DB5273">
            <w:r w:rsidRPr="00892DE3">
              <w:t>In the extremely rare circumstances in which management concludes that compliance with a requirement in an AAS would be so misleading that it would conflict with the objective of financial statements set out in the framework, the entity shall, to the maximum extent possible, reduce the perceived misleading aspects of compliance by disclosing:</w:t>
            </w:r>
          </w:p>
          <w:p w:rsidR="00600C1B" w:rsidRPr="00892DE3" w:rsidRDefault="00600C1B" w:rsidP="00DB5273">
            <w:pPr>
              <w:pStyle w:val="ListBullet"/>
            </w:pPr>
            <w:r w:rsidRPr="00892DE3">
              <w:t>the title of the AAS in question, the nature of the requirement, and the reason why management has concluded that complying with that requirement is so misleading in the circumstances that it conflicts with the objective of financial statements set out in the framework; and</w:t>
            </w:r>
          </w:p>
          <w:p w:rsidR="00600C1B" w:rsidRPr="00892DE3" w:rsidRDefault="00600C1B" w:rsidP="00DB5273">
            <w:pPr>
              <w:pStyle w:val="ListBullet"/>
            </w:pPr>
            <w:r w:rsidRPr="00892DE3">
              <w:t>for each period presented, adjustments to each item in the financial statements that are necessary to achieve a fair presentation.</w:t>
            </w:r>
          </w:p>
        </w:tc>
      </w:tr>
    </w:tbl>
    <w:p w:rsidR="00600C1B" w:rsidRPr="00892DE3" w:rsidRDefault="00600C1B" w:rsidP="00600C1B"/>
    <w:p w:rsidR="00600C1B" w:rsidRPr="00892DE3" w:rsidRDefault="00600C1B" w:rsidP="00600C1B">
      <w:r w:rsidRPr="00892DE3">
        <w:rPr>
          <w:b/>
        </w:rPr>
        <w:br w:type="page"/>
      </w:r>
    </w:p>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DB5273">
            <w:r w:rsidRPr="00892DE3">
              <w:t xml:space="preserve">Guidance – Correction of prior period errors and changes in accounting policy and accounting estimates </w:t>
            </w:r>
            <w:r w:rsidRPr="00C33142">
              <w:rPr>
                <w:i/>
              </w:rPr>
              <w:t>(continued)</w:t>
            </w:r>
          </w:p>
        </w:tc>
      </w:tr>
      <w:tr w:rsidR="00600C1B" w:rsidRPr="00892DE3" w:rsidTr="00DB5273">
        <w:tc>
          <w:tcPr>
            <w:tcW w:w="9752" w:type="dxa"/>
          </w:tcPr>
          <w:p w:rsidR="00600C1B" w:rsidRPr="00892DE3" w:rsidRDefault="00600C1B" w:rsidP="00DB5273">
            <w:r w:rsidRPr="00892DE3">
              <w:rPr>
                <w:b/>
              </w:rPr>
              <w:t>Change in accounting estimates</w:t>
            </w:r>
            <w:r w:rsidRPr="00892DE3">
              <w:t xml:space="preserve"> </w:t>
            </w:r>
            <w:r w:rsidRPr="00892DE3">
              <w:rPr>
                <w:rStyle w:val="SourceReference"/>
              </w:rPr>
              <w:t>[AASB 116.76]</w:t>
            </w:r>
          </w:p>
          <w:p w:rsidR="00600C1B" w:rsidRPr="00892DE3" w:rsidRDefault="00600C1B" w:rsidP="00DB5273">
            <w:r w:rsidRPr="00892DE3">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rsidR="00600C1B" w:rsidRPr="00892DE3" w:rsidRDefault="00600C1B" w:rsidP="00DB5273">
            <w:pPr>
              <w:pStyle w:val="List"/>
              <w:spacing w:before="80"/>
            </w:pPr>
            <w:r w:rsidRPr="00892DE3">
              <w:t>(a)</w:t>
            </w:r>
            <w:r w:rsidRPr="00892DE3">
              <w:tab/>
              <w:t>residual values;</w:t>
            </w:r>
          </w:p>
          <w:p w:rsidR="00600C1B" w:rsidRPr="00892DE3" w:rsidRDefault="00600C1B" w:rsidP="00DB5273">
            <w:pPr>
              <w:pStyle w:val="List"/>
              <w:spacing w:before="80"/>
            </w:pPr>
            <w:r w:rsidRPr="00892DE3">
              <w:t>(b)</w:t>
            </w:r>
            <w:r w:rsidRPr="00892DE3">
              <w:tab/>
              <w:t>the estimated costs of dismantling, removing or restoring items of property, plant and equipment;</w:t>
            </w:r>
          </w:p>
          <w:p w:rsidR="00600C1B" w:rsidRPr="00892DE3" w:rsidRDefault="00600C1B" w:rsidP="00DB5273">
            <w:pPr>
              <w:pStyle w:val="List"/>
              <w:spacing w:before="80"/>
            </w:pPr>
            <w:r w:rsidRPr="00892DE3">
              <w:t>(c)</w:t>
            </w:r>
            <w:r w:rsidRPr="00892DE3">
              <w:tab/>
              <w:t xml:space="preserve">useful lives; and </w:t>
            </w:r>
          </w:p>
          <w:p w:rsidR="00600C1B" w:rsidRPr="00892DE3" w:rsidRDefault="00600C1B" w:rsidP="00DB5273">
            <w:pPr>
              <w:pStyle w:val="List"/>
              <w:spacing w:before="80"/>
            </w:pPr>
            <w:r w:rsidRPr="00892DE3">
              <w:t>(d)</w:t>
            </w:r>
            <w:r w:rsidRPr="00892DE3">
              <w:tab/>
              <w:t>depreciation methods.</w:t>
            </w:r>
          </w:p>
          <w:p w:rsidR="00600C1B" w:rsidRPr="00892DE3" w:rsidRDefault="00600C1B" w:rsidP="00DB5273">
            <w:r w:rsidRPr="00892DE3">
              <w:rPr>
                <w:b/>
              </w:rPr>
              <w:t>Recognition</w:t>
            </w:r>
            <w:r w:rsidRPr="00892DE3">
              <w:t xml:space="preserve"> </w:t>
            </w:r>
            <w:r w:rsidRPr="00892DE3">
              <w:rPr>
                <w:rStyle w:val="SourceReference"/>
              </w:rPr>
              <w:t>[AASB 108.36-37]</w:t>
            </w:r>
          </w:p>
          <w:p w:rsidR="00600C1B" w:rsidRPr="00892DE3" w:rsidRDefault="00600C1B" w:rsidP="00DB5273">
            <w:r w:rsidRPr="00892DE3">
              <w:t>The effect of a change in an accounting estimate, shall be recognised prospectively by including it in the net result in:</w:t>
            </w:r>
          </w:p>
          <w:p w:rsidR="00600C1B" w:rsidRPr="00892DE3" w:rsidRDefault="00600C1B" w:rsidP="00DB5273">
            <w:pPr>
              <w:pStyle w:val="List"/>
              <w:spacing w:before="80"/>
            </w:pPr>
            <w:r w:rsidRPr="00892DE3">
              <w:t>(a)</w:t>
            </w:r>
            <w:r w:rsidRPr="00892DE3">
              <w:tab/>
              <w:t>the period of the change, if the change affects that period only; or</w:t>
            </w:r>
          </w:p>
          <w:p w:rsidR="00600C1B" w:rsidRPr="00892DE3" w:rsidRDefault="00600C1B" w:rsidP="00DB5273">
            <w:pPr>
              <w:pStyle w:val="List"/>
              <w:spacing w:before="80"/>
            </w:pPr>
            <w:r w:rsidRPr="00892DE3">
              <w:t>(b)</w:t>
            </w:r>
            <w:r w:rsidRPr="00892DE3">
              <w:tab/>
              <w:t>the period of the change and future periods, if the change affects both.</w:t>
            </w:r>
          </w:p>
          <w:p w:rsidR="00600C1B" w:rsidRPr="00892DE3" w:rsidRDefault="00600C1B" w:rsidP="00DB5273">
            <w:r w:rsidRPr="00892DE3">
              <w:t xml:space="preserve">Except to the extent that a change in an accounting estimate gives rise to changes in assets and liabilities, or relates to an item of equity, it shall be recognised by adjusting the carrying amount of the related asset, liability or equity item in the period of the change. </w:t>
            </w:r>
          </w:p>
          <w:p w:rsidR="00600C1B" w:rsidRPr="00892DE3" w:rsidRDefault="00600C1B" w:rsidP="00DB5273">
            <w:r w:rsidRPr="00892DE3">
              <w:rPr>
                <w:b/>
              </w:rPr>
              <w:t>Disclosure requirements</w:t>
            </w:r>
            <w:r w:rsidRPr="00892DE3">
              <w:t xml:space="preserve"> </w:t>
            </w:r>
            <w:r w:rsidRPr="00892DE3">
              <w:rPr>
                <w:rStyle w:val="SourceReference"/>
              </w:rPr>
              <w:t>[AASB 108.39-40, AASB 116.76]</w:t>
            </w:r>
          </w:p>
          <w:p w:rsidR="00600C1B" w:rsidRPr="00892DE3" w:rsidRDefault="00600C1B" w:rsidP="00DB5273">
            <w:r w:rsidRPr="00892DE3">
              <w:t xml:space="preserve">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 </w:t>
            </w:r>
          </w:p>
          <w:p w:rsidR="00600C1B" w:rsidRPr="00892DE3" w:rsidRDefault="00600C1B" w:rsidP="00DB5273">
            <w:r w:rsidRPr="00892DE3">
              <w:t xml:space="preserve">If the amount of the effect in future periods is not disclosed because estimating it is impracticable, this fact shall be disclosed. </w:t>
            </w:r>
          </w:p>
          <w:p w:rsidR="00600C1B" w:rsidRPr="00892DE3" w:rsidRDefault="00600C1B" w:rsidP="00DB5273">
            <w:pPr>
              <w:rPr>
                <w:rStyle w:val="SourceReference"/>
              </w:rPr>
            </w:pPr>
            <w:r w:rsidRPr="00892DE3">
              <w:t xml:space="preserve">Where a change in an accounting estimate affects the current reporting period only, the effect of the change shall be recognised in the net result in the reporting period in which the accounting estimate is revised. </w:t>
            </w:r>
            <w:r w:rsidRPr="00892DE3">
              <w:rPr>
                <w:rStyle w:val="SourceReference"/>
              </w:rPr>
              <w:t>[AASB 108.36(a)]</w:t>
            </w:r>
          </w:p>
          <w:p w:rsidR="00600C1B" w:rsidRPr="00892DE3" w:rsidRDefault="00600C1B" w:rsidP="00DB5273">
            <w:r w:rsidRPr="00892DE3">
              <w:t xml:space="preserve">Where the change in an accounting estimate affects both the current and future reporting periods, the effect of the change shall be recognised in the net result in the reporting period of the revision and in future reporting periods. </w:t>
            </w:r>
            <w:r w:rsidRPr="00892DE3">
              <w:rPr>
                <w:rStyle w:val="SourceReference"/>
              </w:rPr>
              <w:t>[AASB 108.36(b)]</w:t>
            </w:r>
          </w:p>
          <w:p w:rsidR="00600C1B" w:rsidRPr="00892DE3" w:rsidRDefault="00600C1B" w:rsidP="00DB5273">
            <w:r w:rsidRPr="00892DE3">
              <w:t>For property, plant and equipment, disclosure of a change in an accounting estimate may arise from changes in estimates with respect to:</w:t>
            </w:r>
          </w:p>
          <w:p w:rsidR="00600C1B" w:rsidRPr="00892DE3" w:rsidRDefault="00600C1B" w:rsidP="00DB5273">
            <w:pPr>
              <w:pStyle w:val="List"/>
              <w:spacing w:before="80"/>
            </w:pPr>
            <w:r w:rsidRPr="00892DE3">
              <w:t>(a)</w:t>
            </w:r>
            <w:r w:rsidRPr="00892DE3">
              <w:tab/>
              <w:t>residual values;</w:t>
            </w:r>
          </w:p>
          <w:p w:rsidR="00600C1B" w:rsidRPr="00892DE3" w:rsidRDefault="00600C1B" w:rsidP="00DB5273">
            <w:pPr>
              <w:pStyle w:val="List"/>
              <w:spacing w:before="80"/>
            </w:pPr>
            <w:r w:rsidRPr="00892DE3">
              <w:t>(b)</w:t>
            </w:r>
            <w:r w:rsidRPr="00892DE3">
              <w:tab/>
              <w:t>the estimated costs of dismantling, removing or restoring items of property, plant and equipment;</w:t>
            </w:r>
          </w:p>
          <w:p w:rsidR="00600C1B" w:rsidRPr="00892DE3" w:rsidRDefault="00600C1B" w:rsidP="00DB5273">
            <w:pPr>
              <w:pStyle w:val="List"/>
              <w:spacing w:before="80"/>
            </w:pPr>
            <w:r w:rsidRPr="00892DE3">
              <w:t>(c)</w:t>
            </w:r>
            <w:r w:rsidRPr="00892DE3">
              <w:tab/>
              <w:t>useful lives; and</w:t>
            </w:r>
          </w:p>
          <w:p w:rsidR="00600C1B" w:rsidRPr="00892DE3" w:rsidRDefault="00600C1B" w:rsidP="00DB5273">
            <w:pPr>
              <w:pStyle w:val="List"/>
              <w:spacing w:before="80"/>
            </w:pPr>
            <w:r w:rsidRPr="00892DE3">
              <w:t>(d)</w:t>
            </w:r>
            <w:r w:rsidRPr="00892DE3">
              <w:tab/>
              <w:t>depreciation methods.</w:t>
            </w:r>
          </w:p>
          <w:p w:rsidR="00600C1B" w:rsidRPr="00892DE3" w:rsidRDefault="00600C1B" w:rsidP="00DB5273">
            <w:r w:rsidRPr="00892DE3">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p>
          <w:p w:rsidR="00600C1B" w:rsidRPr="00892DE3" w:rsidRDefault="00600C1B" w:rsidP="00DB5273">
            <w:pPr>
              <w:rPr>
                <w:b/>
              </w:rPr>
            </w:pPr>
            <w:r w:rsidRPr="00892DE3">
              <w:rPr>
                <w:b/>
              </w:rPr>
              <w:t>Sample disclosure</w:t>
            </w:r>
          </w:p>
          <w:p w:rsidR="00600C1B" w:rsidRPr="00892DE3" w:rsidRDefault="00600C1B" w:rsidP="00DB5273">
            <w:r w:rsidRPr="00892DE3">
              <w:t>This note has been included as an example only and should be used only if there is a change in accounting policy.</w:t>
            </w:r>
          </w:p>
          <w:p w:rsidR="00600C1B" w:rsidRPr="00892DE3" w:rsidRDefault="00600C1B" w:rsidP="00DB5273">
            <w:pPr>
              <w:pStyle w:val="Heading4"/>
              <w:outlineLvl w:val="3"/>
            </w:pPr>
            <w:r w:rsidRPr="00892DE3">
              <w:t>Reassessment of estimated useful lives of assets</w:t>
            </w:r>
          </w:p>
          <w:p w:rsidR="00600C1B" w:rsidRPr="00892DE3" w:rsidRDefault="00600C1B" w:rsidP="00DB5273">
            <w:r w:rsidRPr="00892DE3">
              <w:t xml:space="preserve">During the financial year, the Department reassessed the estimated total useful lives of certain items of plant and equipment used in [specify where]. The net financial effect of this reassessment in the current financial year was an increase in depreciation expense of the Department of </w:t>
            </w:r>
            <w:r w:rsidRPr="00892DE3">
              <w:rPr>
                <w:rStyle w:val="SourceReference"/>
              </w:rPr>
              <w:t>[$XX]</w:t>
            </w:r>
            <w:r w:rsidRPr="00892DE3">
              <w:t>.</w:t>
            </w:r>
          </w:p>
          <w:p w:rsidR="00600C1B" w:rsidRPr="00892DE3" w:rsidRDefault="00600C1B" w:rsidP="00DB5273">
            <w:r w:rsidRPr="00892DE3">
              <w:t>Assuming the assets are held until the end of their estimated useful lives, depreciation of the departmental assets for the next four years in relation to these assets will be increased by the following amounts:</w:t>
            </w:r>
          </w:p>
          <w:p w:rsidR="00600C1B" w:rsidRPr="00892DE3" w:rsidRDefault="00600C1B" w:rsidP="00DB5273">
            <w:pPr>
              <w:pStyle w:val="TableUnits"/>
              <w:tabs>
                <w:tab w:val="right" w:pos="4820"/>
              </w:tabs>
              <w:spacing w:before="120"/>
              <w:jc w:val="left"/>
            </w:pPr>
            <w:r w:rsidRPr="00892DE3">
              <w:tab/>
              <w:t>($ thousand)</w:t>
            </w:r>
          </w:p>
          <w:tbl>
            <w:tblPr>
              <w:tblStyle w:val="DTFTable"/>
              <w:tblW w:w="4820" w:type="dxa"/>
              <w:tblInd w:w="45" w:type="dxa"/>
              <w:tblBorders>
                <w:bottom w:val="none" w:sz="0" w:space="0" w:color="auto"/>
              </w:tblBorders>
              <w:tblCellMar>
                <w:left w:w="45" w:type="dxa"/>
                <w:right w:w="45" w:type="dxa"/>
              </w:tblCellMar>
              <w:tblLook w:val="06A0" w:firstRow="1" w:lastRow="0" w:firstColumn="1" w:lastColumn="0" w:noHBand="1" w:noVBand="1"/>
            </w:tblPr>
            <w:tblGrid>
              <w:gridCol w:w="4063"/>
              <w:gridCol w:w="757"/>
            </w:tblGrid>
            <w:tr w:rsidR="00600C1B" w:rsidRPr="00892DE3" w:rsidTr="00DB52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63" w:type="dxa"/>
                  <w:shd w:val="clear" w:color="auto" w:fill="0072CE" w:themeFill="accent4"/>
                </w:tcPr>
                <w:p w:rsidR="00600C1B" w:rsidRPr="00892DE3" w:rsidRDefault="00600C1B" w:rsidP="00DB5273">
                  <w:pPr>
                    <w:rPr>
                      <w:color w:val="FFFFFF" w:themeColor="background1"/>
                    </w:rPr>
                  </w:pPr>
                  <w:r w:rsidRPr="00892DE3">
                    <w:rPr>
                      <w:color w:val="FFFFFF" w:themeColor="background1"/>
                    </w:rPr>
                    <w:t>Year ending 30 June</w:t>
                  </w:r>
                </w:p>
              </w:tc>
              <w:tc>
                <w:tcPr>
                  <w:tcW w:w="757" w:type="dxa"/>
                  <w:shd w:val="clear" w:color="auto" w:fill="0072CE" w:themeFill="accent4"/>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xx</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4063" w:type="dxa"/>
                </w:tcPr>
                <w:p w:rsidR="00600C1B" w:rsidRPr="00892DE3" w:rsidRDefault="00600C1B" w:rsidP="00DB5273">
                  <w:pPr>
                    <w:rPr>
                      <w:rFonts w:cstheme="majorHAnsi"/>
                      <w:color w:val="0072CE" w:themeColor="accent4"/>
                    </w:rPr>
                  </w:pPr>
                  <w:r w:rsidRPr="00892DE3">
                    <w:rPr>
                      <w:rFonts w:cstheme="majorHAnsi"/>
                      <w:color w:val="0072CE" w:themeColor="accent4"/>
                    </w:rPr>
                    <w:t>2016</w:t>
                  </w:r>
                </w:p>
              </w:tc>
              <w:tc>
                <w:tcPr>
                  <w:tcW w:w="757" w:type="dxa"/>
                </w:tcPr>
                <w:p w:rsidR="00600C1B" w:rsidRPr="00892DE3" w:rsidRDefault="00600C1B" w:rsidP="00DB5273">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892DE3">
                    <w:rPr>
                      <w:rFonts w:cstheme="majorHAnsi"/>
                      <w:color w:val="0072CE" w:themeColor="accent4"/>
                    </w:rPr>
                    <w:t>xx</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4063" w:type="dxa"/>
                </w:tcPr>
                <w:p w:rsidR="00600C1B" w:rsidRPr="00892DE3" w:rsidRDefault="00600C1B" w:rsidP="00DB5273">
                  <w:pPr>
                    <w:rPr>
                      <w:rFonts w:cstheme="majorHAnsi"/>
                      <w:color w:val="0072CE" w:themeColor="accent4"/>
                    </w:rPr>
                  </w:pPr>
                  <w:r w:rsidRPr="00892DE3">
                    <w:rPr>
                      <w:rFonts w:cstheme="majorHAnsi"/>
                      <w:color w:val="0072CE" w:themeColor="accent4"/>
                    </w:rPr>
                    <w:t>2017</w:t>
                  </w:r>
                </w:p>
              </w:tc>
              <w:tc>
                <w:tcPr>
                  <w:tcW w:w="757" w:type="dxa"/>
                </w:tcPr>
                <w:p w:rsidR="00600C1B" w:rsidRPr="00892DE3" w:rsidRDefault="00600C1B" w:rsidP="00DB5273">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892DE3">
                    <w:rPr>
                      <w:rFonts w:cstheme="majorHAnsi"/>
                      <w:color w:val="0072CE" w:themeColor="accent4"/>
                    </w:rPr>
                    <w:t>xx</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4063" w:type="dxa"/>
                </w:tcPr>
                <w:p w:rsidR="00600C1B" w:rsidRPr="00892DE3" w:rsidRDefault="00600C1B" w:rsidP="00DB5273">
                  <w:pPr>
                    <w:rPr>
                      <w:rFonts w:cstheme="majorHAnsi"/>
                      <w:color w:val="0072CE" w:themeColor="accent4"/>
                    </w:rPr>
                  </w:pPr>
                  <w:r w:rsidRPr="00892DE3">
                    <w:rPr>
                      <w:rFonts w:cstheme="majorHAnsi"/>
                      <w:color w:val="0072CE" w:themeColor="accent4"/>
                    </w:rPr>
                    <w:t>2018</w:t>
                  </w:r>
                </w:p>
              </w:tc>
              <w:tc>
                <w:tcPr>
                  <w:tcW w:w="757" w:type="dxa"/>
                </w:tcPr>
                <w:p w:rsidR="00600C1B" w:rsidRPr="00892DE3" w:rsidRDefault="00600C1B" w:rsidP="00DB5273">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892DE3">
                    <w:rPr>
                      <w:rFonts w:cstheme="majorHAnsi"/>
                      <w:color w:val="0072CE" w:themeColor="accent4"/>
                    </w:rPr>
                    <w:t>xx</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4063" w:type="dxa"/>
                  <w:tcBorders>
                    <w:bottom w:val="single" w:sz="12" w:space="0" w:color="0072CE" w:themeColor="accent4"/>
                  </w:tcBorders>
                </w:tcPr>
                <w:p w:rsidR="00600C1B" w:rsidRPr="00892DE3" w:rsidRDefault="00600C1B" w:rsidP="00DB5273">
                  <w:pPr>
                    <w:rPr>
                      <w:rFonts w:cstheme="majorHAnsi"/>
                      <w:color w:val="0072CE" w:themeColor="accent4"/>
                    </w:rPr>
                  </w:pPr>
                  <w:r w:rsidRPr="00892DE3">
                    <w:rPr>
                      <w:rFonts w:cstheme="majorHAnsi"/>
                      <w:color w:val="0072CE" w:themeColor="accent4"/>
                    </w:rPr>
                    <w:t>2019</w:t>
                  </w:r>
                </w:p>
              </w:tc>
              <w:tc>
                <w:tcPr>
                  <w:tcW w:w="757" w:type="dxa"/>
                  <w:tcBorders>
                    <w:bottom w:val="single" w:sz="12" w:space="0" w:color="0072CE" w:themeColor="accent4"/>
                  </w:tcBorders>
                </w:tcPr>
                <w:p w:rsidR="00600C1B" w:rsidRPr="00892DE3" w:rsidRDefault="00600C1B" w:rsidP="00DB5273">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892DE3">
                    <w:rPr>
                      <w:rFonts w:cstheme="majorHAnsi"/>
                      <w:color w:val="0072CE" w:themeColor="accent4"/>
                    </w:rPr>
                    <w:t>xx</w:t>
                  </w:r>
                </w:p>
              </w:tc>
            </w:tr>
          </w:tbl>
          <w:p w:rsidR="00600C1B" w:rsidRPr="00892DE3" w:rsidRDefault="00600C1B" w:rsidP="00DB5273">
            <w:r w:rsidRPr="00892DE3">
              <w:t xml:space="preserve"> </w:t>
            </w:r>
          </w:p>
        </w:tc>
      </w:tr>
    </w:tbl>
    <w:p w:rsidR="00600C1B" w:rsidRPr="00892DE3" w:rsidRDefault="00600C1B" w:rsidP="00600C1B">
      <w:pPr>
        <w:pStyle w:val="Heading2"/>
      </w:pPr>
      <w:bookmarkStart w:id="178" w:name="_Toc477432297"/>
      <w:bookmarkStart w:id="179" w:name="_Toc478729318"/>
      <w:bookmarkStart w:id="180" w:name="_Toc479085169"/>
      <w:r w:rsidRPr="00892DE3">
        <w:t>Responsible persons</w:t>
      </w:r>
      <w:bookmarkEnd w:id="178"/>
      <w:bookmarkEnd w:id="179"/>
      <w:bookmarkEnd w:id="180"/>
    </w:p>
    <w:p w:rsidR="00600C1B" w:rsidRPr="00892DE3" w:rsidRDefault="00600C1B" w:rsidP="00600C1B">
      <w:r w:rsidRPr="00892DE3">
        <w:t xml:space="preserve">In accordance with the Ministerial Directions issued by the Minister for Finance under the </w:t>
      </w:r>
      <w:r w:rsidRPr="00892DE3">
        <w:rPr>
          <w:i/>
        </w:rPr>
        <w:t>Financial Management Act 1994</w:t>
      </w:r>
      <w:r w:rsidRPr="00892DE3">
        <w:t xml:space="preserve"> (FMA), the following disclosures are made regarding responsible persons for the reporting period.</w:t>
      </w:r>
    </w:p>
    <w:p w:rsidR="00600C1B" w:rsidRPr="00892DE3" w:rsidRDefault="00600C1B" w:rsidP="00600C1B">
      <w:pPr>
        <w:pStyle w:val="Heading30"/>
      </w:pPr>
      <w:r w:rsidRPr="00892DE3">
        <w:t>Names</w:t>
      </w:r>
    </w:p>
    <w:p w:rsidR="00600C1B" w:rsidRPr="00892DE3" w:rsidRDefault="00600C1B" w:rsidP="00600C1B">
      <w:r w:rsidRPr="00892DE3">
        <w:t>The persons who held the positions of Ministers and Accountable Officers in the Department are as follows:</w:t>
      </w:r>
    </w:p>
    <w:p w:rsidR="00600C1B" w:rsidRPr="00892DE3" w:rsidRDefault="00600C1B" w:rsidP="00600C1B">
      <w:pPr>
        <w:tabs>
          <w:tab w:val="left" w:pos="567"/>
          <w:tab w:val="left" w:pos="3119"/>
          <w:tab w:val="left" w:pos="6237"/>
        </w:tabs>
      </w:pPr>
      <w:r w:rsidRPr="00892DE3">
        <w:tab/>
        <w:t>Minister for Technology</w:t>
      </w:r>
      <w:r w:rsidRPr="00892DE3">
        <w:tab/>
        <w:t xml:space="preserve">The Hon. John Bristol MP </w:t>
      </w:r>
      <w:r w:rsidRPr="00892DE3">
        <w:tab/>
        <w:t>1 July 2016 to 30 June 2017</w:t>
      </w:r>
    </w:p>
    <w:p w:rsidR="00600C1B" w:rsidRPr="00892DE3" w:rsidRDefault="00600C1B" w:rsidP="00600C1B">
      <w:pPr>
        <w:tabs>
          <w:tab w:val="left" w:pos="567"/>
          <w:tab w:val="left" w:pos="3119"/>
          <w:tab w:val="left" w:pos="6237"/>
        </w:tabs>
      </w:pPr>
      <w:r w:rsidRPr="00892DE3">
        <w:tab/>
        <w:t>Minister for Biotechnology</w:t>
      </w:r>
      <w:r w:rsidRPr="00892DE3">
        <w:tab/>
        <w:t xml:space="preserve">The Hon. Laura Toddington MP </w:t>
      </w:r>
      <w:r w:rsidRPr="00892DE3">
        <w:tab/>
        <w:t>1 July 2016 to 30 June 2017</w:t>
      </w:r>
    </w:p>
    <w:p w:rsidR="00600C1B" w:rsidRPr="00892DE3" w:rsidRDefault="00600C1B" w:rsidP="00600C1B">
      <w:pPr>
        <w:tabs>
          <w:tab w:val="left" w:pos="567"/>
          <w:tab w:val="left" w:pos="3119"/>
          <w:tab w:val="left" w:pos="6237"/>
        </w:tabs>
      </w:pPr>
      <w:r w:rsidRPr="00892DE3">
        <w:tab/>
        <w:t>Secretary</w:t>
      </w:r>
      <w:r w:rsidRPr="00892DE3">
        <w:tab/>
        <w:t xml:space="preserve">Ms Jane Smith </w:t>
      </w:r>
      <w:r w:rsidRPr="00892DE3">
        <w:tab/>
        <w:t>1 July 2016 to 30 June 2017</w:t>
      </w:r>
    </w:p>
    <w:p w:rsidR="005618F2" w:rsidRPr="00892DE3" w:rsidRDefault="005618F2" w:rsidP="005618F2">
      <w:pPr>
        <w:pStyle w:val="Heading30"/>
      </w:pPr>
      <w:r w:rsidRPr="00892DE3">
        <w:t>Remuneration</w:t>
      </w:r>
    </w:p>
    <w:p w:rsidR="00600C1B" w:rsidRDefault="005618F2" w:rsidP="00600C1B">
      <w:r w:rsidRPr="00892DE3">
        <w:t>Remuneration received or receivable by the Accountable Officer in connection with the management of the Department during the reporting period was in the range: $460 000 – $469 000 ($460 000 – $469 000 in 2015-16).</w:t>
      </w:r>
    </w:p>
    <w:p w:rsidR="005618F2" w:rsidRPr="00892DE3" w:rsidRDefault="005618F2" w:rsidP="00600C1B"/>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DB5273">
            <w:r w:rsidRPr="00892DE3">
              <w:t>Guidance –Responsible persons</w:t>
            </w:r>
          </w:p>
        </w:tc>
      </w:tr>
      <w:tr w:rsidR="00600C1B" w:rsidRPr="00892DE3" w:rsidTr="00DB5273">
        <w:tc>
          <w:tcPr>
            <w:tcW w:w="9752" w:type="dxa"/>
          </w:tcPr>
          <w:p w:rsidR="00600C1B" w:rsidRPr="00892DE3" w:rsidRDefault="00600C1B" w:rsidP="00DB5273">
            <w:r w:rsidRPr="00892DE3">
              <w:t xml:space="preserve">The disclosure requirements of FRD 21C </w:t>
            </w:r>
            <w:r w:rsidRPr="00892DE3">
              <w:rPr>
                <w:i/>
              </w:rPr>
              <w:t>Disclosures of Responsible Persons and Executive Officers</w:t>
            </w:r>
            <w:r w:rsidRPr="00892DE3">
              <w:t xml:space="preserve"> in the Financial Report issued by the Minister for Finance, recognise that responsible persons, such as ministers, accountable officers and executive officers have significant responsibility for the management of a department’s operations. To that end, they have an obligation to disclose information relating to those occupying management roles, including disclosure in the financial statements of details regarding their remuneration, transactions and loans with the department, which discharges their accountability.</w:t>
            </w:r>
          </w:p>
          <w:p w:rsidR="00600C1B" w:rsidRPr="00892DE3" w:rsidRDefault="00600C1B" w:rsidP="00DB5273">
            <w:r w:rsidRPr="00892DE3">
              <w:rPr>
                <w:b/>
              </w:rPr>
              <w:t>Remuneration</w:t>
            </w:r>
            <w:r w:rsidRPr="00892DE3">
              <w:t xml:space="preserve"> includes all employee </w:t>
            </w:r>
            <w:r w:rsidR="005760D6" w:rsidRPr="00892DE3">
              <w:t>benefits (as defined in AASB 119</w:t>
            </w:r>
            <w:r w:rsidRPr="00892DE3">
              <w:t xml:space="preserve"> </w:t>
            </w:r>
            <w:r w:rsidRPr="00892DE3">
              <w:rPr>
                <w:i/>
              </w:rPr>
              <w:t>Employee Benefits</w:t>
            </w:r>
            <w:r w:rsidRPr="00892DE3">
              <w:t>), which are all forms of consideration paid, payable or provided by the entity, or on behalf of the entity, in exchange for services rendered. It also includes amounts paid on behalf of a parent of the entity in respect of the entity. Accordingly, remuneration needs to be determined on an accrual basis.</w:t>
            </w:r>
          </w:p>
          <w:p w:rsidR="00600C1B" w:rsidRPr="00892DE3" w:rsidRDefault="00600C1B" w:rsidP="00DB5273">
            <w:r w:rsidRPr="00892DE3">
              <w:t>Ministers may have different responsibilities or interests that can cause ethical challenges in their public role. Their first responsibility is to act in the public interest, and not to promote their own private interests. They must also follow a code of conduct and publicly give details of their interests. These interests are often called ‘pecuniary interests’. In respect of related party disclosures, ministers must declare their pecuniary interests, which are included in a register of members’ interests.</w:t>
            </w:r>
          </w:p>
          <w:p w:rsidR="00600C1B" w:rsidRPr="00892DE3" w:rsidRDefault="00600C1B" w:rsidP="00DB5273">
            <w:r w:rsidRPr="00892DE3">
              <w:t xml:space="preserve">Refer to FRD 21C for specific disclosures to be made about responsible persons and their related parties. </w:t>
            </w:r>
            <w:r w:rsidRPr="00892DE3">
              <w:rPr>
                <w:rStyle w:val="SourceReference"/>
              </w:rPr>
              <w:t>[FRD 21C]</w:t>
            </w:r>
          </w:p>
        </w:tc>
      </w:tr>
    </w:tbl>
    <w:p w:rsidR="00600C1B" w:rsidRPr="00892DE3" w:rsidRDefault="00600C1B" w:rsidP="00600C1B">
      <w:pPr>
        <w:pStyle w:val="Heading2"/>
      </w:pPr>
      <w:bookmarkStart w:id="181" w:name="_Toc477432296"/>
      <w:bookmarkStart w:id="182" w:name="_Toc478729319"/>
      <w:bookmarkStart w:id="183" w:name="_Toc479085170"/>
      <w:r w:rsidRPr="00892DE3">
        <w:t>Remuneration of executives</w:t>
      </w:r>
      <w:bookmarkEnd w:id="181"/>
      <w:r w:rsidRPr="00892DE3">
        <w:t xml:space="preserve"> </w:t>
      </w:r>
      <w:r w:rsidRPr="00892DE3">
        <w:rPr>
          <w:color w:val="0063A6" w:themeColor="accent1"/>
          <w:sz w:val="16"/>
        </w:rPr>
        <w:t>[Revised]</w:t>
      </w:r>
      <w:bookmarkEnd w:id="182"/>
      <w:bookmarkEnd w:id="183"/>
    </w:p>
    <w:p w:rsidR="00600C1B" w:rsidRPr="00892DE3" w:rsidRDefault="00600C1B" w:rsidP="00600C1B">
      <w:pPr>
        <w:pStyle w:val="Heading3"/>
      </w:pPr>
      <w:r w:rsidRPr="00892DE3">
        <w:t>Remuneration of executives</w:t>
      </w:r>
    </w:p>
    <w:p w:rsidR="00600C1B" w:rsidRPr="00892DE3" w:rsidRDefault="00600C1B" w:rsidP="00600C1B">
      <w:r w:rsidRPr="00892DE3">
        <w:t>The number of executive officers, other than ministers and accountable officers, and their total remuneration during the reporting period are shown in the table below. Total annualised employee equivalents provides a measure of full time equivalent executive officers over the reporting period.</w:t>
      </w:r>
    </w:p>
    <w:p w:rsidR="00600C1B" w:rsidRPr="00892DE3" w:rsidRDefault="00600C1B" w:rsidP="00600C1B">
      <w:r w:rsidRPr="00892DE3">
        <w:t xml:space="preserve">Remuneration comprises employee benefits in all forms of consideration paid, payable or provided by the entity, or on behalf of the entity, in exchange for services rendered, and is disclosed in the following categories. </w:t>
      </w:r>
    </w:p>
    <w:p w:rsidR="00600C1B" w:rsidRPr="00892DE3" w:rsidRDefault="00600C1B" w:rsidP="00600C1B">
      <w:r w:rsidRPr="00892DE3">
        <w:rPr>
          <w:b/>
        </w:rPr>
        <w:t>Short-term employee benefits</w:t>
      </w:r>
      <w:r w:rsidRPr="00892DE3">
        <w:t xml:space="preserve"> include amounts such as wages, salaries, annual leave or sick leave that are usually paid or payable on a regular basis, as well as non-monetary benefits such as allowances and free or subsidised goods or services.</w:t>
      </w:r>
    </w:p>
    <w:p w:rsidR="00600C1B" w:rsidRPr="00892DE3" w:rsidRDefault="00600C1B" w:rsidP="00600C1B">
      <w:r w:rsidRPr="00892DE3">
        <w:rPr>
          <w:b/>
        </w:rPr>
        <w:t>Post-employment benefits</w:t>
      </w:r>
      <w:r w:rsidRPr="00892DE3">
        <w:t xml:space="preserve"> include pensions and other retirement benefits paid or payable on a discrete basis when employment has ceased. </w:t>
      </w:r>
    </w:p>
    <w:p w:rsidR="00600C1B" w:rsidRPr="00892DE3" w:rsidRDefault="00600C1B" w:rsidP="00600C1B">
      <w:r w:rsidRPr="00892DE3">
        <w:rPr>
          <w:b/>
        </w:rPr>
        <w:t>Other long-term benefits</w:t>
      </w:r>
      <w:r w:rsidRPr="00892DE3">
        <w:t xml:space="preserve"> include long service leave, other long service benefits or deferred compensation. </w:t>
      </w:r>
    </w:p>
    <w:p w:rsidR="00600C1B" w:rsidRPr="00892DE3" w:rsidRDefault="00600C1B" w:rsidP="00600C1B">
      <w:r w:rsidRPr="00892DE3">
        <w:rPr>
          <w:b/>
        </w:rPr>
        <w:t>Termination benefits</w:t>
      </w:r>
      <w:r w:rsidRPr="00892DE3">
        <w:t xml:space="preserve"> include termination of employment payments, such as severance packages. </w:t>
      </w:r>
    </w:p>
    <w:p w:rsidR="00600C1B" w:rsidRPr="00892DE3" w:rsidRDefault="00600C1B" w:rsidP="00600C1B">
      <w:r w:rsidRPr="00892DE3">
        <w:rPr>
          <w:b/>
        </w:rPr>
        <w:t>Share-based payments</w:t>
      </w:r>
      <w:r w:rsidRPr="00892DE3">
        <w:t xml:space="preserve"> </w:t>
      </w:r>
      <w:r w:rsidR="00E12607" w:rsidRPr="00892DE3">
        <w:t>an agreement between the entity and the employee that entitles them to receive cash or other assets for amounts that are based on the price of shares/share options provided specified vesting conditions, if any, are met</w:t>
      </w:r>
      <w:r w:rsidR="00AE3D73">
        <w:t xml:space="preserve"> (</w:t>
      </w:r>
      <w:r w:rsidR="00AE3D73" w:rsidRPr="00AE3D73">
        <w:rPr>
          <w:i/>
        </w:rPr>
        <w:t>Please delete if not applicable</w:t>
      </w:r>
      <w:r w:rsidR="00AE3D73">
        <w:t>)</w:t>
      </w:r>
      <w:r w:rsidR="00E12607" w:rsidRPr="00892DE3">
        <w:t>.</w:t>
      </w:r>
    </w:p>
    <w:p w:rsidR="00600C1B" w:rsidRPr="00892DE3" w:rsidRDefault="00600C1B" w:rsidP="001146F6">
      <w:pPr>
        <w:rPr>
          <w:rStyle w:val="SourceReference"/>
        </w:rPr>
      </w:pPr>
      <w:r w:rsidRPr="00892DE3">
        <w:t xml:space="preserve">Several factors affected total remuneration payable to executives over the year. A number of employment contracts were completed and renegotiated and </w:t>
      </w:r>
      <w:r w:rsidR="001146F6" w:rsidRPr="00892DE3">
        <w:t>a</w:t>
      </w:r>
      <w:r w:rsidRPr="00892DE3">
        <w:t xml:space="preserve"> number of executive officers retired, resigned or were retrenched in the past year. This has had a significant impact on remuneration figures for the termination benefits category. </w:t>
      </w:r>
      <w:r w:rsidRPr="00892DE3">
        <w:rPr>
          <w:rStyle w:val="SourceReference"/>
        </w:rPr>
        <w:t>[FRD 21C]</w:t>
      </w:r>
    </w:p>
    <w:p w:rsidR="001146F6" w:rsidRPr="00892DE3" w:rsidRDefault="001146F6" w:rsidP="001146F6">
      <w:pPr>
        <w:rPr>
          <w:rStyle w:val="SourceReference"/>
        </w:rPr>
      </w:pPr>
    </w:p>
    <w:p w:rsidR="001146F6" w:rsidRPr="00892DE3" w:rsidRDefault="001146F6" w:rsidP="001146F6"/>
    <w:p w:rsidR="00DA4B35" w:rsidRPr="00892DE3" w:rsidRDefault="00DA4B35" w:rsidP="001146F6"/>
    <w:p w:rsidR="00600C1B" w:rsidRPr="00892DE3" w:rsidRDefault="00600C1B" w:rsidP="00600C1B">
      <w:pPr>
        <w:jc w:val="right"/>
        <w:rPr>
          <w:b/>
          <w:noProof/>
          <w:color w:val="0072CE" w:themeColor="accent4"/>
          <w:sz w:val="14"/>
        </w:rPr>
      </w:pPr>
      <w:r w:rsidRPr="00892DE3">
        <w:rPr>
          <w:b/>
        </w:rPr>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953"/>
        <w:gridCol w:w="1377"/>
        <w:gridCol w:w="1307"/>
      </w:tblGrid>
      <w:tr w:rsidR="00600C1B" w:rsidRPr="00892DE3" w:rsidTr="00DB52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53" w:type="dxa"/>
          </w:tcPr>
          <w:p w:rsidR="00600C1B" w:rsidRPr="00892DE3" w:rsidRDefault="00600C1B" w:rsidP="00DB5273">
            <w:pPr>
              <w:rPr>
                <w:rFonts w:cstheme="majorHAnsi"/>
                <w:szCs w:val="20"/>
              </w:rPr>
            </w:pPr>
          </w:p>
        </w:tc>
        <w:tc>
          <w:tcPr>
            <w:tcW w:w="2684" w:type="dxa"/>
            <w:gridSpan w:val="2"/>
          </w:tcPr>
          <w:p w:rsidR="00600C1B" w:rsidRPr="00892DE3" w:rsidRDefault="00600C1B" w:rsidP="00DB5273">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Total remuneration</w:t>
            </w:r>
          </w:p>
        </w:tc>
      </w:tr>
      <w:tr w:rsidR="00600C1B" w:rsidRPr="00892DE3" w:rsidTr="00DB52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53" w:type="dxa"/>
          </w:tcPr>
          <w:p w:rsidR="005A70C7" w:rsidRPr="00892DE3" w:rsidRDefault="00600C1B" w:rsidP="005A70C7">
            <w:pPr>
              <w:rPr>
                <w:rFonts w:cstheme="majorHAnsi"/>
              </w:rPr>
            </w:pPr>
            <w:r w:rsidRPr="00892DE3">
              <w:rPr>
                <w:rFonts w:cstheme="majorHAnsi"/>
              </w:rPr>
              <w:t xml:space="preserve">Remuneration of executive officers </w:t>
            </w:r>
          </w:p>
          <w:p w:rsidR="00600C1B" w:rsidRPr="00892DE3" w:rsidRDefault="00600C1B" w:rsidP="005A70C7">
            <w:pPr>
              <w:rPr>
                <w:rFonts w:cstheme="majorHAnsi"/>
                <w:szCs w:val="20"/>
              </w:rPr>
            </w:pPr>
            <w:r w:rsidRPr="00892DE3">
              <w:rPr>
                <w:rFonts w:cstheme="majorHAnsi"/>
              </w:rPr>
              <w:t xml:space="preserve">(including </w:t>
            </w:r>
            <w:r w:rsidR="005A70C7" w:rsidRPr="00892DE3">
              <w:rPr>
                <w:rFonts w:cstheme="majorHAnsi"/>
              </w:rPr>
              <w:t>Key Management Personnel disclosed in Note 9.9)</w:t>
            </w:r>
          </w:p>
        </w:tc>
        <w:tc>
          <w:tcPr>
            <w:tcW w:w="1377" w:type="dxa"/>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2017</w:t>
            </w:r>
          </w:p>
        </w:tc>
        <w:tc>
          <w:tcPr>
            <w:tcW w:w="1307" w:type="dxa"/>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rPr>
                <w:rFonts w:cstheme="majorHAnsi"/>
                <w:vertAlign w:val="superscript"/>
              </w:rPr>
            </w:pPr>
            <w:r w:rsidRPr="00892DE3">
              <w:rPr>
                <w:rFonts w:cstheme="majorHAnsi"/>
              </w:rPr>
              <w:t>2016</w:t>
            </w:r>
            <w:r w:rsidR="00EC0147" w:rsidRPr="00EC0147">
              <w:rPr>
                <w:rFonts w:cstheme="majorHAnsi"/>
                <w:b/>
                <w:i w:val="0"/>
                <w:vertAlign w:val="superscript"/>
              </w:rPr>
              <w:t>(a)</w:t>
            </w:r>
            <w:r w:rsidRPr="00892DE3">
              <w:rPr>
                <w:rFonts w:cstheme="majorHAnsi"/>
              </w:rPr>
              <w:t xml:space="preserve"> </w:t>
            </w:r>
          </w:p>
        </w:tc>
      </w:tr>
      <w:tr w:rsidR="00600C1B" w:rsidRPr="00892DE3" w:rsidTr="00EC0147">
        <w:tc>
          <w:tcPr>
            <w:cnfStyle w:val="001000000000" w:firstRow="0" w:lastRow="0" w:firstColumn="1" w:lastColumn="0" w:oddVBand="0" w:evenVBand="0" w:oddHBand="0" w:evenHBand="0" w:firstRowFirstColumn="0" w:firstRowLastColumn="0" w:lastRowFirstColumn="0" w:lastRowLastColumn="0"/>
            <w:tcW w:w="6953" w:type="dxa"/>
          </w:tcPr>
          <w:p w:rsidR="00600C1B" w:rsidRPr="00892DE3" w:rsidRDefault="00600C1B" w:rsidP="00DB5273">
            <w:pPr>
              <w:rPr>
                <w:rFonts w:cstheme="majorHAnsi"/>
                <w:szCs w:val="20"/>
              </w:rPr>
            </w:pPr>
            <w:r w:rsidRPr="00892DE3">
              <w:rPr>
                <w:rFonts w:cstheme="majorHAnsi"/>
                <w:szCs w:val="20"/>
              </w:rPr>
              <w:t>Short-term employee benefits</w:t>
            </w:r>
          </w:p>
        </w:tc>
        <w:tc>
          <w:tcPr>
            <w:tcW w:w="1377"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5 609</w:t>
            </w:r>
          </w:p>
        </w:tc>
        <w:tc>
          <w:tcPr>
            <w:tcW w:w="1307" w:type="dxa"/>
            <w:shd w:val="clear" w:color="auto" w:fill="A6A6A6" w:themeFill="background1" w:themeFillShade="A6"/>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r>
      <w:tr w:rsidR="00600C1B" w:rsidRPr="00892DE3" w:rsidTr="00EC0147">
        <w:tc>
          <w:tcPr>
            <w:cnfStyle w:val="001000000000" w:firstRow="0" w:lastRow="0" w:firstColumn="1" w:lastColumn="0" w:oddVBand="0" w:evenVBand="0" w:oddHBand="0" w:evenHBand="0" w:firstRowFirstColumn="0" w:firstRowLastColumn="0" w:lastRowFirstColumn="0" w:lastRowLastColumn="0"/>
            <w:tcW w:w="6953" w:type="dxa"/>
          </w:tcPr>
          <w:p w:rsidR="00600C1B" w:rsidRPr="00892DE3" w:rsidRDefault="00600C1B" w:rsidP="00DB5273">
            <w:pPr>
              <w:rPr>
                <w:rFonts w:cstheme="majorHAnsi"/>
                <w:szCs w:val="20"/>
              </w:rPr>
            </w:pPr>
            <w:r w:rsidRPr="00892DE3">
              <w:rPr>
                <w:rFonts w:cstheme="majorHAnsi"/>
                <w:szCs w:val="20"/>
              </w:rPr>
              <w:t xml:space="preserve">Post-employment benefits </w:t>
            </w:r>
          </w:p>
        </w:tc>
        <w:tc>
          <w:tcPr>
            <w:tcW w:w="1377"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1 260</w:t>
            </w:r>
          </w:p>
        </w:tc>
        <w:tc>
          <w:tcPr>
            <w:tcW w:w="1307" w:type="dxa"/>
            <w:shd w:val="clear" w:color="auto" w:fill="A6A6A6" w:themeFill="background1" w:themeFillShade="A6"/>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r>
      <w:tr w:rsidR="00600C1B" w:rsidRPr="00892DE3" w:rsidTr="00EC0147">
        <w:tc>
          <w:tcPr>
            <w:cnfStyle w:val="001000000000" w:firstRow="0" w:lastRow="0" w:firstColumn="1" w:lastColumn="0" w:oddVBand="0" w:evenVBand="0" w:oddHBand="0" w:evenHBand="0" w:firstRowFirstColumn="0" w:firstRowLastColumn="0" w:lastRowFirstColumn="0" w:lastRowLastColumn="0"/>
            <w:tcW w:w="6953" w:type="dxa"/>
          </w:tcPr>
          <w:p w:rsidR="00600C1B" w:rsidRPr="00892DE3" w:rsidRDefault="00600C1B" w:rsidP="00DB5273">
            <w:pPr>
              <w:rPr>
                <w:rFonts w:cstheme="majorHAnsi"/>
                <w:szCs w:val="20"/>
              </w:rPr>
            </w:pPr>
            <w:r w:rsidRPr="00892DE3">
              <w:rPr>
                <w:rFonts w:cstheme="majorHAnsi"/>
                <w:szCs w:val="20"/>
              </w:rPr>
              <w:t xml:space="preserve">Other long-term benefits </w:t>
            </w:r>
          </w:p>
        </w:tc>
        <w:tc>
          <w:tcPr>
            <w:tcW w:w="1377"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1 726</w:t>
            </w:r>
          </w:p>
        </w:tc>
        <w:tc>
          <w:tcPr>
            <w:tcW w:w="1307" w:type="dxa"/>
            <w:shd w:val="clear" w:color="auto" w:fill="A6A6A6" w:themeFill="background1" w:themeFillShade="A6"/>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r>
      <w:tr w:rsidR="00600C1B" w:rsidRPr="00892DE3" w:rsidTr="00EC0147">
        <w:tc>
          <w:tcPr>
            <w:cnfStyle w:val="001000000000" w:firstRow="0" w:lastRow="0" w:firstColumn="1" w:lastColumn="0" w:oddVBand="0" w:evenVBand="0" w:oddHBand="0" w:evenHBand="0" w:firstRowFirstColumn="0" w:firstRowLastColumn="0" w:lastRowFirstColumn="0" w:lastRowLastColumn="0"/>
            <w:tcW w:w="6953" w:type="dxa"/>
          </w:tcPr>
          <w:p w:rsidR="00600C1B" w:rsidRPr="00892DE3" w:rsidRDefault="00600C1B" w:rsidP="00DB5273">
            <w:pPr>
              <w:rPr>
                <w:rFonts w:cstheme="majorHAnsi"/>
                <w:szCs w:val="20"/>
              </w:rPr>
            </w:pPr>
            <w:r w:rsidRPr="00892DE3">
              <w:rPr>
                <w:rFonts w:cstheme="majorHAnsi"/>
                <w:szCs w:val="20"/>
              </w:rPr>
              <w:t xml:space="preserve">Termination benefits </w:t>
            </w:r>
          </w:p>
        </w:tc>
        <w:tc>
          <w:tcPr>
            <w:tcW w:w="1377"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320</w:t>
            </w:r>
          </w:p>
        </w:tc>
        <w:tc>
          <w:tcPr>
            <w:tcW w:w="1307" w:type="dxa"/>
            <w:shd w:val="clear" w:color="auto" w:fill="A6A6A6" w:themeFill="background1" w:themeFillShade="A6"/>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r>
      <w:tr w:rsidR="00600C1B" w:rsidRPr="00892DE3" w:rsidTr="00EC0147">
        <w:tc>
          <w:tcPr>
            <w:cnfStyle w:val="001000000000" w:firstRow="0" w:lastRow="0" w:firstColumn="1" w:lastColumn="0" w:oddVBand="0" w:evenVBand="0" w:oddHBand="0" w:evenHBand="0" w:firstRowFirstColumn="0" w:firstRowLastColumn="0" w:lastRowFirstColumn="0" w:lastRowLastColumn="0"/>
            <w:tcW w:w="6953" w:type="dxa"/>
          </w:tcPr>
          <w:p w:rsidR="00600C1B" w:rsidRPr="00892DE3" w:rsidRDefault="00600C1B" w:rsidP="00DB5273">
            <w:pPr>
              <w:rPr>
                <w:rFonts w:cstheme="majorHAnsi"/>
                <w:szCs w:val="20"/>
              </w:rPr>
            </w:pPr>
            <w:r w:rsidRPr="00892DE3">
              <w:rPr>
                <w:rFonts w:cstheme="majorHAnsi"/>
                <w:szCs w:val="20"/>
              </w:rPr>
              <w:t xml:space="preserve">Share-based payments </w:t>
            </w:r>
          </w:p>
        </w:tc>
        <w:tc>
          <w:tcPr>
            <w:tcW w:w="1377"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307" w:type="dxa"/>
            <w:shd w:val="clear" w:color="auto" w:fill="A6A6A6" w:themeFill="background1" w:themeFillShade="A6"/>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rPr>
            </w:pPr>
          </w:p>
        </w:tc>
      </w:tr>
      <w:tr w:rsidR="00600C1B" w:rsidRPr="00892DE3" w:rsidTr="00EC0147">
        <w:tc>
          <w:tcPr>
            <w:cnfStyle w:val="001000000000" w:firstRow="0" w:lastRow="0" w:firstColumn="1" w:lastColumn="0" w:oddVBand="0" w:evenVBand="0" w:oddHBand="0" w:evenHBand="0" w:firstRowFirstColumn="0" w:firstRowLastColumn="0" w:lastRowFirstColumn="0" w:lastRowLastColumn="0"/>
            <w:tcW w:w="6953" w:type="dxa"/>
            <w:tcBorders>
              <w:bottom w:val="single" w:sz="4" w:space="0" w:color="auto"/>
            </w:tcBorders>
          </w:tcPr>
          <w:p w:rsidR="00600C1B" w:rsidRPr="00892DE3" w:rsidRDefault="00600C1B" w:rsidP="00DB5273">
            <w:pPr>
              <w:rPr>
                <w:rFonts w:cstheme="majorHAnsi"/>
                <w:b/>
              </w:rPr>
            </w:pPr>
            <w:r w:rsidRPr="00892DE3">
              <w:rPr>
                <w:rFonts w:cstheme="majorHAnsi"/>
                <w:b/>
                <w:szCs w:val="20"/>
              </w:rPr>
              <w:t>Total remuneration</w:t>
            </w:r>
            <w:r w:rsidR="00904063" w:rsidRPr="00892DE3">
              <w:rPr>
                <w:rFonts w:cstheme="majorHAnsi"/>
                <w:b/>
                <w:szCs w:val="20"/>
              </w:rPr>
              <w:t xml:space="preserve"> </w:t>
            </w:r>
            <w:r w:rsidRPr="00892DE3">
              <w:rPr>
                <w:rFonts w:cstheme="majorHAnsi"/>
                <w:b/>
                <w:szCs w:val="20"/>
                <w:vertAlign w:val="superscript"/>
              </w:rPr>
              <w:t>(a)(b)</w:t>
            </w:r>
            <w:r w:rsidRPr="00892DE3">
              <w:rPr>
                <w:rFonts w:cstheme="majorHAnsi"/>
                <w:b/>
                <w:szCs w:val="20"/>
              </w:rPr>
              <w:t xml:space="preserve"> </w:t>
            </w:r>
          </w:p>
        </w:tc>
        <w:tc>
          <w:tcPr>
            <w:tcW w:w="1377" w:type="dxa"/>
            <w:tcBorders>
              <w:bottom w:val="single" w:sz="4" w:space="0" w:color="auto"/>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8 916</w:t>
            </w:r>
          </w:p>
        </w:tc>
        <w:tc>
          <w:tcPr>
            <w:tcW w:w="1307" w:type="dxa"/>
            <w:tcBorders>
              <w:bottom w:val="single" w:sz="4" w:space="0" w:color="auto"/>
            </w:tcBorders>
            <w:shd w:val="clear" w:color="auto" w:fill="A6A6A6" w:themeFill="background1" w:themeFillShade="A6"/>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6953" w:type="dxa"/>
            <w:tcBorders>
              <w:top w:val="single" w:sz="4" w:space="0" w:color="auto"/>
              <w:bottom w:val="single" w:sz="4" w:space="0" w:color="auto"/>
            </w:tcBorders>
          </w:tcPr>
          <w:p w:rsidR="00600C1B" w:rsidRPr="00892DE3" w:rsidRDefault="00600C1B" w:rsidP="00DB5273">
            <w:pPr>
              <w:rPr>
                <w:rFonts w:cstheme="majorHAnsi"/>
                <w:b/>
                <w:szCs w:val="20"/>
              </w:rPr>
            </w:pPr>
            <w:r w:rsidRPr="00892DE3">
              <w:rPr>
                <w:rFonts w:cstheme="majorHAnsi"/>
                <w:b/>
                <w:szCs w:val="20"/>
              </w:rPr>
              <w:t>Total number of executives</w:t>
            </w:r>
          </w:p>
        </w:tc>
        <w:tc>
          <w:tcPr>
            <w:tcW w:w="1377" w:type="dxa"/>
            <w:tcBorders>
              <w:top w:val="single" w:sz="4" w:space="0" w:color="auto"/>
              <w:bottom w:val="single" w:sz="4" w:space="0" w:color="auto"/>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79</w:t>
            </w:r>
          </w:p>
        </w:tc>
        <w:tc>
          <w:tcPr>
            <w:tcW w:w="1307" w:type="dxa"/>
            <w:tcBorders>
              <w:top w:val="single" w:sz="4" w:space="0" w:color="auto"/>
              <w:bottom w:val="single" w:sz="4" w:space="0" w:color="auto"/>
            </w:tcBorders>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77</w:t>
            </w:r>
          </w:p>
        </w:tc>
      </w:tr>
      <w:tr w:rsidR="00600C1B" w:rsidRPr="00892DE3" w:rsidTr="00DB527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3" w:type="dxa"/>
            <w:tcBorders>
              <w:top w:val="single" w:sz="4" w:space="0" w:color="auto"/>
            </w:tcBorders>
          </w:tcPr>
          <w:p w:rsidR="00600C1B" w:rsidRPr="00892DE3" w:rsidRDefault="00600C1B" w:rsidP="00DB5273">
            <w:r w:rsidRPr="00892DE3">
              <w:t xml:space="preserve">Total annualised employee equivalents </w:t>
            </w:r>
            <w:r w:rsidRPr="00892DE3">
              <w:rPr>
                <w:vertAlign w:val="superscript"/>
              </w:rPr>
              <w:t>(c)</w:t>
            </w:r>
          </w:p>
        </w:tc>
        <w:tc>
          <w:tcPr>
            <w:tcW w:w="1377" w:type="dxa"/>
            <w:tcBorders>
              <w:top w:val="single" w:sz="4" w:space="0" w:color="auto"/>
            </w:tcBorders>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76.2</w:t>
            </w:r>
          </w:p>
        </w:tc>
        <w:tc>
          <w:tcPr>
            <w:tcW w:w="1307" w:type="dxa"/>
            <w:tcBorders>
              <w:top w:val="single" w:sz="4" w:space="0" w:color="auto"/>
            </w:tcBorders>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pPr>
            <w:r w:rsidRPr="00892DE3">
              <w:t>75.8</w:t>
            </w:r>
          </w:p>
        </w:tc>
      </w:tr>
    </w:tbl>
    <w:p w:rsidR="00600C1B" w:rsidRPr="00892DE3" w:rsidRDefault="00600C1B" w:rsidP="00600C1B">
      <w:pPr>
        <w:pStyle w:val="Note"/>
      </w:pPr>
      <w:r w:rsidRPr="00892DE3">
        <w:t>Notes:</w:t>
      </w:r>
    </w:p>
    <w:p w:rsidR="00600C1B" w:rsidRPr="00892DE3" w:rsidRDefault="00600C1B" w:rsidP="00600C1B">
      <w:pPr>
        <w:pStyle w:val="Note"/>
      </w:pPr>
      <w:r w:rsidRPr="00892DE3">
        <w:t xml:space="preserve">(a) </w:t>
      </w:r>
      <w:r w:rsidRPr="00892DE3">
        <w:tab/>
        <w:t>No comparatives have been reported because remuneration in the prior year was determined in line with the basis and definition under FRD 21B. Remuneration previously excluded non-monetary benefits and comprised any money, consideration or benefit received or receivable, excluding reimbursement of out-of-pocket expenses, including any amount received or receivable from a related party transaction. Refer to the prior year’s financial statements for executive remuneration for the 2015-16 reporting period.</w:t>
      </w:r>
    </w:p>
    <w:p w:rsidR="00600C1B" w:rsidRPr="00892DE3" w:rsidRDefault="00600C1B" w:rsidP="00600C1B">
      <w:pPr>
        <w:pStyle w:val="Note"/>
      </w:pPr>
      <w:r w:rsidRPr="00892DE3">
        <w:t xml:space="preserve">(b) </w:t>
      </w:r>
      <w:r w:rsidRPr="00892DE3">
        <w:tab/>
        <w:t xml:space="preserve">The total number of executive officers includes persons who meet the definition of Key Management Personnel (KMP) of the entity under AASB 124 </w:t>
      </w:r>
      <w:r w:rsidRPr="00892DE3">
        <w:rPr>
          <w:i w:val="0"/>
        </w:rPr>
        <w:t xml:space="preserve">Related Party Disclosures </w:t>
      </w:r>
      <w:r w:rsidRPr="00892DE3">
        <w:t>and are also reported within the related parties note disclosure (Note 9.</w:t>
      </w:r>
      <w:r w:rsidR="007325F2" w:rsidRPr="00892DE3">
        <w:t>9</w:t>
      </w:r>
      <w:r w:rsidRPr="00892DE3">
        <w:t xml:space="preserve">).  </w:t>
      </w:r>
    </w:p>
    <w:p w:rsidR="00600C1B" w:rsidRPr="00892DE3" w:rsidRDefault="00600C1B" w:rsidP="00600C1B">
      <w:pPr>
        <w:pStyle w:val="Note"/>
        <w:tabs>
          <w:tab w:val="left" w:pos="284"/>
        </w:tabs>
        <w:ind w:left="0" w:firstLine="0"/>
      </w:pPr>
      <w:r w:rsidRPr="00892DE3">
        <w:t>(c)</w:t>
      </w:r>
      <w:r w:rsidRPr="00892DE3">
        <w:tab/>
        <w:t>Annualised employee equivalent is based on the time fraction worked over the reporting period.</w:t>
      </w:r>
    </w:p>
    <w:p w:rsidR="00600C1B" w:rsidRPr="00892DE3" w:rsidRDefault="00600C1B" w:rsidP="00600C1B">
      <w:pPr>
        <w:keepLines w:val="0"/>
        <w:spacing w:before="0"/>
      </w:pPr>
    </w:p>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DB5273">
            <w:r w:rsidRPr="00892DE3">
              <w:t xml:space="preserve">Guidance – Remuneration of executives </w:t>
            </w:r>
            <w:r w:rsidRPr="00892DE3">
              <w:rPr>
                <w:rStyle w:val="SourceReference"/>
                <w:b w:val="0"/>
                <w:color w:val="FFFFFF" w:themeColor="background1"/>
              </w:rPr>
              <w:t>[FRD 21C]</w:t>
            </w:r>
          </w:p>
        </w:tc>
      </w:tr>
      <w:tr w:rsidR="00600C1B" w:rsidRPr="00892DE3" w:rsidTr="00DB5273">
        <w:tc>
          <w:tcPr>
            <w:tcW w:w="9752" w:type="dxa"/>
          </w:tcPr>
          <w:p w:rsidR="00600C1B" w:rsidRPr="00892DE3" w:rsidRDefault="00600C1B" w:rsidP="00DB5273">
            <w:r w:rsidRPr="00892DE3">
              <w:t xml:space="preserve">Includes all employee </w:t>
            </w:r>
            <w:r w:rsidR="005760D6" w:rsidRPr="00892DE3">
              <w:t>benefits (as defined in AASB 119</w:t>
            </w:r>
            <w:r w:rsidRPr="00892DE3">
              <w:t xml:space="preserve"> </w:t>
            </w:r>
            <w:r w:rsidRPr="00892DE3">
              <w:rPr>
                <w:i/>
              </w:rPr>
              <w:t>Employee Benefits</w:t>
            </w:r>
            <w:r w:rsidRPr="00892DE3">
              <w:t xml:space="preserve">), which are all forms of consideration paid, payable or provided by the entity, or on behalf of the entity, in exchange for services rendered. It also includes amounts paid on behalf of a parent of the entity in respect of the entity. </w:t>
            </w:r>
          </w:p>
          <w:p w:rsidR="00600C1B" w:rsidRPr="00892DE3" w:rsidRDefault="00600C1B" w:rsidP="00DB5273">
            <w:r w:rsidRPr="00892DE3">
              <w:t xml:space="preserve">Remuneration is reported based on the nature of the payment in accordance with AASB 124 </w:t>
            </w:r>
            <w:r w:rsidRPr="00892DE3">
              <w:rPr>
                <w:i/>
              </w:rPr>
              <w:t>Related Party Disclosures</w:t>
            </w:r>
            <w:r w:rsidRPr="00892DE3">
              <w:t xml:space="preserve">. The disclosure categories include: </w:t>
            </w:r>
          </w:p>
          <w:p w:rsidR="00600C1B" w:rsidRPr="00892DE3" w:rsidRDefault="00600C1B" w:rsidP="00DB5273">
            <w:pPr>
              <w:pStyle w:val="ListBullet"/>
            </w:pPr>
            <w:r w:rsidRPr="00892DE3">
              <w:rPr>
                <w:b/>
              </w:rPr>
              <w:t>Short-term employee benefits</w:t>
            </w:r>
            <w:r w:rsidRPr="00892DE3">
              <w:t xml:space="preserve">: wages, salaries, paid annual and sick leave, profit-sharing and bonuses </w:t>
            </w:r>
            <w:r w:rsidRPr="00892DE3">
              <w:br/>
              <w:t xml:space="preserve">(if payable within 12 months of the end of the period), and non-monetary benefits such as car/fuel/carpark and chauffeur allowances, travel and accommodation, housing allowances, study benefits and free/subsidised goods or services. </w:t>
            </w:r>
          </w:p>
          <w:p w:rsidR="00600C1B" w:rsidRPr="00892DE3" w:rsidRDefault="00600C1B" w:rsidP="00DB5273">
            <w:pPr>
              <w:pStyle w:val="ListBullet"/>
            </w:pPr>
            <w:r w:rsidRPr="00892DE3">
              <w:rPr>
                <w:b/>
              </w:rPr>
              <w:t>Post-employment benefits</w:t>
            </w:r>
            <w:r w:rsidRPr="00892DE3">
              <w:t xml:space="preserve">: pensions, other retirement benefits, post-employment life insurance or health care and superannuation entitlements. </w:t>
            </w:r>
          </w:p>
          <w:p w:rsidR="00600C1B" w:rsidRPr="00892DE3" w:rsidRDefault="00600C1B" w:rsidP="00DB5273">
            <w:pPr>
              <w:pStyle w:val="ListBullet"/>
            </w:pPr>
            <w:r w:rsidRPr="00892DE3">
              <w:rPr>
                <w:b/>
              </w:rPr>
              <w:t>Other long-term employee benefits</w:t>
            </w:r>
            <w:r w:rsidRPr="00892DE3">
              <w:t>: long service leave, sabbatical leave, jubilee or other long service benefits, long-term disability benefits, deferred compensation and profit-sharing and bonuses (not payable wholly within 12 </w:t>
            </w:r>
            <w:r w:rsidR="00904063" w:rsidRPr="00892DE3">
              <w:t>months).</w:t>
            </w:r>
          </w:p>
          <w:p w:rsidR="00904063" w:rsidRPr="00892DE3" w:rsidRDefault="00904063" w:rsidP="00904063">
            <w:pPr>
              <w:pStyle w:val="ListBullet"/>
            </w:pPr>
            <w:r w:rsidRPr="00892DE3">
              <w:rPr>
                <w:b/>
              </w:rPr>
              <w:t>Termination benefits</w:t>
            </w:r>
            <w:r w:rsidRPr="00892DE3">
              <w:t xml:space="preserve">: all employee benefits provided on termination of employment as a result of either an entity’s decision to terminate an employee before the normal retirement date, or an employee’s decision to accept an offer of benefits in exchange for termination of employment. </w:t>
            </w:r>
          </w:p>
          <w:p w:rsidR="00904063" w:rsidRPr="00892DE3" w:rsidRDefault="00904063" w:rsidP="00904063">
            <w:pPr>
              <w:pStyle w:val="ListBullet"/>
            </w:pPr>
            <w:r w:rsidRPr="00892DE3">
              <w:rPr>
                <w:b/>
              </w:rPr>
              <w:t>Share-based payments</w:t>
            </w:r>
            <w:r w:rsidRPr="00892DE3">
              <w:t xml:space="preserve">: an agreement between the entity and the employee that entitles them to receive cash or other assets for amounts that are based on the price of shares/share options provided specified vesting conditions, if any, are met. This category is unlikely to be applicable to public sector not-for-profit entities. </w:t>
            </w:r>
          </w:p>
          <w:p w:rsidR="00904063" w:rsidRPr="00892DE3" w:rsidRDefault="00904063" w:rsidP="00904063">
            <w:r w:rsidRPr="00892DE3">
              <w:rPr>
                <w:b/>
              </w:rPr>
              <w:t>Annualised employee equivalent</w:t>
            </w:r>
            <w:r w:rsidRPr="00892DE3">
              <w:t xml:space="preserve"> (AEE) is required to be disclosed in addition to the headcount disclosure of executive officers. </w:t>
            </w:r>
          </w:p>
          <w:p w:rsidR="00904063" w:rsidRPr="00892DE3" w:rsidRDefault="00904063" w:rsidP="00904063">
            <w:pPr>
              <w:rPr>
                <w:b/>
              </w:rPr>
            </w:pPr>
            <w:r w:rsidRPr="00892DE3">
              <w:t xml:space="preserve">AEE is defined and explained in FRD 21C </w:t>
            </w:r>
            <w:r w:rsidRPr="00892DE3">
              <w:rPr>
                <w:i/>
              </w:rPr>
              <w:t>Disclosures of Responsible Persons and Executive</w:t>
            </w:r>
            <w:r w:rsidRPr="00892DE3">
              <w:t xml:space="preserve"> in the Financial Report. It is calculated by dividing the total number of days that an employee is engaged to work during the week by the total number of full-time working days per week.</w:t>
            </w:r>
          </w:p>
          <w:p w:rsidR="00904063" w:rsidRPr="00892DE3" w:rsidRDefault="00904063" w:rsidP="00904063">
            <w:pPr>
              <w:rPr>
                <w:i/>
              </w:rPr>
            </w:pPr>
            <w:r w:rsidRPr="00892DE3">
              <w:rPr>
                <w:i/>
              </w:rPr>
              <w:t>Example 1</w:t>
            </w:r>
          </w:p>
          <w:p w:rsidR="00904063" w:rsidRPr="00892DE3" w:rsidRDefault="00904063" w:rsidP="00904063">
            <w:r w:rsidRPr="00892DE3">
              <w:t xml:space="preserve">A part-time Employee A works 3 days per week. </w:t>
            </w:r>
          </w:p>
          <w:p w:rsidR="00904063" w:rsidRPr="00892DE3" w:rsidRDefault="00904063" w:rsidP="00904063">
            <w:pPr>
              <w:pStyle w:val="ListBullet"/>
            </w:pPr>
            <w:r w:rsidRPr="00892DE3">
              <w:t>AEE = 3 days/5 days = 0.6</w:t>
            </w:r>
          </w:p>
          <w:p w:rsidR="00904063" w:rsidRPr="00892DE3" w:rsidRDefault="00904063" w:rsidP="00904063">
            <w:pPr>
              <w:rPr>
                <w:i/>
              </w:rPr>
            </w:pPr>
            <w:r w:rsidRPr="00892DE3">
              <w:rPr>
                <w:i/>
              </w:rPr>
              <w:t>Example 2</w:t>
            </w:r>
          </w:p>
          <w:p w:rsidR="00904063" w:rsidRPr="00892DE3" w:rsidRDefault="00904063" w:rsidP="00904063">
            <w:r w:rsidRPr="00892DE3">
              <w:t>A full-time Employee B works 5 full working days in a compressed week over 4 days under flexible working arrangements.</w:t>
            </w:r>
          </w:p>
          <w:p w:rsidR="00904063" w:rsidRPr="00892DE3" w:rsidRDefault="00904063" w:rsidP="00904063">
            <w:pPr>
              <w:pStyle w:val="ListBullet"/>
            </w:pPr>
            <w:r w:rsidRPr="00892DE3">
              <w:t>AEE = 5 days/5 days = 1.00</w:t>
            </w:r>
          </w:p>
        </w:tc>
      </w:tr>
    </w:tbl>
    <w:p w:rsidR="00600C1B" w:rsidRPr="00892DE3" w:rsidRDefault="00600C1B" w:rsidP="00600C1B"/>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904063">
            <w:pPr>
              <w:pageBreakBefore/>
            </w:pPr>
            <w:r w:rsidRPr="00892DE3">
              <w:t xml:space="preserve">Guidance – Remuneration of executives </w:t>
            </w:r>
            <w:r w:rsidRPr="00C33142">
              <w:rPr>
                <w:i/>
              </w:rPr>
              <w:t>(continued)</w:t>
            </w:r>
          </w:p>
        </w:tc>
      </w:tr>
      <w:tr w:rsidR="00600C1B" w:rsidRPr="00892DE3" w:rsidTr="00DB5273">
        <w:tc>
          <w:tcPr>
            <w:tcW w:w="9752" w:type="dxa"/>
          </w:tcPr>
          <w:p w:rsidR="00600C1B" w:rsidRPr="00892DE3" w:rsidRDefault="00600C1B" w:rsidP="00DB5273">
            <w:pPr>
              <w:rPr>
                <w:b/>
              </w:rPr>
            </w:pPr>
            <w:r w:rsidRPr="00892DE3">
              <w:rPr>
                <w:b/>
              </w:rPr>
              <w:t>Reconciliation with ‘executive officer data’ in the Report of Operations</w:t>
            </w:r>
          </w:p>
          <w:p w:rsidR="00600C1B" w:rsidRPr="00892DE3" w:rsidRDefault="00600C1B" w:rsidP="00DB5273">
            <w:r w:rsidRPr="00892DE3">
              <w:t>Entities must also ensure that total numbers of executives reported in the note to the financial statements corresponds with the total numbers of executive officers from the executive officer data disclosure in the report of operations (e.g. table 2 of the ‘executive officer data’ section).</w:t>
            </w:r>
          </w:p>
          <w:p w:rsidR="00600C1B" w:rsidRPr="00892DE3" w:rsidRDefault="00600C1B" w:rsidP="00DB5273">
            <w:r w:rsidRPr="00892DE3">
              <w:t>For further disclosure guidance in relation to executive officers, please refer to FRD 21C.</w:t>
            </w:r>
          </w:p>
          <w:p w:rsidR="00600C1B" w:rsidRPr="00892DE3" w:rsidRDefault="00600C1B" w:rsidP="00DB5273">
            <w:r w:rsidRPr="00892DE3">
              <w:t xml:space="preserve">If a person becomes an executive during the reporting period, no disclosure is required for remuneration paid to that person prior to their appointment as an executive. </w:t>
            </w:r>
          </w:p>
          <w:p w:rsidR="00600C1B" w:rsidRPr="00892DE3" w:rsidRDefault="00600C1B" w:rsidP="00DB5273">
            <w:r w:rsidRPr="00892DE3">
              <w:t xml:space="preserve">If a person ceases to be an executive during the reporting period, the disclosure should only include their remuneration for the reporting period up until the end of their term of employment as an executive. </w:t>
            </w:r>
          </w:p>
          <w:p w:rsidR="00600C1B" w:rsidRPr="00892DE3" w:rsidRDefault="00600C1B" w:rsidP="00DB5273">
            <w:r w:rsidRPr="00892DE3">
              <w:t>The disclosure of executive officer remuneration does not relate to any VPS 6 or 7 staff acting on a temporary basis in executive roles, while the substantive executive officer is on paid leave or secondment.</w:t>
            </w:r>
          </w:p>
          <w:p w:rsidR="00600C1B" w:rsidRPr="00892DE3" w:rsidRDefault="00600C1B" w:rsidP="00DB5273">
            <w:r w:rsidRPr="00892DE3">
              <w:t xml:space="preserve">Where an executive officer from the same department backfills for another executive officer while on paid leave or secondment in that same department, then both executive officers are included in the disclosure. </w:t>
            </w:r>
            <w:r w:rsidRPr="00892DE3">
              <w:rPr>
                <w:rStyle w:val="SourceReference"/>
              </w:rPr>
              <w:t>[FRD 15D]</w:t>
            </w:r>
          </w:p>
        </w:tc>
      </w:tr>
    </w:tbl>
    <w:p w:rsidR="00600C1B" w:rsidRPr="00892DE3" w:rsidRDefault="00600C1B" w:rsidP="00600C1B">
      <w:pPr>
        <w:pStyle w:val="Heading2"/>
      </w:pPr>
      <w:bookmarkStart w:id="184" w:name="_Toc477432299"/>
      <w:bookmarkStart w:id="185" w:name="_Toc478729320"/>
      <w:bookmarkStart w:id="186" w:name="_Toc479085171"/>
      <w:r w:rsidRPr="00892DE3">
        <w:t>Related parties</w:t>
      </w:r>
      <w:bookmarkEnd w:id="184"/>
      <w:r w:rsidRPr="00892DE3">
        <w:t xml:space="preserve"> </w:t>
      </w:r>
      <w:r w:rsidRPr="00892DE3">
        <w:rPr>
          <w:color w:val="C00000"/>
          <w:sz w:val="16"/>
        </w:rPr>
        <w:t>[New]</w:t>
      </w:r>
      <w:bookmarkEnd w:id="185"/>
      <w:bookmarkEnd w:id="186"/>
    </w:p>
    <w:p w:rsidR="00600C1B" w:rsidRPr="00892DE3" w:rsidRDefault="00600C1B" w:rsidP="00600C1B">
      <w:pPr>
        <w:rPr>
          <w:rFonts w:ascii="Arial" w:eastAsia="Arial" w:hAnsi="Arial" w:cs="Times New Roman"/>
        </w:rPr>
      </w:pPr>
      <w:r w:rsidRPr="00892DE3">
        <w:rPr>
          <w:rFonts w:ascii="Arial" w:eastAsia="Arial" w:hAnsi="Arial" w:cs="Times New Roman"/>
        </w:rPr>
        <w:t xml:space="preserve">The department is a wholly owned and controlled entity of the State of Victoria. </w:t>
      </w:r>
    </w:p>
    <w:p w:rsidR="00600C1B" w:rsidRPr="00892DE3" w:rsidRDefault="00600C1B" w:rsidP="00600C1B">
      <w:pPr>
        <w:rPr>
          <w:rFonts w:ascii="Arial" w:eastAsia="Arial" w:hAnsi="Arial" w:cs="Times New Roman"/>
        </w:rPr>
      </w:pPr>
      <w:r w:rsidRPr="00892DE3">
        <w:rPr>
          <w:rFonts w:ascii="Arial" w:eastAsia="Arial" w:hAnsi="Arial" w:cs="Times New Roman"/>
        </w:rPr>
        <w:t xml:space="preserve">The following agencies have been consolidated into the Department’s financial statements pursuant to the determination made by the Minister for Finance under section 53(1)(b) of the </w:t>
      </w:r>
      <w:r w:rsidRPr="00892DE3">
        <w:rPr>
          <w:rFonts w:ascii="Arial" w:eastAsia="Arial" w:hAnsi="Arial" w:cs="Times New Roman"/>
          <w:i/>
        </w:rPr>
        <w:t>Financial Management Act 1994</w:t>
      </w:r>
      <w:r w:rsidRPr="00892DE3">
        <w:rPr>
          <w:rFonts w:ascii="Arial" w:eastAsia="Arial" w:hAnsi="Arial" w:cs="Times New Roman"/>
        </w:rPr>
        <w:t xml:space="preserve"> (FMA): </w:t>
      </w:r>
    </w:p>
    <w:p w:rsidR="00600C1B" w:rsidRPr="00892DE3" w:rsidRDefault="00600C1B" w:rsidP="00600C1B">
      <w:pPr>
        <w:pStyle w:val="ListBullet"/>
      </w:pPr>
      <w:r w:rsidRPr="00892DE3">
        <w:t xml:space="preserve">Gene Sciences Victoria; </w:t>
      </w:r>
    </w:p>
    <w:p w:rsidR="00600C1B" w:rsidRPr="00892DE3" w:rsidRDefault="00600C1B" w:rsidP="00600C1B">
      <w:pPr>
        <w:pStyle w:val="ListBullet"/>
      </w:pPr>
      <w:r w:rsidRPr="00892DE3">
        <w:t xml:space="preserve">The Office of the Commissioner of New Technology; and </w:t>
      </w:r>
    </w:p>
    <w:p w:rsidR="00600C1B" w:rsidRPr="00892DE3" w:rsidRDefault="00600C1B" w:rsidP="00600C1B">
      <w:pPr>
        <w:pStyle w:val="ListBullet"/>
      </w:pPr>
      <w:r w:rsidRPr="00892DE3">
        <w:t xml:space="preserve">Innovation Victoria. </w:t>
      </w:r>
    </w:p>
    <w:p w:rsidR="00600C1B" w:rsidRPr="00892DE3" w:rsidRDefault="00600C1B" w:rsidP="00600C1B">
      <w:r w:rsidRPr="00892DE3">
        <w:t>Related parties of the department, Gene Sciences Victoria, the Office of the Commissioner of New Technology and Innovation Victoria include:</w:t>
      </w:r>
    </w:p>
    <w:p w:rsidR="00600C1B" w:rsidRPr="00892DE3" w:rsidRDefault="00600C1B" w:rsidP="00600C1B">
      <w:pPr>
        <w:pStyle w:val="ListBullet"/>
      </w:pPr>
      <w:r w:rsidRPr="00892DE3">
        <w:t>all key management personnel and their close family members</w:t>
      </w:r>
      <w:r w:rsidR="003B7D67">
        <w:t xml:space="preserve"> and personal business interests (controlled entities, joint ventures and entities they have significant influence over)</w:t>
      </w:r>
      <w:r w:rsidRPr="00892DE3">
        <w:t>;</w:t>
      </w:r>
    </w:p>
    <w:p w:rsidR="00600C1B" w:rsidRPr="00892DE3" w:rsidRDefault="00600C1B" w:rsidP="00600C1B">
      <w:pPr>
        <w:pStyle w:val="ListBullet"/>
      </w:pPr>
      <w:r w:rsidRPr="00892DE3">
        <w:t>all cabinet ministers and their close family members; and</w:t>
      </w:r>
    </w:p>
    <w:p w:rsidR="00600C1B" w:rsidRPr="00892DE3" w:rsidRDefault="00600C1B" w:rsidP="00600C1B">
      <w:pPr>
        <w:pStyle w:val="ListBullet"/>
      </w:pPr>
      <w:r w:rsidRPr="00892DE3">
        <w:t>all departments and public sector entities that are controlled and consolidated into the whole of state consolidated financial statements.</w:t>
      </w:r>
    </w:p>
    <w:p w:rsidR="00600C1B" w:rsidRPr="00892DE3" w:rsidRDefault="00600C1B" w:rsidP="00600C1B">
      <w:r w:rsidRPr="00892DE3">
        <w:t>All related party transactions have been entered into on an arm’s length basis.</w:t>
      </w:r>
    </w:p>
    <w:p w:rsidR="00600C1B" w:rsidRPr="00892DE3" w:rsidRDefault="00600C1B" w:rsidP="00600C1B">
      <w:pPr>
        <w:rPr>
          <w:rFonts w:ascii="Arial" w:eastAsia="Arial" w:hAnsi="Arial" w:cs="Times New Roman"/>
          <w:b/>
        </w:rPr>
      </w:pPr>
      <w:r w:rsidRPr="00892DE3">
        <w:rPr>
          <w:rFonts w:ascii="Arial" w:eastAsia="Arial" w:hAnsi="Arial" w:cs="Times New Roman"/>
          <w:b/>
        </w:rPr>
        <w:t>Significant transactions with government-related entities</w:t>
      </w:r>
    </w:p>
    <w:p w:rsidR="00600C1B" w:rsidRPr="00892DE3" w:rsidRDefault="00600C1B" w:rsidP="00600C1B">
      <w:pPr>
        <w:rPr>
          <w:rFonts w:ascii="Arial" w:eastAsia="Arial" w:hAnsi="Arial" w:cs="Times New Roman"/>
        </w:rPr>
      </w:pPr>
      <w:r w:rsidRPr="00892DE3">
        <w:rPr>
          <w:rFonts w:ascii="Arial" w:eastAsia="Arial" w:hAnsi="Arial" w:cs="Times New Roman"/>
        </w:rPr>
        <w:t xml:space="preserve">The Department received funding and made payments to the Consolidated Fund of $85.5 million (2016: $63.7 million) and $26.6 million (2016: $27.5 million) respectively. </w:t>
      </w:r>
    </w:p>
    <w:p w:rsidR="00600C1B" w:rsidRPr="00892DE3" w:rsidRDefault="00600C1B" w:rsidP="00600C1B">
      <w:pPr>
        <w:rPr>
          <w:rFonts w:ascii="Arial" w:eastAsia="Arial" w:hAnsi="Arial" w:cs="Times New Roman"/>
        </w:rPr>
      </w:pPr>
      <w:r w:rsidRPr="00892DE3">
        <w:rPr>
          <w:rFonts w:ascii="Arial" w:eastAsia="Arial" w:hAnsi="Arial" w:cs="Times New Roman"/>
        </w:rPr>
        <w:t>[During the year, the Department had the following government-related entity transactions:</w:t>
      </w:r>
    </w:p>
    <w:p w:rsidR="00600C1B" w:rsidRPr="00892DE3" w:rsidRDefault="00600C1B" w:rsidP="00600C1B">
      <w:pPr>
        <w:pStyle w:val="ListBullet"/>
      </w:pPr>
      <w:r w:rsidRPr="00892DE3">
        <w:t>the following information in sufficient detail to enable users’ of the entity’s financial statements to understand the effect of related party transaction on its financial statements:</w:t>
      </w:r>
    </w:p>
    <w:p w:rsidR="00600C1B" w:rsidRPr="00892DE3" w:rsidRDefault="00600C1B" w:rsidP="00600C1B">
      <w:pPr>
        <w:pStyle w:val="ListBullet2"/>
      </w:pPr>
      <w:r w:rsidRPr="00892DE3">
        <w:t>the nature and amount of each individually significant transactions; and</w:t>
      </w:r>
    </w:p>
    <w:p w:rsidR="00600C1B" w:rsidRPr="00892DE3" w:rsidRDefault="00600C1B" w:rsidP="00600C1B">
      <w:pPr>
        <w:pStyle w:val="ListBullet2"/>
      </w:pPr>
      <w:r w:rsidRPr="00892DE3">
        <w:t>for other transactions that are collectively, but not individually significant, a qualitative or quantitative indication of their extent.]</w:t>
      </w:r>
    </w:p>
    <w:p w:rsidR="00482435" w:rsidRDefault="00600C1B" w:rsidP="00482435">
      <w:pPr>
        <w:rPr>
          <w:rFonts w:ascii="Arial" w:eastAsia="Arial" w:hAnsi="Arial" w:cs="Times New Roman"/>
        </w:rPr>
      </w:pPr>
      <w:r w:rsidRPr="00892DE3">
        <w:rPr>
          <w:rFonts w:ascii="Arial" w:eastAsia="Arial" w:hAnsi="Arial" w:cs="Times New Roman"/>
          <w:b/>
        </w:rPr>
        <w:t>Key management personnel</w:t>
      </w:r>
      <w:r w:rsidRPr="00892DE3">
        <w:rPr>
          <w:rFonts w:ascii="Arial" w:eastAsia="Arial" w:hAnsi="Arial" w:cs="Times New Roman"/>
        </w:rPr>
        <w:t xml:space="preserve"> of the department </w:t>
      </w:r>
      <w:r w:rsidR="00482435" w:rsidRPr="00293D30">
        <w:rPr>
          <w:rFonts w:ascii="Arial" w:eastAsia="Arial" w:hAnsi="Arial" w:cs="Times New Roman"/>
        </w:rPr>
        <w:t>include</w:t>
      </w:r>
      <w:r w:rsidR="00482435">
        <w:rPr>
          <w:rFonts w:ascii="Arial" w:eastAsia="Arial" w:hAnsi="Arial" w:cs="Times New Roman"/>
        </w:rPr>
        <w:t>s</w:t>
      </w:r>
      <w:r w:rsidR="00482435" w:rsidRPr="00293D30">
        <w:rPr>
          <w:rFonts w:ascii="Arial" w:eastAsia="Arial" w:hAnsi="Arial" w:cs="Times New Roman"/>
        </w:rPr>
        <w:t xml:space="preserve"> the Portfolio Minister</w:t>
      </w:r>
      <w:r w:rsidR="00482435">
        <w:rPr>
          <w:rFonts w:ascii="Arial" w:eastAsia="Arial" w:hAnsi="Arial" w:cs="Times New Roman"/>
        </w:rPr>
        <w:t>s</w:t>
      </w:r>
      <w:r w:rsidR="00482435" w:rsidRPr="00293D30">
        <w:rPr>
          <w:rFonts w:ascii="Arial" w:eastAsia="Arial" w:hAnsi="Arial" w:cs="Times New Roman"/>
        </w:rPr>
        <w:t xml:space="preserve">, </w:t>
      </w:r>
      <w:r w:rsidR="00482435">
        <w:rPr>
          <w:rFonts w:ascii="Arial" w:eastAsia="Arial" w:hAnsi="Arial" w:cs="Times New Roman"/>
        </w:rPr>
        <w:t xml:space="preserve">the Hon. John Bristol MP and the Hon. Laura Toddingham MP, </w:t>
      </w:r>
      <w:r w:rsidR="00482435" w:rsidRPr="00293D30">
        <w:rPr>
          <w:rFonts w:ascii="Arial" w:eastAsia="Arial" w:hAnsi="Arial" w:cs="Times New Roman"/>
        </w:rPr>
        <w:t>the Secretary,</w:t>
      </w:r>
      <w:r w:rsidR="00482435">
        <w:rPr>
          <w:rFonts w:ascii="Arial" w:eastAsia="Arial" w:hAnsi="Arial" w:cs="Times New Roman"/>
        </w:rPr>
        <w:t xml:space="preserve"> Jane Smith, </w:t>
      </w:r>
      <w:r w:rsidR="00482435" w:rsidRPr="00293D30">
        <w:rPr>
          <w:rFonts w:ascii="Arial" w:eastAsia="Arial" w:hAnsi="Arial" w:cs="Times New Roman"/>
        </w:rPr>
        <w:t xml:space="preserve">and members of the </w:t>
      </w:r>
      <w:r w:rsidR="00482435">
        <w:rPr>
          <w:rFonts w:ascii="Arial" w:eastAsia="Arial" w:hAnsi="Arial" w:cs="Times New Roman"/>
        </w:rPr>
        <w:t xml:space="preserve">Senior </w:t>
      </w:r>
      <w:r w:rsidR="00482435" w:rsidRPr="00293D30">
        <w:rPr>
          <w:rFonts w:ascii="Arial" w:eastAsia="Arial" w:hAnsi="Arial" w:cs="Times New Roman"/>
        </w:rPr>
        <w:t>Executive Team</w:t>
      </w:r>
      <w:r w:rsidR="00482435">
        <w:rPr>
          <w:rFonts w:ascii="Arial" w:eastAsia="Arial" w:hAnsi="Arial" w:cs="Times New Roman"/>
        </w:rPr>
        <w:t xml:space="preserve">, which includes: </w:t>
      </w:r>
    </w:p>
    <w:p w:rsidR="00482435" w:rsidRDefault="00482435" w:rsidP="0052741D">
      <w:pPr>
        <w:pStyle w:val="ListParagraph"/>
        <w:numPr>
          <w:ilvl w:val="0"/>
          <w:numId w:val="50"/>
        </w:numPr>
        <w:rPr>
          <w:rFonts w:ascii="Arial" w:eastAsia="Arial" w:hAnsi="Arial" w:cs="Times New Roman"/>
        </w:rPr>
      </w:pPr>
      <w:r w:rsidRPr="006F71EB">
        <w:rPr>
          <w:rFonts w:ascii="Arial" w:eastAsia="Arial" w:hAnsi="Arial" w:cs="Times New Roman"/>
        </w:rPr>
        <w:t>Head of the St</w:t>
      </w:r>
      <w:r>
        <w:rPr>
          <w:rFonts w:ascii="Arial" w:eastAsia="Arial" w:hAnsi="Arial" w:cs="Times New Roman"/>
        </w:rPr>
        <w:t xml:space="preserve">rategic Policy Advice division, </w:t>
      </w:r>
      <w:r w:rsidRPr="006F71EB">
        <w:rPr>
          <w:rFonts w:ascii="Arial" w:eastAsia="Arial" w:hAnsi="Arial" w:cs="Times New Roman"/>
        </w:rPr>
        <w:t>John Tails</w:t>
      </w:r>
      <w:r>
        <w:rPr>
          <w:rFonts w:ascii="Arial" w:eastAsia="Arial" w:hAnsi="Arial" w:cs="Times New Roman"/>
        </w:rPr>
        <w:t xml:space="preserve">; </w:t>
      </w:r>
    </w:p>
    <w:p w:rsidR="00482435" w:rsidRDefault="00482435" w:rsidP="0052741D">
      <w:pPr>
        <w:pStyle w:val="ListParagraph"/>
        <w:numPr>
          <w:ilvl w:val="0"/>
          <w:numId w:val="50"/>
        </w:numPr>
        <w:rPr>
          <w:rFonts w:ascii="Arial" w:eastAsia="Arial" w:hAnsi="Arial" w:cs="Times New Roman"/>
        </w:rPr>
      </w:pPr>
      <w:r w:rsidRPr="006F71EB">
        <w:rPr>
          <w:rFonts w:ascii="Arial" w:eastAsia="Arial" w:hAnsi="Arial" w:cs="Times New Roman"/>
        </w:rPr>
        <w:t xml:space="preserve">Head of the Research and </w:t>
      </w:r>
      <w:r>
        <w:rPr>
          <w:rFonts w:ascii="Arial" w:eastAsia="Arial" w:hAnsi="Arial" w:cs="Times New Roman"/>
        </w:rPr>
        <w:t xml:space="preserve">Development Biological Technologies division, Paul Germs; </w:t>
      </w:r>
    </w:p>
    <w:p w:rsidR="00482435" w:rsidRDefault="00482435" w:rsidP="0052741D">
      <w:pPr>
        <w:pStyle w:val="ListParagraph"/>
        <w:numPr>
          <w:ilvl w:val="0"/>
          <w:numId w:val="50"/>
        </w:numPr>
        <w:rPr>
          <w:rFonts w:ascii="Arial" w:eastAsia="Arial" w:hAnsi="Arial" w:cs="Times New Roman"/>
        </w:rPr>
      </w:pPr>
      <w:r>
        <w:rPr>
          <w:rFonts w:ascii="Arial" w:eastAsia="Arial" w:hAnsi="Arial" w:cs="Times New Roman"/>
        </w:rPr>
        <w:t xml:space="preserve">Head of the Information Technology and Telecommunication Services division, Gail Mods; and </w:t>
      </w:r>
    </w:p>
    <w:p w:rsidR="00600C1B" w:rsidRPr="00482435" w:rsidRDefault="00482435" w:rsidP="0052741D">
      <w:pPr>
        <w:pStyle w:val="ListParagraph"/>
        <w:numPr>
          <w:ilvl w:val="0"/>
          <w:numId w:val="50"/>
        </w:numPr>
        <w:rPr>
          <w:rFonts w:ascii="Arial" w:eastAsia="Arial" w:hAnsi="Arial" w:cs="Times New Roman"/>
        </w:rPr>
      </w:pPr>
      <w:r>
        <w:rPr>
          <w:rFonts w:ascii="Arial" w:eastAsia="Arial" w:hAnsi="Arial" w:cs="Times New Roman"/>
        </w:rPr>
        <w:t xml:space="preserve">Chief Finance and Accounting Officer, Robert McIvor. </w:t>
      </w:r>
    </w:p>
    <w:p w:rsidR="00600C1B" w:rsidRPr="00892DE3" w:rsidRDefault="00600C1B" w:rsidP="00600C1B">
      <w:pPr>
        <w:rPr>
          <w:rFonts w:ascii="Arial" w:eastAsia="Arial" w:hAnsi="Arial" w:cs="Times New Roman"/>
        </w:rPr>
      </w:pPr>
      <w:r w:rsidRPr="00482435">
        <w:rPr>
          <w:rFonts w:ascii="Arial" w:eastAsia="Arial" w:hAnsi="Arial" w:cs="Times New Roman"/>
          <w:b/>
        </w:rPr>
        <w:t>Key management personnel</w:t>
      </w:r>
      <w:r w:rsidRPr="00892DE3">
        <w:rPr>
          <w:rFonts w:ascii="Arial" w:eastAsia="Arial" w:hAnsi="Arial" w:cs="Times New Roman"/>
        </w:rPr>
        <w:t xml:space="preserve"> of the agencies consolidated </w:t>
      </w:r>
      <w:r w:rsidR="00482435">
        <w:rPr>
          <w:rFonts w:ascii="Arial" w:eastAsia="Arial" w:hAnsi="Arial" w:cs="Times New Roman"/>
        </w:rPr>
        <w:t xml:space="preserve">pursuant to section 53(1)(b) of the FMA </w:t>
      </w:r>
      <w:r w:rsidRPr="00892DE3">
        <w:rPr>
          <w:rFonts w:ascii="Arial" w:eastAsia="Arial" w:hAnsi="Arial" w:cs="Times New Roman"/>
        </w:rPr>
        <w:t xml:space="preserve">into the Department’s financial statements include: </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411"/>
        <w:gridCol w:w="2965"/>
        <w:gridCol w:w="3261"/>
      </w:tblGrid>
      <w:tr w:rsidR="00600C1B" w:rsidRPr="00892DE3" w:rsidTr="00DB52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11" w:type="dxa"/>
          </w:tcPr>
          <w:p w:rsidR="00600C1B" w:rsidRPr="00892DE3" w:rsidRDefault="00600C1B" w:rsidP="00DB5273">
            <w:pPr>
              <w:ind w:left="0" w:firstLine="0"/>
              <w:rPr>
                <w:rFonts w:eastAsia="Arial" w:cstheme="majorHAnsi"/>
                <w:szCs w:val="18"/>
              </w:rPr>
            </w:pPr>
            <w:r w:rsidRPr="00892DE3">
              <w:rPr>
                <w:rFonts w:eastAsia="Arial" w:cstheme="majorHAnsi"/>
                <w:szCs w:val="18"/>
              </w:rPr>
              <w:t>Entity</w:t>
            </w:r>
          </w:p>
        </w:tc>
        <w:tc>
          <w:tcPr>
            <w:tcW w:w="2966" w:type="dxa"/>
          </w:tcPr>
          <w:p w:rsidR="00600C1B" w:rsidRPr="00892DE3" w:rsidRDefault="00600C1B" w:rsidP="00DB5273">
            <w:pPr>
              <w:ind w:firstLine="1"/>
              <w:jc w:val="left"/>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Key Management Personnel</w:t>
            </w:r>
          </w:p>
        </w:tc>
        <w:tc>
          <w:tcPr>
            <w:tcW w:w="3262" w:type="dxa"/>
          </w:tcPr>
          <w:p w:rsidR="00600C1B" w:rsidRPr="00892DE3" w:rsidRDefault="00600C1B" w:rsidP="00DB5273">
            <w:pPr>
              <w:ind w:left="238"/>
              <w:jc w:val="left"/>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Position title</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411" w:type="dxa"/>
          </w:tcPr>
          <w:p w:rsidR="00600C1B" w:rsidRPr="00892DE3" w:rsidRDefault="00600C1B" w:rsidP="00DB5273">
            <w:pPr>
              <w:rPr>
                <w:rFonts w:eastAsia="Arial" w:cstheme="majorHAnsi"/>
                <w:szCs w:val="18"/>
                <w:vertAlign w:val="superscript"/>
              </w:rPr>
            </w:pPr>
            <w:r w:rsidRPr="00892DE3">
              <w:rPr>
                <w:rFonts w:eastAsia="Arial" w:cstheme="majorHAnsi"/>
                <w:szCs w:val="18"/>
              </w:rPr>
              <w:t>Gene Sciences Victoria</w:t>
            </w:r>
          </w:p>
        </w:tc>
        <w:tc>
          <w:tcPr>
            <w:tcW w:w="2966" w:type="dxa"/>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Ms Sarah Jones</w:t>
            </w:r>
          </w:p>
        </w:tc>
        <w:tc>
          <w:tcPr>
            <w:tcW w:w="3262" w:type="dxa"/>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Chief Executive Officer</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411" w:type="dxa"/>
          </w:tcPr>
          <w:p w:rsidR="00600C1B" w:rsidRPr="00892DE3" w:rsidRDefault="00600C1B" w:rsidP="00DB5273">
            <w:pPr>
              <w:rPr>
                <w:rFonts w:eastAsia="Arial" w:cstheme="majorHAnsi"/>
                <w:szCs w:val="18"/>
              </w:rPr>
            </w:pPr>
            <w:r w:rsidRPr="00892DE3">
              <w:rPr>
                <w:rFonts w:eastAsia="Arial" w:cstheme="majorHAnsi"/>
                <w:szCs w:val="18"/>
              </w:rPr>
              <w:t>Gene Sciences Victoria</w:t>
            </w:r>
          </w:p>
        </w:tc>
        <w:tc>
          <w:tcPr>
            <w:tcW w:w="2966" w:type="dxa"/>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Mrs Jane Doy</w:t>
            </w:r>
          </w:p>
        </w:tc>
        <w:tc>
          <w:tcPr>
            <w:tcW w:w="3262" w:type="dxa"/>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Chief Financial Officer</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411" w:type="dxa"/>
          </w:tcPr>
          <w:p w:rsidR="00600C1B" w:rsidRPr="00892DE3" w:rsidRDefault="00600C1B" w:rsidP="00DB5273">
            <w:pPr>
              <w:rPr>
                <w:rFonts w:eastAsia="Arial" w:cstheme="majorHAnsi"/>
                <w:szCs w:val="18"/>
              </w:rPr>
            </w:pPr>
            <w:r w:rsidRPr="00892DE3">
              <w:rPr>
                <w:rFonts w:eastAsia="Arial" w:cstheme="majorHAnsi"/>
                <w:szCs w:val="18"/>
              </w:rPr>
              <w:t xml:space="preserve">Office of the Commissioner of </w:t>
            </w:r>
            <w:r w:rsidRPr="00892DE3">
              <w:rPr>
                <w:rFonts w:eastAsia="Arial" w:cstheme="majorHAnsi"/>
                <w:szCs w:val="18"/>
              </w:rPr>
              <w:br/>
              <w:t>New Technology</w:t>
            </w:r>
          </w:p>
        </w:tc>
        <w:tc>
          <w:tcPr>
            <w:tcW w:w="2966" w:type="dxa"/>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Mr Paul Roberts</w:t>
            </w:r>
          </w:p>
        </w:tc>
        <w:tc>
          <w:tcPr>
            <w:tcW w:w="3262" w:type="dxa"/>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Commissioner and CEO</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411" w:type="dxa"/>
          </w:tcPr>
          <w:p w:rsidR="00600C1B" w:rsidRPr="00892DE3" w:rsidRDefault="00600C1B" w:rsidP="00DB5273">
            <w:pPr>
              <w:rPr>
                <w:rFonts w:eastAsia="Arial" w:cstheme="majorHAnsi"/>
                <w:szCs w:val="18"/>
              </w:rPr>
            </w:pPr>
            <w:r w:rsidRPr="00892DE3">
              <w:rPr>
                <w:rFonts w:eastAsia="Arial" w:cstheme="majorHAnsi"/>
                <w:szCs w:val="18"/>
              </w:rPr>
              <w:t>Innovation Victoria</w:t>
            </w:r>
          </w:p>
        </w:tc>
        <w:tc>
          <w:tcPr>
            <w:tcW w:w="2966" w:type="dxa"/>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Mr Ethan Whitman</w:t>
            </w:r>
          </w:p>
        </w:tc>
        <w:tc>
          <w:tcPr>
            <w:tcW w:w="3262" w:type="dxa"/>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Chairperson</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411" w:type="dxa"/>
          </w:tcPr>
          <w:p w:rsidR="00600C1B" w:rsidRPr="00892DE3" w:rsidRDefault="00600C1B" w:rsidP="00DB5273">
            <w:pPr>
              <w:rPr>
                <w:rFonts w:eastAsia="Arial" w:cstheme="majorHAnsi"/>
                <w:szCs w:val="18"/>
              </w:rPr>
            </w:pPr>
            <w:r w:rsidRPr="00892DE3">
              <w:rPr>
                <w:rFonts w:eastAsia="Arial" w:cstheme="majorHAnsi"/>
                <w:szCs w:val="18"/>
              </w:rPr>
              <w:t>Innovation Victoria</w:t>
            </w:r>
          </w:p>
        </w:tc>
        <w:tc>
          <w:tcPr>
            <w:tcW w:w="2966" w:type="dxa"/>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Ms Diane Blue</w:t>
            </w:r>
          </w:p>
        </w:tc>
        <w:tc>
          <w:tcPr>
            <w:tcW w:w="3262" w:type="dxa"/>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Governing board member</w:t>
            </w:r>
          </w:p>
        </w:tc>
      </w:tr>
      <w:tr w:rsidR="00600C1B" w:rsidRPr="00892DE3" w:rsidTr="00811F01">
        <w:tc>
          <w:tcPr>
            <w:cnfStyle w:val="001000000000" w:firstRow="0" w:lastRow="0" w:firstColumn="1" w:lastColumn="0" w:oddVBand="0" w:evenVBand="0" w:oddHBand="0" w:evenHBand="0" w:firstRowFirstColumn="0" w:firstRowLastColumn="0" w:lastRowFirstColumn="0" w:lastRowLastColumn="0"/>
            <w:tcW w:w="3411" w:type="dxa"/>
            <w:tcBorders>
              <w:bottom w:val="nil"/>
            </w:tcBorders>
          </w:tcPr>
          <w:p w:rsidR="00600C1B" w:rsidRPr="00892DE3" w:rsidRDefault="00600C1B" w:rsidP="00DB5273">
            <w:pPr>
              <w:rPr>
                <w:rFonts w:eastAsia="Arial" w:cstheme="majorHAnsi"/>
                <w:szCs w:val="18"/>
              </w:rPr>
            </w:pPr>
            <w:r w:rsidRPr="00892DE3">
              <w:rPr>
                <w:rFonts w:eastAsia="Arial" w:cstheme="majorHAnsi"/>
                <w:szCs w:val="18"/>
              </w:rPr>
              <w:t>Innovation Victoria</w:t>
            </w:r>
          </w:p>
        </w:tc>
        <w:tc>
          <w:tcPr>
            <w:tcW w:w="2966" w:type="dxa"/>
            <w:tcBorders>
              <w:bottom w:val="nil"/>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Mr Rob Clancy</w:t>
            </w:r>
          </w:p>
        </w:tc>
        <w:tc>
          <w:tcPr>
            <w:tcW w:w="3262" w:type="dxa"/>
            <w:tcBorders>
              <w:bottom w:val="nil"/>
            </w:tcBorders>
          </w:tcPr>
          <w:p w:rsidR="00600C1B" w:rsidRPr="00892DE3" w:rsidRDefault="00600C1B" w:rsidP="00DB5273">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Governing board member</w:t>
            </w:r>
          </w:p>
        </w:tc>
      </w:tr>
      <w:tr w:rsidR="00600C1B" w:rsidRPr="00892DE3" w:rsidTr="00811F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1" w:type="dxa"/>
            <w:tcBorders>
              <w:top w:val="nil"/>
            </w:tcBorders>
          </w:tcPr>
          <w:p w:rsidR="00600C1B" w:rsidRPr="00811F01" w:rsidRDefault="00600C1B" w:rsidP="00DB5273">
            <w:pPr>
              <w:rPr>
                <w:rFonts w:eastAsia="Arial" w:cstheme="majorHAnsi"/>
                <w:b w:val="0"/>
                <w:szCs w:val="18"/>
              </w:rPr>
            </w:pPr>
            <w:r w:rsidRPr="00811F01">
              <w:rPr>
                <w:rFonts w:eastAsia="Arial" w:cstheme="majorHAnsi"/>
                <w:b w:val="0"/>
                <w:szCs w:val="18"/>
              </w:rPr>
              <w:t>Innovation Victoria</w:t>
            </w:r>
          </w:p>
        </w:tc>
        <w:tc>
          <w:tcPr>
            <w:tcW w:w="2966" w:type="dxa"/>
            <w:tcBorders>
              <w:top w:val="nil"/>
            </w:tcBorders>
          </w:tcPr>
          <w:p w:rsidR="00600C1B" w:rsidRPr="00811F01" w:rsidRDefault="00600C1B" w:rsidP="00DB5273">
            <w:pPr>
              <w:ind w:left="170" w:hanging="170"/>
              <w:jc w:val="left"/>
              <w:cnfStyle w:val="010000000000" w:firstRow="0" w:lastRow="1" w:firstColumn="0" w:lastColumn="0" w:oddVBand="0" w:evenVBand="0" w:oddHBand="0" w:evenHBand="0" w:firstRowFirstColumn="0" w:firstRowLastColumn="0" w:lastRowFirstColumn="0" w:lastRowLastColumn="0"/>
              <w:rPr>
                <w:rFonts w:eastAsia="Arial" w:cstheme="majorHAnsi"/>
                <w:b w:val="0"/>
                <w:szCs w:val="18"/>
              </w:rPr>
            </w:pPr>
            <w:r w:rsidRPr="00811F01">
              <w:rPr>
                <w:rFonts w:eastAsia="Arial" w:cstheme="majorHAnsi"/>
                <w:b w:val="0"/>
                <w:szCs w:val="18"/>
              </w:rPr>
              <w:t>Mr Alex Fenton</w:t>
            </w:r>
          </w:p>
        </w:tc>
        <w:tc>
          <w:tcPr>
            <w:tcW w:w="3262" w:type="dxa"/>
            <w:tcBorders>
              <w:top w:val="nil"/>
            </w:tcBorders>
          </w:tcPr>
          <w:p w:rsidR="00600C1B" w:rsidRPr="00811F01" w:rsidRDefault="00600C1B" w:rsidP="00DB5273">
            <w:pPr>
              <w:ind w:left="170" w:hanging="170"/>
              <w:jc w:val="left"/>
              <w:cnfStyle w:val="010000000000" w:firstRow="0" w:lastRow="1" w:firstColumn="0" w:lastColumn="0" w:oddVBand="0" w:evenVBand="0" w:oddHBand="0" w:evenHBand="0" w:firstRowFirstColumn="0" w:firstRowLastColumn="0" w:lastRowFirstColumn="0" w:lastRowLastColumn="0"/>
              <w:rPr>
                <w:rFonts w:eastAsia="Arial" w:cstheme="majorHAnsi"/>
                <w:b w:val="0"/>
                <w:szCs w:val="18"/>
              </w:rPr>
            </w:pPr>
            <w:r w:rsidRPr="00811F01">
              <w:rPr>
                <w:rFonts w:eastAsia="Arial" w:cstheme="majorHAnsi"/>
                <w:b w:val="0"/>
                <w:szCs w:val="18"/>
              </w:rPr>
              <w:t>Chief Executive Officer</w:t>
            </w:r>
          </w:p>
        </w:tc>
      </w:tr>
    </w:tbl>
    <w:p w:rsidR="00600C1B" w:rsidRPr="00892DE3" w:rsidRDefault="00600C1B" w:rsidP="00482435">
      <w:pPr>
        <w:keepLines w:val="0"/>
        <w:rPr>
          <w:rFonts w:ascii="Arial" w:eastAsia="Arial" w:hAnsi="Arial" w:cs="Times New Roman"/>
        </w:rPr>
      </w:pPr>
      <w:r w:rsidRPr="00892DE3">
        <w:rPr>
          <w:rFonts w:ascii="Arial" w:eastAsia="Arial" w:hAnsi="Arial" w:cs="Times New Roman"/>
        </w:rPr>
        <w:br w:type="page"/>
        <w:t xml:space="preserve">The compensation detailed below excludes the salaries and benefits the Portfolio Minister receives. The Minister’s remuneration and allowances is set by the </w:t>
      </w:r>
      <w:r w:rsidRPr="00892DE3">
        <w:rPr>
          <w:rFonts w:ascii="Arial" w:eastAsia="Arial" w:hAnsi="Arial" w:cs="Times New Roman"/>
          <w:i/>
        </w:rPr>
        <w:t>Parliamentary Salaries and Superannuation Act 1968</w:t>
      </w:r>
      <w:r w:rsidRPr="00892DE3">
        <w:rPr>
          <w:rFonts w:ascii="Arial" w:eastAsia="Arial" w:hAnsi="Arial" w:cs="Times New Roman"/>
        </w:rPr>
        <w:t xml:space="preserve"> and is reported within the Department of Parliamentary Services’ Financial Report.</w:t>
      </w:r>
    </w:p>
    <w:p w:rsidR="00600C1B" w:rsidRPr="00892DE3" w:rsidRDefault="00600C1B" w:rsidP="00600C1B">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261"/>
        <w:gridCol w:w="2692"/>
        <w:gridCol w:w="3684"/>
      </w:tblGrid>
      <w:tr w:rsidR="00600C1B" w:rsidRPr="00892DE3" w:rsidTr="00DB52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1" w:type="dxa"/>
          </w:tcPr>
          <w:p w:rsidR="00600C1B" w:rsidRPr="00892DE3" w:rsidRDefault="00600C1B" w:rsidP="00DB5273">
            <w:pPr>
              <w:rPr>
                <w:rFonts w:eastAsia="Arial" w:cstheme="majorHAnsi"/>
                <w:szCs w:val="18"/>
              </w:rPr>
            </w:pPr>
            <w:r w:rsidRPr="00892DE3">
              <w:rPr>
                <w:rFonts w:eastAsia="Arial" w:cstheme="majorHAnsi"/>
                <w:szCs w:val="18"/>
              </w:rPr>
              <w:t>Compensation of KMPs</w:t>
            </w:r>
          </w:p>
        </w:tc>
        <w:tc>
          <w:tcPr>
            <w:tcW w:w="2693" w:type="dxa"/>
          </w:tcPr>
          <w:p w:rsidR="00600C1B" w:rsidRPr="00892DE3" w:rsidRDefault="00600C1B" w:rsidP="00DB5273">
            <w:pPr>
              <w:ind w:left="-329" w:firstLine="1"/>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 xml:space="preserve">Department of Technology </w:t>
            </w:r>
          </w:p>
          <w:p w:rsidR="00600C1B" w:rsidRPr="00892DE3" w:rsidRDefault="00600C1B" w:rsidP="00DB5273">
            <w:pPr>
              <w:ind w:left="-329" w:firstLine="1"/>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2017</w:t>
            </w:r>
          </w:p>
        </w:tc>
        <w:tc>
          <w:tcPr>
            <w:tcW w:w="3685" w:type="dxa"/>
          </w:tcPr>
          <w:p w:rsidR="00600C1B" w:rsidRPr="00892DE3" w:rsidRDefault="00600C1B" w:rsidP="00DB5273">
            <w:pPr>
              <w:ind w:left="97"/>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Section 53 / Administrative Offices</w:t>
            </w:r>
            <w:r w:rsidRPr="00892DE3">
              <w:rPr>
                <w:rFonts w:eastAsia="Arial" w:cstheme="majorHAnsi"/>
                <w:szCs w:val="18"/>
                <w:vertAlign w:val="superscript"/>
              </w:rPr>
              <w:t>(c)</w:t>
            </w:r>
            <w:r w:rsidRPr="00892DE3">
              <w:rPr>
                <w:rFonts w:eastAsia="Arial" w:cstheme="majorHAnsi"/>
                <w:szCs w:val="18"/>
              </w:rPr>
              <w:t xml:space="preserve"> </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261" w:type="dxa"/>
          </w:tcPr>
          <w:p w:rsidR="00600C1B" w:rsidRPr="00892DE3" w:rsidRDefault="00600C1B" w:rsidP="00DB5273">
            <w:pPr>
              <w:rPr>
                <w:rFonts w:eastAsia="Arial" w:cstheme="majorHAnsi"/>
                <w:szCs w:val="18"/>
                <w:vertAlign w:val="superscript"/>
              </w:rPr>
            </w:pPr>
            <w:r w:rsidRPr="00892DE3">
              <w:rPr>
                <w:rFonts w:eastAsia="Arial" w:cstheme="majorHAnsi"/>
                <w:szCs w:val="18"/>
              </w:rPr>
              <w:t>Short-term employee benefits</w:t>
            </w:r>
            <w:r w:rsidRPr="00892DE3">
              <w:rPr>
                <w:rFonts w:eastAsia="Arial" w:cstheme="majorHAnsi"/>
                <w:szCs w:val="18"/>
                <w:vertAlign w:val="superscript"/>
              </w:rPr>
              <w:t>(a)</w:t>
            </w:r>
          </w:p>
        </w:tc>
        <w:tc>
          <w:tcPr>
            <w:tcW w:w="2693"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2 544</w:t>
            </w:r>
          </w:p>
        </w:tc>
        <w:tc>
          <w:tcPr>
            <w:tcW w:w="3685" w:type="dxa"/>
          </w:tcPr>
          <w:p w:rsidR="00600C1B" w:rsidRPr="00892DE3" w:rsidRDefault="00600C1B" w:rsidP="00DB5273">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1 305</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261" w:type="dxa"/>
          </w:tcPr>
          <w:p w:rsidR="00600C1B" w:rsidRPr="00892DE3" w:rsidRDefault="00600C1B" w:rsidP="00DB5273">
            <w:pPr>
              <w:rPr>
                <w:rFonts w:eastAsia="Arial" w:cstheme="majorHAnsi"/>
                <w:szCs w:val="18"/>
              </w:rPr>
            </w:pPr>
            <w:r w:rsidRPr="00892DE3">
              <w:rPr>
                <w:rFonts w:eastAsia="Arial" w:cstheme="majorHAnsi"/>
                <w:szCs w:val="18"/>
              </w:rPr>
              <w:t>Post-employment benefits</w:t>
            </w:r>
          </w:p>
        </w:tc>
        <w:tc>
          <w:tcPr>
            <w:tcW w:w="2693"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432</w:t>
            </w:r>
          </w:p>
        </w:tc>
        <w:tc>
          <w:tcPr>
            <w:tcW w:w="3685" w:type="dxa"/>
          </w:tcPr>
          <w:p w:rsidR="00600C1B" w:rsidRPr="00892DE3" w:rsidRDefault="00600C1B" w:rsidP="00DB5273">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112</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261" w:type="dxa"/>
          </w:tcPr>
          <w:p w:rsidR="00600C1B" w:rsidRPr="00892DE3" w:rsidRDefault="00600C1B" w:rsidP="00DB5273">
            <w:pPr>
              <w:rPr>
                <w:rFonts w:eastAsia="Arial" w:cstheme="majorHAnsi"/>
                <w:szCs w:val="18"/>
              </w:rPr>
            </w:pPr>
            <w:r w:rsidRPr="00892DE3">
              <w:rPr>
                <w:rFonts w:eastAsia="Arial" w:cstheme="majorHAnsi"/>
                <w:szCs w:val="18"/>
              </w:rPr>
              <w:t xml:space="preserve">Other long-term benefits </w:t>
            </w:r>
          </w:p>
        </w:tc>
        <w:tc>
          <w:tcPr>
            <w:tcW w:w="2693"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869</w:t>
            </w:r>
          </w:p>
        </w:tc>
        <w:tc>
          <w:tcPr>
            <w:tcW w:w="3685" w:type="dxa"/>
          </w:tcPr>
          <w:p w:rsidR="00600C1B" w:rsidRPr="00892DE3" w:rsidRDefault="00600C1B" w:rsidP="00DB5273">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271</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261" w:type="dxa"/>
          </w:tcPr>
          <w:p w:rsidR="00600C1B" w:rsidRPr="00892DE3" w:rsidRDefault="00600C1B" w:rsidP="00DB5273">
            <w:pPr>
              <w:rPr>
                <w:rFonts w:eastAsia="Arial" w:cstheme="majorHAnsi"/>
                <w:szCs w:val="18"/>
              </w:rPr>
            </w:pPr>
            <w:r w:rsidRPr="00892DE3">
              <w:rPr>
                <w:rFonts w:eastAsia="Arial" w:cstheme="majorHAnsi"/>
                <w:szCs w:val="18"/>
              </w:rPr>
              <w:t>Termination benefits</w:t>
            </w:r>
          </w:p>
        </w:tc>
        <w:tc>
          <w:tcPr>
            <w:tcW w:w="2693"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72</w:t>
            </w:r>
          </w:p>
        </w:tc>
        <w:tc>
          <w:tcPr>
            <w:tcW w:w="3685" w:type="dxa"/>
          </w:tcPr>
          <w:p w:rsidR="00600C1B" w:rsidRPr="00892DE3" w:rsidRDefault="00600C1B" w:rsidP="00DB5273">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n/a</w:t>
            </w:r>
          </w:p>
        </w:tc>
      </w:tr>
      <w:tr w:rsidR="00600C1B" w:rsidRPr="00892DE3" w:rsidTr="00DB5273">
        <w:tc>
          <w:tcPr>
            <w:cnfStyle w:val="001000000000" w:firstRow="0" w:lastRow="0" w:firstColumn="1" w:lastColumn="0" w:oddVBand="0" w:evenVBand="0" w:oddHBand="0" w:evenHBand="0" w:firstRowFirstColumn="0" w:firstRowLastColumn="0" w:lastRowFirstColumn="0" w:lastRowLastColumn="0"/>
            <w:tcW w:w="3261" w:type="dxa"/>
          </w:tcPr>
          <w:p w:rsidR="00600C1B" w:rsidRPr="00892DE3" w:rsidRDefault="00600C1B" w:rsidP="00DB5273">
            <w:pPr>
              <w:rPr>
                <w:rFonts w:eastAsia="Arial" w:cstheme="majorHAnsi"/>
                <w:szCs w:val="18"/>
              </w:rPr>
            </w:pPr>
            <w:r w:rsidRPr="00892DE3">
              <w:rPr>
                <w:rFonts w:eastAsia="Arial" w:cstheme="majorHAnsi"/>
                <w:szCs w:val="18"/>
              </w:rPr>
              <w:t>Share based payments</w:t>
            </w:r>
          </w:p>
        </w:tc>
        <w:tc>
          <w:tcPr>
            <w:tcW w:w="2693" w:type="dxa"/>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n.a.</w:t>
            </w:r>
          </w:p>
        </w:tc>
        <w:tc>
          <w:tcPr>
            <w:tcW w:w="3685" w:type="dxa"/>
          </w:tcPr>
          <w:p w:rsidR="00600C1B" w:rsidRPr="00892DE3" w:rsidRDefault="00600C1B" w:rsidP="00DB5273">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n/a</w:t>
            </w:r>
          </w:p>
        </w:tc>
      </w:tr>
      <w:tr w:rsidR="00600C1B" w:rsidRPr="00892DE3" w:rsidTr="00DB527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rsidR="00600C1B" w:rsidRPr="00892DE3" w:rsidRDefault="00600C1B" w:rsidP="00DB5273">
            <w:pPr>
              <w:rPr>
                <w:rFonts w:eastAsia="Arial" w:cstheme="majorHAnsi"/>
                <w:szCs w:val="18"/>
                <w:vertAlign w:val="superscript"/>
              </w:rPr>
            </w:pPr>
            <w:r w:rsidRPr="00892DE3">
              <w:rPr>
                <w:rFonts w:eastAsia="Arial" w:cstheme="majorHAnsi"/>
                <w:szCs w:val="18"/>
              </w:rPr>
              <w:t>Total</w:t>
            </w:r>
            <w:r w:rsidRPr="00892DE3">
              <w:rPr>
                <w:rFonts w:eastAsia="Arial" w:cstheme="majorHAnsi"/>
                <w:szCs w:val="18"/>
                <w:vertAlign w:val="superscript"/>
              </w:rPr>
              <w:t>(b)</w:t>
            </w:r>
          </w:p>
        </w:tc>
        <w:tc>
          <w:tcPr>
            <w:tcW w:w="2693" w:type="dxa"/>
            <w:tcBorders>
              <w:top w:val="single" w:sz="6" w:space="0" w:color="auto"/>
              <w:bottom w:val="single" w:sz="12" w:space="0" w:color="auto"/>
            </w:tcBorders>
          </w:tcPr>
          <w:p w:rsidR="00600C1B" w:rsidRPr="00892DE3" w:rsidRDefault="00600C1B" w:rsidP="00DB5273">
            <w:pPr>
              <w:cnfStyle w:val="010000000000" w:firstRow="0" w:lastRow="1"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3 917</w:t>
            </w:r>
          </w:p>
        </w:tc>
        <w:tc>
          <w:tcPr>
            <w:tcW w:w="3685" w:type="dxa"/>
            <w:tcBorders>
              <w:top w:val="single" w:sz="6" w:space="0" w:color="auto"/>
              <w:bottom w:val="single" w:sz="12" w:space="0" w:color="auto"/>
            </w:tcBorders>
          </w:tcPr>
          <w:p w:rsidR="00600C1B" w:rsidRPr="00892DE3" w:rsidRDefault="00600C1B" w:rsidP="00DB5273">
            <w:pPr>
              <w:ind w:left="18"/>
              <w:cnfStyle w:val="010000000000" w:firstRow="0" w:lastRow="1"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1 688</w:t>
            </w:r>
          </w:p>
        </w:tc>
      </w:tr>
    </w:tbl>
    <w:p w:rsidR="00600C1B" w:rsidRPr="00892DE3" w:rsidRDefault="00600C1B" w:rsidP="00600C1B">
      <w:pPr>
        <w:spacing w:before="20"/>
        <w:ind w:left="284" w:hanging="284"/>
        <w:contextualSpacing/>
        <w:rPr>
          <w:rFonts w:ascii="Arial" w:eastAsia="Arial" w:hAnsi="Arial" w:cs="Times New Roman"/>
          <w:i/>
          <w:spacing w:val="-2"/>
          <w:sz w:val="14"/>
        </w:rPr>
      </w:pPr>
      <w:r w:rsidRPr="00892DE3">
        <w:rPr>
          <w:rFonts w:ascii="Arial" w:eastAsia="Arial" w:hAnsi="Arial" w:cs="Times New Roman"/>
          <w:i/>
          <w:spacing w:val="-2"/>
          <w:sz w:val="14"/>
        </w:rPr>
        <w:t>Notes:</w:t>
      </w:r>
    </w:p>
    <w:p w:rsidR="00600C1B" w:rsidRPr="00892DE3" w:rsidRDefault="00600C1B" w:rsidP="00600C1B">
      <w:pPr>
        <w:numPr>
          <w:ilvl w:val="4"/>
          <w:numId w:val="7"/>
        </w:numPr>
        <w:ind w:left="284"/>
        <w:contextualSpacing/>
        <w:rPr>
          <w:rFonts w:ascii="Arial" w:eastAsia="Arial" w:hAnsi="Arial" w:cs="Times New Roman"/>
          <w:i/>
          <w:sz w:val="14"/>
          <w:szCs w:val="14"/>
        </w:rPr>
      </w:pPr>
      <w:r w:rsidRPr="00892DE3">
        <w:rPr>
          <w:rFonts w:ascii="Arial" w:eastAsia="Arial" w:hAnsi="Arial" w:cs="Times New Roman"/>
          <w:i/>
          <w:sz w:val="14"/>
          <w:szCs w:val="14"/>
        </w:rPr>
        <w:t>Total remuneration paid to KMPs employed as a contractor during the reporting period through an external service provider has been reported under short-term employee benefits.</w:t>
      </w:r>
    </w:p>
    <w:p w:rsidR="00600C1B" w:rsidRPr="00892DE3" w:rsidRDefault="00600C1B" w:rsidP="00600C1B">
      <w:pPr>
        <w:numPr>
          <w:ilvl w:val="4"/>
          <w:numId w:val="7"/>
        </w:numPr>
        <w:ind w:left="284"/>
        <w:contextualSpacing/>
        <w:rPr>
          <w:rFonts w:ascii="Arial" w:eastAsia="Arial" w:hAnsi="Arial" w:cs="Times New Roman"/>
          <w:i/>
          <w:sz w:val="14"/>
          <w:szCs w:val="14"/>
        </w:rPr>
      </w:pPr>
      <w:r w:rsidRPr="00892DE3">
        <w:rPr>
          <w:rFonts w:ascii="Arial" w:eastAsia="Arial" w:hAnsi="Arial" w:cs="Times New Roman"/>
          <w:i/>
          <w:sz w:val="14"/>
          <w:szCs w:val="14"/>
        </w:rPr>
        <w:t>Note that KMPs are also reported in the disclosure of remuneration of executive officers (Note 9.</w:t>
      </w:r>
      <w:r w:rsidR="007325F2" w:rsidRPr="00892DE3">
        <w:rPr>
          <w:rFonts w:ascii="Arial" w:eastAsia="Arial" w:hAnsi="Arial" w:cs="Times New Roman"/>
          <w:i/>
          <w:sz w:val="14"/>
          <w:szCs w:val="14"/>
        </w:rPr>
        <w:t>8</w:t>
      </w:r>
      <w:r w:rsidRPr="00892DE3">
        <w:rPr>
          <w:rFonts w:ascii="Arial" w:eastAsia="Arial" w:hAnsi="Arial" w:cs="Times New Roman"/>
          <w:i/>
          <w:sz w:val="14"/>
          <w:szCs w:val="14"/>
        </w:rPr>
        <w:t xml:space="preserve">). </w:t>
      </w:r>
    </w:p>
    <w:p w:rsidR="00600C1B" w:rsidRPr="00892DE3" w:rsidRDefault="00600C1B" w:rsidP="00600C1B">
      <w:pPr>
        <w:numPr>
          <w:ilvl w:val="4"/>
          <w:numId w:val="7"/>
        </w:numPr>
        <w:ind w:left="284"/>
        <w:contextualSpacing/>
        <w:rPr>
          <w:rFonts w:ascii="Arial" w:eastAsia="Arial" w:hAnsi="Arial" w:cs="Times New Roman"/>
          <w:i/>
          <w:sz w:val="14"/>
          <w:szCs w:val="14"/>
        </w:rPr>
      </w:pPr>
      <w:r w:rsidRPr="00892DE3">
        <w:rPr>
          <w:rFonts w:ascii="Arial" w:eastAsia="Arial" w:hAnsi="Arial" w:cs="Times New Roman"/>
          <w:i/>
          <w:sz w:val="14"/>
          <w:szCs w:val="14"/>
        </w:rPr>
        <w:t>This includes remuneration of KMPs for Gene Sciences Victoria, The Office of the Commissioner of New Technology and Innovation Victoria.</w:t>
      </w:r>
    </w:p>
    <w:p w:rsidR="00600C1B" w:rsidRPr="00892DE3" w:rsidRDefault="00600C1B" w:rsidP="00600C1B">
      <w:pPr>
        <w:keepNext/>
        <w:numPr>
          <w:ilvl w:val="2"/>
          <w:numId w:val="0"/>
        </w:numPr>
        <w:tabs>
          <w:tab w:val="right" w:pos="9582"/>
        </w:tabs>
        <w:spacing w:before="180"/>
        <w:outlineLvl w:val="2"/>
        <w:rPr>
          <w:rFonts w:ascii="Arial" w:eastAsia="Times New Roman" w:hAnsi="Arial" w:cs="Times New Roman"/>
          <w:b/>
          <w:bCs/>
          <w:spacing w:val="-2"/>
          <w:sz w:val="20"/>
          <w:szCs w:val="26"/>
        </w:rPr>
      </w:pPr>
      <w:r w:rsidRPr="00892DE3">
        <w:rPr>
          <w:rFonts w:ascii="Arial" w:eastAsia="Times New Roman" w:hAnsi="Arial" w:cs="Times New Roman"/>
          <w:b/>
          <w:bCs/>
          <w:spacing w:val="-2"/>
          <w:sz w:val="20"/>
          <w:szCs w:val="26"/>
        </w:rPr>
        <w:t>Transactions</w:t>
      </w:r>
      <w:r w:rsidR="00811F01">
        <w:rPr>
          <w:rFonts w:ascii="Arial" w:eastAsia="Times New Roman" w:hAnsi="Arial" w:cs="Times New Roman"/>
          <w:b/>
          <w:bCs/>
          <w:spacing w:val="-2"/>
          <w:sz w:val="20"/>
          <w:szCs w:val="26"/>
        </w:rPr>
        <w:t xml:space="preserve"> and balances</w:t>
      </w:r>
      <w:r w:rsidRPr="00892DE3">
        <w:rPr>
          <w:rFonts w:ascii="Arial" w:eastAsia="Times New Roman" w:hAnsi="Arial" w:cs="Times New Roman"/>
          <w:b/>
          <w:bCs/>
          <w:spacing w:val="-2"/>
          <w:sz w:val="20"/>
          <w:szCs w:val="26"/>
        </w:rPr>
        <w:t xml:space="preserve"> with key management personnel and other related parties</w:t>
      </w:r>
    </w:p>
    <w:p w:rsidR="00600C1B" w:rsidRPr="00892DE3" w:rsidRDefault="00600C1B" w:rsidP="00600C1B">
      <w:pPr>
        <w:rPr>
          <w:rFonts w:ascii="Arial" w:eastAsia="Arial" w:hAnsi="Arial" w:cs="Times New Roman"/>
        </w:rPr>
      </w:pPr>
      <w:r w:rsidRPr="00892DE3">
        <w:rPr>
          <w:rFonts w:ascii="Arial" w:eastAsia="Arial" w:hAnsi="Arial" w:cs="Times New Roman"/>
        </w:rP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892DE3">
        <w:rPr>
          <w:rFonts w:ascii="Arial" w:eastAsia="Arial" w:hAnsi="Arial" w:cs="Times New Roman"/>
          <w:i/>
        </w:rPr>
        <w:t>Public Administration Act</w:t>
      </w:r>
      <w:r w:rsidRPr="00892DE3">
        <w:rPr>
          <w:rFonts w:ascii="Arial" w:eastAsia="Arial" w:hAnsi="Arial" w:cs="Times New Roman"/>
        </w:rPr>
        <w:t xml:space="preserve"> </w:t>
      </w:r>
      <w:r w:rsidRPr="00892DE3">
        <w:rPr>
          <w:rFonts w:ascii="Arial" w:eastAsia="Arial" w:hAnsi="Arial" w:cs="Times New Roman"/>
          <w:i/>
        </w:rPr>
        <w:t>2004</w:t>
      </w:r>
      <w:r w:rsidRPr="00892DE3">
        <w:rPr>
          <w:rFonts w:ascii="Arial" w:eastAsia="Arial" w:hAnsi="Arial" w:cs="Times New Roman"/>
        </w:rPr>
        <w:t xml:space="preserve"> and Codes of Conduct and Standards issued by the Victorian Public Sector Commission. Procurement processes occur on terms and conditions consistent with the Victorian Government Procurement Board requirements. </w:t>
      </w:r>
    </w:p>
    <w:p w:rsidR="00482435" w:rsidRDefault="00482435" w:rsidP="00482435">
      <w:pPr>
        <w:rPr>
          <w:rFonts w:ascii="Arial" w:eastAsia="Arial" w:hAnsi="Arial" w:cs="Times New Roman"/>
        </w:rPr>
      </w:pPr>
      <w:r w:rsidRPr="00293D30">
        <w:rPr>
          <w:rFonts w:ascii="Arial" w:eastAsia="Arial" w:hAnsi="Arial" w:cs="Times New Roman"/>
        </w:rPr>
        <w:t xml:space="preserve">Outside of normal citizen type transactions with the </w:t>
      </w:r>
      <w:r>
        <w:rPr>
          <w:rFonts w:ascii="Arial" w:eastAsia="Arial" w:hAnsi="Arial" w:cs="Times New Roman"/>
        </w:rPr>
        <w:t>D</w:t>
      </w:r>
      <w:r w:rsidRPr="00293D30">
        <w:rPr>
          <w:rFonts w:ascii="Arial" w:eastAsia="Arial" w:hAnsi="Arial" w:cs="Times New Roman"/>
        </w:rPr>
        <w:t>epartment</w:t>
      </w:r>
      <w:r>
        <w:rPr>
          <w:rFonts w:ascii="Arial" w:eastAsia="Arial" w:hAnsi="Arial" w:cs="Times New Roman"/>
        </w:rPr>
        <w:t xml:space="preserve"> of Technology</w:t>
      </w:r>
      <w:r w:rsidRPr="00293D30">
        <w:rPr>
          <w:rFonts w:ascii="Arial" w:eastAsia="Arial" w:hAnsi="Arial" w:cs="Times New Roman"/>
        </w:rPr>
        <w:t>, there were no related party transactions that involved key management personnel</w:t>
      </w:r>
      <w:r>
        <w:rPr>
          <w:rFonts w:ascii="Arial" w:eastAsia="Arial" w:hAnsi="Arial" w:cs="Times New Roman"/>
        </w:rPr>
        <w:t xml:space="preserve">, </w:t>
      </w:r>
      <w:r w:rsidRPr="00293D30">
        <w:rPr>
          <w:rFonts w:ascii="Arial" w:eastAsia="Arial" w:hAnsi="Arial" w:cs="Times New Roman"/>
        </w:rPr>
        <w:t>their close family members</w:t>
      </w:r>
      <w:r>
        <w:rPr>
          <w:rFonts w:ascii="Arial" w:eastAsia="Arial" w:hAnsi="Arial" w:cs="Times New Roman"/>
        </w:rPr>
        <w:t xml:space="preserve"> and their personal business interests</w:t>
      </w:r>
      <w:r w:rsidRPr="00293D30">
        <w:rPr>
          <w:rFonts w:ascii="Arial" w:eastAsia="Arial" w:hAnsi="Arial" w:cs="Times New Roman"/>
        </w:rPr>
        <w:t>. No provision has been required, nor any expense recognised, for impairment of receivables from related parties.</w:t>
      </w:r>
    </w:p>
    <w:p w:rsidR="00600C1B" w:rsidRPr="00892DE3" w:rsidRDefault="00600C1B" w:rsidP="00600C1B">
      <w:pPr>
        <w:keepNext/>
        <w:numPr>
          <w:ilvl w:val="3"/>
          <w:numId w:val="0"/>
        </w:numPr>
        <w:tabs>
          <w:tab w:val="right" w:pos="9582"/>
        </w:tabs>
        <w:spacing w:before="180"/>
        <w:outlineLvl w:val="3"/>
        <w:rPr>
          <w:rFonts w:ascii="Arial" w:eastAsia="Arial" w:hAnsi="Arial" w:cs="Times New Roman"/>
        </w:rPr>
      </w:pPr>
      <w:r w:rsidRPr="00892DE3">
        <w:rPr>
          <w:rFonts w:ascii="Arial" w:eastAsia="Arial" w:hAnsi="Arial" w:cs="Times New Roman"/>
        </w:rPr>
        <w:t>Outside of normal citizen type transactions, there were no related party transactions that in</w:t>
      </w:r>
      <w:r w:rsidR="00482435">
        <w:rPr>
          <w:rFonts w:ascii="Arial" w:eastAsia="Arial" w:hAnsi="Arial" w:cs="Times New Roman"/>
        </w:rPr>
        <w:t xml:space="preserve">volved key management personnel, </w:t>
      </w:r>
      <w:r w:rsidRPr="00892DE3">
        <w:rPr>
          <w:rFonts w:ascii="Arial" w:eastAsia="Arial" w:hAnsi="Arial" w:cs="Times New Roman"/>
        </w:rPr>
        <w:t xml:space="preserve">their close family members </w:t>
      </w:r>
      <w:r w:rsidR="00482435">
        <w:rPr>
          <w:rFonts w:ascii="Arial" w:eastAsia="Arial" w:hAnsi="Arial" w:cs="Times New Roman"/>
        </w:rPr>
        <w:t>and their personal business interests, for</w:t>
      </w:r>
      <w:r w:rsidRPr="00892DE3">
        <w:rPr>
          <w:rFonts w:ascii="Arial" w:eastAsia="Arial" w:hAnsi="Arial" w:cs="Times New Roman"/>
        </w:rPr>
        <w:t xml:space="preserve"> the following agencies consolidated into the Department’s financial statements: </w:t>
      </w:r>
    </w:p>
    <w:p w:rsidR="00600C1B" w:rsidRPr="00892DE3" w:rsidRDefault="00600C1B" w:rsidP="00600C1B">
      <w:pPr>
        <w:pStyle w:val="ListBullet"/>
      </w:pPr>
      <w:r w:rsidRPr="00892DE3">
        <w:t xml:space="preserve">Gene Sciences Victoria; </w:t>
      </w:r>
    </w:p>
    <w:p w:rsidR="00600C1B" w:rsidRPr="00892DE3" w:rsidRDefault="00600C1B" w:rsidP="00600C1B">
      <w:pPr>
        <w:pStyle w:val="ListBullet"/>
      </w:pPr>
      <w:r w:rsidRPr="00892DE3">
        <w:t xml:space="preserve">The Office of the Commissioner of New Technology; and </w:t>
      </w:r>
    </w:p>
    <w:p w:rsidR="00600C1B" w:rsidRPr="00892DE3" w:rsidRDefault="00600C1B" w:rsidP="00600C1B">
      <w:pPr>
        <w:pStyle w:val="ListBullet"/>
      </w:pPr>
      <w:r w:rsidRPr="00892DE3">
        <w:t xml:space="preserve">Innovation Victoria. </w:t>
      </w:r>
    </w:p>
    <w:p w:rsidR="00600C1B" w:rsidRPr="00892DE3" w:rsidRDefault="00600C1B" w:rsidP="00600C1B">
      <w:r w:rsidRPr="00892DE3">
        <w:t>No provision has been required, nor any expense recognised, for impairment of receivables from related parties.</w:t>
      </w:r>
    </w:p>
    <w:p w:rsidR="00600C1B" w:rsidRPr="00892DE3" w:rsidRDefault="00600C1B" w:rsidP="00600C1B">
      <w:pPr>
        <w:rPr>
          <w:rStyle w:val="Heading4Char"/>
        </w:rPr>
      </w:pPr>
      <w:r w:rsidRPr="00892DE3">
        <w:rPr>
          <w:rStyle w:val="Heading4Char"/>
        </w:rPr>
        <w:t>Example of specific disclosure note</w:t>
      </w:r>
    </w:p>
    <w:p w:rsidR="00600C1B" w:rsidRPr="00892DE3" w:rsidRDefault="00600C1B" w:rsidP="00600C1B">
      <w:pPr>
        <w:rPr>
          <w:rFonts w:ascii="Arial" w:eastAsia="Arial" w:hAnsi="Arial" w:cs="Times New Roman"/>
        </w:rPr>
      </w:pPr>
      <w:r w:rsidRPr="00892DE3">
        <w:rPr>
          <w:rFonts w:ascii="Arial" w:eastAsia="Arial" w:hAnsi="Arial" w:cs="Times New Roman"/>
        </w:rPr>
        <w:t xml:space="preserve">During the year, a company of which </w:t>
      </w:r>
      <w:r w:rsidR="005A70C7" w:rsidRPr="00892DE3">
        <w:rPr>
          <w:rFonts w:ascii="Arial" w:eastAsia="Arial" w:hAnsi="Arial" w:cs="Times New Roman"/>
        </w:rPr>
        <w:t xml:space="preserve">the spouse of </w:t>
      </w:r>
      <w:r w:rsidRPr="00892DE3">
        <w:rPr>
          <w:rFonts w:ascii="Arial" w:eastAsia="Arial" w:hAnsi="Arial" w:cs="Times New Roman"/>
        </w:rPr>
        <w:t xml:space="preserve">John Bristol MP, the Portfolio Minister for the Department of Technology is a </w:t>
      </w:r>
      <w:r w:rsidR="005A70C7" w:rsidRPr="00892DE3">
        <w:rPr>
          <w:rFonts w:ascii="Arial" w:eastAsia="Arial" w:hAnsi="Arial" w:cs="Times New Roman"/>
        </w:rPr>
        <w:t>senior partner</w:t>
      </w:r>
      <w:r w:rsidRPr="00892DE3">
        <w:rPr>
          <w:rFonts w:ascii="Arial" w:eastAsia="Arial" w:hAnsi="Arial" w:cs="Times New Roman"/>
        </w:rPr>
        <w:t>, was awarded a contract under the selective tender process on terms and conditions equivalent for those that prevail in arm’s length transactions under the State’s procurement process. The transaction involved the provision of IT support services to support the migration of the department’s general ledger to a new platform with a total value of $100 million over five years.</w:t>
      </w:r>
    </w:p>
    <w:p w:rsidR="00600C1B" w:rsidRPr="00892DE3" w:rsidRDefault="00600C1B" w:rsidP="00600C1B">
      <w:pPr>
        <w:rPr>
          <w:rFonts w:ascii="Arial" w:eastAsia="Arial" w:hAnsi="Arial" w:cs="Times New Roman"/>
        </w:rPr>
      </w:pPr>
      <w:r w:rsidRPr="00892DE3">
        <w:rPr>
          <w:rFonts w:ascii="Arial" w:eastAsia="Arial" w:hAnsi="Arial" w:cs="Times New Roman"/>
        </w:rPr>
        <w:t xml:space="preserve">All other transactions that have occurred with KMP and their related parties have </w:t>
      </w:r>
      <w:r w:rsidR="00811F01">
        <w:rPr>
          <w:rFonts w:ascii="Arial" w:eastAsia="Arial" w:hAnsi="Arial" w:cs="Times New Roman"/>
        </w:rPr>
        <w:t>not been considered material for disclosure</w:t>
      </w:r>
      <w:r w:rsidRPr="00892DE3">
        <w:rPr>
          <w:rFonts w:ascii="Arial" w:eastAsia="Arial" w:hAnsi="Arial" w:cs="Times New Roman"/>
        </w:rPr>
        <w:t xml:space="preserve">. In this context, transactions are only disclosed when they are considered </w:t>
      </w:r>
      <w:r w:rsidR="00811F01">
        <w:rPr>
          <w:rFonts w:ascii="Arial" w:eastAsia="Arial" w:hAnsi="Arial" w:cs="Times New Roman"/>
        </w:rPr>
        <w:t>necessary to draw attention to the possibility that the Department’s financial position and profit or loss may have been affected by the existence of related parties, and by transactions and outstanding balances, including commitments, with such parties</w:t>
      </w:r>
      <w:r w:rsidRPr="00892DE3">
        <w:rPr>
          <w:rFonts w:ascii="Arial" w:eastAsia="Arial" w:hAnsi="Arial" w:cs="Times New Roman"/>
        </w:rPr>
        <w:t>.</w:t>
      </w:r>
    </w:p>
    <w:p w:rsidR="00600C1B" w:rsidRPr="00892DE3" w:rsidRDefault="00600C1B" w:rsidP="00600C1B">
      <w:pPr>
        <w:keepNext/>
        <w:numPr>
          <w:ilvl w:val="3"/>
          <w:numId w:val="0"/>
        </w:numPr>
        <w:tabs>
          <w:tab w:val="right" w:pos="9582"/>
        </w:tabs>
        <w:spacing w:before="180"/>
        <w:outlineLvl w:val="3"/>
        <w:rPr>
          <w:rFonts w:ascii="Arial" w:eastAsia="Times New Roman" w:hAnsi="Arial" w:cs="Times New Roman"/>
          <w:i/>
          <w:iCs/>
          <w:sz w:val="20"/>
          <w:szCs w:val="26"/>
        </w:rPr>
      </w:pPr>
      <w:r w:rsidRPr="00892DE3">
        <w:rPr>
          <w:rFonts w:ascii="Arial" w:eastAsia="Times New Roman" w:hAnsi="Arial" w:cs="Times New Roman"/>
          <w:i/>
          <w:iCs/>
          <w:sz w:val="20"/>
          <w:szCs w:val="26"/>
        </w:rPr>
        <w:t>Example of aggregated disclosure note</w:t>
      </w:r>
    </w:p>
    <w:p w:rsidR="00600C1B" w:rsidRPr="00892DE3" w:rsidRDefault="00600C1B" w:rsidP="00600C1B">
      <w:pPr>
        <w:rPr>
          <w:rFonts w:ascii="Arial" w:eastAsia="Arial" w:hAnsi="Arial" w:cs="Times New Roman"/>
        </w:rPr>
      </w:pPr>
      <w:r w:rsidRPr="00892DE3">
        <w:rPr>
          <w:rFonts w:ascii="Arial" w:eastAsia="Arial" w:hAnsi="Arial" w:cs="Times New Roman"/>
        </w:rPr>
        <w:t>During the year, related parties of key management personnel were awarded contracts on terms and conditions equivalent for those that prevail in arm’s length transactions under the State’s procurement process. The transactions involved the provision of consultancy, legal, IT and general support services with an aggregated value of $10 million.</w:t>
      </w:r>
    </w:p>
    <w:p w:rsidR="00811F01" w:rsidRPr="00892DE3" w:rsidRDefault="00811F01" w:rsidP="00811F01">
      <w:pPr>
        <w:rPr>
          <w:rFonts w:ascii="Arial" w:eastAsia="Arial" w:hAnsi="Arial" w:cs="Times New Roman"/>
        </w:rPr>
      </w:pPr>
      <w:r w:rsidRPr="00892DE3">
        <w:rPr>
          <w:rFonts w:ascii="Arial" w:eastAsia="Arial" w:hAnsi="Arial" w:cs="Times New Roman"/>
        </w:rPr>
        <w:t xml:space="preserve">All other transactions that have occurred with KMP and their related parties have </w:t>
      </w:r>
      <w:r>
        <w:rPr>
          <w:rFonts w:ascii="Arial" w:eastAsia="Arial" w:hAnsi="Arial" w:cs="Times New Roman"/>
        </w:rPr>
        <w:t>not been considered material for disclosure</w:t>
      </w:r>
      <w:r w:rsidRPr="00892DE3">
        <w:rPr>
          <w:rFonts w:ascii="Arial" w:eastAsia="Arial" w:hAnsi="Arial" w:cs="Times New Roman"/>
        </w:rPr>
        <w:t xml:space="preserve">. In this context, transactions are only disclosed when they are considered </w:t>
      </w:r>
      <w:r>
        <w:rPr>
          <w:rFonts w:ascii="Arial" w:eastAsia="Arial" w:hAnsi="Arial" w:cs="Times New Roman"/>
        </w:rPr>
        <w:t>necessary to draw attention to the possibility that the Department’s financial position and profit or loss may have been affected by the existence of related parties, and by transactions and outstanding balances, including commitments, with such parties</w:t>
      </w:r>
      <w:r w:rsidRPr="00892DE3">
        <w:rPr>
          <w:rFonts w:ascii="Arial" w:eastAsia="Arial" w:hAnsi="Arial" w:cs="Times New Roman"/>
        </w:rPr>
        <w:t>.</w:t>
      </w:r>
    </w:p>
    <w:p w:rsidR="00600C1B" w:rsidRPr="00892DE3" w:rsidRDefault="00600C1B" w:rsidP="00600C1B">
      <w:pPr>
        <w:rPr>
          <w:rFonts w:ascii="Arial" w:eastAsia="Arial" w:hAnsi="Arial" w:cs="Times New Roman"/>
        </w:rPr>
      </w:pPr>
    </w:p>
    <w:tbl>
      <w:tblPr>
        <w:tblStyle w:val="ModelReportGuidanceTable"/>
        <w:tblW w:w="0" w:type="auto"/>
        <w:tblLook w:val="04A0" w:firstRow="1" w:lastRow="0" w:firstColumn="1" w:lastColumn="0" w:noHBand="0" w:noVBand="1"/>
      </w:tblPr>
      <w:tblGrid>
        <w:gridCol w:w="9752"/>
      </w:tblGrid>
      <w:tr w:rsidR="00600C1B" w:rsidRPr="00892DE3" w:rsidTr="007A5F71">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7A5F71">
            <w:pPr>
              <w:pageBreakBefore/>
              <w:rPr>
                <w:b w:val="0"/>
                <w:color w:val="auto"/>
              </w:rPr>
            </w:pPr>
            <w:r w:rsidRPr="00892DE3">
              <w:t>Guidance – Related parties</w:t>
            </w:r>
          </w:p>
        </w:tc>
      </w:tr>
      <w:tr w:rsidR="00600C1B" w:rsidRPr="00892DE3" w:rsidTr="007A5F71">
        <w:tc>
          <w:tcPr>
            <w:tcW w:w="9752" w:type="dxa"/>
          </w:tcPr>
          <w:p w:rsidR="00600C1B" w:rsidRPr="00892DE3" w:rsidRDefault="00600C1B" w:rsidP="00DB5273">
            <w:pPr>
              <w:rPr>
                <w:rFonts w:ascii="Arial" w:eastAsia="Arial" w:hAnsi="Arial" w:cs="Times New Roman"/>
              </w:rPr>
            </w:pPr>
            <w:r w:rsidRPr="00892DE3">
              <w:rPr>
                <w:rFonts w:ascii="Arial" w:eastAsia="Arial" w:hAnsi="Arial" w:cs="Times New Roman"/>
              </w:rPr>
              <w:t xml:space="preserve">AASB 124 </w:t>
            </w:r>
            <w:r w:rsidRPr="00892DE3">
              <w:rPr>
                <w:rFonts w:ascii="Arial" w:eastAsia="Arial" w:hAnsi="Arial" w:cs="Times New Roman"/>
                <w:i/>
              </w:rPr>
              <w:t>Related Party Disclosures</w:t>
            </w:r>
            <w:r w:rsidRPr="00892DE3">
              <w:rPr>
                <w:rFonts w:ascii="Arial" w:eastAsia="Arial" w:hAnsi="Arial" w:cs="Times New Roman"/>
              </w:rPr>
              <w:t xml:space="preserve"> only require the disclosure of material related party transactions and outstanding balances. Materiality is subject to professional judgement and goes beyond the dollar value of the transaction or balance.</w:t>
            </w:r>
          </w:p>
          <w:p w:rsidR="007A5F71" w:rsidRPr="00892DE3" w:rsidRDefault="00600C1B" w:rsidP="00DB5273">
            <w:pPr>
              <w:rPr>
                <w:rFonts w:ascii="Arial" w:eastAsia="Arial" w:hAnsi="Arial" w:cs="Times New Roman"/>
              </w:rPr>
            </w:pPr>
            <w:r w:rsidRPr="00892DE3">
              <w:rPr>
                <w:rFonts w:ascii="Arial" w:eastAsia="Arial" w:hAnsi="Arial" w:cs="Times New Roman"/>
              </w:rPr>
              <w:t xml:space="preserve">However, it is important to note all KMP need to </w:t>
            </w:r>
            <w:r w:rsidR="0089171B" w:rsidRPr="00892DE3">
              <w:rPr>
                <w:rFonts w:ascii="Arial" w:eastAsia="Arial" w:hAnsi="Arial" w:cs="Times New Roman"/>
              </w:rPr>
              <w:t>declare</w:t>
            </w:r>
            <w:r w:rsidRPr="00892DE3">
              <w:rPr>
                <w:rFonts w:ascii="Arial" w:eastAsia="Arial" w:hAnsi="Arial" w:cs="Times New Roman"/>
              </w:rPr>
              <w:t xml:space="preserve"> all relevant related party transactions</w:t>
            </w:r>
            <w:r w:rsidR="006D71EF" w:rsidRPr="00892DE3">
              <w:rPr>
                <w:rFonts w:ascii="Arial" w:eastAsia="Arial" w:hAnsi="Arial" w:cs="Times New Roman"/>
              </w:rPr>
              <w:t xml:space="preserve"> (refer to Appendix 9 for sample declaration checklist for executive KMPs)</w:t>
            </w:r>
            <w:r w:rsidRPr="00892DE3">
              <w:rPr>
                <w:rFonts w:ascii="Arial" w:eastAsia="Arial" w:hAnsi="Arial" w:cs="Times New Roman"/>
              </w:rPr>
              <w:t>. This provides the required evidence (subject to audit) that all relevant information has been made available for the assessment and also because a transaction that may appear immaterial on its own, may in combination with other like transactions have a material effect on the State's, department's or agency's financial statements and warrants disclosure</w:t>
            </w:r>
            <w:r w:rsidR="0094531C" w:rsidRPr="00892DE3">
              <w:rPr>
                <w:rFonts w:ascii="Arial" w:eastAsia="Arial" w:hAnsi="Arial" w:cs="Times New Roman"/>
              </w:rPr>
              <w:t xml:space="preserve"> (refer to Appendix 10 for sample entity management checklist to support management’s assessment of the completeness of the related party disclosure in their annual financial report). </w:t>
            </w:r>
          </w:p>
          <w:p w:rsidR="007A5F71" w:rsidRPr="00892DE3" w:rsidRDefault="007A5F71" w:rsidP="007A5F71">
            <w:pPr>
              <w:rPr>
                <w:rFonts w:ascii="Arial" w:eastAsia="Arial" w:hAnsi="Arial" w:cs="Times New Roman"/>
              </w:rPr>
            </w:pPr>
            <w:r w:rsidRPr="00892DE3">
              <w:rPr>
                <w:rFonts w:ascii="Arial" w:eastAsia="Arial" w:hAnsi="Arial" w:cs="Times New Roman"/>
              </w:rPr>
              <w:t xml:space="preserve">Importantly, items of a similar nature may be disclosed in aggregate except where separate disclosure is necessary for an understanding of the effects of related party transactions on the financial statements of the department or entity i.e. individual transactions that are unusual in nature or significantly material by amount. </w:t>
            </w:r>
          </w:p>
          <w:p w:rsidR="007A5F71" w:rsidRPr="00892DE3" w:rsidRDefault="007A5F71" w:rsidP="007A5F71">
            <w:pPr>
              <w:rPr>
                <w:rFonts w:ascii="Arial" w:eastAsia="Arial" w:hAnsi="Arial" w:cs="Times New Roman"/>
              </w:rPr>
            </w:pPr>
            <w:r w:rsidRPr="00892DE3">
              <w:rPr>
                <w:rFonts w:ascii="Arial" w:eastAsia="Arial" w:hAnsi="Arial" w:cs="Times New Roman"/>
              </w:rPr>
              <w:t>The aggregated disclosures must include:</w:t>
            </w:r>
          </w:p>
          <w:p w:rsidR="007A5F71" w:rsidRPr="00892DE3" w:rsidRDefault="007A5F71" w:rsidP="007A5F71">
            <w:pPr>
              <w:numPr>
                <w:ilvl w:val="0"/>
                <w:numId w:val="2"/>
              </w:numPr>
              <w:spacing w:before="60"/>
              <w:contextualSpacing/>
              <w:rPr>
                <w:rFonts w:ascii="Arial" w:eastAsia="Arial" w:hAnsi="Arial" w:cs="Times New Roman"/>
              </w:rPr>
            </w:pPr>
            <w:r w:rsidRPr="00892DE3">
              <w:rPr>
                <w:rFonts w:ascii="Arial" w:eastAsia="Arial" w:hAnsi="Arial" w:cs="Times New Roman"/>
              </w:rPr>
              <w:t>the nature of the relationships;</w:t>
            </w:r>
          </w:p>
          <w:p w:rsidR="007A5F71" w:rsidRPr="00892DE3" w:rsidRDefault="007A5F71" w:rsidP="007A5F71">
            <w:pPr>
              <w:numPr>
                <w:ilvl w:val="0"/>
                <w:numId w:val="2"/>
              </w:numPr>
              <w:spacing w:before="60"/>
              <w:contextualSpacing/>
              <w:rPr>
                <w:rFonts w:ascii="Arial" w:eastAsia="Arial" w:hAnsi="Arial" w:cs="Times New Roman"/>
              </w:rPr>
            </w:pPr>
            <w:r w:rsidRPr="00892DE3">
              <w:rPr>
                <w:rFonts w:ascii="Arial" w:eastAsia="Arial" w:hAnsi="Arial" w:cs="Times New Roman"/>
              </w:rPr>
              <w:t>the mature of the services/balances concerned;</w:t>
            </w:r>
          </w:p>
          <w:p w:rsidR="007A5F71" w:rsidRPr="00892DE3" w:rsidRDefault="007A5F71" w:rsidP="007A5F71">
            <w:pPr>
              <w:numPr>
                <w:ilvl w:val="0"/>
                <w:numId w:val="2"/>
              </w:numPr>
              <w:spacing w:before="60"/>
              <w:contextualSpacing/>
              <w:rPr>
                <w:rFonts w:ascii="Arial" w:eastAsia="Arial" w:hAnsi="Arial" w:cs="Times New Roman"/>
              </w:rPr>
            </w:pPr>
            <w:r w:rsidRPr="00892DE3">
              <w:rPr>
                <w:rFonts w:ascii="Arial" w:eastAsia="Arial" w:hAnsi="Arial" w:cs="Times New Roman"/>
              </w:rPr>
              <w:t>the total amounts/balances involved.</w:t>
            </w:r>
          </w:p>
          <w:p w:rsidR="007A5F71" w:rsidRPr="00892DE3" w:rsidRDefault="007A5F71" w:rsidP="007A5F71">
            <w:pPr>
              <w:rPr>
                <w:rFonts w:ascii="Arial" w:eastAsia="Arial" w:hAnsi="Arial" w:cs="Times New Roman"/>
              </w:rPr>
            </w:pPr>
            <w:r w:rsidRPr="00892DE3">
              <w:rPr>
                <w:rFonts w:ascii="Arial" w:eastAsia="Arial" w:hAnsi="Arial" w:cs="Times New Roman"/>
              </w:rPr>
              <w:t>The individual disclosures are a matter of management and auditor judgement in the context of respective reporting entity financial reports, and the size and nature of the transaction involved. Such transactions will generally not be usual business and are large or significant in amount in relation to the entity's operations, and therefore not expected to be frequent.</w:t>
            </w:r>
          </w:p>
          <w:p w:rsidR="007A5F71" w:rsidRPr="00892DE3" w:rsidRDefault="007A5F71" w:rsidP="007A5F71">
            <w:pPr>
              <w:rPr>
                <w:rFonts w:ascii="Arial" w:eastAsia="Arial" w:hAnsi="Arial" w:cs="Arial"/>
              </w:rPr>
            </w:pPr>
            <w:r w:rsidRPr="00892DE3">
              <w:rPr>
                <w:rFonts w:ascii="Arial" w:eastAsia="Arial" w:hAnsi="Arial" w:cs="Arial"/>
              </w:rPr>
              <w:t>AASB 124</w:t>
            </w:r>
            <w:r w:rsidR="005760D6" w:rsidRPr="00892DE3">
              <w:rPr>
                <w:rFonts w:ascii="Arial" w:eastAsia="Arial" w:hAnsi="Arial" w:cs="Arial"/>
              </w:rPr>
              <w:t>.19</w:t>
            </w:r>
            <w:r w:rsidRPr="00892DE3">
              <w:rPr>
                <w:rFonts w:ascii="Arial" w:eastAsia="Arial" w:hAnsi="Arial" w:cs="Arial"/>
              </w:rPr>
              <w:t xml:space="preserve"> requires related party disclosures to be made separately for each consolidated ent</w:t>
            </w:r>
            <w:r w:rsidR="00482435">
              <w:rPr>
                <w:rFonts w:ascii="Arial" w:eastAsia="Arial" w:hAnsi="Arial" w:cs="Arial"/>
              </w:rPr>
              <w:t>ity in the financial statements.</w:t>
            </w:r>
            <w:r w:rsidRPr="00892DE3">
              <w:rPr>
                <w:rFonts w:ascii="Arial" w:eastAsia="Arial" w:hAnsi="Arial" w:cs="Arial"/>
              </w:rPr>
              <w:t xml:space="preserve"> This includes:  </w:t>
            </w:r>
          </w:p>
          <w:p w:rsidR="007A5F71" w:rsidRPr="00892DE3" w:rsidRDefault="007A5F71" w:rsidP="007A5F71">
            <w:pPr>
              <w:pStyle w:val="ListBullet"/>
              <w:rPr>
                <w:rFonts w:ascii="Arial" w:hAnsi="Arial" w:cs="Arial"/>
              </w:rPr>
            </w:pPr>
            <w:r w:rsidRPr="00892DE3">
              <w:rPr>
                <w:rFonts w:ascii="Arial" w:hAnsi="Arial" w:cs="Arial"/>
              </w:rPr>
              <w:t xml:space="preserve">the parent; </w:t>
            </w:r>
          </w:p>
          <w:p w:rsidR="007A5F71" w:rsidRPr="00892DE3" w:rsidRDefault="007A5F71" w:rsidP="007A5F71">
            <w:pPr>
              <w:pStyle w:val="ListBullet"/>
              <w:rPr>
                <w:rFonts w:ascii="Arial" w:hAnsi="Arial" w:cs="Arial"/>
              </w:rPr>
            </w:pPr>
            <w:r w:rsidRPr="00892DE3">
              <w:rPr>
                <w:rFonts w:ascii="Arial" w:hAnsi="Arial" w:cs="Arial"/>
              </w:rPr>
              <w:t xml:space="preserve">subsidiaries; </w:t>
            </w:r>
          </w:p>
          <w:p w:rsidR="007A5F71" w:rsidRPr="00892DE3" w:rsidRDefault="007A5F71" w:rsidP="007A5F71">
            <w:pPr>
              <w:pStyle w:val="ListBullet"/>
              <w:rPr>
                <w:rFonts w:ascii="Arial" w:hAnsi="Arial" w:cs="Arial"/>
              </w:rPr>
            </w:pPr>
            <w:r w:rsidRPr="00892DE3">
              <w:rPr>
                <w:rFonts w:ascii="Arial" w:hAnsi="Arial" w:cs="Arial"/>
              </w:rPr>
              <w:t xml:space="preserve">associates or joint ventures; </w:t>
            </w:r>
          </w:p>
          <w:p w:rsidR="007A5F71" w:rsidRPr="00892DE3" w:rsidRDefault="007A5F71" w:rsidP="007A5F71">
            <w:pPr>
              <w:pStyle w:val="ListBullet"/>
              <w:rPr>
                <w:rFonts w:ascii="Arial" w:hAnsi="Arial" w:cs="Arial"/>
              </w:rPr>
            </w:pPr>
            <w:r w:rsidRPr="00892DE3">
              <w:rPr>
                <w:rFonts w:ascii="Arial" w:hAnsi="Arial" w:cs="Arial"/>
              </w:rPr>
              <w:t xml:space="preserve">agencies consolidated into the Department’s financial statements pursuant to the determination made by the relevant Minister under </w:t>
            </w:r>
            <w:r w:rsidRPr="00892DE3">
              <w:rPr>
                <w:rFonts w:ascii="Arial" w:eastAsia="Arial" w:hAnsi="Arial" w:cs="Times New Roman"/>
              </w:rPr>
              <w:t xml:space="preserve">section 53(1) of the </w:t>
            </w:r>
            <w:r w:rsidRPr="00892DE3">
              <w:rPr>
                <w:rFonts w:ascii="Arial" w:eastAsia="Arial" w:hAnsi="Arial" w:cs="Times New Roman"/>
                <w:i/>
              </w:rPr>
              <w:t>Financial Management Act 1994</w:t>
            </w:r>
            <w:r w:rsidRPr="00892DE3">
              <w:rPr>
                <w:rFonts w:ascii="Arial" w:eastAsia="Arial" w:hAnsi="Arial" w:cs="Times New Roman"/>
              </w:rPr>
              <w:t xml:space="preserve"> (FMA); and </w:t>
            </w:r>
          </w:p>
          <w:p w:rsidR="007A5F71" w:rsidRPr="00892DE3" w:rsidRDefault="007A5F71" w:rsidP="007A5F71">
            <w:pPr>
              <w:pStyle w:val="ListBullet"/>
              <w:rPr>
                <w:rFonts w:ascii="Arial" w:hAnsi="Arial" w:cs="Arial"/>
              </w:rPr>
            </w:pPr>
            <w:r w:rsidRPr="00892DE3">
              <w:rPr>
                <w:rFonts w:ascii="Arial" w:hAnsi="Arial" w:cs="Arial"/>
              </w:rPr>
              <w:t xml:space="preserve">administrative offices established pursuant to an Order under section 11 of the </w:t>
            </w:r>
            <w:r w:rsidRPr="00892DE3">
              <w:rPr>
                <w:rFonts w:ascii="Arial" w:hAnsi="Arial" w:cs="Arial"/>
                <w:i/>
              </w:rPr>
              <w:t>Public Administration Act 2004.</w:t>
            </w:r>
          </w:p>
          <w:p w:rsidR="007A5F71" w:rsidRPr="00892DE3" w:rsidRDefault="007A5F71" w:rsidP="007A5F71">
            <w:pPr>
              <w:rPr>
                <w:rFonts w:ascii="Arial" w:eastAsia="Arial" w:hAnsi="Arial" w:cs="Times New Roman"/>
                <w:b/>
              </w:rPr>
            </w:pPr>
            <w:r w:rsidRPr="00892DE3">
              <w:rPr>
                <w:rFonts w:ascii="Arial" w:eastAsia="Arial" w:hAnsi="Arial" w:cs="Times New Roman"/>
                <w:b/>
              </w:rPr>
              <w:t xml:space="preserve">Remuneration of other personnel (contractors with significant management responsibilities) </w:t>
            </w:r>
          </w:p>
          <w:p w:rsidR="007A5F71" w:rsidRPr="00892DE3" w:rsidRDefault="007A5F71" w:rsidP="007A5F71">
            <w:pPr>
              <w:rPr>
                <w:rFonts w:ascii="Arial" w:eastAsia="Arial" w:hAnsi="Arial" w:cs="Times New Roman"/>
              </w:rPr>
            </w:pPr>
            <w:r w:rsidRPr="00892DE3">
              <w:rPr>
                <w:rFonts w:ascii="Arial" w:eastAsia="Arial" w:hAnsi="Arial" w:cs="Times New Roman"/>
              </w:rPr>
              <w:t xml:space="preserve">Previously under FRD 21B, entities were required to separately disclose expenses paid or payable to other personnel during the reporting period. Other personnel were defined as personnel engaged by an entity as contractors and charged with significant management responsibilities. As these contractors are responsible for planning, directing or controlling, directly or indirectly, the Department’ s activities, they meet the definition of Key Management Personnel (KMP) under AASB 124 </w:t>
            </w:r>
            <w:r w:rsidRPr="00892DE3">
              <w:rPr>
                <w:rFonts w:ascii="Arial" w:eastAsia="Arial" w:hAnsi="Arial" w:cs="Times New Roman"/>
                <w:i/>
              </w:rPr>
              <w:t>Related Party Disclosures</w:t>
            </w:r>
            <w:r w:rsidRPr="00892DE3">
              <w:rPr>
                <w:rFonts w:ascii="Arial" w:eastAsia="Arial" w:hAnsi="Arial" w:cs="Times New Roman"/>
              </w:rPr>
              <w:t xml:space="preserve">.  As a result, contractors with significant management responsibilities will be captured as part of the related parties disclosure.  </w:t>
            </w:r>
          </w:p>
          <w:p w:rsidR="007A5F71" w:rsidRPr="00892DE3" w:rsidRDefault="007A5F71" w:rsidP="007A5F71">
            <w:pPr>
              <w:rPr>
                <w:rFonts w:ascii="Arial" w:eastAsia="Arial" w:hAnsi="Arial" w:cs="Times New Roman"/>
                <w:b/>
              </w:rPr>
            </w:pPr>
            <w:r w:rsidRPr="00892DE3">
              <w:rPr>
                <w:rFonts w:ascii="Arial" w:eastAsia="Arial" w:hAnsi="Arial" w:cs="Times New Roman"/>
                <w:b/>
              </w:rPr>
              <w:t xml:space="preserve">KMP of section 53 entities </w:t>
            </w:r>
          </w:p>
          <w:p w:rsidR="007A5F71" w:rsidRPr="00892DE3" w:rsidRDefault="007A5F71" w:rsidP="007A5F71">
            <w:pPr>
              <w:rPr>
                <w:rFonts w:ascii="Arial" w:eastAsia="Arial" w:hAnsi="Arial" w:cs="Times New Roman"/>
              </w:rPr>
            </w:pPr>
            <w:r w:rsidRPr="00892DE3">
              <w:rPr>
                <w:rFonts w:ascii="Arial" w:eastAsia="Arial" w:hAnsi="Arial" w:cs="Times New Roman"/>
              </w:rPr>
              <w:t>Pursuant to a determination made by the Minister for Finance under section 53(1) of the Financial Management Act 1994, entities can be included or consolidated into a department's financial statements, in accordance with:</w:t>
            </w:r>
          </w:p>
          <w:p w:rsidR="007A5F71" w:rsidRPr="00892DE3" w:rsidRDefault="007A5F71" w:rsidP="007A5F71">
            <w:pPr>
              <w:pStyle w:val="ListBullet"/>
              <w:rPr>
                <w:rFonts w:ascii="Arial" w:hAnsi="Arial" w:cs="Arial"/>
              </w:rPr>
            </w:pPr>
            <w:r w:rsidRPr="00892DE3">
              <w:rPr>
                <w:rFonts w:ascii="Arial" w:hAnsi="Arial" w:cs="Arial"/>
              </w:rPr>
              <w:t xml:space="preserve">section 53(1)(a) where the entity's financial statements are included as a separate attachment to the department's own financial reports; or </w:t>
            </w:r>
          </w:p>
          <w:p w:rsidR="007A5F71" w:rsidRPr="00892DE3" w:rsidRDefault="007A5F71" w:rsidP="007A5F71">
            <w:pPr>
              <w:pStyle w:val="ListBullet"/>
              <w:rPr>
                <w:rFonts w:ascii="Arial" w:hAnsi="Arial" w:cs="Arial"/>
              </w:rPr>
            </w:pPr>
            <w:r w:rsidRPr="00892DE3">
              <w:rPr>
                <w:rFonts w:ascii="Arial" w:hAnsi="Arial" w:cs="Arial"/>
              </w:rPr>
              <w:t xml:space="preserve">section 53(1)(b) where the entity's financial statements are consolidated into the department's financial reports. </w:t>
            </w:r>
          </w:p>
          <w:p w:rsidR="007A5F71" w:rsidRPr="00892DE3" w:rsidRDefault="007A5F71" w:rsidP="007A5F71">
            <w:pPr>
              <w:rPr>
                <w:rFonts w:ascii="Arial" w:eastAsia="Arial" w:hAnsi="Arial" w:cs="Times New Roman"/>
              </w:rPr>
            </w:pPr>
            <w:r w:rsidRPr="00892DE3">
              <w:rPr>
                <w:rFonts w:ascii="Arial" w:eastAsia="Arial" w:hAnsi="Arial" w:cs="Times New Roman"/>
              </w:rPr>
              <w:t>Where an entity is included with the department's financial report under section 53(1)(a) - regard should be given to identifying relevant executives who meet the definition of KMP for these entities, for inclusion in the respective entity's financial report</w:t>
            </w:r>
            <w:r w:rsidR="00482435">
              <w:rPr>
                <w:rFonts w:ascii="Arial" w:eastAsia="Arial" w:hAnsi="Arial" w:cs="Times New Roman"/>
              </w:rPr>
              <w:t xml:space="preserve"> (i.e. the section 53(1)(a) entity’s financial report)</w:t>
            </w:r>
            <w:r w:rsidRPr="00892DE3">
              <w:rPr>
                <w:rFonts w:ascii="Arial" w:eastAsia="Arial" w:hAnsi="Arial" w:cs="Times New Roman"/>
              </w:rPr>
              <w:t xml:space="preserve">. </w:t>
            </w:r>
          </w:p>
          <w:p w:rsidR="007A5F71" w:rsidRPr="00892DE3" w:rsidRDefault="007A5F71" w:rsidP="007A5F71">
            <w:r w:rsidRPr="00892DE3">
              <w:rPr>
                <w:rFonts w:ascii="Arial" w:eastAsia="Arial" w:hAnsi="Arial" w:cs="Arial"/>
              </w:rPr>
              <w:t xml:space="preserve">Where an entity is consolidated in the department's financial report under section 53(1)(b) - regard should be given to identifying relevant executives who meet the definition of KMP for these entities, to be included as part of the consolidated group/department's financial statements. </w:t>
            </w:r>
            <w:r w:rsidRPr="00892DE3">
              <w:rPr>
                <w:rFonts w:ascii="Arial" w:hAnsi="Arial" w:cs="Arial"/>
              </w:rPr>
              <w:t xml:space="preserve"> KMPs of section 53(1)(b) will be disclosed in accordance with </w:t>
            </w:r>
            <w:r w:rsidRPr="00892DE3">
              <w:rPr>
                <w:rFonts w:ascii="Arial" w:eastAsia="Arial" w:hAnsi="Arial" w:cs="Arial"/>
              </w:rPr>
              <w:t>AASB 124.19, which requires related party information for each consolidated entity to be separately disclosed, where relevant and material, in the consolidated entity’s related party transactions note.</w:t>
            </w:r>
          </w:p>
          <w:p w:rsidR="007A5F71" w:rsidRPr="00892DE3" w:rsidRDefault="007A5F71" w:rsidP="007A5F71">
            <w:pPr>
              <w:rPr>
                <w:rFonts w:ascii="Arial" w:eastAsia="Arial" w:hAnsi="Arial" w:cs="Times New Roman"/>
                <w:b/>
              </w:rPr>
            </w:pPr>
            <w:r w:rsidRPr="00892DE3">
              <w:rPr>
                <w:rFonts w:ascii="Arial" w:eastAsia="Arial" w:hAnsi="Arial" w:cs="Times New Roman"/>
                <w:b/>
              </w:rPr>
              <w:t>KMP of Administrative Offices</w:t>
            </w:r>
          </w:p>
          <w:p w:rsidR="007A5F71" w:rsidRPr="00892DE3" w:rsidRDefault="007A5F71" w:rsidP="007A5F71">
            <w:pPr>
              <w:rPr>
                <w:rFonts w:ascii="Arial" w:eastAsia="Arial" w:hAnsi="Arial" w:cs="Times New Roman"/>
              </w:rPr>
            </w:pPr>
            <w:r w:rsidRPr="00892DE3">
              <w:rPr>
                <w:rFonts w:ascii="Arial" w:eastAsia="Arial" w:hAnsi="Arial" w:cs="Times New Roman"/>
              </w:rPr>
              <w:t>Administrative offices are established and abolished through Orders under section 11 of the Public Administration Act  2004. Whilst these offices are established in relation to a department, they are considered to be departments in their own right for Financial Management Act 1994 (FMA) purposes. Under section 45(4) of the FMA, the financial statements of Administrative Offices are required to be incorporated into, and consolidated with, the department's financial statements.</w:t>
            </w:r>
          </w:p>
          <w:p w:rsidR="00600C1B" w:rsidRPr="00892DE3" w:rsidRDefault="007A5F71" w:rsidP="007D23E7">
            <w:pPr>
              <w:rPr>
                <w:color w:val="auto"/>
              </w:rPr>
            </w:pPr>
            <w:r w:rsidRPr="00892DE3">
              <w:rPr>
                <w:rFonts w:ascii="Arial" w:eastAsia="Arial" w:hAnsi="Arial" w:cs="Times New Roman"/>
              </w:rPr>
              <w:t xml:space="preserve">As Administrative Offices are considered to be departments in their own right under the FMA, regard should be given to identifying relevant executives who meet the definition of KMP for these entities. </w:t>
            </w:r>
          </w:p>
        </w:tc>
      </w:tr>
    </w:tbl>
    <w:p w:rsidR="007A5F71" w:rsidRPr="00892DE3" w:rsidRDefault="007A5F71"/>
    <w:tbl>
      <w:tblPr>
        <w:tblStyle w:val="ModelReportGuidanceTable"/>
        <w:tblW w:w="0" w:type="auto"/>
        <w:tblLook w:val="04A0" w:firstRow="1" w:lastRow="0" w:firstColumn="1" w:lastColumn="0" w:noHBand="0" w:noVBand="1"/>
      </w:tblPr>
      <w:tblGrid>
        <w:gridCol w:w="9752"/>
      </w:tblGrid>
      <w:tr w:rsidR="007A5F71" w:rsidRPr="00892DE3" w:rsidTr="007A5F71">
        <w:trPr>
          <w:cnfStyle w:val="100000000000" w:firstRow="1" w:lastRow="0" w:firstColumn="0" w:lastColumn="0" w:oddVBand="0" w:evenVBand="0" w:oddHBand="0" w:evenHBand="0" w:firstRowFirstColumn="0" w:firstRowLastColumn="0" w:lastRowFirstColumn="0" w:lastRowLastColumn="0"/>
        </w:trPr>
        <w:tc>
          <w:tcPr>
            <w:tcW w:w="9752" w:type="dxa"/>
          </w:tcPr>
          <w:p w:rsidR="007A5F71" w:rsidRPr="00892DE3" w:rsidRDefault="007A5F71" w:rsidP="007A5F71">
            <w:pPr>
              <w:rPr>
                <w:b w:val="0"/>
                <w:color w:val="auto"/>
              </w:rPr>
            </w:pPr>
            <w:r w:rsidRPr="00892DE3">
              <w:t>Guidance – Related parties</w:t>
            </w:r>
            <w:r w:rsidR="00C33142">
              <w:t xml:space="preserve"> </w:t>
            </w:r>
            <w:r w:rsidR="00C33142" w:rsidRPr="00C33142">
              <w:rPr>
                <w:i/>
              </w:rPr>
              <w:t>(continued)</w:t>
            </w:r>
          </w:p>
        </w:tc>
      </w:tr>
      <w:tr w:rsidR="007A5F71" w:rsidRPr="00892DE3" w:rsidTr="007A5F71">
        <w:tc>
          <w:tcPr>
            <w:tcW w:w="9752" w:type="dxa"/>
          </w:tcPr>
          <w:p w:rsidR="007D23E7" w:rsidRDefault="007D23E7" w:rsidP="007A5F71">
            <w:pPr>
              <w:rPr>
                <w:rFonts w:ascii="Arial" w:eastAsia="Arial" w:hAnsi="Arial" w:cs="Times New Roman"/>
                <w:b/>
              </w:rPr>
            </w:pPr>
            <w:r w:rsidRPr="00892DE3">
              <w:rPr>
                <w:rFonts w:ascii="Arial" w:eastAsia="Arial" w:hAnsi="Arial" w:cs="Times New Roman"/>
              </w:rPr>
              <w:t>KMPs of Administrative Offices will be disclosed in acco</w:t>
            </w:r>
            <w:r>
              <w:rPr>
                <w:rFonts w:ascii="Arial" w:eastAsia="Arial" w:hAnsi="Arial" w:cs="Times New Roman"/>
              </w:rPr>
              <w:t xml:space="preserve">rdance with AASB 124.19, which </w:t>
            </w:r>
            <w:r w:rsidRPr="00892DE3">
              <w:rPr>
                <w:rFonts w:ascii="Arial" w:eastAsia="Arial" w:hAnsi="Arial" w:cs="Times New Roman"/>
              </w:rPr>
              <w:t>requires related party information for each consolidated entity to be separately disclosed, where relevant and material, in the consolidated entity’s related party transactions note.</w:t>
            </w:r>
          </w:p>
          <w:p w:rsidR="007A5F71" w:rsidRPr="00892DE3" w:rsidRDefault="007A5F71" w:rsidP="007A5F71">
            <w:pPr>
              <w:rPr>
                <w:rFonts w:ascii="Arial" w:eastAsia="Arial" w:hAnsi="Arial" w:cs="Times New Roman"/>
                <w:b/>
              </w:rPr>
            </w:pPr>
            <w:r w:rsidRPr="00892DE3">
              <w:rPr>
                <w:rFonts w:ascii="Arial" w:eastAsia="Arial" w:hAnsi="Arial" w:cs="Times New Roman"/>
                <w:b/>
              </w:rPr>
              <w:t>Statutory officers</w:t>
            </w:r>
          </w:p>
          <w:p w:rsidR="007A5F71" w:rsidRPr="00892DE3" w:rsidRDefault="007A5F71" w:rsidP="007A5F71">
            <w:pPr>
              <w:rPr>
                <w:rFonts w:ascii="Arial" w:eastAsia="Arial" w:hAnsi="Arial" w:cs="Times New Roman"/>
              </w:rPr>
            </w:pPr>
            <w:r w:rsidRPr="00892DE3">
              <w:rPr>
                <w:rFonts w:ascii="Arial" w:eastAsia="Arial" w:hAnsi="Arial" w:cs="Times New Roman"/>
              </w:rPr>
              <w:t xml:space="preserve">Statutory officers (e.g. Governor in Council appointments) have authority under legislation to direct or control the activities of a specified division or function. Typically this division or function will be a cost centre that is part of the department. </w:t>
            </w:r>
          </w:p>
          <w:p w:rsidR="007A5F71" w:rsidRPr="00892DE3" w:rsidRDefault="007A5F71" w:rsidP="007A5F71">
            <w:pPr>
              <w:rPr>
                <w:rFonts w:ascii="Arial" w:eastAsia="Arial" w:hAnsi="Arial" w:cs="Times New Roman"/>
              </w:rPr>
            </w:pPr>
            <w:r w:rsidRPr="00892DE3">
              <w:rPr>
                <w:rFonts w:ascii="Arial" w:eastAsia="Arial" w:hAnsi="Arial" w:cs="Times New Roman"/>
              </w:rPr>
              <w:t xml:space="preserve">Whilst the statutory officer may meet the definition of a KMP for their specified division or function, regard should be given to assessing whether the statutory officer is considered a KMP of the department. This will be a matter of judgement. </w:t>
            </w:r>
          </w:p>
          <w:p w:rsidR="007A5F71" w:rsidRPr="00892DE3" w:rsidRDefault="007A5F71" w:rsidP="007A5F71">
            <w:pPr>
              <w:rPr>
                <w:rFonts w:ascii="Arial" w:eastAsia="Arial" w:hAnsi="Arial" w:cs="Times New Roman"/>
              </w:rPr>
            </w:pPr>
            <w:r w:rsidRPr="00892DE3">
              <w:rPr>
                <w:rFonts w:ascii="Arial" w:eastAsia="Arial" w:hAnsi="Arial" w:cs="Times New Roman"/>
              </w:rPr>
              <w:t xml:space="preserve">Declaration certificates should be collected from all statutory officers for their related party transactions. Management will need to exercise their professional judgement to determine whether the statutory officer’s division/function and relevant related party transactions are considered to be material and significant to the department for disclosure in the financial report. </w:t>
            </w:r>
          </w:p>
          <w:p w:rsidR="007A5F71" w:rsidRPr="00892DE3" w:rsidRDefault="007A5F71" w:rsidP="007A5F71">
            <w:r w:rsidRPr="00892DE3">
              <w:rPr>
                <w:rFonts w:ascii="Arial" w:eastAsia="Arial" w:hAnsi="Arial" w:cs="Times New Roman"/>
              </w:rPr>
              <w:t>In performing this assessment, departments should consider whether the statutory officer has the ability to direct activities of a division/function that significantly affects the department's outcomes as a whole i.e. the division/function is material and significant to the department’s overall business and financial outcomes. Note that the statutory officer does not necessarily need to be able to strategically influence all decisions made at the overall department level, to qualify as a KMP of the department.</w:t>
            </w:r>
          </w:p>
        </w:tc>
      </w:tr>
    </w:tbl>
    <w:p w:rsidR="00600C1B" w:rsidRPr="00892DE3" w:rsidRDefault="00600C1B" w:rsidP="00600C1B">
      <w:pPr>
        <w:pStyle w:val="Heading2"/>
      </w:pPr>
      <w:bookmarkStart w:id="187" w:name="_Toc477432298"/>
      <w:bookmarkStart w:id="188" w:name="_Toc478729321"/>
      <w:bookmarkStart w:id="189" w:name="_Toc479085172"/>
      <w:r w:rsidRPr="00892DE3">
        <w:t>Remuneration of auditors</w:t>
      </w:r>
      <w:bookmarkEnd w:id="187"/>
      <w:bookmarkEnd w:id="188"/>
      <w:bookmarkEnd w:id="189"/>
    </w:p>
    <w:p w:rsidR="00600C1B" w:rsidRPr="00892DE3" w:rsidRDefault="00600C1B" w:rsidP="00600C1B">
      <w:pPr>
        <w:pStyle w:val="TableUnits"/>
      </w:pPr>
      <w:r w:rsidRPr="00892DE3">
        <w:t>($ thousand)</w:t>
      </w:r>
    </w:p>
    <w:tbl>
      <w:tblPr>
        <w:tblStyle w:val="ModelReportFinancialTable"/>
        <w:tblW w:w="9639" w:type="dxa"/>
        <w:tblLayout w:type="fixed"/>
        <w:tblLook w:val="06A0" w:firstRow="1" w:lastRow="0" w:firstColumn="1" w:lastColumn="0" w:noHBand="1" w:noVBand="1"/>
      </w:tblPr>
      <w:tblGrid>
        <w:gridCol w:w="1508"/>
        <w:gridCol w:w="6125"/>
        <w:gridCol w:w="977"/>
        <w:gridCol w:w="1029"/>
      </w:tblGrid>
      <w:tr w:rsidR="00600C1B" w:rsidRPr="00892DE3" w:rsidTr="00DB5273">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82" w:type="pct"/>
            <w:tcBorders>
              <w:bottom w:val="nil"/>
            </w:tcBorders>
          </w:tcPr>
          <w:p w:rsidR="00600C1B" w:rsidRPr="00892DE3" w:rsidRDefault="00600C1B" w:rsidP="00DB5273">
            <w:r w:rsidRPr="00892DE3">
              <w:t>Source reference</w:t>
            </w:r>
          </w:p>
        </w:tc>
        <w:tc>
          <w:tcPr>
            <w:tcW w:w="3177" w:type="pct"/>
            <w:hideMark/>
          </w:tcPr>
          <w:p w:rsidR="00600C1B" w:rsidRPr="00892DE3" w:rsidRDefault="00600C1B" w:rsidP="00DB5273">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507" w:type="pct"/>
            <w:noWrap/>
            <w:hideMark/>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2017</w:t>
            </w:r>
          </w:p>
        </w:tc>
        <w:tc>
          <w:tcPr>
            <w:tcW w:w="534" w:type="pct"/>
            <w:noWrap/>
            <w:hideMark/>
          </w:tcPr>
          <w:p w:rsidR="00600C1B" w:rsidRPr="00892DE3" w:rsidRDefault="00600C1B" w:rsidP="00DB5273">
            <w:pPr>
              <w:cnfStyle w:val="100000000000" w:firstRow="1" w:lastRow="0" w:firstColumn="0" w:lastColumn="0" w:oddVBand="0" w:evenVBand="0" w:oddHBand="0" w:evenHBand="0" w:firstRowFirstColumn="0" w:firstRowLastColumn="0" w:lastRowFirstColumn="0" w:lastRowLastColumn="0"/>
            </w:pPr>
            <w:r w:rsidRPr="00892DE3">
              <w:t>2016</w:t>
            </w:r>
          </w:p>
        </w:tc>
      </w:tr>
      <w:tr w:rsidR="00600C1B" w:rsidRPr="00892DE3" w:rsidTr="002D39C4">
        <w:trPr>
          <w:trHeight w:val="255"/>
        </w:trPr>
        <w:tc>
          <w:tcPr>
            <w:cnfStyle w:val="001000000000" w:firstRow="0" w:lastRow="0" w:firstColumn="1" w:lastColumn="0" w:oddVBand="0" w:evenVBand="0" w:oddHBand="0" w:evenHBand="0" w:firstRowFirstColumn="0" w:firstRowLastColumn="0" w:lastRowFirstColumn="0" w:lastRowLastColumn="0"/>
            <w:tcW w:w="782" w:type="pct"/>
            <w:tcBorders>
              <w:bottom w:val="nil"/>
            </w:tcBorders>
            <w:shd w:val="clear" w:color="auto" w:fill="FFFFFF" w:themeFill="background1"/>
          </w:tcPr>
          <w:p w:rsidR="00600C1B" w:rsidRPr="00892DE3" w:rsidRDefault="00600C1B" w:rsidP="00DB5273">
            <w:r w:rsidRPr="00892DE3">
              <w:t>AASB 1054.10</w:t>
            </w:r>
          </w:p>
        </w:tc>
        <w:tc>
          <w:tcPr>
            <w:tcW w:w="3177" w:type="pct"/>
            <w:hideMark/>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rPr>
                <w:b/>
              </w:rPr>
            </w:pPr>
            <w:r w:rsidRPr="00892DE3">
              <w:rPr>
                <w:b/>
              </w:rPr>
              <w:t>Victorian Auditor</w:t>
            </w:r>
            <w:r w:rsidRPr="00892DE3">
              <w:rPr>
                <w:b/>
              </w:rPr>
              <w:noBreakHyphen/>
              <w:t>General’s Office</w:t>
            </w:r>
          </w:p>
        </w:tc>
        <w:tc>
          <w:tcPr>
            <w:tcW w:w="507" w:type="pct"/>
            <w:noWrap/>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p>
        </w:tc>
        <w:tc>
          <w:tcPr>
            <w:tcW w:w="534" w:type="pct"/>
            <w:noWrap/>
            <w:hideMark/>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p>
        </w:tc>
      </w:tr>
      <w:tr w:rsidR="00600C1B" w:rsidRPr="00892DE3" w:rsidTr="002D39C4">
        <w:trPr>
          <w:trHeight w:val="255"/>
        </w:trPr>
        <w:tc>
          <w:tcPr>
            <w:cnfStyle w:val="001000000000" w:firstRow="0" w:lastRow="0" w:firstColumn="1" w:lastColumn="0" w:oddVBand="0" w:evenVBand="0" w:oddHBand="0" w:evenHBand="0" w:firstRowFirstColumn="0" w:firstRowLastColumn="0" w:lastRowFirstColumn="0" w:lastRowLastColumn="0"/>
            <w:tcW w:w="782" w:type="pct"/>
            <w:tcBorders>
              <w:bottom w:val="nil"/>
            </w:tcBorders>
            <w:shd w:val="clear" w:color="auto" w:fill="FFFFFF" w:themeFill="background1"/>
          </w:tcPr>
          <w:p w:rsidR="00600C1B" w:rsidRPr="00892DE3" w:rsidRDefault="00600C1B" w:rsidP="00DB5273">
            <w:r w:rsidRPr="00892DE3">
              <w:t>AASB 1054.10(a)</w:t>
            </w:r>
          </w:p>
        </w:tc>
        <w:tc>
          <w:tcPr>
            <w:tcW w:w="3177" w:type="pct"/>
            <w:tcBorders>
              <w:bottom w:val="single" w:sz="4" w:space="0" w:color="auto"/>
            </w:tcBorders>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pPr>
            <w:r w:rsidRPr="00892DE3">
              <w:t>Audit or review of the financial statements</w:t>
            </w:r>
          </w:p>
        </w:tc>
        <w:tc>
          <w:tcPr>
            <w:tcW w:w="507" w:type="pct"/>
            <w:tcBorders>
              <w:bottom w:val="single" w:sz="4"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1 014</w:t>
            </w:r>
          </w:p>
        </w:tc>
        <w:tc>
          <w:tcPr>
            <w:tcW w:w="534" w:type="pct"/>
            <w:tcBorders>
              <w:bottom w:val="single" w:sz="4"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pPr>
            <w:r w:rsidRPr="00892DE3">
              <w:t>1 177</w:t>
            </w:r>
          </w:p>
        </w:tc>
      </w:tr>
      <w:tr w:rsidR="00600C1B" w:rsidRPr="00892DE3" w:rsidTr="002D39C4">
        <w:trPr>
          <w:trHeight w:val="255"/>
        </w:trPr>
        <w:tc>
          <w:tcPr>
            <w:cnfStyle w:val="001000000000" w:firstRow="0" w:lastRow="0" w:firstColumn="1" w:lastColumn="0" w:oddVBand="0" w:evenVBand="0" w:oddHBand="0" w:evenHBand="0" w:firstRowFirstColumn="0" w:firstRowLastColumn="0" w:lastRowFirstColumn="0" w:lastRowLastColumn="0"/>
            <w:tcW w:w="782" w:type="pct"/>
            <w:tcBorders>
              <w:bottom w:val="nil"/>
            </w:tcBorders>
            <w:shd w:val="clear" w:color="auto" w:fill="FFFFFF" w:themeFill="background1"/>
          </w:tcPr>
          <w:p w:rsidR="00600C1B" w:rsidRPr="00892DE3" w:rsidRDefault="00600C1B" w:rsidP="00DB5273">
            <w:r w:rsidRPr="00892DE3">
              <w:t>AASB 1054.10(b)</w:t>
            </w:r>
          </w:p>
        </w:tc>
        <w:tc>
          <w:tcPr>
            <w:tcW w:w="3177" w:type="pct"/>
            <w:tcBorders>
              <w:top w:val="single" w:sz="4" w:space="0" w:color="auto"/>
              <w:bottom w:val="single" w:sz="6" w:space="0" w:color="auto"/>
            </w:tcBorders>
          </w:tcPr>
          <w:p w:rsidR="00600C1B" w:rsidRPr="002D39C4" w:rsidRDefault="00600C1B" w:rsidP="00DB5273">
            <w:pPr>
              <w:jc w:val="left"/>
              <w:cnfStyle w:val="000000000000" w:firstRow="0" w:lastRow="0" w:firstColumn="0" w:lastColumn="0" w:oddVBand="0" w:evenVBand="0" w:oddHBand="0" w:evenHBand="0" w:firstRowFirstColumn="0" w:firstRowLastColumn="0" w:lastRowFirstColumn="0" w:lastRowLastColumn="0"/>
              <w:rPr>
                <w:b/>
              </w:rPr>
            </w:pPr>
            <w:r w:rsidRPr="002D39C4">
              <w:rPr>
                <w:b/>
              </w:rPr>
              <w:t>Other non</w:t>
            </w:r>
            <w:r w:rsidRPr="002D39C4">
              <w:rPr>
                <w:b/>
              </w:rPr>
              <w:noBreakHyphen/>
              <w:t xml:space="preserve">audit services </w:t>
            </w:r>
            <w:r w:rsidRPr="002D39C4">
              <w:rPr>
                <w:b/>
                <w:vertAlign w:val="superscript"/>
              </w:rPr>
              <w:t>(a)</w:t>
            </w:r>
          </w:p>
        </w:tc>
        <w:tc>
          <w:tcPr>
            <w:tcW w:w="507" w:type="pct"/>
            <w:tcBorders>
              <w:top w:val="single" w:sz="4" w:space="0" w:color="auto"/>
              <w:bottom w:val="single" w:sz="6" w:space="0" w:color="auto"/>
            </w:tcBorders>
            <w:noWrap/>
          </w:tcPr>
          <w:p w:rsidR="00600C1B" w:rsidRPr="002D39C4" w:rsidRDefault="00600C1B" w:rsidP="00DB5273">
            <w:pPr>
              <w:cnfStyle w:val="000000000000" w:firstRow="0" w:lastRow="0" w:firstColumn="0" w:lastColumn="0" w:oddVBand="0" w:evenVBand="0" w:oddHBand="0" w:evenHBand="0" w:firstRowFirstColumn="0" w:firstRowLastColumn="0" w:lastRowFirstColumn="0" w:lastRowLastColumn="0"/>
              <w:rPr>
                <w:b/>
              </w:rPr>
            </w:pPr>
            <w:r w:rsidRPr="002D39C4">
              <w:rPr>
                <w:b/>
              </w:rPr>
              <w:t>..</w:t>
            </w:r>
          </w:p>
        </w:tc>
        <w:tc>
          <w:tcPr>
            <w:tcW w:w="534" w:type="pct"/>
            <w:tcBorders>
              <w:top w:val="single" w:sz="4" w:space="0" w:color="auto"/>
              <w:bottom w:val="single" w:sz="6" w:space="0" w:color="auto"/>
            </w:tcBorders>
            <w:noWrap/>
          </w:tcPr>
          <w:p w:rsidR="00600C1B" w:rsidRPr="002D39C4" w:rsidRDefault="00600C1B" w:rsidP="00DB5273">
            <w:pPr>
              <w:cnfStyle w:val="000000000000" w:firstRow="0" w:lastRow="0" w:firstColumn="0" w:lastColumn="0" w:oddVBand="0" w:evenVBand="0" w:oddHBand="0" w:evenHBand="0" w:firstRowFirstColumn="0" w:firstRowLastColumn="0" w:lastRowFirstColumn="0" w:lastRowLastColumn="0"/>
              <w:rPr>
                <w:b/>
              </w:rPr>
            </w:pPr>
            <w:r w:rsidRPr="002D39C4">
              <w:rPr>
                <w:b/>
              </w:rPr>
              <w:t>..</w:t>
            </w:r>
          </w:p>
        </w:tc>
      </w:tr>
      <w:tr w:rsidR="00600C1B" w:rsidRPr="00892DE3" w:rsidTr="00DB5273">
        <w:trPr>
          <w:trHeight w:val="255"/>
        </w:trPr>
        <w:tc>
          <w:tcPr>
            <w:cnfStyle w:val="001000000000" w:firstRow="0" w:lastRow="0" w:firstColumn="1" w:lastColumn="0" w:oddVBand="0" w:evenVBand="0" w:oddHBand="0" w:evenHBand="0" w:firstRowFirstColumn="0" w:firstRowLastColumn="0" w:lastRowFirstColumn="0" w:lastRowLastColumn="0"/>
            <w:tcW w:w="782" w:type="pct"/>
            <w:tcBorders>
              <w:bottom w:val="nil"/>
            </w:tcBorders>
            <w:shd w:val="clear" w:color="auto" w:fill="FFFFFF" w:themeFill="background1"/>
          </w:tcPr>
          <w:p w:rsidR="00600C1B" w:rsidRPr="00892DE3" w:rsidRDefault="00600C1B" w:rsidP="00DB5273"/>
        </w:tc>
        <w:tc>
          <w:tcPr>
            <w:tcW w:w="3177" w:type="pct"/>
            <w:tcBorders>
              <w:top w:val="single" w:sz="6" w:space="0" w:color="auto"/>
              <w:bottom w:val="single" w:sz="12" w:space="0" w:color="auto"/>
            </w:tcBorders>
          </w:tcPr>
          <w:p w:rsidR="00600C1B" w:rsidRPr="00892DE3" w:rsidRDefault="00600C1B" w:rsidP="00DB5273">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remuneration of auditors</w:t>
            </w:r>
          </w:p>
        </w:tc>
        <w:tc>
          <w:tcPr>
            <w:tcW w:w="507" w:type="pct"/>
            <w:tcBorders>
              <w:top w:val="single" w:sz="6" w:space="0" w:color="auto"/>
              <w:bottom w:val="single" w:sz="12"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b/>
              </w:rPr>
            </w:pPr>
            <w:r w:rsidRPr="00892DE3">
              <w:rPr>
                <w:b/>
              </w:rPr>
              <w:t>1 014</w:t>
            </w:r>
          </w:p>
        </w:tc>
        <w:tc>
          <w:tcPr>
            <w:tcW w:w="534" w:type="pct"/>
            <w:tcBorders>
              <w:top w:val="single" w:sz="6" w:space="0" w:color="auto"/>
              <w:bottom w:val="single" w:sz="12" w:space="0" w:color="auto"/>
            </w:tcBorders>
            <w:noWrap/>
          </w:tcPr>
          <w:p w:rsidR="00600C1B" w:rsidRPr="00892DE3" w:rsidRDefault="00600C1B" w:rsidP="00DB5273">
            <w:pPr>
              <w:cnfStyle w:val="000000000000" w:firstRow="0" w:lastRow="0" w:firstColumn="0" w:lastColumn="0" w:oddVBand="0" w:evenVBand="0" w:oddHBand="0" w:evenHBand="0" w:firstRowFirstColumn="0" w:firstRowLastColumn="0" w:lastRowFirstColumn="0" w:lastRowLastColumn="0"/>
              <w:rPr>
                <w:b/>
              </w:rPr>
            </w:pPr>
            <w:r w:rsidRPr="00892DE3">
              <w:rPr>
                <w:b/>
              </w:rPr>
              <w:t>1 177</w:t>
            </w:r>
          </w:p>
        </w:tc>
      </w:tr>
    </w:tbl>
    <w:p w:rsidR="00600C1B" w:rsidRPr="00892DE3" w:rsidRDefault="00600C1B" w:rsidP="00600C1B">
      <w:pPr>
        <w:pStyle w:val="Note"/>
      </w:pPr>
      <w:r w:rsidRPr="00892DE3">
        <w:t>Note:</w:t>
      </w:r>
    </w:p>
    <w:p w:rsidR="00600C1B" w:rsidRPr="00892DE3" w:rsidRDefault="00600C1B" w:rsidP="00600C1B">
      <w:pPr>
        <w:pStyle w:val="Note"/>
      </w:pPr>
      <w:r w:rsidRPr="00892DE3">
        <w:t xml:space="preserve">(a) </w:t>
      </w:r>
      <w:r w:rsidRPr="00892DE3">
        <w:tab/>
        <w:t>The Victorian Auditor-General’s Office is not allowed to provide non-audit services.</w:t>
      </w:r>
    </w:p>
    <w:p w:rsidR="00600C1B" w:rsidRPr="00892DE3" w:rsidRDefault="00600C1B" w:rsidP="00600C1B"/>
    <w:tbl>
      <w:tblPr>
        <w:tblStyle w:val="ModelReportGuidanceTable"/>
        <w:tblW w:w="0" w:type="auto"/>
        <w:tblLook w:val="04A0" w:firstRow="1" w:lastRow="0" w:firstColumn="1" w:lastColumn="0" w:noHBand="0" w:noVBand="1"/>
      </w:tblPr>
      <w:tblGrid>
        <w:gridCol w:w="9752"/>
      </w:tblGrid>
      <w:tr w:rsidR="00600C1B" w:rsidRPr="00892DE3" w:rsidTr="00DB5273">
        <w:trPr>
          <w:cnfStyle w:val="100000000000" w:firstRow="1" w:lastRow="0" w:firstColumn="0" w:lastColumn="0" w:oddVBand="0" w:evenVBand="0" w:oddHBand="0" w:evenHBand="0" w:firstRowFirstColumn="0" w:firstRowLastColumn="0" w:lastRowFirstColumn="0" w:lastRowLastColumn="0"/>
        </w:trPr>
        <w:tc>
          <w:tcPr>
            <w:tcW w:w="9752" w:type="dxa"/>
          </w:tcPr>
          <w:p w:rsidR="00600C1B" w:rsidRPr="00892DE3" w:rsidRDefault="00600C1B" w:rsidP="00DB5273">
            <w:r w:rsidRPr="00892DE3">
              <w:t>Guidance – Remuneration of auditors</w:t>
            </w:r>
          </w:p>
        </w:tc>
      </w:tr>
      <w:tr w:rsidR="00600C1B" w:rsidRPr="00892DE3" w:rsidTr="00DB5273">
        <w:tc>
          <w:tcPr>
            <w:tcW w:w="9752" w:type="dxa"/>
          </w:tcPr>
          <w:p w:rsidR="00600C1B" w:rsidRPr="00892DE3" w:rsidRDefault="00600C1B" w:rsidP="00DB5273">
            <w:r w:rsidRPr="00892DE3">
              <w:t xml:space="preserve">The amount paid or due and payable to the Auditor-General for auditing the financial statements of the Department pursuant to the </w:t>
            </w:r>
            <w:r w:rsidRPr="00892DE3">
              <w:rPr>
                <w:i/>
              </w:rPr>
              <w:t>Audit Act 1994</w:t>
            </w:r>
            <w:r w:rsidRPr="00892DE3">
              <w:t xml:space="preserve"> must be disclosed and should be net of GST except where the GST included in fees is not recoverable from the tax authority. GST that is not recoverable should be included as part of the remuneration. </w:t>
            </w:r>
            <w:r w:rsidRPr="00892DE3">
              <w:rPr>
                <w:rStyle w:val="SourceReference"/>
              </w:rPr>
              <w:t>[AASB Interpretation 1031.6,7]</w:t>
            </w:r>
          </w:p>
          <w:p w:rsidR="00600C1B" w:rsidRPr="00892DE3" w:rsidRDefault="00600C1B" w:rsidP="00DB5273">
            <w:r w:rsidRPr="00892DE3">
              <w:t>An entity shall disclose fees to each auditor or reviewer, including any network firm, separately for:</w:t>
            </w:r>
          </w:p>
          <w:p w:rsidR="00600C1B" w:rsidRPr="00892DE3" w:rsidRDefault="00600C1B" w:rsidP="00DB5273">
            <w:pPr>
              <w:pStyle w:val="List"/>
            </w:pPr>
            <w:r w:rsidRPr="00892DE3">
              <w:t>(a)</w:t>
            </w:r>
            <w:r w:rsidRPr="00892DE3">
              <w:tab/>
              <w:t xml:space="preserve">the audit or review of the financial statements; and </w:t>
            </w:r>
          </w:p>
          <w:p w:rsidR="00600C1B" w:rsidRPr="00892DE3" w:rsidRDefault="00600C1B" w:rsidP="00DB5273">
            <w:pPr>
              <w:pStyle w:val="List"/>
            </w:pPr>
            <w:r w:rsidRPr="00892DE3">
              <w:t>(b)</w:t>
            </w:r>
            <w:r w:rsidRPr="00892DE3">
              <w:tab/>
              <w:t xml:space="preserve">all other services performed during the reporting period with a description of the nature of the services performed. </w:t>
            </w:r>
            <w:r w:rsidRPr="00892DE3">
              <w:rPr>
                <w:rStyle w:val="SourceReference"/>
              </w:rPr>
              <w:t>[AASB 1054.10,11]</w:t>
            </w:r>
          </w:p>
        </w:tc>
      </w:tr>
    </w:tbl>
    <w:p w:rsidR="00C85AA1" w:rsidRPr="00892DE3" w:rsidRDefault="00C85AA1" w:rsidP="0019303F">
      <w:pPr>
        <w:pStyle w:val="Heading2"/>
      </w:pPr>
      <w:bookmarkStart w:id="190" w:name="_Toc478729322"/>
      <w:bookmarkStart w:id="191" w:name="_Toc479085173"/>
      <w:r w:rsidRPr="00892DE3">
        <w:t>Subsequent events</w:t>
      </w:r>
      <w:bookmarkEnd w:id="162"/>
      <w:bookmarkEnd w:id="190"/>
      <w:bookmarkEnd w:id="191"/>
    </w:p>
    <w:p w:rsidR="00C85AA1" w:rsidRPr="00892DE3" w:rsidRDefault="00C85AA1" w:rsidP="00C85AA1">
      <w:r w:rsidRPr="00892DE3">
        <w:t xml:space="preserve">The Department </w:t>
      </w:r>
      <w:r w:rsidR="00DD2334" w:rsidRPr="00892DE3">
        <w:t xml:space="preserve">of Technology (the Department) </w:t>
      </w:r>
      <w:r w:rsidRPr="00892DE3">
        <w:t>intends to privatise its consulting division subsequent to the current reporting period. Given that the expertise of this division is highly regarded in the private sector, several expressions of interests have been received. Further announcements, including the financial effect on the operations of the Department</w:t>
      </w:r>
      <w:r w:rsidR="00DD2334" w:rsidRPr="00892DE3">
        <w:t>,</w:t>
      </w:r>
      <w:r w:rsidRPr="00892DE3">
        <w:t xml:space="preserve"> will be made once agreements are finalised.</w:t>
      </w:r>
    </w:p>
    <w:p w:rsidR="00C85AA1" w:rsidRPr="00892DE3" w:rsidRDefault="00C85AA1" w:rsidP="00C85AA1">
      <w:r w:rsidRPr="00892DE3">
        <w:t>The policy in connection with recognising subsequent events</w:t>
      </w:r>
      <w:r w:rsidR="002B2A70" w:rsidRPr="00892DE3">
        <w:t xml:space="preserve">, that are, for events that </w:t>
      </w:r>
      <w:r w:rsidRPr="00892DE3">
        <w:t>occur between the end of the reporting period and the date when the financial statements are authorised for issue</w:t>
      </w:r>
      <w:r w:rsidR="002B2A70" w:rsidRPr="00892DE3">
        <w:t xml:space="preserve"> is as follows</w:t>
      </w:r>
      <w:r w:rsidRPr="00892DE3">
        <w:t>:</w:t>
      </w:r>
    </w:p>
    <w:p w:rsidR="00C85AA1" w:rsidRPr="00892DE3" w:rsidRDefault="00C85AA1" w:rsidP="00C85AA1">
      <w:pPr>
        <w:pStyle w:val="ListBullet"/>
      </w:pPr>
      <w:r w:rsidRPr="00892DE3">
        <w:t xml:space="preserve">adjustments are made to amounts recognised in the financial statements where those events provide information about conditions </w:t>
      </w:r>
      <w:r w:rsidR="00994D9E" w:rsidRPr="00892DE3">
        <w:t xml:space="preserve">that </w:t>
      </w:r>
      <w:r w:rsidRPr="00892DE3">
        <w:t>existed at the reporting date; and/or</w:t>
      </w:r>
    </w:p>
    <w:p w:rsidR="00C85AA1" w:rsidRPr="00892DE3" w:rsidRDefault="00C85AA1" w:rsidP="00C85AA1">
      <w:pPr>
        <w:pStyle w:val="ListBullet"/>
      </w:pPr>
      <w:r w:rsidRPr="00892DE3">
        <w:t xml:space="preserve">disclosure is made where the events relate to conditions </w:t>
      </w:r>
      <w:r w:rsidR="00994D9E" w:rsidRPr="00892DE3">
        <w:t xml:space="preserve">that </w:t>
      </w:r>
      <w:r w:rsidRPr="00892DE3">
        <w:t>arose after the end of the reporting period that are conside</w:t>
      </w:r>
      <w:r w:rsidR="00560604" w:rsidRPr="00892DE3">
        <w:t>red to be of material interest.</w:t>
      </w:r>
    </w:p>
    <w:p w:rsidR="00560604" w:rsidRPr="00892DE3" w:rsidRDefault="00560604" w:rsidP="00DD2334"/>
    <w:tbl>
      <w:tblPr>
        <w:tblStyle w:val="ModelReportGuidanceTable"/>
        <w:tblW w:w="0" w:type="auto"/>
        <w:tblLook w:val="04A0" w:firstRow="1" w:lastRow="0" w:firstColumn="1" w:lastColumn="0" w:noHBand="0" w:noVBand="1"/>
      </w:tblPr>
      <w:tblGrid>
        <w:gridCol w:w="9752"/>
      </w:tblGrid>
      <w:tr w:rsidR="00C85AA1" w:rsidRPr="00892DE3" w:rsidTr="00C85AA1">
        <w:trPr>
          <w:cnfStyle w:val="100000000000" w:firstRow="1" w:lastRow="0" w:firstColumn="0" w:lastColumn="0" w:oddVBand="0" w:evenVBand="0" w:oddHBand="0" w:evenHBand="0" w:firstRowFirstColumn="0" w:firstRowLastColumn="0" w:lastRowFirstColumn="0" w:lastRowLastColumn="0"/>
        </w:trPr>
        <w:tc>
          <w:tcPr>
            <w:tcW w:w="9752" w:type="dxa"/>
          </w:tcPr>
          <w:p w:rsidR="00C85AA1" w:rsidRPr="00892DE3" w:rsidRDefault="00C85AA1" w:rsidP="007A5F71">
            <w:pPr>
              <w:pageBreakBefore/>
            </w:pPr>
            <w:r w:rsidRPr="00892DE3">
              <w:t>Guidance – Subsequent events</w:t>
            </w:r>
          </w:p>
        </w:tc>
      </w:tr>
      <w:tr w:rsidR="00C85AA1" w:rsidRPr="00892DE3" w:rsidTr="00C85AA1">
        <w:tc>
          <w:tcPr>
            <w:tcW w:w="9752" w:type="dxa"/>
          </w:tcPr>
          <w:p w:rsidR="00C85AA1" w:rsidRPr="00892DE3" w:rsidRDefault="00C85AA1" w:rsidP="00C85AA1">
            <w:r w:rsidRPr="00892DE3">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rsidR="00C85AA1" w:rsidRPr="00892DE3" w:rsidRDefault="00C85AA1" w:rsidP="00917EEC">
            <w:pPr>
              <w:pStyle w:val="List"/>
              <w:spacing w:before="80"/>
            </w:pPr>
            <w:r w:rsidRPr="00892DE3">
              <w:t>(a)</w:t>
            </w:r>
            <w:r w:rsidRPr="00892DE3">
              <w:tab/>
              <w:t xml:space="preserve">the nature of the event; and </w:t>
            </w:r>
          </w:p>
          <w:p w:rsidR="00C85AA1" w:rsidRPr="00892DE3" w:rsidRDefault="00C85AA1" w:rsidP="00917EEC">
            <w:pPr>
              <w:pStyle w:val="List"/>
              <w:spacing w:before="80"/>
            </w:pPr>
            <w:r w:rsidRPr="00892DE3">
              <w:t>(b)</w:t>
            </w:r>
            <w:r w:rsidRPr="00892DE3">
              <w:tab/>
              <w:t>an estimate of its financial effect, or a statement that such an estimate cannot be made. Statements should consider likely impacts. For example, following a major catastrophic event such as the February 2009 Victorian bushfires:</w:t>
            </w:r>
          </w:p>
          <w:p w:rsidR="00C85AA1" w:rsidRPr="00892DE3" w:rsidRDefault="00C85AA1" w:rsidP="00917EEC">
            <w:pPr>
              <w:pStyle w:val="List2"/>
              <w:spacing w:before="80"/>
            </w:pPr>
            <w:r w:rsidRPr="00892DE3">
              <w:t>(i)</w:t>
            </w:r>
            <w:r w:rsidRPr="00892DE3">
              <w:tab/>
              <w:t>impairment of assets damaged or destroyed;</w:t>
            </w:r>
          </w:p>
          <w:p w:rsidR="00C85AA1" w:rsidRPr="00892DE3" w:rsidRDefault="00C85AA1" w:rsidP="00C85AA1">
            <w:pPr>
              <w:pStyle w:val="List2"/>
            </w:pPr>
            <w:r w:rsidRPr="00892DE3">
              <w:t>(ii)</w:t>
            </w:r>
            <w:r w:rsidRPr="00892DE3">
              <w:tab/>
              <w:t>increases in grants to assist citizens;</w:t>
            </w:r>
          </w:p>
          <w:p w:rsidR="00C85AA1" w:rsidRPr="00892DE3" w:rsidRDefault="00C85AA1" w:rsidP="00C85AA1">
            <w:pPr>
              <w:pStyle w:val="List2"/>
            </w:pPr>
            <w:r w:rsidRPr="00892DE3">
              <w:t>(iii)</w:t>
            </w:r>
            <w:r w:rsidRPr="00892DE3">
              <w:tab/>
              <w:t>extra costs by State agencies managing emergencies; and</w:t>
            </w:r>
          </w:p>
          <w:p w:rsidR="00C85AA1" w:rsidRPr="00892DE3" w:rsidRDefault="00C85AA1" w:rsidP="00C85AA1">
            <w:pPr>
              <w:pStyle w:val="List2"/>
            </w:pPr>
            <w:r w:rsidRPr="00892DE3">
              <w:t>(iv)</w:t>
            </w:r>
            <w:r w:rsidRPr="00892DE3">
              <w:tab/>
              <w:t>reduced income to the State due to a lower tax base or tax exemptions granted.</w:t>
            </w:r>
          </w:p>
          <w:p w:rsidR="00C85AA1" w:rsidRPr="00892DE3" w:rsidRDefault="00C85AA1" w:rsidP="00C85AA1">
            <w:r w:rsidRPr="00892DE3">
              <w:t>Examples of events occurring after the reporting period that do not provide evidence about conditions existing at the end of the reporting period include:</w:t>
            </w:r>
          </w:p>
          <w:p w:rsidR="00C85AA1" w:rsidRPr="00892DE3" w:rsidRDefault="00C85AA1" w:rsidP="00917EEC">
            <w:pPr>
              <w:pStyle w:val="List"/>
              <w:spacing w:before="80"/>
            </w:pPr>
            <w:r w:rsidRPr="00892DE3">
              <w:t>(a)</w:t>
            </w:r>
            <w:r w:rsidRPr="00892DE3">
              <w:tab/>
              <w:t>a major business combination after the end of the reporting period or disposing of a major subsidiary;</w:t>
            </w:r>
          </w:p>
          <w:p w:rsidR="00C85AA1" w:rsidRPr="00892DE3" w:rsidRDefault="00C85AA1" w:rsidP="00917EEC">
            <w:pPr>
              <w:pStyle w:val="List"/>
              <w:spacing w:before="80"/>
            </w:pPr>
            <w:r w:rsidRPr="00892DE3">
              <w:t>(b)</w:t>
            </w:r>
            <w:r w:rsidRPr="00892DE3">
              <w:tab/>
              <w:t>announcing a plan to discontinue an operation;</w:t>
            </w:r>
          </w:p>
          <w:p w:rsidR="00C85AA1" w:rsidRPr="00892DE3" w:rsidRDefault="00C85AA1" w:rsidP="00917EEC">
            <w:pPr>
              <w:pStyle w:val="List"/>
              <w:spacing w:before="80"/>
            </w:pPr>
            <w:r w:rsidRPr="00892DE3">
              <w:t>(c)</w:t>
            </w:r>
            <w:r w:rsidRPr="00892DE3">
              <w:tab/>
              <w:t xml:space="preserve">major purchases of assets, classifications of assets as held for sale, other disposals of assets, or expropriation of major assets by government; </w:t>
            </w:r>
          </w:p>
          <w:p w:rsidR="00C85AA1" w:rsidRPr="00892DE3" w:rsidRDefault="00C85AA1" w:rsidP="00917EEC">
            <w:pPr>
              <w:pStyle w:val="List"/>
              <w:spacing w:before="80"/>
            </w:pPr>
            <w:r w:rsidRPr="00892DE3">
              <w:t>(d)</w:t>
            </w:r>
            <w:r w:rsidRPr="00892DE3">
              <w:tab/>
              <w:t>destruction of a major production plant by a fire, more widespread destruction such as the February 2009 Victorian bushfires that might occur after the reporting period;</w:t>
            </w:r>
          </w:p>
          <w:p w:rsidR="00C85AA1" w:rsidRPr="00892DE3" w:rsidRDefault="00C85AA1" w:rsidP="00917EEC">
            <w:pPr>
              <w:pStyle w:val="List"/>
              <w:spacing w:before="80"/>
            </w:pPr>
            <w:r w:rsidRPr="00892DE3">
              <w:t>(e)</w:t>
            </w:r>
            <w:r w:rsidRPr="00892DE3">
              <w:tab/>
              <w:t>announcing, or commencing the implementation of, a major restructur</w:t>
            </w:r>
            <w:r w:rsidR="00DD2334" w:rsidRPr="00892DE3">
              <w:t>e</w:t>
            </w:r>
            <w:r w:rsidRPr="00892DE3">
              <w:t>;</w:t>
            </w:r>
          </w:p>
          <w:p w:rsidR="00C85AA1" w:rsidRPr="00892DE3" w:rsidRDefault="00C85AA1" w:rsidP="00917EEC">
            <w:pPr>
              <w:pStyle w:val="List"/>
              <w:spacing w:before="80"/>
            </w:pPr>
            <w:r w:rsidRPr="00892DE3">
              <w:t>(f)</w:t>
            </w:r>
            <w:r w:rsidRPr="00892DE3">
              <w:tab/>
              <w:t xml:space="preserve">abnormally large changes after the reporting period in asset prices or foreign exchange rates; </w:t>
            </w:r>
          </w:p>
          <w:p w:rsidR="00C85AA1" w:rsidRPr="00892DE3" w:rsidRDefault="00C85AA1" w:rsidP="00917EEC">
            <w:pPr>
              <w:pStyle w:val="List"/>
              <w:spacing w:before="80"/>
            </w:pPr>
            <w:r w:rsidRPr="00892DE3">
              <w:t>(g)</w:t>
            </w:r>
            <w:r w:rsidRPr="00892DE3">
              <w:tab/>
              <w:t>entering into significant commitments or contingent liabilities, for example, by issu</w:t>
            </w:r>
            <w:r w:rsidR="007A5F71" w:rsidRPr="00892DE3">
              <w:t>ing significant guarantees; and</w:t>
            </w:r>
          </w:p>
          <w:p w:rsidR="00C85AA1" w:rsidRPr="00892DE3" w:rsidRDefault="00C85AA1" w:rsidP="00917EEC">
            <w:pPr>
              <w:pStyle w:val="List"/>
              <w:spacing w:before="80"/>
            </w:pPr>
            <w:r w:rsidRPr="00892DE3">
              <w:t>(h)</w:t>
            </w:r>
            <w:r w:rsidRPr="00892DE3">
              <w:tab/>
              <w:t>commencing major litigation arising solely out of events that occurred after the reporting period.</w:t>
            </w:r>
          </w:p>
        </w:tc>
      </w:tr>
    </w:tbl>
    <w:p w:rsidR="00CD3D2D" w:rsidRPr="00892DE3" w:rsidRDefault="00CD3D2D" w:rsidP="00CD3D2D"/>
    <w:p w:rsidR="00D87EBF" w:rsidRPr="00892DE3" w:rsidRDefault="00D87EBF" w:rsidP="0019303F">
      <w:pPr>
        <w:pStyle w:val="Heading2"/>
      </w:pPr>
      <w:bookmarkStart w:id="192" w:name="_Toc477432304"/>
      <w:bookmarkStart w:id="193" w:name="_Toc478729323"/>
      <w:bookmarkStart w:id="194" w:name="_Toc479085174"/>
      <w:r w:rsidRPr="00892DE3">
        <w:t>Other accounting policies</w:t>
      </w:r>
      <w:bookmarkEnd w:id="192"/>
      <w:bookmarkEnd w:id="193"/>
      <w:bookmarkEnd w:id="194"/>
    </w:p>
    <w:p w:rsidR="00D87EBF" w:rsidRPr="00892DE3" w:rsidRDefault="00D87EBF" w:rsidP="00D87EBF">
      <w:pPr>
        <w:pStyle w:val="Heading30"/>
        <w:rPr>
          <w:b w:val="0"/>
        </w:rPr>
      </w:pPr>
      <w:r w:rsidRPr="00892DE3">
        <w:t xml:space="preserve">Contributions by owners </w:t>
      </w:r>
      <w:r w:rsidRPr="00892DE3">
        <w:rPr>
          <w:rStyle w:val="SourceReference"/>
          <w:b w:val="0"/>
        </w:rPr>
        <w:t>[FRD 119A, AASB Interpretation 1038.7]</w:t>
      </w:r>
    </w:p>
    <w:p w:rsidR="00D87EBF" w:rsidRPr="00892DE3" w:rsidRDefault="00D87EBF" w:rsidP="00D87EBF">
      <w:r w:rsidRPr="00892DE3">
        <w:t>Consistent with the requirements of AASB 1004 Contributions, contributions by owners (that is, contributed capital and its repayment) are treated as equity transactions and, therefore, do not form part of the income and expenses of the Department.</w:t>
      </w:r>
    </w:p>
    <w:p w:rsidR="00D87EBF" w:rsidRPr="00892DE3" w:rsidRDefault="00D87EBF" w:rsidP="00D87EBF">
      <w:r w:rsidRPr="00892DE3">
        <w:t xml:space="preserve">Additions to net assets </w:t>
      </w:r>
      <w:r w:rsidR="0012449D" w:rsidRPr="00892DE3">
        <w:t>that</w:t>
      </w:r>
      <w:r w:rsidRPr="00892DE3">
        <w:t xml:space="preserve"> have been designated as contributions by owners are recognised as contributed capital. Other transfers that are in the nature of contributions to or distributions by owners have also been designated as contributions by owners.</w:t>
      </w:r>
    </w:p>
    <w:p w:rsidR="00D87EBF" w:rsidRPr="00892DE3" w:rsidRDefault="00D87EBF" w:rsidP="00D87EBF">
      <w:r w:rsidRPr="00892DE3">
        <w:t>Transfers of net assets arising from administrative restructurings are treated as distributions to or contributions by owners. Transfers of net liabilities arising from administrative restructurings are treated as distributions to owners.</w:t>
      </w:r>
    </w:p>
    <w:p w:rsidR="00D87EBF" w:rsidRPr="00892DE3" w:rsidRDefault="00D87EBF" w:rsidP="00D87EBF">
      <w:r w:rsidRPr="00892DE3">
        <w:rPr>
          <w:rStyle w:val="Heading3Char"/>
        </w:rPr>
        <w:t>Foreign currency balances / transactions</w:t>
      </w:r>
      <w:r w:rsidRPr="00892DE3">
        <w:t xml:space="preserve"> </w:t>
      </w:r>
      <w:r w:rsidRPr="00892DE3">
        <w:rPr>
          <w:rStyle w:val="SourceReference"/>
        </w:rPr>
        <w:t>[AASB 121.21 and 121.23]</w:t>
      </w:r>
    </w:p>
    <w:p w:rsidR="00D87EBF" w:rsidRPr="00892DE3" w:rsidRDefault="00D87EBF" w:rsidP="00D87EBF">
      <w:r w:rsidRPr="00892DE3">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rsidR="00D87EBF" w:rsidRPr="00892DE3" w:rsidRDefault="00D87EBF" w:rsidP="00D87EBF">
      <w:r w:rsidRPr="00892DE3">
        <w:t>Foreign currency translation differences are recognised in other economic flows in the consolidated comprehensive operating statement and accumulated in a separate component of equity, in the period in which they arise.</w:t>
      </w:r>
    </w:p>
    <w:p w:rsidR="00A97352" w:rsidRPr="00892DE3" w:rsidRDefault="00A97352"/>
    <w:tbl>
      <w:tblPr>
        <w:tblStyle w:val="ModelReportGuidanceTable"/>
        <w:tblW w:w="0" w:type="auto"/>
        <w:tblLook w:val="04A0" w:firstRow="1" w:lastRow="0" w:firstColumn="1" w:lastColumn="0" w:noHBand="0" w:noVBand="1"/>
      </w:tblPr>
      <w:tblGrid>
        <w:gridCol w:w="9752"/>
      </w:tblGrid>
      <w:tr w:rsidR="00D87EBF" w:rsidRPr="00892DE3" w:rsidTr="00A97352">
        <w:trPr>
          <w:cnfStyle w:val="100000000000" w:firstRow="1" w:lastRow="0" w:firstColumn="0" w:lastColumn="0" w:oddVBand="0" w:evenVBand="0" w:oddHBand="0" w:evenHBand="0" w:firstRowFirstColumn="0" w:firstRowLastColumn="0" w:lastRowFirstColumn="0" w:lastRowLastColumn="0"/>
        </w:trPr>
        <w:tc>
          <w:tcPr>
            <w:tcW w:w="9752" w:type="dxa"/>
          </w:tcPr>
          <w:p w:rsidR="00D87EBF" w:rsidRPr="00892DE3" w:rsidRDefault="00D87EBF" w:rsidP="00365635">
            <w:r w:rsidRPr="00892DE3">
              <w:t xml:space="preserve">Guidance – </w:t>
            </w:r>
            <w:r w:rsidR="00365635" w:rsidRPr="00892DE3">
              <w:t>Foreign Currency Disclosures</w:t>
            </w:r>
          </w:p>
        </w:tc>
      </w:tr>
      <w:tr w:rsidR="00D87EBF" w:rsidRPr="00892DE3" w:rsidTr="00A97352">
        <w:tc>
          <w:tcPr>
            <w:tcW w:w="9752" w:type="dxa"/>
          </w:tcPr>
          <w:p w:rsidR="00D87EBF" w:rsidRPr="00892DE3" w:rsidRDefault="00D87EBF" w:rsidP="00091348">
            <w:r w:rsidRPr="00892DE3">
              <w:t>The following disclosure may be appropriate for departments with foreign operations:</w:t>
            </w:r>
          </w:p>
          <w:p w:rsidR="00D87EBF" w:rsidRPr="00892DE3" w:rsidRDefault="00D87EBF" w:rsidP="00091348">
            <w:r w:rsidRPr="00892DE3">
              <w:t>‘The presentation currency of Department [insert entity name]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p>
        </w:tc>
      </w:tr>
    </w:tbl>
    <w:p w:rsidR="00D87EBF" w:rsidRPr="00892DE3" w:rsidRDefault="00D87EBF" w:rsidP="0019303F">
      <w:pPr>
        <w:pStyle w:val="Heading2"/>
      </w:pPr>
      <w:bookmarkStart w:id="195" w:name="_Toc477432305"/>
      <w:bookmarkStart w:id="196" w:name="_Toc478729324"/>
      <w:bookmarkStart w:id="197" w:name="_Toc479085175"/>
      <w:r w:rsidRPr="00892DE3">
        <w:t xml:space="preserve">Australian Accounting Standards issued that are not yet effective </w:t>
      </w:r>
      <w:r w:rsidRPr="00892DE3">
        <w:rPr>
          <w:rStyle w:val="SourceReference"/>
          <w:b w:val="0"/>
        </w:rPr>
        <w:t>[AASB 108.30-31]</w:t>
      </w:r>
      <w:bookmarkEnd w:id="195"/>
      <w:bookmarkEnd w:id="196"/>
      <w:bookmarkEnd w:id="197"/>
    </w:p>
    <w:p w:rsidR="00D87EBF" w:rsidRPr="00892DE3" w:rsidRDefault="00D87EBF" w:rsidP="00D87EBF">
      <w:r w:rsidRPr="00892DE3">
        <w:t>The following AASs become effective for reporting periods commencing after the operative dates stated:</w:t>
      </w:r>
    </w:p>
    <w:p w:rsidR="00D87EBF" w:rsidRPr="00892DE3" w:rsidRDefault="00D87EBF" w:rsidP="00A97352">
      <w:r w:rsidRPr="00892DE3">
        <w:t xml:space="preserve">Certain new Australian Accounting Standards (AAS) have been published which are not mandatory for the 30 June 2017 reporting period. DTF assesses the impact of all these new standards and advises the Department of their applicability and early adoption where applicable. Please refer to Appendix </w:t>
      </w:r>
      <w:r w:rsidR="006A58CA">
        <w:t>12</w:t>
      </w:r>
      <w:r w:rsidR="006A58CA" w:rsidRPr="00892DE3">
        <w:t xml:space="preserve"> </w:t>
      </w:r>
      <w:r w:rsidRPr="00892DE3">
        <w:t>for the detailed list of the AASs issued but are not yet effective for the 2016-17 reporting period.</w:t>
      </w:r>
    </w:p>
    <w:p w:rsidR="00D87EBF" w:rsidRPr="00892DE3" w:rsidRDefault="00D87EBF" w:rsidP="00A97352">
      <w:r w:rsidRPr="00892DE3">
        <w:t xml:space="preserve">[The latest listing on impacts of AASs that are issued but not yet effective will be issued as Appendix </w:t>
      </w:r>
      <w:r w:rsidR="00776CE2" w:rsidRPr="00892DE3">
        <w:t xml:space="preserve">2 </w:t>
      </w:r>
      <w:r w:rsidRPr="00892DE3">
        <w:t xml:space="preserve">of the upcoming FRD </w:t>
      </w:r>
      <w:r w:rsidR="00365635" w:rsidRPr="00892DE3">
        <w:t>120K</w:t>
      </w:r>
      <w:r w:rsidRPr="00892DE3">
        <w:t xml:space="preserve">. Entities are advised to refer to this appendix to assist them in disclosing the impacts of AASs issued not yet effective, as required by AASB 108] </w:t>
      </w:r>
    </w:p>
    <w:p w:rsidR="00D87EBF" w:rsidRPr="00892DE3" w:rsidRDefault="00D87EBF" w:rsidP="00A97352">
      <w:r w:rsidRPr="00892DE3">
        <w:t>[Entities will need to exercise judgement in deciding which issued but not yet effective standards may have material impacts on their entities and not just reallocate this section of the FRD into their annual reports.]</w:t>
      </w:r>
    </w:p>
    <w:p w:rsidR="00D87EBF" w:rsidRPr="00892DE3" w:rsidRDefault="00D87EBF" w:rsidP="00D87EBF"/>
    <w:tbl>
      <w:tblPr>
        <w:tblStyle w:val="ModelReportGuidanceTable"/>
        <w:tblW w:w="0" w:type="auto"/>
        <w:tblLook w:val="04A0" w:firstRow="1" w:lastRow="0" w:firstColumn="1" w:lastColumn="0" w:noHBand="0" w:noVBand="1"/>
      </w:tblPr>
      <w:tblGrid>
        <w:gridCol w:w="9752"/>
      </w:tblGrid>
      <w:tr w:rsidR="00D87EBF" w:rsidRPr="00892DE3" w:rsidTr="00091348">
        <w:trPr>
          <w:cnfStyle w:val="100000000000" w:firstRow="1" w:lastRow="0" w:firstColumn="0" w:lastColumn="0" w:oddVBand="0" w:evenVBand="0" w:oddHBand="0" w:evenHBand="0" w:firstRowFirstColumn="0" w:firstRowLastColumn="0" w:lastRowFirstColumn="0" w:lastRowLastColumn="0"/>
        </w:trPr>
        <w:tc>
          <w:tcPr>
            <w:tcW w:w="9854" w:type="dxa"/>
          </w:tcPr>
          <w:p w:rsidR="00D87EBF" w:rsidRPr="00892DE3" w:rsidRDefault="00D87EBF" w:rsidP="00091348">
            <w:r w:rsidRPr="00892DE3">
              <w:t>Guidance – New Accounting Standards and interpretations</w:t>
            </w:r>
          </w:p>
        </w:tc>
      </w:tr>
      <w:tr w:rsidR="00D87EBF" w:rsidRPr="00892DE3" w:rsidTr="00091348">
        <w:tc>
          <w:tcPr>
            <w:tcW w:w="9854" w:type="dxa"/>
          </w:tcPr>
          <w:p w:rsidR="00D87EBF" w:rsidRPr="00892DE3" w:rsidRDefault="00D87EBF" w:rsidP="00091348">
            <w:r w:rsidRPr="00892DE3">
              <w:rPr>
                <w:b/>
              </w:rPr>
              <w:t>AAS issued but not yet effective</w:t>
            </w:r>
            <w:r w:rsidRPr="00892DE3">
              <w:t xml:space="preserve"> </w:t>
            </w:r>
            <w:r w:rsidRPr="00892DE3">
              <w:rPr>
                <w:rStyle w:val="SourceReference"/>
              </w:rPr>
              <w:t>[AASB 108.30]</w:t>
            </w:r>
          </w:p>
          <w:p w:rsidR="00D87EBF" w:rsidRPr="00892DE3" w:rsidRDefault="00D87EBF" w:rsidP="00091348">
            <w:r w:rsidRPr="00892DE3">
              <w:t>When an entity has not applied a new AAS that has been issued but is not yet effective, the entity shall disclose:</w:t>
            </w:r>
          </w:p>
          <w:p w:rsidR="00D87EBF" w:rsidRPr="00892DE3" w:rsidRDefault="00D87EBF" w:rsidP="00091348">
            <w:pPr>
              <w:pStyle w:val="List"/>
            </w:pPr>
            <w:r w:rsidRPr="00892DE3">
              <w:t>(a)</w:t>
            </w:r>
            <w:r w:rsidRPr="00892DE3">
              <w:tab/>
              <w:t>this fact; and</w:t>
            </w:r>
          </w:p>
          <w:p w:rsidR="00D87EBF" w:rsidRPr="00892DE3" w:rsidRDefault="00D87EBF" w:rsidP="00091348">
            <w:pPr>
              <w:pStyle w:val="List"/>
            </w:pPr>
            <w:r w:rsidRPr="00892DE3">
              <w:t>(b)</w:t>
            </w:r>
            <w:r w:rsidRPr="00892DE3">
              <w:tab/>
              <w:t>known or reasonably estimable information relevant to assessing the possible impact that application of the new AAS will have on the entity’s financial statements in the period of initial application.</w:t>
            </w:r>
          </w:p>
          <w:p w:rsidR="00D87EBF" w:rsidRPr="00892DE3" w:rsidRDefault="00D87EBF" w:rsidP="00091348">
            <w:r w:rsidRPr="00892DE3">
              <w:t>In complying with the requirement above, an entity considers disclosing:</w:t>
            </w:r>
          </w:p>
          <w:p w:rsidR="00D87EBF" w:rsidRPr="00892DE3" w:rsidRDefault="00D87EBF" w:rsidP="00091348">
            <w:pPr>
              <w:pStyle w:val="List"/>
            </w:pPr>
            <w:r w:rsidRPr="00892DE3">
              <w:t>(a)</w:t>
            </w:r>
            <w:r w:rsidRPr="00892DE3">
              <w:tab/>
              <w:t>the title of the new AAS;</w:t>
            </w:r>
          </w:p>
          <w:p w:rsidR="00D87EBF" w:rsidRPr="00892DE3" w:rsidRDefault="00D87EBF" w:rsidP="00091348">
            <w:pPr>
              <w:pStyle w:val="List"/>
            </w:pPr>
            <w:r w:rsidRPr="00892DE3">
              <w:t>(b)</w:t>
            </w:r>
            <w:r w:rsidRPr="00892DE3">
              <w:tab/>
              <w:t>the nature of the impending change or changes in accounting policy;</w:t>
            </w:r>
          </w:p>
          <w:p w:rsidR="00D87EBF" w:rsidRPr="00892DE3" w:rsidRDefault="00D87EBF" w:rsidP="00091348">
            <w:pPr>
              <w:pStyle w:val="List"/>
            </w:pPr>
            <w:r w:rsidRPr="00892DE3">
              <w:t>(c)</w:t>
            </w:r>
            <w:r w:rsidRPr="00892DE3">
              <w:tab/>
              <w:t>the date by which application of the standard is required;</w:t>
            </w:r>
          </w:p>
          <w:p w:rsidR="00D87EBF" w:rsidRPr="00892DE3" w:rsidRDefault="00D87EBF" w:rsidP="00091348">
            <w:pPr>
              <w:pStyle w:val="List"/>
            </w:pPr>
            <w:r w:rsidRPr="00892DE3">
              <w:t>(d)</w:t>
            </w:r>
            <w:r w:rsidRPr="00892DE3">
              <w:tab/>
              <w:t>the date at which it plans to apply the standard initially; and</w:t>
            </w:r>
          </w:p>
          <w:p w:rsidR="00D87EBF" w:rsidRPr="00892DE3" w:rsidRDefault="00D87EBF" w:rsidP="00091348">
            <w:pPr>
              <w:pStyle w:val="List"/>
            </w:pPr>
            <w:r w:rsidRPr="00892DE3">
              <w:t>(e)</w:t>
            </w:r>
            <w:r w:rsidRPr="00892DE3">
              <w:tab/>
              <w:t>either:</w:t>
            </w:r>
          </w:p>
          <w:p w:rsidR="00D87EBF" w:rsidRPr="00892DE3" w:rsidRDefault="00D87EBF" w:rsidP="00091348">
            <w:pPr>
              <w:pStyle w:val="List2"/>
            </w:pPr>
            <w:r w:rsidRPr="00892DE3">
              <w:t>(i)</w:t>
            </w:r>
            <w:r w:rsidRPr="00892DE3">
              <w:tab/>
              <w:t>a discussion of the impact that initial application of the standard is expected to have on the entity’s financial statements; or</w:t>
            </w:r>
          </w:p>
          <w:p w:rsidR="00D87EBF" w:rsidRPr="00892DE3" w:rsidRDefault="00D87EBF" w:rsidP="00091348">
            <w:pPr>
              <w:pStyle w:val="List2"/>
            </w:pPr>
            <w:r w:rsidRPr="00892DE3">
              <w:t>(ii)</w:t>
            </w:r>
            <w:r w:rsidRPr="00892DE3">
              <w:tab/>
              <w:t>if that impact is not known or reasonably estimable, a statement to that effect.</w:t>
            </w:r>
          </w:p>
          <w:p w:rsidR="00D87EBF" w:rsidRPr="00892DE3" w:rsidRDefault="00D87EBF" w:rsidP="00091348">
            <w:r w:rsidRPr="00892DE3">
              <w:t xml:space="preserve">The disclosures as described above must be made even if the impact on the entity is not expected to be material. However, there is no need to mention an AAS if it is clearly not applicable to the entity. </w:t>
            </w:r>
            <w:r w:rsidRPr="00892DE3">
              <w:rPr>
                <w:rStyle w:val="SourceReference"/>
              </w:rPr>
              <w:t>[AASB 108.31]</w:t>
            </w:r>
          </w:p>
        </w:tc>
      </w:tr>
    </w:tbl>
    <w:p w:rsidR="007446DF" w:rsidRPr="00892DE3" w:rsidRDefault="007446DF" w:rsidP="007446DF"/>
    <w:p w:rsidR="00CB45DF" w:rsidRPr="00892DE3" w:rsidRDefault="00CB45DF" w:rsidP="0019303F">
      <w:pPr>
        <w:pStyle w:val="Heading2"/>
      </w:pPr>
      <w:bookmarkStart w:id="198" w:name="_Toc477432307"/>
      <w:bookmarkStart w:id="199" w:name="_Toc478729325"/>
      <w:bookmarkStart w:id="200" w:name="_Toc479085176"/>
      <w:r w:rsidRPr="00892DE3">
        <w:t>Glossary of technical terms</w:t>
      </w:r>
      <w:bookmarkEnd w:id="198"/>
      <w:bookmarkEnd w:id="199"/>
      <w:bookmarkEnd w:id="200"/>
    </w:p>
    <w:p w:rsidR="00CB45DF" w:rsidRPr="00892DE3" w:rsidRDefault="00CB45DF" w:rsidP="00CB45DF">
      <w:r w:rsidRPr="00892DE3">
        <w:t>The following is a summary of the major technical terms used in this report.</w:t>
      </w:r>
    </w:p>
    <w:p w:rsidR="00CB45DF" w:rsidRPr="00892DE3" w:rsidRDefault="00CB45DF" w:rsidP="00CB45DF">
      <w:r w:rsidRPr="00892DE3">
        <w:rPr>
          <w:b/>
        </w:rPr>
        <w:t>Actuarial gains or losses on superannuation defined benefit plans</w:t>
      </w:r>
      <w:r w:rsidRPr="00892DE3">
        <w:t xml:space="preserve"> are changes in the present value of the superannuation defined benefit liability resulting from: </w:t>
      </w:r>
    </w:p>
    <w:p w:rsidR="00CB45DF" w:rsidRPr="00892DE3" w:rsidRDefault="00CB45DF" w:rsidP="00CB45DF">
      <w:pPr>
        <w:pStyle w:val="List"/>
      </w:pPr>
      <w:r w:rsidRPr="00892DE3">
        <w:t>(a)</w:t>
      </w:r>
      <w:r w:rsidRPr="00892DE3">
        <w:tab/>
        <w:t xml:space="preserve">experience adjustments (the effects of differences between the previous actuarial assumptions and what has actually occurred); and </w:t>
      </w:r>
    </w:p>
    <w:p w:rsidR="00CB45DF" w:rsidRPr="00892DE3" w:rsidRDefault="00CB45DF" w:rsidP="00CB45DF">
      <w:pPr>
        <w:pStyle w:val="List"/>
      </w:pPr>
      <w:r w:rsidRPr="00892DE3">
        <w:t>(b)</w:t>
      </w:r>
      <w:r w:rsidRPr="00892DE3">
        <w:tab/>
        <w:t>the effects of changes in actuarial assumptions.</w:t>
      </w:r>
    </w:p>
    <w:p w:rsidR="00CB45DF" w:rsidRPr="00892DE3" w:rsidRDefault="00CB45DF" w:rsidP="00CB45DF">
      <w:r w:rsidRPr="00892DE3">
        <w:rPr>
          <w:b/>
        </w:rPr>
        <w:t>Administered item</w:t>
      </w:r>
      <w:r w:rsidRPr="00892DE3">
        <w:t xml:space="preserve"> generally refers to a department lacking the capacity to benefit from that item in the pursuit of the entity’s objectives and to deny or regulate the access of others to that benefit.</w:t>
      </w:r>
    </w:p>
    <w:p w:rsidR="00CB45DF" w:rsidRPr="00892DE3" w:rsidRDefault="00CB45DF" w:rsidP="00CB45DF">
      <w:r w:rsidRPr="00892DE3">
        <w:rPr>
          <w:b/>
        </w:rPr>
        <w:t>Amortisation</w:t>
      </w:r>
      <w:r w:rsidRPr="00892DE3">
        <w:t xml:space="preserve"> is the expense </w:t>
      </w:r>
      <w:r w:rsidR="0012449D" w:rsidRPr="00892DE3">
        <w:t xml:space="preserve">that </w:t>
      </w:r>
      <w:r w:rsidRPr="00892DE3">
        <w:t>results from the consumption, extraction or use over time of a non-produced physical or intangible asset. This expense is classified as an ‘other economic flow’.</w:t>
      </w:r>
    </w:p>
    <w:p w:rsidR="00CB45DF" w:rsidRPr="00892DE3" w:rsidRDefault="00CB45DF" w:rsidP="00CB45DF">
      <w:r w:rsidRPr="00892DE3">
        <w:rPr>
          <w:b/>
        </w:rPr>
        <w:t>Associates</w:t>
      </w:r>
      <w:r w:rsidRPr="00892DE3">
        <w:t xml:space="preserve"> are all entities over which an entity has significant influence but not control, generally accompanying a shareholding and voting rights of between 20 per cent and 50 per cent. </w:t>
      </w:r>
    </w:p>
    <w:p w:rsidR="00CB45DF" w:rsidRPr="00892DE3" w:rsidRDefault="00CB45DF" w:rsidP="00CB45DF">
      <w:r w:rsidRPr="00892DE3">
        <w:rPr>
          <w:b/>
        </w:rPr>
        <w:t>Biological assets</w:t>
      </w:r>
      <w:r w:rsidRPr="00892DE3">
        <w:t xml:space="preserve"> may comprise commercial forests and also any living animal, plant or agricultural produce that is the harvested product of biological assets.</w:t>
      </w:r>
    </w:p>
    <w:p w:rsidR="00CB45DF" w:rsidRPr="00892DE3" w:rsidRDefault="00CB45DF" w:rsidP="00CB45DF">
      <w:r w:rsidRPr="00892DE3">
        <w:rPr>
          <w:b/>
        </w:rPr>
        <w:t>Borrowings</w:t>
      </w:r>
      <w:r w:rsidRPr="00892DE3">
        <w:t xml:space="preserve"> refers to interest bearing liabilities mainly raised from public borrowings raised through the Treasury Corporation of Victoria, finance leases and other interest bearing arrangements. Borrowings also include non-interest bearing advances from government that are acquired for policy purposes.</w:t>
      </w:r>
    </w:p>
    <w:p w:rsidR="00CB45DF" w:rsidRPr="00892DE3" w:rsidRDefault="00CB45DF" w:rsidP="00CB45DF">
      <w:r w:rsidRPr="00892DE3">
        <w:rPr>
          <w:b/>
        </w:rPr>
        <w:t>Commitments</w:t>
      </w:r>
      <w:r w:rsidRPr="00892DE3">
        <w:t xml:space="preserve"> include those operating, capital and other outsourcing commitments arising from non-cancellable contractual or statutory sources.</w:t>
      </w:r>
    </w:p>
    <w:p w:rsidR="00CB45DF" w:rsidRPr="00892DE3" w:rsidRDefault="00CB45DF" w:rsidP="00CB45DF">
      <w:r w:rsidRPr="00892DE3">
        <w:rPr>
          <w:b/>
        </w:rPr>
        <w:t>Comprehensive result</w:t>
      </w:r>
      <w:r w:rsidRPr="00892DE3">
        <w:t xml:space="preserve"> is the amount included in the operating statement representing total change in net worth other than transactions with owners as owners.</w:t>
      </w:r>
    </w:p>
    <w:p w:rsidR="00CB45DF" w:rsidRPr="00892DE3" w:rsidRDefault="00CB45DF" w:rsidP="00CB45DF">
      <w:r w:rsidRPr="00892DE3">
        <w:rPr>
          <w:b/>
        </w:rPr>
        <w:t>Controlled item</w:t>
      </w:r>
      <w:r w:rsidRPr="00892DE3">
        <w:t xml:space="preserve"> generally refers to the capacity of a department to benefit from that item in the pursuit of the entity’s objectives and to deny or regulate the access of others to that benefit. </w:t>
      </w:r>
    </w:p>
    <w:p w:rsidR="00CB45DF" w:rsidRPr="00892DE3" w:rsidRDefault="00CB45DF" w:rsidP="00CB45DF">
      <w:r w:rsidRPr="00892DE3">
        <w:rPr>
          <w:b/>
        </w:rPr>
        <w:t>Current grants</w:t>
      </w:r>
      <w:r w:rsidRPr="00892DE3">
        <w:t xml:space="preserve"> are amounts payable or receivable for current purposes for which no economic benefits of equal value are receivable or payable in return.</w:t>
      </w:r>
    </w:p>
    <w:p w:rsidR="00CB45DF" w:rsidRPr="00892DE3" w:rsidRDefault="00CB45DF" w:rsidP="00CB45DF">
      <w:r w:rsidRPr="00892DE3">
        <w:rPr>
          <w:b/>
        </w:rPr>
        <w:t>Depreciation</w:t>
      </w:r>
      <w:r w:rsidRPr="00892DE3">
        <w:t xml:space="preserve"> is an expense that arises from the consumption through wear or time of a produced physical or intangible asset. This expense is classified as a ‘transaction’ and so reduces the ‘net result from transaction’.</w:t>
      </w:r>
    </w:p>
    <w:p w:rsidR="00CB45DF" w:rsidRPr="00892DE3" w:rsidRDefault="00CB45DF" w:rsidP="00CB45DF">
      <w:r w:rsidRPr="00892DE3">
        <w:rPr>
          <w:b/>
        </w:rPr>
        <w:t>Effective interest method</w:t>
      </w:r>
      <w:r w:rsidRPr="00892DE3">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CB45DF" w:rsidRPr="00892DE3" w:rsidRDefault="00CB45DF" w:rsidP="00CB45DF">
      <w:r w:rsidRPr="00892DE3">
        <w:rPr>
          <w:b/>
        </w:rPr>
        <w:t>Employee benefits expenses</w:t>
      </w:r>
      <w:r w:rsidRPr="00892DE3">
        <w:t xml:space="preserve"> include all costs related to employment including wages and salaries, fringe benefits tax, leave entitlements, redundancy payments, defined benefits superannuation plans, and defined contribution superannuation plans.</w:t>
      </w:r>
    </w:p>
    <w:p w:rsidR="00CB45DF" w:rsidRPr="00892DE3" w:rsidRDefault="00CB45DF" w:rsidP="00CB45DF">
      <w:r w:rsidRPr="00892DE3">
        <w:rPr>
          <w:b/>
        </w:rPr>
        <w:t>Ex-gratia expenses</w:t>
      </w:r>
      <w:r w:rsidRPr="00892DE3">
        <w:t xml:space="preserve"> mean the voluntary payment of money or other non-monetary benefit (e.g. a write-off) that is not made either to acquire goods, services or other benefits for the entity or to meet a legal liability, or to settle or resolve a possible legal liability or claim against the entity.</w:t>
      </w:r>
    </w:p>
    <w:p w:rsidR="00CB45DF" w:rsidRPr="00892DE3" w:rsidRDefault="00CB45DF" w:rsidP="00CB45DF">
      <w:r w:rsidRPr="00892DE3">
        <w:rPr>
          <w:b/>
        </w:rPr>
        <w:t>Financial asset</w:t>
      </w:r>
      <w:r w:rsidRPr="00892DE3">
        <w:t xml:space="preserve"> is any asset that is:</w:t>
      </w:r>
    </w:p>
    <w:p w:rsidR="00CB45DF" w:rsidRPr="00892DE3" w:rsidRDefault="00CB45DF" w:rsidP="00CB45DF">
      <w:pPr>
        <w:pStyle w:val="List"/>
      </w:pPr>
      <w:r w:rsidRPr="00892DE3">
        <w:t xml:space="preserve">(a) </w:t>
      </w:r>
      <w:r w:rsidRPr="00892DE3">
        <w:tab/>
        <w:t>cash;</w:t>
      </w:r>
    </w:p>
    <w:p w:rsidR="00CB45DF" w:rsidRPr="00892DE3" w:rsidRDefault="00CB45DF" w:rsidP="00CB45DF">
      <w:pPr>
        <w:pStyle w:val="List"/>
      </w:pPr>
      <w:r w:rsidRPr="00892DE3">
        <w:t xml:space="preserve">(b) </w:t>
      </w:r>
      <w:r w:rsidRPr="00892DE3">
        <w:tab/>
        <w:t>an equity instrument of another entity;</w:t>
      </w:r>
    </w:p>
    <w:p w:rsidR="00CB45DF" w:rsidRPr="00892DE3" w:rsidRDefault="00CB45DF" w:rsidP="00CB45DF">
      <w:pPr>
        <w:pStyle w:val="List"/>
      </w:pPr>
      <w:r w:rsidRPr="00892DE3">
        <w:t xml:space="preserve">(c) </w:t>
      </w:r>
      <w:r w:rsidRPr="00892DE3">
        <w:tab/>
        <w:t>a contractual right:</w:t>
      </w:r>
    </w:p>
    <w:p w:rsidR="00CB45DF" w:rsidRPr="00892DE3" w:rsidRDefault="00CB45DF" w:rsidP="000A408C">
      <w:pPr>
        <w:pStyle w:val="List2"/>
        <w:ind w:left="851" w:hanging="284"/>
      </w:pPr>
      <w:r w:rsidRPr="00892DE3">
        <w:t>–</w:t>
      </w:r>
      <w:r w:rsidRPr="00892DE3">
        <w:tab/>
        <w:t>to receive cash or another financial asset from another entity; or</w:t>
      </w:r>
    </w:p>
    <w:p w:rsidR="00CB45DF" w:rsidRPr="00892DE3" w:rsidRDefault="00CB45DF" w:rsidP="000A408C">
      <w:pPr>
        <w:pStyle w:val="List2"/>
        <w:ind w:left="851" w:hanging="284"/>
      </w:pPr>
      <w:r w:rsidRPr="00892DE3">
        <w:t>–</w:t>
      </w:r>
      <w:r w:rsidRPr="00892DE3">
        <w:tab/>
        <w:t>to exchange financial assets or financial liabilities with another entity under conditions that are potentially favourable to the entity; or</w:t>
      </w:r>
    </w:p>
    <w:p w:rsidR="00CB45DF" w:rsidRPr="00892DE3" w:rsidRDefault="00CB45DF" w:rsidP="00CB45DF">
      <w:pPr>
        <w:pStyle w:val="List"/>
      </w:pPr>
      <w:r w:rsidRPr="00892DE3">
        <w:t xml:space="preserve">(d) </w:t>
      </w:r>
      <w:r w:rsidRPr="00892DE3">
        <w:tab/>
        <w:t>a contract that will or may be settled in the entity’s own equity instruments and is:</w:t>
      </w:r>
    </w:p>
    <w:p w:rsidR="00CB45DF" w:rsidRPr="00892DE3" w:rsidRDefault="00CB45DF" w:rsidP="000A408C">
      <w:pPr>
        <w:pStyle w:val="List2"/>
        <w:ind w:left="851" w:hanging="284"/>
      </w:pPr>
      <w:r w:rsidRPr="00892DE3">
        <w:t>–</w:t>
      </w:r>
      <w:r w:rsidRPr="00892DE3">
        <w:tab/>
        <w:t>a non-derivative for which the entity is or may be obliged to receive a variable number of the entity’s own equity instruments; or</w:t>
      </w:r>
    </w:p>
    <w:p w:rsidR="00CB45DF" w:rsidRPr="00892DE3" w:rsidRDefault="00CB45DF" w:rsidP="000A408C">
      <w:pPr>
        <w:pStyle w:val="List2"/>
        <w:ind w:left="851" w:hanging="284"/>
      </w:pPr>
      <w:r w:rsidRPr="00892DE3">
        <w:t>–</w:t>
      </w:r>
      <w:r w:rsidRPr="00892DE3">
        <w:tab/>
        <w:t>a derivative that will or may be settled other than by the exchange of a fixed amount of cash or another financial asset for a fixed number of the entity’s own equity instruments.</w:t>
      </w:r>
    </w:p>
    <w:p w:rsidR="00CB45DF" w:rsidRPr="00892DE3" w:rsidRDefault="00CB45DF" w:rsidP="00CB45DF">
      <w:r w:rsidRPr="00892DE3">
        <w:rPr>
          <w:b/>
        </w:rPr>
        <w:t>Financial instrument</w:t>
      </w:r>
      <w:r w:rsidRPr="00892DE3">
        <w:t xml:space="preserve"> is any contract that gives rise to a financial asset of one entity and a financial liability or equity instrument of another entity. </w:t>
      </w:r>
    </w:p>
    <w:p w:rsidR="00CB45DF" w:rsidRPr="00892DE3" w:rsidRDefault="00CB45DF" w:rsidP="00E036BA">
      <w:pPr>
        <w:keepLines w:val="0"/>
        <w:rPr>
          <w:b/>
        </w:rPr>
      </w:pPr>
      <w:r w:rsidRPr="00892DE3">
        <w:rPr>
          <w:b/>
        </w:rPr>
        <w:t>Financial liability</w:t>
      </w:r>
      <w:r w:rsidRPr="00892DE3">
        <w:t xml:space="preserve"> is any liability that is:</w:t>
      </w:r>
    </w:p>
    <w:p w:rsidR="00CB45DF" w:rsidRPr="00892DE3" w:rsidRDefault="00CB45DF" w:rsidP="00CB45DF">
      <w:pPr>
        <w:pStyle w:val="List"/>
      </w:pPr>
      <w:r w:rsidRPr="00892DE3">
        <w:t>(a)</w:t>
      </w:r>
      <w:r w:rsidRPr="00892DE3">
        <w:tab/>
        <w:t>a contractual obligation:</w:t>
      </w:r>
    </w:p>
    <w:p w:rsidR="00CB45DF" w:rsidRPr="00892DE3" w:rsidRDefault="00CB45DF" w:rsidP="000A408C">
      <w:pPr>
        <w:pStyle w:val="List2"/>
        <w:ind w:left="851" w:hanging="284"/>
      </w:pPr>
      <w:r w:rsidRPr="00892DE3">
        <w:t>–</w:t>
      </w:r>
      <w:r w:rsidRPr="00892DE3">
        <w:tab/>
        <w:t>to deliver cash or another financial asset to another entity; or</w:t>
      </w:r>
    </w:p>
    <w:p w:rsidR="00CB45DF" w:rsidRPr="00892DE3" w:rsidRDefault="00CB45DF" w:rsidP="000A408C">
      <w:pPr>
        <w:pStyle w:val="List2"/>
        <w:ind w:left="851" w:hanging="284"/>
      </w:pPr>
      <w:r w:rsidRPr="00892DE3">
        <w:t>–</w:t>
      </w:r>
      <w:r w:rsidRPr="00892DE3">
        <w:tab/>
        <w:t>to exchange financial assets or financial liabilities with another entity under conditions that are potentially unfavourable to the entity; or</w:t>
      </w:r>
    </w:p>
    <w:p w:rsidR="00CB45DF" w:rsidRPr="00892DE3" w:rsidRDefault="00CB45DF" w:rsidP="00CB45DF">
      <w:pPr>
        <w:pStyle w:val="List"/>
      </w:pPr>
      <w:r w:rsidRPr="00892DE3">
        <w:t>(b)</w:t>
      </w:r>
      <w:r w:rsidRPr="00892DE3">
        <w:tab/>
        <w:t>a contract that will or may be settled in the entity’s own equity instruments and is:</w:t>
      </w:r>
    </w:p>
    <w:p w:rsidR="00CB45DF" w:rsidRPr="00892DE3" w:rsidRDefault="00CB45DF" w:rsidP="000A408C">
      <w:pPr>
        <w:pStyle w:val="List2"/>
        <w:ind w:left="851" w:hanging="284"/>
      </w:pPr>
      <w:r w:rsidRPr="00892DE3">
        <w:t>–</w:t>
      </w:r>
      <w:r w:rsidRPr="00892DE3">
        <w:tab/>
        <w:t>a non-derivative for which the entity is or may be obliged to deliver a variable number of the entity’s own equity instruments; or</w:t>
      </w:r>
    </w:p>
    <w:p w:rsidR="00CB45DF" w:rsidRPr="00892DE3" w:rsidRDefault="00CB45DF" w:rsidP="000A408C">
      <w:pPr>
        <w:pStyle w:val="List2"/>
        <w:ind w:left="851" w:hanging="284"/>
      </w:pPr>
      <w:r w:rsidRPr="00892DE3">
        <w:t>–</w:t>
      </w:r>
      <w:r w:rsidRPr="00892DE3">
        <w:tab/>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rsidR="00CB45DF" w:rsidRPr="00892DE3" w:rsidRDefault="00CB45DF" w:rsidP="00CB45DF">
      <w:r w:rsidRPr="00892DE3">
        <w:rPr>
          <w:b/>
        </w:rPr>
        <w:t>Financial statements</w:t>
      </w:r>
      <w:r w:rsidRPr="00892DE3">
        <w:t xml:space="preserve"> in the Model Report comprises:</w:t>
      </w:r>
    </w:p>
    <w:p w:rsidR="00CB45DF" w:rsidRPr="00892DE3" w:rsidRDefault="00CB45DF" w:rsidP="00CB45DF">
      <w:pPr>
        <w:pStyle w:val="List"/>
      </w:pPr>
      <w:r w:rsidRPr="00892DE3">
        <w:t>(a)</w:t>
      </w:r>
      <w:r w:rsidRPr="00892DE3">
        <w:tab/>
        <w:t>a balance sheet as at the end of the period;</w:t>
      </w:r>
    </w:p>
    <w:p w:rsidR="00CB45DF" w:rsidRPr="00892DE3" w:rsidRDefault="00CB45DF" w:rsidP="00CB45DF">
      <w:pPr>
        <w:pStyle w:val="List"/>
      </w:pPr>
      <w:r w:rsidRPr="00892DE3">
        <w:t>(b)</w:t>
      </w:r>
      <w:r w:rsidRPr="00892DE3">
        <w:tab/>
        <w:t>a comprehensive operating statement for the period;</w:t>
      </w:r>
    </w:p>
    <w:p w:rsidR="00CB45DF" w:rsidRPr="00892DE3" w:rsidRDefault="00CB45DF" w:rsidP="00CB45DF">
      <w:pPr>
        <w:pStyle w:val="List"/>
      </w:pPr>
      <w:r w:rsidRPr="00892DE3">
        <w:t>(c)</w:t>
      </w:r>
      <w:r w:rsidRPr="00892DE3">
        <w:tab/>
        <w:t>a statement of changes in equity for the period;</w:t>
      </w:r>
    </w:p>
    <w:p w:rsidR="00CB45DF" w:rsidRPr="00892DE3" w:rsidRDefault="00CB45DF" w:rsidP="00CB45DF">
      <w:pPr>
        <w:pStyle w:val="List"/>
      </w:pPr>
      <w:r w:rsidRPr="00892DE3">
        <w:t>(d)</w:t>
      </w:r>
      <w:r w:rsidRPr="00892DE3">
        <w:tab/>
        <w:t>a cash flow statement for the period;</w:t>
      </w:r>
    </w:p>
    <w:p w:rsidR="00CB45DF" w:rsidRPr="00892DE3" w:rsidRDefault="00CB45DF" w:rsidP="00CB45DF">
      <w:pPr>
        <w:pStyle w:val="List"/>
      </w:pPr>
      <w:r w:rsidRPr="00892DE3">
        <w:t>(e)</w:t>
      </w:r>
      <w:r w:rsidRPr="00892DE3">
        <w:tab/>
        <w:t>notes, comprising a summary of significant accounting policies and other explanatory information;</w:t>
      </w:r>
    </w:p>
    <w:p w:rsidR="00CB45DF" w:rsidRPr="00892DE3" w:rsidRDefault="00CB45DF" w:rsidP="00CB45DF">
      <w:pPr>
        <w:pStyle w:val="List"/>
      </w:pPr>
      <w:r w:rsidRPr="00892DE3">
        <w:t>(f)</w:t>
      </w:r>
      <w:r w:rsidRPr="00892DE3">
        <w:tab/>
        <w:t>comparative information in respect of the preceding period as specified in paragraph 38 of AASB 101 Presentation of Financial Statements; and</w:t>
      </w:r>
    </w:p>
    <w:p w:rsidR="00CB45DF" w:rsidRPr="00892DE3" w:rsidRDefault="00CB45DF" w:rsidP="00CB45DF">
      <w:pPr>
        <w:pStyle w:val="List"/>
      </w:pPr>
      <w:r w:rsidRPr="00892DE3">
        <w:t>(g)</w:t>
      </w:r>
      <w:r w:rsidRPr="00892DE3">
        <w:tab/>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rsidR="00CB45DF" w:rsidRPr="00892DE3" w:rsidRDefault="00CB45DF" w:rsidP="00CB45DF">
      <w:r w:rsidRPr="00892DE3">
        <w:rPr>
          <w:b/>
        </w:rPr>
        <w:t>Grant expenses and other transfers</w:t>
      </w:r>
      <w:r w:rsidRPr="00892DE3">
        <w:t xml:space="preserve"> are transactions in which one unit provides goods, services, assets (or extinguishes a liability) or labour to another unit without receiving approximately equal value in return. Grants can either be operating or capital in nature. </w:t>
      </w:r>
    </w:p>
    <w:p w:rsidR="00CB45DF" w:rsidRPr="00892DE3" w:rsidRDefault="00CB45DF" w:rsidP="00CB45DF">
      <w:r w:rsidRPr="00892DE3">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rsidR="00CB45DF" w:rsidRPr="00892DE3" w:rsidRDefault="00CB45DF" w:rsidP="00CB45DF">
      <w:r w:rsidRPr="00892DE3">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CB45DF" w:rsidRPr="00892DE3" w:rsidRDefault="00CB45DF" w:rsidP="00CB45DF">
      <w:r w:rsidRPr="00892DE3">
        <w:rPr>
          <w:b/>
        </w:rPr>
        <w:t>General government sector</w:t>
      </w:r>
      <w:r w:rsidRPr="00892DE3">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rsidR="00CB45DF" w:rsidRPr="00892DE3" w:rsidRDefault="00CB45DF" w:rsidP="00CB45DF">
      <w:r w:rsidRPr="00892DE3">
        <w:rPr>
          <w:b/>
        </w:rPr>
        <w:t>Grants for on-passing</w:t>
      </w:r>
      <w:r w:rsidRPr="00892DE3">
        <w:t xml:space="preserve"> are grants paid to one institutional sector (e.g. a State general government entity) to be passed on to another institutional sector (e.g. local government or a private non-profit institution).</w:t>
      </w:r>
    </w:p>
    <w:p w:rsidR="00CB45DF" w:rsidRPr="00892DE3" w:rsidRDefault="00CB45DF" w:rsidP="00CB45DF">
      <w:r w:rsidRPr="00892DE3">
        <w:rPr>
          <w:b/>
        </w:rPr>
        <w:t>Infrastructure systems</w:t>
      </w:r>
      <w:r w:rsidRPr="00892DE3">
        <w:t xml:space="preserve">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rsidR="00CB45DF" w:rsidRPr="00892DE3" w:rsidRDefault="00CB45DF" w:rsidP="00CB45DF">
      <w:r w:rsidRPr="00892DE3">
        <w:rPr>
          <w:b/>
        </w:rPr>
        <w:t>Interest expense</w:t>
      </w:r>
      <w:r w:rsidRPr="00892DE3">
        <w:t xml:space="preserve"> represents costs incurred in connection with borrowings. It includes interest on advances, loans, overdrafts, bonds and bills, deposits, interest components of finance lease repayments, and amortisation of discounts or premiums in relation to borrowings.</w:t>
      </w:r>
    </w:p>
    <w:p w:rsidR="00CB45DF" w:rsidRPr="00892DE3" w:rsidRDefault="00CB45DF" w:rsidP="00CB45DF">
      <w:r w:rsidRPr="00892DE3">
        <w:rPr>
          <w:b/>
        </w:rPr>
        <w:t>Interest income</w:t>
      </w:r>
      <w:r w:rsidRPr="00892DE3">
        <w:t xml:space="preserve"> includes unwinding over time of discounts on financial assets and interest received on bank term deposits and other investments. </w:t>
      </w:r>
    </w:p>
    <w:p w:rsidR="00CB45DF" w:rsidRPr="00892DE3" w:rsidRDefault="00CB45DF" w:rsidP="00CB45DF">
      <w:r w:rsidRPr="00892DE3">
        <w:rPr>
          <w:b/>
        </w:rPr>
        <w:t>Investment properties</w:t>
      </w:r>
      <w:r w:rsidRPr="00892DE3">
        <w:t xml:space="preserve"> are properties held to earn rentals or for capital appreciation or both. Investment properties exclude properties held to meet service delivery objectives of the State of Victoria.</w:t>
      </w:r>
    </w:p>
    <w:p w:rsidR="00CB45DF" w:rsidRPr="00892DE3" w:rsidRDefault="00CB45DF" w:rsidP="00CB45DF">
      <w:r w:rsidRPr="00892DE3">
        <w:rPr>
          <w:b/>
        </w:rPr>
        <w:t>Joint ventures</w:t>
      </w:r>
      <w:r w:rsidRPr="00892DE3">
        <w:t xml:space="preserve"> are contractual arrangements between the Department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rsidR="00CB45DF" w:rsidRPr="00892DE3" w:rsidRDefault="00CB45DF" w:rsidP="00CB45DF">
      <w:r w:rsidRPr="00892DE3">
        <w:rPr>
          <w:b/>
        </w:rPr>
        <w:t>Leases</w:t>
      </w:r>
      <w:r w:rsidRPr="00892DE3">
        <w:t xml:space="preserve"> are rights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rsidR="00CB45DF" w:rsidRPr="00892DE3" w:rsidRDefault="00CB45DF" w:rsidP="00CB45DF">
      <w:r w:rsidRPr="00892DE3">
        <w:rPr>
          <w:b/>
        </w:rPr>
        <w:t>Net acquisition of non-financial assets</w:t>
      </w:r>
      <w:r w:rsidRPr="00892DE3">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write-offs, impairment write-downs and revaluations.</w:t>
      </w:r>
    </w:p>
    <w:p w:rsidR="00CB45DF" w:rsidRPr="00892DE3" w:rsidRDefault="00CB45DF" w:rsidP="00CB45DF">
      <w:r w:rsidRPr="00892DE3">
        <w:rPr>
          <w:b/>
        </w:rPr>
        <w:t>Net financial liabilities</w:t>
      </w:r>
      <w:r w:rsidRPr="00892DE3">
        <w:t xml:space="preserve"> is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rsidR="00CB45DF" w:rsidRPr="00892DE3" w:rsidRDefault="00CB45DF" w:rsidP="00CB45DF">
      <w:r w:rsidRPr="00892DE3">
        <w:rPr>
          <w:b/>
        </w:rPr>
        <w:t>Net financial worth</w:t>
      </w:r>
      <w:r w:rsidRPr="00892DE3">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rsidR="00CB45DF" w:rsidRPr="00892DE3" w:rsidRDefault="00CB45DF" w:rsidP="00CB45DF">
      <w:r w:rsidRPr="00892DE3">
        <w:rPr>
          <w:b/>
        </w:rPr>
        <w:t>Net gain on equity investments in other sector entities</w:t>
      </w:r>
      <w:r w:rsidRPr="00892DE3">
        <w:t xml:space="preserve"> </w:t>
      </w:r>
      <w:r w:rsidRPr="00892DE3">
        <w:rPr>
          <w:rStyle w:val="SourceReference"/>
        </w:rPr>
        <w:t>[DTF only]</w:t>
      </w:r>
      <w:r w:rsidRPr="00892DE3">
        <w:t xml:space="preserve">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 sector balances.</w:t>
      </w:r>
    </w:p>
    <w:p w:rsidR="00CB45DF" w:rsidRPr="00892DE3" w:rsidRDefault="00CB45DF" w:rsidP="00CB45DF">
      <w:r w:rsidRPr="00892DE3">
        <w:rPr>
          <w:b/>
        </w:rPr>
        <w:t>Net lending/borrowing</w:t>
      </w:r>
      <w:r w:rsidRPr="00892DE3">
        <w:t xml:space="preserve"> 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rsidR="00CB45DF" w:rsidRPr="00892DE3" w:rsidRDefault="00CB45DF" w:rsidP="00CB45DF">
      <w:r w:rsidRPr="00892DE3">
        <w:rPr>
          <w:b/>
        </w:rPr>
        <w:t xml:space="preserve">Net operating balance </w:t>
      </w:r>
      <w:r w:rsidR="00A97352" w:rsidRPr="00892DE3">
        <w:t>or</w:t>
      </w:r>
      <w:r w:rsidRPr="00892DE3">
        <w:rPr>
          <w:b/>
        </w:rPr>
        <w:t xml:space="preserve"> net result from transactions</w:t>
      </w:r>
      <w:r w:rsidRPr="00892DE3">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rsidR="00CB45DF" w:rsidRPr="00892DE3" w:rsidRDefault="00CB45DF" w:rsidP="00CB45DF">
      <w:r w:rsidRPr="00892DE3">
        <w:rPr>
          <w:b/>
        </w:rPr>
        <w:t>Net result</w:t>
      </w:r>
      <w:r w:rsidRPr="00892DE3">
        <w:t xml:space="preserve"> is a measure of financial performance of the operations for the period. It is the net result of items of revenue, gains and expenses (including losses) recognised for the period, excluding those classified as ‘other non-owner movements in equity’. </w:t>
      </w:r>
    </w:p>
    <w:p w:rsidR="00CB45DF" w:rsidRPr="00892DE3" w:rsidRDefault="00CB45DF" w:rsidP="00CB45DF">
      <w:r w:rsidRPr="00892DE3">
        <w:rPr>
          <w:b/>
        </w:rPr>
        <w:t>Net worth</w:t>
      </w:r>
      <w:r w:rsidRPr="00892DE3">
        <w:t xml:space="preserve"> is calculated as assets less liabilities, which is an economic measure of wealth. </w:t>
      </w:r>
    </w:p>
    <w:p w:rsidR="00CB45DF" w:rsidRPr="00892DE3" w:rsidRDefault="00CB45DF" w:rsidP="00CB45DF">
      <w:r w:rsidRPr="00892DE3">
        <w:rPr>
          <w:b/>
        </w:rPr>
        <w:t>Non-financial assets</w:t>
      </w:r>
      <w:r w:rsidRPr="00892DE3">
        <w:t xml:space="preserve"> are all assets that are not financial assets. It includes inventories, land, buildings, infrastructure, road networks, land under roads, plant and equipment, cultural and heritage assets, intangibles and biological assets such as commercial forests.</w:t>
      </w:r>
    </w:p>
    <w:p w:rsidR="00CB45DF" w:rsidRPr="00892DE3" w:rsidRDefault="00CB45DF" w:rsidP="00CB45DF">
      <w:r w:rsidRPr="00892DE3">
        <w:rPr>
          <w:b/>
        </w:rPr>
        <w:t>Non-financial public sector</w:t>
      </w:r>
      <w:r w:rsidRPr="00892DE3">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rsidR="00CB45DF" w:rsidRPr="00892DE3" w:rsidRDefault="00CB45DF" w:rsidP="00CB45DF">
      <w:r w:rsidRPr="00892DE3">
        <w:rPr>
          <w:b/>
        </w:rPr>
        <w:t>Non-produced assets</w:t>
      </w:r>
      <w:r w:rsidRPr="00892DE3">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rsidR="00CB45DF" w:rsidRPr="00892DE3" w:rsidRDefault="00CB45DF" w:rsidP="00CB45DF">
      <w:r w:rsidRPr="00892DE3">
        <w:rPr>
          <w:b/>
        </w:rPr>
        <w:t>Operating result</w:t>
      </w:r>
      <w:r w:rsidRPr="00892DE3">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‘net result’. </w:t>
      </w:r>
    </w:p>
    <w:p w:rsidR="00CB45DF" w:rsidRPr="00892DE3" w:rsidRDefault="00CB45DF" w:rsidP="00CB45DF">
      <w:r w:rsidRPr="00892DE3">
        <w:rPr>
          <w:b/>
        </w:rPr>
        <w:t>Other economic flows</w:t>
      </w:r>
      <w:r w:rsidRPr="00892DE3">
        <w:t xml:space="preserve"> </w:t>
      </w:r>
      <w:r w:rsidRPr="00892DE3">
        <w:rPr>
          <w:b/>
        </w:rPr>
        <w:t>included in net result</w:t>
      </w:r>
      <w:r w:rsidRPr="00892DE3">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 </w:t>
      </w:r>
    </w:p>
    <w:p w:rsidR="00CB45DF" w:rsidRPr="00892DE3" w:rsidRDefault="00CB45DF" w:rsidP="00CB45DF">
      <w:r w:rsidRPr="00892DE3">
        <w:rPr>
          <w:b/>
        </w:rPr>
        <w:t>Other economic flows – other comprehensive income</w:t>
      </w:r>
      <w:r w:rsidRPr="00892DE3">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rsidR="00CB45DF" w:rsidRPr="00892DE3" w:rsidRDefault="00CB45DF" w:rsidP="00CB45DF">
      <w:r w:rsidRPr="00892DE3">
        <w:rPr>
          <w:b/>
        </w:rPr>
        <w:t>Payables</w:t>
      </w:r>
      <w:r w:rsidRPr="00892DE3">
        <w:t xml:space="preserve"> includes short and long-term trade debt and accounts payable, grants, taxes and interest payable.</w:t>
      </w:r>
    </w:p>
    <w:p w:rsidR="00CB45DF" w:rsidRPr="00892DE3" w:rsidRDefault="00CB45DF" w:rsidP="00CB45DF">
      <w:r w:rsidRPr="00892DE3">
        <w:rPr>
          <w:b/>
        </w:rPr>
        <w:t>Produced assets</w:t>
      </w:r>
      <w:r w:rsidRPr="00892DE3">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rsidR="00CB45DF" w:rsidRPr="00892DE3" w:rsidRDefault="00CB45DF" w:rsidP="00CB45DF">
      <w:r w:rsidRPr="00892DE3">
        <w:rPr>
          <w:b/>
        </w:rPr>
        <w:t>Public financial corporations</w:t>
      </w:r>
      <w:r w:rsidRPr="00892DE3">
        <w:t xml:space="preserve"> (PFC)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rsidR="00CB45DF" w:rsidRPr="00892DE3" w:rsidRDefault="00CB45DF" w:rsidP="00CB45DF">
      <w:r w:rsidRPr="00892DE3">
        <w:t xml:space="preserve">The </w:t>
      </w:r>
      <w:r w:rsidRPr="00892DE3">
        <w:rPr>
          <w:b/>
        </w:rPr>
        <w:t>public non-financial corporation</w:t>
      </w:r>
      <w:r w:rsidRPr="00892DE3">
        <w:t xml:space="preserve"> (PNFC) sector comprises bodies mainly engaged in the production of goods and services (of a non-financial nature) for sale in the market place at prices that aim to recover most of the costs involved (e.g. water and port authorities). In general, PNFCs are legally distinguishable from the governments which own them.</w:t>
      </w:r>
    </w:p>
    <w:p w:rsidR="00CB45DF" w:rsidRPr="00892DE3" w:rsidRDefault="00CB45DF" w:rsidP="00CB45DF">
      <w:r w:rsidRPr="00892DE3">
        <w:rPr>
          <w:b/>
        </w:rPr>
        <w:t>Receivables</w:t>
      </w:r>
      <w:r w:rsidRPr="00892DE3">
        <w:t xml:space="preserve"> include amounts owing from government through appropriation receivable, short and long-term trade credit and accounts receivable, accrued investment income, grants, taxes and interest receivable.</w:t>
      </w:r>
    </w:p>
    <w:p w:rsidR="00CB45DF" w:rsidRPr="00892DE3" w:rsidRDefault="00CB45DF" w:rsidP="00CB45DF">
      <w:r w:rsidRPr="00892DE3">
        <w:rPr>
          <w:b/>
        </w:rPr>
        <w:t>Sales of goods and services</w:t>
      </w:r>
      <w:r w:rsidRPr="00892DE3">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 </w:t>
      </w:r>
    </w:p>
    <w:p w:rsidR="00CB45DF" w:rsidRPr="00892DE3" w:rsidRDefault="00CB45DF" w:rsidP="00CB45DF">
      <w:r w:rsidRPr="00892DE3">
        <w:rPr>
          <w:b/>
        </w:rPr>
        <w:t>Supplies and services</w:t>
      </w:r>
      <w:r w:rsidRPr="00892DE3">
        <w:t xml:space="preserve"> generally represent cost of goods sold and the day to day running costs, including maintenance costs, incurred in the normal operations of the Department. </w:t>
      </w:r>
    </w:p>
    <w:p w:rsidR="00CB45DF" w:rsidRPr="00892DE3" w:rsidRDefault="00CB45DF" w:rsidP="00CB45DF">
      <w:r w:rsidRPr="00892DE3">
        <w:rPr>
          <w:b/>
        </w:rPr>
        <w:t>Taxation</w:t>
      </w:r>
      <w:r w:rsidRPr="00892DE3">
        <w:t xml:space="preserve"> income represents income received from the State’s taxpayers and includes:</w:t>
      </w:r>
    </w:p>
    <w:p w:rsidR="00CB45DF" w:rsidRPr="00892DE3" w:rsidRDefault="00CB45DF" w:rsidP="00CB45DF">
      <w:pPr>
        <w:pStyle w:val="ListBullet"/>
      </w:pPr>
      <w:r w:rsidRPr="00892DE3">
        <w:t>payroll tax, land tax and duties levied principally on conveyances and land transfers;</w:t>
      </w:r>
    </w:p>
    <w:p w:rsidR="00CB45DF" w:rsidRPr="00892DE3" w:rsidRDefault="00CB45DF" w:rsidP="00CB45DF">
      <w:pPr>
        <w:pStyle w:val="ListBullet"/>
      </w:pPr>
      <w:r w:rsidRPr="00892DE3">
        <w:t>gambling taxes levied mainly on private lotteries, electronic gaming machines, casino operations and racing;</w:t>
      </w:r>
    </w:p>
    <w:p w:rsidR="00CB45DF" w:rsidRPr="00892DE3" w:rsidRDefault="00CB45DF" w:rsidP="00CB45DF">
      <w:pPr>
        <w:pStyle w:val="ListBullet"/>
      </w:pPr>
      <w:r w:rsidRPr="00892DE3">
        <w:t xml:space="preserve">insurance duty relating to compulsory third party, life and non-life policies; </w:t>
      </w:r>
    </w:p>
    <w:p w:rsidR="00CB45DF" w:rsidRPr="00892DE3" w:rsidRDefault="00CB45DF" w:rsidP="00CB45DF">
      <w:pPr>
        <w:pStyle w:val="ListBullet"/>
      </w:pPr>
      <w:r w:rsidRPr="00892DE3">
        <w:t xml:space="preserve">insurance company contributions to fire brigades; </w:t>
      </w:r>
    </w:p>
    <w:p w:rsidR="00CB45DF" w:rsidRPr="00892DE3" w:rsidRDefault="00CB45DF" w:rsidP="00CB45DF">
      <w:pPr>
        <w:pStyle w:val="ListBullet"/>
      </w:pPr>
      <w:r w:rsidRPr="00892DE3">
        <w:t>motor vehicle taxes, including registration fees and duty on registrations and transfers;</w:t>
      </w:r>
    </w:p>
    <w:p w:rsidR="00CB45DF" w:rsidRPr="00892DE3" w:rsidRDefault="00CB45DF" w:rsidP="00CB45DF">
      <w:pPr>
        <w:pStyle w:val="ListBullet"/>
      </w:pPr>
      <w:r w:rsidRPr="00892DE3">
        <w:t xml:space="preserve">levies (including the environmental levy) on statutory corporations in other sectors of government; and </w:t>
      </w:r>
    </w:p>
    <w:p w:rsidR="00CB45DF" w:rsidRPr="00892DE3" w:rsidRDefault="00CB45DF" w:rsidP="00CB45DF">
      <w:pPr>
        <w:pStyle w:val="ListBullet"/>
      </w:pPr>
      <w:r w:rsidRPr="00892DE3">
        <w:t>other taxes, including landfill levies, licence and concession fees.</w:t>
      </w:r>
    </w:p>
    <w:p w:rsidR="00CB45DF" w:rsidRPr="00892DE3" w:rsidRDefault="00CB45DF" w:rsidP="00CB45DF">
      <w:r w:rsidRPr="00892DE3">
        <w:rPr>
          <w:b/>
        </w:rPr>
        <w:t>Transactions</w:t>
      </w:r>
      <w:r w:rsidRPr="00892DE3">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rsidR="00CB45DF" w:rsidRPr="00892DE3" w:rsidRDefault="00CB45DF" w:rsidP="0019303F">
      <w:pPr>
        <w:pStyle w:val="Heading2"/>
      </w:pPr>
      <w:bookmarkStart w:id="201" w:name="_Toc477432308"/>
      <w:bookmarkStart w:id="202" w:name="_Toc478729326"/>
      <w:bookmarkStart w:id="203" w:name="_Toc479085177"/>
      <w:r w:rsidRPr="00892DE3">
        <w:t>Style conventions</w:t>
      </w:r>
      <w:bookmarkEnd w:id="201"/>
      <w:bookmarkEnd w:id="202"/>
      <w:bookmarkEnd w:id="203"/>
    </w:p>
    <w:p w:rsidR="00CB45DF" w:rsidRPr="00892DE3" w:rsidRDefault="00CB45DF" w:rsidP="00CB45DF">
      <w:r w:rsidRPr="00892DE3">
        <w:t>Figures in the tables and in the text have been rounded. Discrepancies in tables between totals and sums of components reflect rounding. Percentage variations in all tables are based on the underlying unrounded amounts.</w:t>
      </w:r>
    </w:p>
    <w:p w:rsidR="00CB45DF" w:rsidRPr="00892DE3" w:rsidRDefault="00CB45DF" w:rsidP="00CB45DF">
      <w:r w:rsidRPr="00892DE3">
        <w:t>The notation used in the tables is as follows:</w:t>
      </w:r>
    </w:p>
    <w:p w:rsidR="00CB45DF" w:rsidRPr="00892DE3" w:rsidRDefault="00CB45DF" w:rsidP="00CB45DF">
      <w:pPr>
        <w:tabs>
          <w:tab w:val="left" w:pos="567"/>
          <w:tab w:val="left" w:pos="1701"/>
        </w:tabs>
      </w:pPr>
      <w:r w:rsidRPr="00892DE3">
        <w:tab/>
        <w:t>..</w:t>
      </w:r>
      <w:r w:rsidRPr="00892DE3">
        <w:tab/>
        <w:t>zero, or rounded to zero</w:t>
      </w:r>
    </w:p>
    <w:p w:rsidR="00CB45DF" w:rsidRPr="00892DE3" w:rsidRDefault="00CB45DF" w:rsidP="00CB45DF">
      <w:pPr>
        <w:tabs>
          <w:tab w:val="left" w:pos="567"/>
          <w:tab w:val="left" w:pos="1701"/>
        </w:tabs>
      </w:pPr>
      <w:r w:rsidRPr="00892DE3">
        <w:tab/>
        <w:t>(xxx.x)</w:t>
      </w:r>
      <w:r w:rsidRPr="00892DE3">
        <w:tab/>
        <w:t>negative numbers</w:t>
      </w:r>
    </w:p>
    <w:p w:rsidR="00CB45DF" w:rsidRPr="00892DE3" w:rsidRDefault="00CB45DF" w:rsidP="00CB45DF">
      <w:pPr>
        <w:tabs>
          <w:tab w:val="left" w:pos="567"/>
          <w:tab w:val="left" w:pos="1701"/>
        </w:tabs>
      </w:pPr>
      <w:r w:rsidRPr="00892DE3">
        <w:tab/>
        <w:t>200x</w:t>
      </w:r>
      <w:r w:rsidRPr="00892DE3">
        <w:tab/>
        <w:t>year period</w:t>
      </w:r>
    </w:p>
    <w:p w:rsidR="00CB45DF" w:rsidRPr="00892DE3" w:rsidRDefault="00CB45DF" w:rsidP="00CB45DF">
      <w:pPr>
        <w:tabs>
          <w:tab w:val="left" w:pos="567"/>
          <w:tab w:val="left" w:pos="1701"/>
        </w:tabs>
      </w:pPr>
      <w:r w:rsidRPr="00892DE3">
        <w:tab/>
        <w:t>200x 0x</w:t>
      </w:r>
      <w:r w:rsidRPr="00892DE3">
        <w:tab/>
        <w:t>year period</w:t>
      </w:r>
    </w:p>
    <w:p w:rsidR="00CB45DF" w:rsidRPr="00892DE3" w:rsidRDefault="00CB45DF" w:rsidP="00CB45DF">
      <w:r w:rsidRPr="00892DE3">
        <w:t>The financial statements and notes are presented based on the illustration for a go</w:t>
      </w:r>
      <w:r w:rsidR="007446DF" w:rsidRPr="00892DE3">
        <w:t>vernment department in the 2016</w:t>
      </w:r>
      <w:r w:rsidR="007446DF" w:rsidRPr="00892DE3">
        <w:noBreakHyphen/>
      </w:r>
      <w:r w:rsidRPr="00892DE3">
        <w:t>17 Model Report for Victorian Government Departments. The presentation of other disclosures is generally consistent with the other disclosures made in earlier publications of the Department’s annual reports.</w:t>
      </w:r>
    </w:p>
    <w:p w:rsidR="00C04A29" w:rsidRPr="00892DE3" w:rsidRDefault="00C04A29" w:rsidP="00C04A29"/>
    <w:p w:rsidR="00281431" w:rsidRPr="00892DE3" w:rsidRDefault="00281431" w:rsidP="00C04A29">
      <w:pPr>
        <w:sectPr w:rsidR="00281431" w:rsidRPr="00892DE3" w:rsidSect="00D16285">
          <w:type w:val="continuous"/>
          <w:pgSz w:w="11906" w:h="16838" w:code="9"/>
          <w:pgMar w:top="1134" w:right="1134" w:bottom="1134" w:left="1134" w:header="624" w:footer="567" w:gutter="0"/>
          <w:cols w:sep="1" w:space="567"/>
          <w:titlePg/>
          <w:docGrid w:linePitch="360"/>
        </w:sectPr>
      </w:pPr>
    </w:p>
    <w:p w:rsidR="00281431" w:rsidRPr="00892DE3" w:rsidRDefault="00281431" w:rsidP="00281431">
      <w:pPr>
        <w:pStyle w:val="Heading10"/>
      </w:pPr>
      <w:bookmarkStart w:id="204" w:name="_Toc477967533"/>
      <w:bookmarkStart w:id="205" w:name="_Toc481592325"/>
      <w:r w:rsidRPr="00892DE3">
        <w:t xml:space="preserve">Guidance </w:t>
      </w:r>
      <w:r w:rsidR="00FD3859" w:rsidRPr="00892DE3">
        <w:t>Sections</w:t>
      </w:r>
      <w:bookmarkEnd w:id="204"/>
      <w:bookmarkEnd w:id="205"/>
    </w:p>
    <w:p w:rsidR="00281431" w:rsidRPr="00892DE3" w:rsidRDefault="00281431" w:rsidP="00281431"/>
    <w:tbl>
      <w:tblPr>
        <w:tblStyle w:val="DTFTextTable"/>
        <w:tblW w:w="9752" w:type="dxa"/>
        <w:tblLayout w:type="fixed"/>
        <w:tblLook w:val="0680" w:firstRow="0" w:lastRow="0" w:firstColumn="1" w:lastColumn="0" w:noHBand="1" w:noVBand="1"/>
      </w:tblPr>
      <w:tblGrid>
        <w:gridCol w:w="8960"/>
        <w:gridCol w:w="792"/>
      </w:tblGrid>
      <w:tr w:rsidR="00281431"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EBEBEB" w:themeFill="background2"/>
          </w:tcPr>
          <w:p w:rsidR="009500E5" w:rsidRPr="00892DE3" w:rsidRDefault="009500E5" w:rsidP="009500E5">
            <w:pPr>
              <w:rPr>
                <w:b/>
                <w:noProof/>
              </w:rPr>
            </w:pPr>
            <w:r w:rsidRPr="00892DE3">
              <w:rPr>
                <w:b/>
                <w:noProof/>
                <w:lang w:val="en-US"/>
              </w:rPr>
              <w:t>Guidance section 1</w:t>
            </w:r>
          </w:p>
        </w:tc>
        <w:tc>
          <w:tcPr>
            <w:tcW w:w="792" w:type="dxa"/>
            <w:tcBorders>
              <w:top w:val="nil"/>
              <w:bottom w:val="nil"/>
            </w:tcBorders>
            <w:shd w:val="clear" w:color="auto" w:fill="EBEBEB" w:themeFill="background2"/>
          </w:tcPr>
          <w:p w:rsidR="00281431" w:rsidRPr="00892DE3" w:rsidRDefault="00281431" w:rsidP="009500E5">
            <w:pPr>
              <w:spacing w:line="240" w:lineRule="auto"/>
              <w:jc w:val="right"/>
              <w:cnfStyle w:val="000000000000" w:firstRow="0" w:lastRow="0" w:firstColumn="0" w:lastColumn="0" w:oddVBand="0" w:evenVBand="0" w:oddHBand="0" w:evenHBand="0" w:firstRowFirstColumn="0" w:firstRowLastColumn="0" w:lastRowFirstColumn="0" w:lastRowLastColumn="0"/>
              <w:rPr>
                <w:b/>
                <w:noProof/>
              </w:rPr>
            </w:pPr>
            <w:r w:rsidRPr="00892DE3">
              <w:rPr>
                <w:b/>
                <w:noProof/>
              </w:rPr>
              <w:fldChar w:fldCharType="begin"/>
            </w:r>
            <w:r w:rsidRPr="00892DE3">
              <w:rPr>
                <w:b/>
                <w:noProof/>
              </w:rPr>
              <w:instrText xml:space="preserve"> PAGEREF  Guidance1 \# "0"  \* MERGEFORMAT </w:instrText>
            </w:r>
            <w:r w:rsidRPr="00892DE3">
              <w:rPr>
                <w:b/>
                <w:noProof/>
              </w:rPr>
              <w:fldChar w:fldCharType="separate"/>
            </w:r>
            <w:r w:rsidR="00F63B17">
              <w:rPr>
                <w:b/>
                <w:noProof/>
              </w:rPr>
              <w:t>219</w:t>
            </w:r>
            <w:r w:rsidRPr="00892DE3">
              <w:rPr>
                <w:b/>
                <w:noProof/>
              </w:rPr>
              <w:fldChar w:fldCharType="end"/>
            </w:r>
          </w:p>
        </w:tc>
      </w:tr>
      <w:tr w:rsidR="009500E5"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9752" w:type="dxa"/>
            <w:gridSpan w:val="2"/>
            <w:tcBorders>
              <w:top w:val="nil"/>
              <w:bottom w:val="nil"/>
            </w:tcBorders>
          </w:tcPr>
          <w:p w:rsidR="009500E5" w:rsidRPr="00892DE3" w:rsidRDefault="009500E5" w:rsidP="00AD1758">
            <w:r w:rsidRPr="00892DE3">
              <w:rPr>
                <w:lang w:val="en-US"/>
              </w:rPr>
              <w:t>‘How to’ guide to</w:t>
            </w:r>
            <w:r w:rsidRPr="00892DE3">
              <w:t xml:space="preserve"> streamline a set of financial statements</w:t>
            </w:r>
          </w:p>
        </w:tc>
      </w:tr>
      <w:tr w:rsidR="00281431"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9752" w:type="dxa"/>
            <w:gridSpan w:val="2"/>
            <w:tcBorders>
              <w:top w:val="nil"/>
              <w:bottom w:val="nil"/>
            </w:tcBorders>
          </w:tcPr>
          <w:p w:rsidR="00EF420B" w:rsidRPr="00892DE3" w:rsidRDefault="00281431">
            <w:pPr>
              <w:pStyle w:val="TOC2"/>
              <w:rPr>
                <w:rFonts w:asciiTheme="minorHAnsi" w:eastAsiaTheme="minorEastAsia" w:hAnsiTheme="minorHAnsi"/>
                <w:spacing w:val="0"/>
                <w:sz w:val="22"/>
                <w:szCs w:val="22"/>
                <w:lang w:eastAsia="en-AU"/>
              </w:rPr>
            </w:pPr>
            <w:r w:rsidRPr="00892DE3">
              <w:fldChar w:fldCharType="begin"/>
            </w:r>
            <w:r w:rsidRPr="00892DE3">
              <w:instrText xml:space="preserve"> TOC \h \z \t "Heading 2,</w:instrText>
            </w:r>
            <w:r w:rsidR="009500E5" w:rsidRPr="00892DE3">
              <w:instrText>2</w:instrText>
            </w:r>
            <w:r w:rsidRPr="00892DE3">
              <w:instrText xml:space="preserve">" \b Guidance1 \* MERGEFORMAT </w:instrText>
            </w:r>
            <w:r w:rsidRPr="00892DE3">
              <w:fldChar w:fldCharType="separate"/>
            </w:r>
            <w:hyperlink w:anchor="_Toc478735893" w:history="1">
              <w:r w:rsidR="00EF420B" w:rsidRPr="00892DE3">
                <w:rPr>
                  <w:rStyle w:val="Hyperlink"/>
                </w:rPr>
                <w:t>G1.</w:t>
              </w:r>
              <w:r w:rsidR="00EF420B" w:rsidRPr="00892DE3">
                <w:rPr>
                  <w:rFonts w:asciiTheme="minorHAnsi" w:eastAsiaTheme="minorEastAsia" w:hAnsiTheme="minorHAnsi"/>
                  <w:spacing w:val="0"/>
                  <w:sz w:val="22"/>
                  <w:szCs w:val="22"/>
                  <w:lang w:eastAsia="en-AU"/>
                </w:rPr>
                <w:tab/>
              </w:r>
              <w:r w:rsidR="00EF420B" w:rsidRPr="00892DE3">
                <w:rPr>
                  <w:rStyle w:val="Hyperlink"/>
                </w:rPr>
                <w:t>Introduction</w:t>
              </w:r>
              <w:r w:rsidR="00EF420B" w:rsidRPr="00892DE3">
                <w:rPr>
                  <w:webHidden/>
                </w:rPr>
                <w:tab/>
              </w:r>
              <w:r w:rsidR="00EF420B" w:rsidRPr="00892DE3">
                <w:rPr>
                  <w:webHidden/>
                </w:rPr>
                <w:fldChar w:fldCharType="begin"/>
              </w:r>
              <w:r w:rsidR="00EF420B" w:rsidRPr="00892DE3">
                <w:rPr>
                  <w:webHidden/>
                </w:rPr>
                <w:instrText xml:space="preserve"> PAGEREF _Toc478735893 \h </w:instrText>
              </w:r>
              <w:r w:rsidR="00EF420B" w:rsidRPr="00892DE3">
                <w:rPr>
                  <w:webHidden/>
                </w:rPr>
              </w:r>
              <w:r w:rsidR="00EF420B" w:rsidRPr="00892DE3">
                <w:rPr>
                  <w:webHidden/>
                </w:rPr>
                <w:fldChar w:fldCharType="separate"/>
              </w:r>
              <w:r w:rsidR="00F63B17">
                <w:rPr>
                  <w:webHidden/>
                </w:rPr>
                <w:t>220</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94" w:history="1">
              <w:r w:rsidR="00EF420B" w:rsidRPr="00892DE3">
                <w:rPr>
                  <w:rStyle w:val="Hyperlink"/>
                </w:rPr>
                <w:t>G2.</w:t>
              </w:r>
              <w:r w:rsidR="00EF420B" w:rsidRPr="00892DE3">
                <w:rPr>
                  <w:rFonts w:asciiTheme="minorHAnsi" w:eastAsiaTheme="minorEastAsia" w:hAnsiTheme="minorHAnsi"/>
                  <w:spacing w:val="0"/>
                  <w:sz w:val="22"/>
                  <w:szCs w:val="22"/>
                  <w:lang w:eastAsia="en-AU"/>
                </w:rPr>
                <w:tab/>
              </w:r>
              <w:r w:rsidR="00EF420B" w:rsidRPr="00892DE3">
                <w:rPr>
                  <w:rStyle w:val="Hyperlink"/>
                </w:rPr>
                <w:t>The process of streamlining</w:t>
              </w:r>
              <w:r w:rsidR="00EF420B" w:rsidRPr="00892DE3">
                <w:rPr>
                  <w:webHidden/>
                </w:rPr>
                <w:tab/>
              </w:r>
              <w:r w:rsidR="00EF420B" w:rsidRPr="00892DE3">
                <w:rPr>
                  <w:webHidden/>
                </w:rPr>
                <w:fldChar w:fldCharType="begin"/>
              </w:r>
              <w:r w:rsidR="00EF420B" w:rsidRPr="00892DE3">
                <w:rPr>
                  <w:webHidden/>
                </w:rPr>
                <w:instrText xml:space="preserve"> PAGEREF _Toc478735894 \h </w:instrText>
              </w:r>
              <w:r w:rsidR="00EF420B" w:rsidRPr="00892DE3">
                <w:rPr>
                  <w:webHidden/>
                </w:rPr>
              </w:r>
              <w:r w:rsidR="00EF420B" w:rsidRPr="00892DE3">
                <w:rPr>
                  <w:webHidden/>
                </w:rPr>
                <w:fldChar w:fldCharType="separate"/>
              </w:r>
              <w:r w:rsidR="00F63B17">
                <w:rPr>
                  <w:webHidden/>
                </w:rPr>
                <w:t>221</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95" w:history="1">
              <w:r w:rsidR="00EF420B" w:rsidRPr="00892DE3">
                <w:rPr>
                  <w:rStyle w:val="Hyperlink"/>
                </w:rPr>
                <w:t>G3.</w:t>
              </w:r>
              <w:r w:rsidR="00EF420B" w:rsidRPr="00892DE3">
                <w:rPr>
                  <w:rFonts w:asciiTheme="minorHAnsi" w:eastAsiaTheme="minorEastAsia" w:hAnsiTheme="minorHAnsi"/>
                  <w:spacing w:val="0"/>
                  <w:sz w:val="22"/>
                  <w:szCs w:val="22"/>
                  <w:lang w:eastAsia="en-AU"/>
                </w:rPr>
                <w:tab/>
              </w:r>
              <w:r w:rsidR="00EF420B" w:rsidRPr="00892DE3">
                <w:rPr>
                  <w:rStyle w:val="Hyperlink"/>
                </w:rPr>
                <w:t>Further information</w:t>
              </w:r>
              <w:r w:rsidR="00EF420B" w:rsidRPr="00892DE3">
                <w:rPr>
                  <w:webHidden/>
                </w:rPr>
                <w:tab/>
              </w:r>
              <w:r w:rsidR="00EF420B" w:rsidRPr="00892DE3">
                <w:rPr>
                  <w:webHidden/>
                </w:rPr>
                <w:fldChar w:fldCharType="begin"/>
              </w:r>
              <w:r w:rsidR="00EF420B" w:rsidRPr="00892DE3">
                <w:rPr>
                  <w:webHidden/>
                </w:rPr>
                <w:instrText xml:space="preserve"> PAGEREF _Toc478735895 \h </w:instrText>
              </w:r>
              <w:r w:rsidR="00EF420B" w:rsidRPr="00892DE3">
                <w:rPr>
                  <w:webHidden/>
                </w:rPr>
              </w:r>
              <w:r w:rsidR="00EF420B" w:rsidRPr="00892DE3">
                <w:rPr>
                  <w:webHidden/>
                </w:rPr>
                <w:fldChar w:fldCharType="separate"/>
              </w:r>
              <w:r w:rsidR="00F63B17">
                <w:rPr>
                  <w:webHidden/>
                </w:rPr>
                <w:t>226</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96" w:history="1">
              <w:r w:rsidR="00EF420B" w:rsidRPr="00892DE3">
                <w:rPr>
                  <w:rStyle w:val="Hyperlink"/>
                </w:rPr>
                <w:t>G4.</w:t>
              </w:r>
              <w:r w:rsidR="00EF420B" w:rsidRPr="00892DE3">
                <w:rPr>
                  <w:rFonts w:asciiTheme="minorHAnsi" w:eastAsiaTheme="minorEastAsia" w:hAnsiTheme="minorHAnsi"/>
                  <w:spacing w:val="0"/>
                  <w:sz w:val="22"/>
                  <w:szCs w:val="22"/>
                  <w:lang w:eastAsia="en-AU"/>
                </w:rPr>
                <w:tab/>
              </w:r>
              <w:r w:rsidR="00EF420B" w:rsidRPr="00892DE3">
                <w:rPr>
                  <w:rStyle w:val="Hyperlink"/>
                </w:rPr>
                <w:t>Example materiality documentation template</w:t>
              </w:r>
              <w:r w:rsidR="00EF420B" w:rsidRPr="00892DE3">
                <w:rPr>
                  <w:webHidden/>
                </w:rPr>
                <w:tab/>
              </w:r>
              <w:r w:rsidR="00EF420B" w:rsidRPr="00892DE3">
                <w:rPr>
                  <w:webHidden/>
                </w:rPr>
                <w:fldChar w:fldCharType="begin"/>
              </w:r>
              <w:r w:rsidR="00EF420B" w:rsidRPr="00892DE3">
                <w:rPr>
                  <w:webHidden/>
                </w:rPr>
                <w:instrText xml:space="preserve"> PAGEREF _Toc478735896 \h </w:instrText>
              </w:r>
              <w:r w:rsidR="00EF420B" w:rsidRPr="00892DE3">
                <w:rPr>
                  <w:webHidden/>
                </w:rPr>
              </w:r>
              <w:r w:rsidR="00EF420B" w:rsidRPr="00892DE3">
                <w:rPr>
                  <w:webHidden/>
                </w:rPr>
                <w:fldChar w:fldCharType="separate"/>
              </w:r>
              <w:r w:rsidR="00F63B17">
                <w:rPr>
                  <w:webHidden/>
                </w:rPr>
                <w:t>227</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97" w:history="1">
              <w:r w:rsidR="00EF420B" w:rsidRPr="00892DE3">
                <w:rPr>
                  <w:rStyle w:val="Hyperlink"/>
                </w:rPr>
                <w:t>G5.</w:t>
              </w:r>
              <w:r w:rsidR="00EF420B" w:rsidRPr="00892DE3">
                <w:rPr>
                  <w:rFonts w:asciiTheme="minorHAnsi" w:eastAsiaTheme="minorEastAsia" w:hAnsiTheme="minorHAnsi"/>
                  <w:spacing w:val="0"/>
                  <w:sz w:val="22"/>
                  <w:szCs w:val="22"/>
                  <w:lang w:eastAsia="en-AU"/>
                </w:rPr>
                <w:tab/>
              </w:r>
              <w:r w:rsidR="00EF420B" w:rsidRPr="00892DE3">
                <w:rPr>
                  <w:rStyle w:val="Hyperlink"/>
                </w:rPr>
                <w:t>Example of revised note structure for departments</w:t>
              </w:r>
              <w:r w:rsidR="00EF420B" w:rsidRPr="00892DE3">
                <w:rPr>
                  <w:webHidden/>
                </w:rPr>
                <w:tab/>
              </w:r>
              <w:r w:rsidR="00EF420B" w:rsidRPr="00892DE3">
                <w:rPr>
                  <w:webHidden/>
                </w:rPr>
                <w:fldChar w:fldCharType="begin"/>
              </w:r>
              <w:r w:rsidR="00EF420B" w:rsidRPr="00892DE3">
                <w:rPr>
                  <w:webHidden/>
                </w:rPr>
                <w:instrText xml:space="preserve"> PAGEREF _Toc478735897 \h </w:instrText>
              </w:r>
              <w:r w:rsidR="00EF420B" w:rsidRPr="00892DE3">
                <w:rPr>
                  <w:webHidden/>
                </w:rPr>
              </w:r>
              <w:r w:rsidR="00EF420B" w:rsidRPr="00892DE3">
                <w:rPr>
                  <w:webHidden/>
                </w:rPr>
                <w:fldChar w:fldCharType="separate"/>
              </w:r>
              <w:r w:rsidR="00F63B17">
                <w:rPr>
                  <w:webHidden/>
                </w:rPr>
                <w:t>228</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98" w:history="1">
              <w:r w:rsidR="00EF420B" w:rsidRPr="00892DE3">
                <w:rPr>
                  <w:rStyle w:val="Hyperlink"/>
                </w:rPr>
                <w:t>G6.</w:t>
              </w:r>
              <w:r w:rsidR="00EF420B" w:rsidRPr="00892DE3">
                <w:rPr>
                  <w:rFonts w:asciiTheme="minorHAnsi" w:eastAsiaTheme="minorEastAsia" w:hAnsiTheme="minorHAnsi"/>
                  <w:spacing w:val="0"/>
                  <w:sz w:val="22"/>
                  <w:szCs w:val="22"/>
                  <w:lang w:eastAsia="en-AU"/>
                </w:rPr>
                <w:tab/>
              </w:r>
              <w:r w:rsidR="00EF420B" w:rsidRPr="00892DE3">
                <w:rPr>
                  <w:rStyle w:val="Hyperlink"/>
                </w:rPr>
                <w:t>Example of note mapping template</w:t>
              </w:r>
              <w:r w:rsidR="00EF420B" w:rsidRPr="00892DE3">
                <w:rPr>
                  <w:webHidden/>
                </w:rPr>
                <w:tab/>
              </w:r>
              <w:r w:rsidR="00EF420B" w:rsidRPr="00892DE3">
                <w:rPr>
                  <w:webHidden/>
                </w:rPr>
                <w:fldChar w:fldCharType="begin"/>
              </w:r>
              <w:r w:rsidR="00EF420B" w:rsidRPr="00892DE3">
                <w:rPr>
                  <w:webHidden/>
                </w:rPr>
                <w:instrText xml:space="preserve"> PAGEREF _Toc478735898 \h </w:instrText>
              </w:r>
              <w:r w:rsidR="00EF420B" w:rsidRPr="00892DE3">
                <w:rPr>
                  <w:webHidden/>
                </w:rPr>
              </w:r>
              <w:r w:rsidR="00EF420B" w:rsidRPr="00892DE3">
                <w:rPr>
                  <w:webHidden/>
                </w:rPr>
                <w:fldChar w:fldCharType="separate"/>
              </w:r>
              <w:r w:rsidR="00F63B17">
                <w:rPr>
                  <w:webHidden/>
                </w:rPr>
                <w:t>232</w:t>
              </w:r>
              <w:r w:rsidR="00EF420B" w:rsidRPr="00892DE3">
                <w:rPr>
                  <w:webHidden/>
                </w:rPr>
                <w:fldChar w:fldCharType="end"/>
              </w:r>
            </w:hyperlink>
          </w:p>
          <w:p w:rsidR="00281431" w:rsidRPr="00892DE3" w:rsidRDefault="00281431" w:rsidP="009500E5">
            <w:pPr>
              <w:ind w:left="737"/>
              <w:jc w:val="right"/>
              <w:rPr>
                <w:noProof/>
              </w:rPr>
            </w:pPr>
            <w:r w:rsidRPr="00892DE3">
              <w:fldChar w:fldCharType="end"/>
            </w:r>
          </w:p>
        </w:tc>
      </w:tr>
      <w:tr w:rsidR="00281431"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EBEBEB" w:themeFill="background2"/>
          </w:tcPr>
          <w:p w:rsidR="009500E5" w:rsidRPr="00892DE3" w:rsidRDefault="009500E5" w:rsidP="009500E5">
            <w:pPr>
              <w:rPr>
                <w:b/>
                <w:noProof/>
              </w:rPr>
            </w:pPr>
            <w:r w:rsidRPr="00892DE3">
              <w:rPr>
                <w:b/>
              </w:rPr>
              <w:t>Guidance section 2</w:t>
            </w:r>
          </w:p>
        </w:tc>
        <w:tc>
          <w:tcPr>
            <w:tcW w:w="792" w:type="dxa"/>
            <w:tcBorders>
              <w:top w:val="nil"/>
              <w:bottom w:val="nil"/>
            </w:tcBorders>
            <w:shd w:val="clear" w:color="auto" w:fill="EBEBEB" w:themeFill="background2"/>
          </w:tcPr>
          <w:p w:rsidR="00281431" w:rsidRPr="00892DE3" w:rsidRDefault="00281431" w:rsidP="009500E5">
            <w:pPr>
              <w:spacing w:line="240" w:lineRule="auto"/>
              <w:jc w:val="right"/>
              <w:cnfStyle w:val="000000000000" w:firstRow="0" w:lastRow="0" w:firstColumn="0" w:lastColumn="0" w:oddVBand="0" w:evenVBand="0" w:oddHBand="0" w:evenHBand="0" w:firstRowFirstColumn="0" w:firstRowLastColumn="0" w:lastRowFirstColumn="0" w:lastRowLastColumn="0"/>
              <w:rPr>
                <w:b/>
                <w:noProof/>
              </w:rPr>
            </w:pPr>
            <w:r w:rsidRPr="00892DE3">
              <w:rPr>
                <w:b/>
                <w:noProof/>
              </w:rPr>
              <w:fldChar w:fldCharType="begin"/>
            </w:r>
            <w:r w:rsidRPr="00892DE3">
              <w:rPr>
                <w:b/>
                <w:noProof/>
              </w:rPr>
              <w:instrText xml:space="preserve"> PAGEREF  Guidance2 \# "0"  \* MERGEFORMAT </w:instrText>
            </w:r>
            <w:r w:rsidRPr="00892DE3">
              <w:rPr>
                <w:b/>
                <w:noProof/>
              </w:rPr>
              <w:fldChar w:fldCharType="separate"/>
            </w:r>
            <w:r w:rsidR="00F63B17">
              <w:rPr>
                <w:b/>
                <w:noProof/>
              </w:rPr>
              <w:t>233</w:t>
            </w:r>
            <w:r w:rsidRPr="00892DE3">
              <w:rPr>
                <w:b/>
                <w:noProof/>
              </w:rPr>
              <w:fldChar w:fldCharType="end"/>
            </w:r>
          </w:p>
        </w:tc>
      </w:tr>
      <w:tr w:rsidR="009500E5"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tcPr>
          <w:p w:rsidR="009500E5" w:rsidRPr="00892DE3" w:rsidRDefault="009500E5" w:rsidP="009500E5">
            <w:r w:rsidRPr="00892DE3">
              <w:t>General and specific disclosure requirements, including presentation requirements</w:t>
            </w:r>
          </w:p>
          <w:p w:rsidR="009500E5" w:rsidRPr="00892DE3" w:rsidRDefault="009500E5" w:rsidP="009500E5">
            <w:pPr>
              <w:rPr>
                <w:noProof/>
              </w:rPr>
            </w:pPr>
          </w:p>
        </w:tc>
        <w:tc>
          <w:tcPr>
            <w:tcW w:w="792" w:type="dxa"/>
            <w:tcBorders>
              <w:top w:val="nil"/>
              <w:bottom w:val="nil"/>
            </w:tcBorders>
            <w:shd w:val="clear" w:color="auto" w:fill="auto"/>
          </w:tcPr>
          <w:p w:rsidR="009500E5" w:rsidRPr="00892DE3" w:rsidRDefault="009500E5" w:rsidP="009500E5">
            <w:pPr>
              <w:jc w:val="right"/>
              <w:cnfStyle w:val="000000000000" w:firstRow="0" w:lastRow="0" w:firstColumn="0" w:lastColumn="0" w:oddVBand="0" w:evenVBand="0" w:oddHBand="0" w:evenHBand="0" w:firstRowFirstColumn="0" w:firstRowLastColumn="0" w:lastRowFirstColumn="0" w:lastRowLastColumn="0"/>
              <w:rPr>
                <w:noProof/>
              </w:rPr>
            </w:pPr>
          </w:p>
        </w:tc>
      </w:tr>
      <w:tr w:rsidR="00281431"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EBEBEB" w:themeFill="background2"/>
          </w:tcPr>
          <w:p w:rsidR="00281431" w:rsidRPr="00892DE3" w:rsidRDefault="009500E5" w:rsidP="009500E5">
            <w:pPr>
              <w:rPr>
                <w:rFonts w:eastAsiaTheme="majorEastAsia" w:cstheme="majorBidi"/>
                <w:b/>
                <w:bCs/>
                <w:caps/>
                <w:noProof/>
                <w:spacing w:val="-2"/>
                <w:sz w:val="28"/>
                <w:szCs w:val="28"/>
              </w:rPr>
            </w:pPr>
            <w:r w:rsidRPr="00892DE3">
              <w:rPr>
                <w:b/>
              </w:rPr>
              <w:t>Guidance section 3</w:t>
            </w:r>
          </w:p>
        </w:tc>
        <w:tc>
          <w:tcPr>
            <w:tcW w:w="792" w:type="dxa"/>
            <w:tcBorders>
              <w:top w:val="nil"/>
              <w:bottom w:val="nil"/>
            </w:tcBorders>
            <w:shd w:val="clear" w:color="auto" w:fill="EBEBEB" w:themeFill="background2"/>
          </w:tcPr>
          <w:p w:rsidR="00281431" w:rsidRPr="00892DE3" w:rsidRDefault="00281431" w:rsidP="009500E5">
            <w:pPr>
              <w:spacing w:line="240" w:lineRule="auto"/>
              <w:jc w:val="right"/>
              <w:cnfStyle w:val="000000000000" w:firstRow="0" w:lastRow="0" w:firstColumn="0" w:lastColumn="0" w:oddVBand="0" w:evenVBand="0" w:oddHBand="0" w:evenHBand="0" w:firstRowFirstColumn="0" w:firstRowLastColumn="0" w:lastRowFirstColumn="0" w:lastRowLastColumn="0"/>
              <w:rPr>
                <w:b/>
                <w:noProof/>
              </w:rPr>
            </w:pPr>
            <w:r w:rsidRPr="00892DE3">
              <w:rPr>
                <w:b/>
                <w:noProof/>
              </w:rPr>
              <w:fldChar w:fldCharType="begin"/>
            </w:r>
            <w:r w:rsidRPr="00892DE3">
              <w:rPr>
                <w:b/>
                <w:noProof/>
              </w:rPr>
              <w:instrText xml:space="preserve"> PAGEREF  Guidance3 \# "0"  \* MERGEFORMAT </w:instrText>
            </w:r>
            <w:r w:rsidRPr="00892DE3">
              <w:rPr>
                <w:b/>
                <w:noProof/>
              </w:rPr>
              <w:fldChar w:fldCharType="separate"/>
            </w:r>
            <w:r w:rsidR="00F63B17">
              <w:rPr>
                <w:b/>
                <w:noProof/>
              </w:rPr>
              <w:t>235</w:t>
            </w:r>
            <w:r w:rsidRPr="00892DE3">
              <w:rPr>
                <w:b/>
                <w:noProof/>
              </w:rPr>
              <w:fldChar w:fldCharType="end"/>
            </w:r>
          </w:p>
        </w:tc>
      </w:tr>
      <w:tr w:rsidR="009500E5"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auto"/>
          </w:tcPr>
          <w:p w:rsidR="009500E5" w:rsidRPr="00892DE3" w:rsidRDefault="009500E5" w:rsidP="009500E5">
            <w:pPr>
              <w:rPr>
                <w:rFonts w:eastAsiaTheme="majorEastAsia" w:cstheme="majorBidi"/>
                <w:b/>
                <w:bCs/>
                <w:caps/>
                <w:noProof/>
                <w:spacing w:val="-2"/>
                <w:sz w:val="28"/>
                <w:szCs w:val="28"/>
              </w:rPr>
            </w:pPr>
            <w:r w:rsidRPr="00892DE3">
              <w:t>What is not disclosed in the Model financial statements</w:t>
            </w:r>
          </w:p>
        </w:tc>
        <w:tc>
          <w:tcPr>
            <w:tcW w:w="792" w:type="dxa"/>
            <w:tcBorders>
              <w:top w:val="nil"/>
              <w:bottom w:val="nil"/>
            </w:tcBorders>
            <w:shd w:val="clear" w:color="auto" w:fill="auto"/>
          </w:tcPr>
          <w:p w:rsidR="009500E5" w:rsidRPr="00892DE3" w:rsidRDefault="009500E5" w:rsidP="009500E5">
            <w:pPr>
              <w:jc w:val="right"/>
              <w:cnfStyle w:val="000000000000" w:firstRow="0" w:lastRow="0" w:firstColumn="0" w:lastColumn="0" w:oddVBand="0" w:evenVBand="0" w:oddHBand="0" w:evenHBand="0" w:firstRowFirstColumn="0" w:firstRowLastColumn="0" w:lastRowFirstColumn="0" w:lastRowLastColumn="0"/>
              <w:rPr>
                <w:noProof/>
              </w:rPr>
            </w:pPr>
          </w:p>
        </w:tc>
      </w:tr>
    </w:tbl>
    <w:p w:rsidR="00FD0181" w:rsidRPr="00892DE3" w:rsidRDefault="00FD0181" w:rsidP="00C04A29"/>
    <w:p w:rsidR="00281431" w:rsidRPr="00892DE3" w:rsidRDefault="00281431" w:rsidP="00C04A29"/>
    <w:p w:rsidR="00281431" w:rsidRPr="00892DE3" w:rsidRDefault="00281431" w:rsidP="00C04A29">
      <w:pPr>
        <w:sectPr w:rsidR="00281431" w:rsidRPr="00892DE3" w:rsidSect="00281431">
          <w:footerReference w:type="first" r:id="rId157"/>
          <w:pgSz w:w="11906" w:h="16838" w:code="9"/>
          <w:pgMar w:top="1134" w:right="1134" w:bottom="1134" w:left="1134" w:header="624" w:footer="567" w:gutter="0"/>
          <w:cols w:sep="1" w:space="567"/>
          <w:titlePg/>
          <w:docGrid w:linePitch="360"/>
        </w:sectPr>
      </w:pPr>
    </w:p>
    <w:p w:rsidR="004B49BC" w:rsidRPr="00892DE3" w:rsidRDefault="00551CFF" w:rsidP="00B04CDD">
      <w:pPr>
        <w:pStyle w:val="Heading10"/>
      </w:pPr>
      <w:bookmarkStart w:id="206" w:name="Guidance1Heading"/>
      <w:bookmarkStart w:id="207" w:name="_Toc481592326"/>
      <w:bookmarkStart w:id="208" w:name="Guidance1"/>
      <w:bookmarkEnd w:id="159"/>
      <w:r w:rsidRPr="00892DE3">
        <w:t>Guidance section</w:t>
      </w:r>
      <w:r w:rsidR="004B49BC" w:rsidRPr="00892DE3">
        <w:t xml:space="preserve"> 1: </w:t>
      </w:r>
      <w:r w:rsidR="00086706" w:rsidRPr="00892DE3">
        <w:br/>
      </w:r>
      <w:r w:rsidR="004B49BC" w:rsidRPr="00892DE3">
        <w:t>‘</w:t>
      </w:r>
      <w:r w:rsidR="00B04CDD" w:rsidRPr="00892DE3">
        <w:t>How to’ guide to streamline a set of financial statements</w:t>
      </w:r>
      <w:bookmarkEnd w:id="206"/>
      <w:bookmarkEnd w:id="207"/>
    </w:p>
    <w:p w:rsidR="004B49BC" w:rsidRPr="00892DE3" w:rsidRDefault="004B49BC" w:rsidP="004B49BC"/>
    <w:p w:rsidR="00BC7F0A" w:rsidRPr="00892DE3" w:rsidRDefault="00BC7F0A" w:rsidP="0094700F">
      <w:pPr>
        <w:rPr>
          <w:b/>
          <w:sz w:val="28"/>
        </w:rPr>
      </w:pPr>
      <w:r w:rsidRPr="00892DE3">
        <w:rPr>
          <w:b/>
          <w:sz w:val="28"/>
        </w:rPr>
        <w:t>Contents</w:t>
      </w:r>
    </w:p>
    <w:p w:rsidR="00EF420B" w:rsidRPr="00892DE3" w:rsidRDefault="002A033E">
      <w:pPr>
        <w:pStyle w:val="TOC1"/>
        <w:rPr>
          <w:rFonts w:asciiTheme="minorHAnsi" w:eastAsiaTheme="minorEastAsia" w:hAnsiTheme="minorHAnsi"/>
          <w:b w:val="0"/>
          <w:noProof/>
          <w:spacing w:val="0"/>
          <w:sz w:val="22"/>
          <w:szCs w:val="22"/>
          <w:lang w:eastAsia="en-AU"/>
        </w:rPr>
      </w:pPr>
      <w:r w:rsidRPr="00892DE3">
        <w:rPr>
          <w:noProof/>
        </w:rPr>
        <w:fldChar w:fldCharType="begin"/>
      </w:r>
      <w:r w:rsidRPr="00892DE3">
        <w:instrText xml:space="preserve"> TOC \h \z \t "Heading </w:instrText>
      </w:r>
      <w:r w:rsidR="0094700F" w:rsidRPr="00892DE3">
        <w:instrText>2</w:instrText>
      </w:r>
      <w:r w:rsidRPr="00892DE3">
        <w:instrText>,1</w:instrText>
      </w:r>
      <w:r w:rsidR="0094700F" w:rsidRPr="00892DE3">
        <w:instrText>, Heading 3,2</w:instrText>
      </w:r>
      <w:r w:rsidRPr="00892DE3">
        <w:instrText xml:space="preserve">" \b Guidance1 \* MERGEFORMAT </w:instrText>
      </w:r>
      <w:r w:rsidRPr="00892DE3">
        <w:rPr>
          <w:noProof/>
        </w:rPr>
        <w:fldChar w:fldCharType="separate"/>
      </w:r>
      <w:hyperlink w:anchor="_Toc478735876" w:history="1">
        <w:r w:rsidR="00EF420B" w:rsidRPr="00892DE3">
          <w:rPr>
            <w:rStyle w:val="Hyperlink"/>
            <w:noProof/>
          </w:rPr>
          <w:t>G1.</w:t>
        </w:r>
        <w:r w:rsidR="00EF420B" w:rsidRPr="00892DE3">
          <w:rPr>
            <w:rFonts w:asciiTheme="minorHAnsi" w:eastAsiaTheme="minorEastAsia" w:hAnsiTheme="minorHAnsi"/>
            <w:b w:val="0"/>
            <w:noProof/>
            <w:spacing w:val="0"/>
            <w:sz w:val="22"/>
            <w:szCs w:val="22"/>
            <w:lang w:eastAsia="en-AU"/>
          </w:rPr>
          <w:tab/>
        </w:r>
        <w:r w:rsidR="00EF420B" w:rsidRPr="00892DE3">
          <w:rPr>
            <w:rStyle w:val="Hyperlink"/>
            <w:noProof/>
          </w:rPr>
          <w:t>Introduction</w:t>
        </w:r>
        <w:r w:rsidR="00EF420B" w:rsidRPr="00892DE3">
          <w:rPr>
            <w:noProof/>
            <w:webHidden/>
          </w:rPr>
          <w:tab/>
        </w:r>
        <w:r w:rsidR="00EF420B" w:rsidRPr="00892DE3">
          <w:rPr>
            <w:noProof/>
            <w:webHidden/>
          </w:rPr>
          <w:fldChar w:fldCharType="begin"/>
        </w:r>
        <w:r w:rsidR="00EF420B" w:rsidRPr="00892DE3">
          <w:rPr>
            <w:noProof/>
            <w:webHidden/>
          </w:rPr>
          <w:instrText xml:space="preserve"> PAGEREF _Toc478735876 \h </w:instrText>
        </w:r>
        <w:r w:rsidR="00EF420B" w:rsidRPr="00892DE3">
          <w:rPr>
            <w:noProof/>
            <w:webHidden/>
          </w:rPr>
        </w:r>
        <w:r w:rsidR="00EF420B" w:rsidRPr="00892DE3">
          <w:rPr>
            <w:noProof/>
            <w:webHidden/>
          </w:rPr>
          <w:fldChar w:fldCharType="separate"/>
        </w:r>
        <w:r w:rsidR="00F63B17">
          <w:rPr>
            <w:noProof/>
            <w:webHidden/>
          </w:rPr>
          <w:t>220</w:t>
        </w:r>
        <w:r w:rsidR="00EF420B" w:rsidRPr="00892DE3">
          <w:rPr>
            <w:noProof/>
            <w:webHidden/>
          </w:rPr>
          <w:fldChar w:fldCharType="end"/>
        </w:r>
      </w:hyperlink>
    </w:p>
    <w:p w:rsidR="00EF420B" w:rsidRPr="00892DE3" w:rsidRDefault="003C212D">
      <w:pPr>
        <w:pStyle w:val="TOC1"/>
        <w:rPr>
          <w:rFonts w:asciiTheme="minorHAnsi" w:eastAsiaTheme="minorEastAsia" w:hAnsiTheme="minorHAnsi"/>
          <w:b w:val="0"/>
          <w:noProof/>
          <w:spacing w:val="0"/>
          <w:sz w:val="22"/>
          <w:szCs w:val="22"/>
          <w:lang w:eastAsia="en-AU"/>
        </w:rPr>
      </w:pPr>
      <w:hyperlink w:anchor="_Toc478735877" w:history="1">
        <w:r w:rsidR="00EF420B" w:rsidRPr="00892DE3">
          <w:rPr>
            <w:rStyle w:val="Hyperlink"/>
            <w:noProof/>
          </w:rPr>
          <w:t>G2.</w:t>
        </w:r>
        <w:r w:rsidR="00EF420B" w:rsidRPr="00892DE3">
          <w:rPr>
            <w:rFonts w:asciiTheme="minorHAnsi" w:eastAsiaTheme="minorEastAsia" w:hAnsiTheme="minorHAnsi"/>
            <w:b w:val="0"/>
            <w:noProof/>
            <w:spacing w:val="0"/>
            <w:sz w:val="22"/>
            <w:szCs w:val="22"/>
            <w:lang w:eastAsia="en-AU"/>
          </w:rPr>
          <w:tab/>
        </w:r>
        <w:r w:rsidR="00EF420B" w:rsidRPr="00892DE3">
          <w:rPr>
            <w:rStyle w:val="Hyperlink"/>
            <w:noProof/>
          </w:rPr>
          <w:t>The process of streamlining</w:t>
        </w:r>
        <w:r w:rsidR="00EF420B" w:rsidRPr="00892DE3">
          <w:rPr>
            <w:noProof/>
            <w:webHidden/>
          </w:rPr>
          <w:tab/>
        </w:r>
        <w:r w:rsidR="00EF420B" w:rsidRPr="00892DE3">
          <w:rPr>
            <w:noProof/>
            <w:webHidden/>
          </w:rPr>
          <w:fldChar w:fldCharType="begin"/>
        </w:r>
        <w:r w:rsidR="00EF420B" w:rsidRPr="00892DE3">
          <w:rPr>
            <w:noProof/>
            <w:webHidden/>
          </w:rPr>
          <w:instrText xml:space="preserve"> PAGEREF _Toc478735877 \h </w:instrText>
        </w:r>
        <w:r w:rsidR="00EF420B" w:rsidRPr="00892DE3">
          <w:rPr>
            <w:noProof/>
            <w:webHidden/>
          </w:rPr>
        </w:r>
        <w:r w:rsidR="00EF420B" w:rsidRPr="00892DE3">
          <w:rPr>
            <w:noProof/>
            <w:webHidden/>
          </w:rPr>
          <w:fldChar w:fldCharType="separate"/>
        </w:r>
        <w:r w:rsidR="00F63B17">
          <w:rPr>
            <w:noProof/>
            <w:webHidden/>
          </w:rPr>
          <w:t>221</w:t>
        </w:r>
        <w:r w:rsidR="00EF420B" w:rsidRPr="00892DE3">
          <w:rPr>
            <w:noProof/>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78" w:history="1">
        <w:r w:rsidR="00EF420B" w:rsidRPr="00892DE3">
          <w:rPr>
            <w:rStyle w:val="Hyperlink"/>
          </w:rPr>
          <w:t>G2.1</w:t>
        </w:r>
        <w:r w:rsidR="00EF420B" w:rsidRPr="00892DE3">
          <w:rPr>
            <w:rFonts w:asciiTheme="minorHAnsi" w:eastAsiaTheme="minorEastAsia" w:hAnsiTheme="minorHAnsi"/>
            <w:spacing w:val="0"/>
            <w:sz w:val="22"/>
            <w:szCs w:val="22"/>
            <w:lang w:eastAsia="en-AU"/>
          </w:rPr>
          <w:tab/>
        </w:r>
        <w:r w:rsidR="00EF420B" w:rsidRPr="00892DE3">
          <w:rPr>
            <w:rStyle w:val="Hyperlink"/>
          </w:rPr>
          <w:t>Stakeholder engagement</w:t>
        </w:r>
        <w:r w:rsidR="00EF420B" w:rsidRPr="00892DE3">
          <w:rPr>
            <w:webHidden/>
          </w:rPr>
          <w:tab/>
        </w:r>
        <w:r w:rsidR="00EF420B" w:rsidRPr="00892DE3">
          <w:rPr>
            <w:webHidden/>
          </w:rPr>
          <w:fldChar w:fldCharType="begin"/>
        </w:r>
        <w:r w:rsidR="00EF420B" w:rsidRPr="00892DE3">
          <w:rPr>
            <w:webHidden/>
          </w:rPr>
          <w:instrText xml:space="preserve"> PAGEREF _Toc478735878 \h </w:instrText>
        </w:r>
        <w:r w:rsidR="00EF420B" w:rsidRPr="00892DE3">
          <w:rPr>
            <w:webHidden/>
          </w:rPr>
        </w:r>
        <w:r w:rsidR="00EF420B" w:rsidRPr="00892DE3">
          <w:rPr>
            <w:webHidden/>
          </w:rPr>
          <w:fldChar w:fldCharType="separate"/>
        </w:r>
        <w:r w:rsidR="00F63B17">
          <w:rPr>
            <w:webHidden/>
          </w:rPr>
          <w:t>221</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79" w:history="1">
        <w:r w:rsidR="00EF420B" w:rsidRPr="00892DE3">
          <w:rPr>
            <w:rStyle w:val="Hyperlink"/>
          </w:rPr>
          <w:t>G2.2</w:t>
        </w:r>
        <w:r w:rsidR="00EF420B" w:rsidRPr="00892DE3">
          <w:rPr>
            <w:rFonts w:asciiTheme="minorHAnsi" w:eastAsiaTheme="minorEastAsia" w:hAnsiTheme="minorHAnsi"/>
            <w:spacing w:val="0"/>
            <w:sz w:val="22"/>
            <w:szCs w:val="22"/>
            <w:lang w:eastAsia="en-AU"/>
          </w:rPr>
          <w:tab/>
        </w:r>
        <w:r w:rsidR="00EF420B" w:rsidRPr="00892DE3">
          <w:rPr>
            <w:rStyle w:val="Hyperlink"/>
          </w:rPr>
          <w:t>Determine materiality</w:t>
        </w:r>
        <w:r w:rsidR="00EF420B" w:rsidRPr="00892DE3">
          <w:rPr>
            <w:webHidden/>
          </w:rPr>
          <w:tab/>
        </w:r>
        <w:r w:rsidR="00EF420B" w:rsidRPr="00892DE3">
          <w:rPr>
            <w:webHidden/>
          </w:rPr>
          <w:fldChar w:fldCharType="begin"/>
        </w:r>
        <w:r w:rsidR="00EF420B" w:rsidRPr="00892DE3">
          <w:rPr>
            <w:webHidden/>
          </w:rPr>
          <w:instrText xml:space="preserve"> PAGEREF _Toc478735879 \h </w:instrText>
        </w:r>
        <w:r w:rsidR="00EF420B" w:rsidRPr="00892DE3">
          <w:rPr>
            <w:webHidden/>
          </w:rPr>
        </w:r>
        <w:r w:rsidR="00EF420B" w:rsidRPr="00892DE3">
          <w:rPr>
            <w:webHidden/>
          </w:rPr>
          <w:fldChar w:fldCharType="separate"/>
        </w:r>
        <w:r w:rsidR="00F63B17">
          <w:rPr>
            <w:webHidden/>
          </w:rPr>
          <w:t>222</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80" w:history="1">
        <w:r w:rsidR="00EF420B" w:rsidRPr="00892DE3">
          <w:rPr>
            <w:rStyle w:val="Hyperlink"/>
          </w:rPr>
          <w:t>G2.3</w:t>
        </w:r>
        <w:r w:rsidR="00EF420B" w:rsidRPr="00892DE3">
          <w:rPr>
            <w:rFonts w:asciiTheme="minorHAnsi" w:eastAsiaTheme="minorEastAsia" w:hAnsiTheme="minorHAnsi"/>
            <w:spacing w:val="0"/>
            <w:sz w:val="22"/>
            <w:szCs w:val="22"/>
            <w:lang w:eastAsia="en-AU"/>
          </w:rPr>
          <w:tab/>
        </w:r>
        <w:r w:rsidR="00EF420B" w:rsidRPr="00892DE3">
          <w:rPr>
            <w:rStyle w:val="Hyperlink"/>
          </w:rPr>
          <w:t>Reorder accounting policies, critical estimates and judgements</w:t>
        </w:r>
        <w:r w:rsidR="00EF420B" w:rsidRPr="00892DE3">
          <w:rPr>
            <w:webHidden/>
          </w:rPr>
          <w:tab/>
        </w:r>
        <w:r w:rsidR="00EF420B" w:rsidRPr="00892DE3">
          <w:rPr>
            <w:webHidden/>
          </w:rPr>
          <w:fldChar w:fldCharType="begin"/>
        </w:r>
        <w:r w:rsidR="00EF420B" w:rsidRPr="00892DE3">
          <w:rPr>
            <w:webHidden/>
          </w:rPr>
          <w:instrText xml:space="preserve"> PAGEREF _Toc478735880 \h </w:instrText>
        </w:r>
        <w:r w:rsidR="00EF420B" w:rsidRPr="00892DE3">
          <w:rPr>
            <w:webHidden/>
          </w:rPr>
        </w:r>
        <w:r w:rsidR="00EF420B" w:rsidRPr="00892DE3">
          <w:rPr>
            <w:webHidden/>
          </w:rPr>
          <w:fldChar w:fldCharType="separate"/>
        </w:r>
        <w:r w:rsidR="00F63B17">
          <w:rPr>
            <w:webHidden/>
          </w:rPr>
          <w:t>223</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81" w:history="1">
        <w:r w:rsidR="00EF420B" w:rsidRPr="00892DE3">
          <w:rPr>
            <w:rStyle w:val="Hyperlink"/>
          </w:rPr>
          <w:t>G2.4</w:t>
        </w:r>
        <w:r w:rsidR="00EF420B" w:rsidRPr="00892DE3">
          <w:rPr>
            <w:rFonts w:asciiTheme="minorHAnsi" w:eastAsiaTheme="minorEastAsia" w:hAnsiTheme="minorHAnsi"/>
            <w:spacing w:val="0"/>
            <w:sz w:val="22"/>
            <w:szCs w:val="22"/>
            <w:lang w:eastAsia="en-AU"/>
          </w:rPr>
          <w:tab/>
        </w:r>
        <w:r w:rsidR="00EF420B" w:rsidRPr="00892DE3">
          <w:rPr>
            <w:rStyle w:val="Hyperlink"/>
          </w:rPr>
          <w:t>Reorder and group the notes to the financial statements into relevant sections</w:t>
        </w:r>
        <w:r w:rsidR="00EF420B" w:rsidRPr="00892DE3">
          <w:rPr>
            <w:webHidden/>
          </w:rPr>
          <w:tab/>
        </w:r>
        <w:r w:rsidR="00EF420B" w:rsidRPr="00892DE3">
          <w:rPr>
            <w:webHidden/>
          </w:rPr>
          <w:fldChar w:fldCharType="begin"/>
        </w:r>
        <w:r w:rsidR="00EF420B" w:rsidRPr="00892DE3">
          <w:rPr>
            <w:webHidden/>
          </w:rPr>
          <w:instrText xml:space="preserve"> PAGEREF _Toc478735881 \h </w:instrText>
        </w:r>
        <w:r w:rsidR="00EF420B" w:rsidRPr="00892DE3">
          <w:rPr>
            <w:webHidden/>
          </w:rPr>
        </w:r>
        <w:r w:rsidR="00EF420B" w:rsidRPr="00892DE3">
          <w:rPr>
            <w:webHidden/>
          </w:rPr>
          <w:fldChar w:fldCharType="separate"/>
        </w:r>
        <w:r w:rsidR="00F63B17">
          <w:rPr>
            <w:webHidden/>
          </w:rPr>
          <w:t>223</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82" w:history="1">
        <w:r w:rsidR="00EF420B" w:rsidRPr="00892DE3">
          <w:rPr>
            <w:rStyle w:val="Hyperlink"/>
          </w:rPr>
          <w:t>G2.5</w:t>
        </w:r>
        <w:r w:rsidR="00EF420B" w:rsidRPr="00892DE3">
          <w:rPr>
            <w:rFonts w:asciiTheme="minorHAnsi" w:eastAsiaTheme="minorEastAsia" w:hAnsiTheme="minorHAnsi"/>
            <w:spacing w:val="0"/>
            <w:sz w:val="22"/>
            <w:szCs w:val="22"/>
            <w:lang w:eastAsia="en-AU"/>
          </w:rPr>
          <w:tab/>
        </w:r>
        <w:r w:rsidR="00EF420B" w:rsidRPr="00892DE3">
          <w:rPr>
            <w:rStyle w:val="Hyperlink"/>
          </w:rPr>
          <w:t>Remove immaterial disclosures</w:t>
        </w:r>
        <w:r w:rsidR="00EF420B" w:rsidRPr="00892DE3">
          <w:rPr>
            <w:webHidden/>
          </w:rPr>
          <w:tab/>
        </w:r>
        <w:r w:rsidR="00EF420B" w:rsidRPr="00892DE3">
          <w:rPr>
            <w:webHidden/>
          </w:rPr>
          <w:fldChar w:fldCharType="begin"/>
        </w:r>
        <w:r w:rsidR="00EF420B" w:rsidRPr="00892DE3">
          <w:rPr>
            <w:webHidden/>
          </w:rPr>
          <w:instrText xml:space="preserve"> PAGEREF _Toc478735882 \h </w:instrText>
        </w:r>
        <w:r w:rsidR="00EF420B" w:rsidRPr="00892DE3">
          <w:rPr>
            <w:webHidden/>
          </w:rPr>
        </w:r>
        <w:r w:rsidR="00EF420B" w:rsidRPr="00892DE3">
          <w:rPr>
            <w:webHidden/>
          </w:rPr>
          <w:fldChar w:fldCharType="separate"/>
        </w:r>
        <w:r w:rsidR="00F63B17">
          <w:rPr>
            <w:webHidden/>
          </w:rPr>
          <w:t>225</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83" w:history="1">
        <w:r w:rsidR="00EF420B" w:rsidRPr="00892DE3">
          <w:rPr>
            <w:rStyle w:val="Hyperlink"/>
          </w:rPr>
          <w:t>G2.6</w:t>
        </w:r>
        <w:r w:rsidR="00EF420B" w:rsidRPr="00892DE3">
          <w:rPr>
            <w:rFonts w:asciiTheme="minorHAnsi" w:eastAsiaTheme="minorEastAsia" w:hAnsiTheme="minorHAnsi"/>
            <w:spacing w:val="0"/>
            <w:sz w:val="22"/>
            <w:szCs w:val="22"/>
            <w:lang w:eastAsia="en-AU"/>
          </w:rPr>
          <w:tab/>
        </w:r>
        <w:r w:rsidR="00EF420B" w:rsidRPr="00892DE3">
          <w:rPr>
            <w:rStyle w:val="Hyperlink"/>
          </w:rPr>
          <w:t>Gain in-principle agreement of judgements made and proposed changes</w:t>
        </w:r>
        <w:r w:rsidR="00EF420B" w:rsidRPr="00892DE3">
          <w:rPr>
            <w:webHidden/>
          </w:rPr>
          <w:tab/>
        </w:r>
        <w:r w:rsidR="00EF420B" w:rsidRPr="00892DE3">
          <w:rPr>
            <w:webHidden/>
          </w:rPr>
          <w:fldChar w:fldCharType="begin"/>
        </w:r>
        <w:r w:rsidR="00EF420B" w:rsidRPr="00892DE3">
          <w:rPr>
            <w:webHidden/>
          </w:rPr>
          <w:instrText xml:space="preserve"> PAGEREF _Toc478735883 \h </w:instrText>
        </w:r>
        <w:r w:rsidR="00EF420B" w:rsidRPr="00892DE3">
          <w:rPr>
            <w:webHidden/>
          </w:rPr>
        </w:r>
        <w:r w:rsidR="00EF420B" w:rsidRPr="00892DE3">
          <w:rPr>
            <w:webHidden/>
          </w:rPr>
          <w:fldChar w:fldCharType="separate"/>
        </w:r>
        <w:r w:rsidR="00F63B17">
          <w:rPr>
            <w:webHidden/>
          </w:rPr>
          <w:t>225</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84" w:history="1">
        <w:r w:rsidR="00EF420B" w:rsidRPr="00892DE3">
          <w:rPr>
            <w:rStyle w:val="Hyperlink"/>
          </w:rPr>
          <w:t>G2.7</w:t>
        </w:r>
        <w:r w:rsidR="00EF420B" w:rsidRPr="00892DE3">
          <w:rPr>
            <w:rFonts w:asciiTheme="minorHAnsi" w:eastAsiaTheme="minorEastAsia" w:hAnsiTheme="minorHAnsi"/>
            <w:spacing w:val="0"/>
            <w:sz w:val="22"/>
            <w:szCs w:val="22"/>
            <w:lang w:eastAsia="en-AU"/>
          </w:rPr>
          <w:tab/>
        </w:r>
        <w:r w:rsidR="00EF420B" w:rsidRPr="00892DE3">
          <w:rPr>
            <w:rStyle w:val="Hyperlink"/>
          </w:rPr>
          <w:t>Process changes and rewrite technical wording into plain English</w:t>
        </w:r>
        <w:r w:rsidR="00EF420B" w:rsidRPr="00892DE3">
          <w:rPr>
            <w:webHidden/>
          </w:rPr>
          <w:tab/>
        </w:r>
        <w:r w:rsidR="00EF420B" w:rsidRPr="00892DE3">
          <w:rPr>
            <w:webHidden/>
          </w:rPr>
          <w:fldChar w:fldCharType="begin"/>
        </w:r>
        <w:r w:rsidR="00EF420B" w:rsidRPr="00892DE3">
          <w:rPr>
            <w:webHidden/>
          </w:rPr>
          <w:instrText xml:space="preserve"> PAGEREF _Toc478735884 \h </w:instrText>
        </w:r>
        <w:r w:rsidR="00EF420B" w:rsidRPr="00892DE3">
          <w:rPr>
            <w:webHidden/>
          </w:rPr>
        </w:r>
        <w:r w:rsidR="00EF420B" w:rsidRPr="00892DE3">
          <w:rPr>
            <w:webHidden/>
          </w:rPr>
          <w:fldChar w:fldCharType="separate"/>
        </w:r>
        <w:r w:rsidR="00F63B17">
          <w:rPr>
            <w:webHidden/>
          </w:rPr>
          <w:t>225</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85" w:history="1">
        <w:r w:rsidR="00EF420B" w:rsidRPr="00892DE3">
          <w:rPr>
            <w:rStyle w:val="Hyperlink"/>
          </w:rPr>
          <w:t>G2.8</w:t>
        </w:r>
        <w:r w:rsidR="00EF420B" w:rsidRPr="00892DE3">
          <w:rPr>
            <w:rFonts w:asciiTheme="minorHAnsi" w:eastAsiaTheme="minorEastAsia" w:hAnsiTheme="minorHAnsi"/>
            <w:spacing w:val="0"/>
            <w:sz w:val="22"/>
            <w:szCs w:val="22"/>
            <w:lang w:eastAsia="en-AU"/>
          </w:rPr>
          <w:tab/>
        </w:r>
        <w:r w:rsidR="00EF420B" w:rsidRPr="00892DE3">
          <w:rPr>
            <w:rStyle w:val="Hyperlink"/>
          </w:rPr>
          <w:t>Prepare a consultation draft for review and obtain approval</w:t>
        </w:r>
        <w:r w:rsidR="00EF420B" w:rsidRPr="00892DE3">
          <w:rPr>
            <w:webHidden/>
          </w:rPr>
          <w:tab/>
        </w:r>
        <w:r w:rsidR="00EF420B" w:rsidRPr="00892DE3">
          <w:rPr>
            <w:webHidden/>
          </w:rPr>
          <w:fldChar w:fldCharType="begin"/>
        </w:r>
        <w:r w:rsidR="00EF420B" w:rsidRPr="00892DE3">
          <w:rPr>
            <w:webHidden/>
          </w:rPr>
          <w:instrText xml:space="preserve"> PAGEREF _Toc478735885 \h </w:instrText>
        </w:r>
        <w:r w:rsidR="00EF420B" w:rsidRPr="00892DE3">
          <w:rPr>
            <w:webHidden/>
          </w:rPr>
        </w:r>
        <w:r w:rsidR="00EF420B" w:rsidRPr="00892DE3">
          <w:rPr>
            <w:webHidden/>
          </w:rPr>
          <w:fldChar w:fldCharType="separate"/>
        </w:r>
        <w:r w:rsidR="00F63B17">
          <w:rPr>
            <w:webHidden/>
          </w:rPr>
          <w:t>226</w:t>
        </w:r>
        <w:r w:rsidR="00EF420B" w:rsidRPr="00892DE3">
          <w:rPr>
            <w:webHidden/>
          </w:rPr>
          <w:fldChar w:fldCharType="end"/>
        </w:r>
      </w:hyperlink>
    </w:p>
    <w:p w:rsidR="00EF420B" w:rsidRPr="00892DE3" w:rsidRDefault="003C212D">
      <w:pPr>
        <w:pStyle w:val="TOC1"/>
        <w:rPr>
          <w:rFonts w:asciiTheme="minorHAnsi" w:eastAsiaTheme="minorEastAsia" w:hAnsiTheme="minorHAnsi"/>
          <w:b w:val="0"/>
          <w:noProof/>
          <w:spacing w:val="0"/>
          <w:sz w:val="22"/>
          <w:szCs w:val="22"/>
          <w:lang w:eastAsia="en-AU"/>
        </w:rPr>
      </w:pPr>
      <w:hyperlink w:anchor="_Toc478735886" w:history="1">
        <w:r w:rsidR="00EF420B" w:rsidRPr="00892DE3">
          <w:rPr>
            <w:rStyle w:val="Hyperlink"/>
            <w:noProof/>
          </w:rPr>
          <w:t>G3.</w:t>
        </w:r>
        <w:r w:rsidR="00EF420B" w:rsidRPr="00892DE3">
          <w:rPr>
            <w:rFonts w:asciiTheme="minorHAnsi" w:eastAsiaTheme="minorEastAsia" w:hAnsiTheme="minorHAnsi"/>
            <w:b w:val="0"/>
            <w:noProof/>
            <w:spacing w:val="0"/>
            <w:sz w:val="22"/>
            <w:szCs w:val="22"/>
            <w:lang w:eastAsia="en-AU"/>
          </w:rPr>
          <w:tab/>
        </w:r>
        <w:r w:rsidR="00EF420B" w:rsidRPr="00892DE3">
          <w:rPr>
            <w:rStyle w:val="Hyperlink"/>
            <w:noProof/>
          </w:rPr>
          <w:t>Further information</w:t>
        </w:r>
        <w:r w:rsidR="00EF420B" w:rsidRPr="00892DE3">
          <w:rPr>
            <w:noProof/>
            <w:webHidden/>
          </w:rPr>
          <w:tab/>
        </w:r>
        <w:r w:rsidR="00EF420B" w:rsidRPr="00892DE3">
          <w:rPr>
            <w:noProof/>
            <w:webHidden/>
          </w:rPr>
          <w:fldChar w:fldCharType="begin"/>
        </w:r>
        <w:r w:rsidR="00EF420B" w:rsidRPr="00892DE3">
          <w:rPr>
            <w:noProof/>
            <w:webHidden/>
          </w:rPr>
          <w:instrText xml:space="preserve"> PAGEREF _Toc478735886 \h </w:instrText>
        </w:r>
        <w:r w:rsidR="00EF420B" w:rsidRPr="00892DE3">
          <w:rPr>
            <w:noProof/>
            <w:webHidden/>
          </w:rPr>
        </w:r>
        <w:r w:rsidR="00EF420B" w:rsidRPr="00892DE3">
          <w:rPr>
            <w:noProof/>
            <w:webHidden/>
          </w:rPr>
          <w:fldChar w:fldCharType="separate"/>
        </w:r>
        <w:r w:rsidR="00F63B17">
          <w:rPr>
            <w:noProof/>
            <w:webHidden/>
          </w:rPr>
          <w:t>226</w:t>
        </w:r>
        <w:r w:rsidR="00EF420B" w:rsidRPr="00892DE3">
          <w:rPr>
            <w:noProof/>
            <w:webHidden/>
          </w:rPr>
          <w:fldChar w:fldCharType="end"/>
        </w:r>
      </w:hyperlink>
    </w:p>
    <w:p w:rsidR="00EF420B" w:rsidRPr="00892DE3" w:rsidRDefault="003C212D">
      <w:pPr>
        <w:pStyle w:val="TOC1"/>
        <w:rPr>
          <w:rFonts w:asciiTheme="minorHAnsi" w:eastAsiaTheme="minorEastAsia" w:hAnsiTheme="minorHAnsi"/>
          <w:b w:val="0"/>
          <w:noProof/>
          <w:spacing w:val="0"/>
          <w:sz w:val="22"/>
          <w:szCs w:val="22"/>
          <w:lang w:eastAsia="en-AU"/>
        </w:rPr>
      </w:pPr>
      <w:hyperlink w:anchor="_Toc478735887" w:history="1">
        <w:r w:rsidR="00EF420B" w:rsidRPr="00892DE3">
          <w:rPr>
            <w:rStyle w:val="Hyperlink"/>
            <w:noProof/>
          </w:rPr>
          <w:t>G4.</w:t>
        </w:r>
        <w:r w:rsidR="00EF420B" w:rsidRPr="00892DE3">
          <w:rPr>
            <w:rFonts w:asciiTheme="minorHAnsi" w:eastAsiaTheme="minorEastAsia" w:hAnsiTheme="minorHAnsi"/>
            <w:b w:val="0"/>
            <w:noProof/>
            <w:spacing w:val="0"/>
            <w:sz w:val="22"/>
            <w:szCs w:val="22"/>
            <w:lang w:eastAsia="en-AU"/>
          </w:rPr>
          <w:tab/>
        </w:r>
        <w:r w:rsidR="00EF420B" w:rsidRPr="00892DE3">
          <w:rPr>
            <w:rStyle w:val="Hyperlink"/>
            <w:noProof/>
          </w:rPr>
          <w:t>Example materiality documentation template</w:t>
        </w:r>
        <w:r w:rsidR="00EF420B" w:rsidRPr="00892DE3">
          <w:rPr>
            <w:noProof/>
            <w:webHidden/>
          </w:rPr>
          <w:tab/>
        </w:r>
        <w:r w:rsidR="00EF420B" w:rsidRPr="00892DE3">
          <w:rPr>
            <w:noProof/>
            <w:webHidden/>
          </w:rPr>
          <w:fldChar w:fldCharType="begin"/>
        </w:r>
        <w:r w:rsidR="00EF420B" w:rsidRPr="00892DE3">
          <w:rPr>
            <w:noProof/>
            <w:webHidden/>
          </w:rPr>
          <w:instrText xml:space="preserve"> PAGEREF _Toc478735887 \h </w:instrText>
        </w:r>
        <w:r w:rsidR="00EF420B" w:rsidRPr="00892DE3">
          <w:rPr>
            <w:noProof/>
            <w:webHidden/>
          </w:rPr>
        </w:r>
        <w:r w:rsidR="00EF420B" w:rsidRPr="00892DE3">
          <w:rPr>
            <w:noProof/>
            <w:webHidden/>
          </w:rPr>
          <w:fldChar w:fldCharType="separate"/>
        </w:r>
        <w:r w:rsidR="00F63B17">
          <w:rPr>
            <w:noProof/>
            <w:webHidden/>
          </w:rPr>
          <w:t>227</w:t>
        </w:r>
        <w:r w:rsidR="00EF420B" w:rsidRPr="00892DE3">
          <w:rPr>
            <w:noProof/>
            <w:webHidden/>
          </w:rPr>
          <w:fldChar w:fldCharType="end"/>
        </w:r>
      </w:hyperlink>
    </w:p>
    <w:p w:rsidR="00EF420B" w:rsidRPr="00892DE3" w:rsidRDefault="003C212D">
      <w:pPr>
        <w:pStyle w:val="TOC1"/>
        <w:rPr>
          <w:rFonts w:asciiTheme="minorHAnsi" w:eastAsiaTheme="minorEastAsia" w:hAnsiTheme="minorHAnsi"/>
          <w:b w:val="0"/>
          <w:noProof/>
          <w:spacing w:val="0"/>
          <w:sz w:val="22"/>
          <w:szCs w:val="22"/>
          <w:lang w:eastAsia="en-AU"/>
        </w:rPr>
      </w:pPr>
      <w:hyperlink w:anchor="_Toc478735888" w:history="1">
        <w:r w:rsidR="00EF420B" w:rsidRPr="00892DE3">
          <w:rPr>
            <w:rStyle w:val="Hyperlink"/>
            <w:noProof/>
          </w:rPr>
          <w:t>G5.</w:t>
        </w:r>
        <w:r w:rsidR="00EF420B" w:rsidRPr="00892DE3">
          <w:rPr>
            <w:rFonts w:asciiTheme="minorHAnsi" w:eastAsiaTheme="minorEastAsia" w:hAnsiTheme="minorHAnsi"/>
            <w:b w:val="0"/>
            <w:noProof/>
            <w:spacing w:val="0"/>
            <w:sz w:val="22"/>
            <w:szCs w:val="22"/>
            <w:lang w:eastAsia="en-AU"/>
          </w:rPr>
          <w:tab/>
        </w:r>
        <w:r w:rsidR="00EF420B" w:rsidRPr="00892DE3">
          <w:rPr>
            <w:rStyle w:val="Hyperlink"/>
            <w:noProof/>
          </w:rPr>
          <w:t>Example of revised note structure for departments</w:t>
        </w:r>
        <w:r w:rsidR="00EF420B" w:rsidRPr="00892DE3">
          <w:rPr>
            <w:noProof/>
            <w:webHidden/>
          </w:rPr>
          <w:tab/>
        </w:r>
        <w:r w:rsidR="00EF420B" w:rsidRPr="00892DE3">
          <w:rPr>
            <w:noProof/>
            <w:webHidden/>
          </w:rPr>
          <w:fldChar w:fldCharType="begin"/>
        </w:r>
        <w:r w:rsidR="00EF420B" w:rsidRPr="00892DE3">
          <w:rPr>
            <w:noProof/>
            <w:webHidden/>
          </w:rPr>
          <w:instrText xml:space="preserve"> PAGEREF _Toc478735888 \h </w:instrText>
        </w:r>
        <w:r w:rsidR="00EF420B" w:rsidRPr="00892DE3">
          <w:rPr>
            <w:noProof/>
            <w:webHidden/>
          </w:rPr>
        </w:r>
        <w:r w:rsidR="00EF420B" w:rsidRPr="00892DE3">
          <w:rPr>
            <w:noProof/>
            <w:webHidden/>
          </w:rPr>
          <w:fldChar w:fldCharType="separate"/>
        </w:r>
        <w:r w:rsidR="00F63B17">
          <w:rPr>
            <w:noProof/>
            <w:webHidden/>
          </w:rPr>
          <w:t>228</w:t>
        </w:r>
        <w:r w:rsidR="00EF420B" w:rsidRPr="00892DE3">
          <w:rPr>
            <w:noProof/>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89" w:history="1">
        <w:r w:rsidR="00EF420B" w:rsidRPr="00892DE3">
          <w:rPr>
            <w:rStyle w:val="Hyperlink"/>
          </w:rPr>
          <w:t>Australia Post financial and statutory reports 2016, page 1</w:t>
        </w:r>
        <w:r w:rsidR="00EF420B" w:rsidRPr="00892DE3">
          <w:rPr>
            <w:webHidden/>
          </w:rPr>
          <w:tab/>
        </w:r>
        <w:r w:rsidR="00EF420B" w:rsidRPr="00892DE3">
          <w:rPr>
            <w:webHidden/>
          </w:rPr>
          <w:fldChar w:fldCharType="begin"/>
        </w:r>
        <w:r w:rsidR="00EF420B" w:rsidRPr="00892DE3">
          <w:rPr>
            <w:webHidden/>
          </w:rPr>
          <w:instrText xml:space="preserve"> PAGEREF _Toc478735889 \h </w:instrText>
        </w:r>
        <w:r w:rsidR="00EF420B" w:rsidRPr="00892DE3">
          <w:rPr>
            <w:webHidden/>
          </w:rPr>
        </w:r>
        <w:r w:rsidR="00EF420B" w:rsidRPr="00892DE3">
          <w:rPr>
            <w:webHidden/>
          </w:rPr>
          <w:fldChar w:fldCharType="separate"/>
        </w:r>
        <w:r w:rsidR="00F63B17">
          <w:rPr>
            <w:webHidden/>
          </w:rPr>
          <w:t>229</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90" w:history="1">
        <w:r w:rsidR="00EF420B" w:rsidRPr="00892DE3">
          <w:rPr>
            <w:rStyle w:val="Hyperlink"/>
          </w:rPr>
          <w:t>Telstra Annual Report 2016, page 76</w:t>
        </w:r>
        <w:r w:rsidR="00EF420B" w:rsidRPr="00892DE3">
          <w:rPr>
            <w:webHidden/>
          </w:rPr>
          <w:tab/>
        </w:r>
        <w:r w:rsidR="00EF420B" w:rsidRPr="00892DE3">
          <w:rPr>
            <w:webHidden/>
          </w:rPr>
          <w:fldChar w:fldCharType="begin"/>
        </w:r>
        <w:r w:rsidR="00EF420B" w:rsidRPr="00892DE3">
          <w:rPr>
            <w:webHidden/>
          </w:rPr>
          <w:instrText xml:space="preserve"> PAGEREF _Toc478735890 \h </w:instrText>
        </w:r>
        <w:r w:rsidR="00EF420B" w:rsidRPr="00892DE3">
          <w:rPr>
            <w:webHidden/>
          </w:rPr>
        </w:r>
        <w:r w:rsidR="00EF420B" w:rsidRPr="00892DE3">
          <w:rPr>
            <w:webHidden/>
          </w:rPr>
          <w:fldChar w:fldCharType="separate"/>
        </w:r>
        <w:r w:rsidR="00F63B17">
          <w:rPr>
            <w:webHidden/>
          </w:rPr>
          <w:t>230</w:t>
        </w:r>
        <w:r w:rsidR="00EF420B" w:rsidRPr="00892DE3">
          <w:rPr>
            <w:webHidden/>
          </w:rPr>
          <w:fldChar w:fldCharType="end"/>
        </w:r>
      </w:hyperlink>
    </w:p>
    <w:p w:rsidR="00EF420B" w:rsidRPr="00892DE3" w:rsidRDefault="003C212D">
      <w:pPr>
        <w:pStyle w:val="TOC2"/>
        <w:rPr>
          <w:rFonts w:asciiTheme="minorHAnsi" w:eastAsiaTheme="minorEastAsia" w:hAnsiTheme="minorHAnsi"/>
          <w:spacing w:val="0"/>
          <w:sz w:val="22"/>
          <w:szCs w:val="22"/>
          <w:lang w:eastAsia="en-AU"/>
        </w:rPr>
      </w:pPr>
      <w:hyperlink w:anchor="_Toc478735891" w:history="1">
        <w:r w:rsidR="00EF420B" w:rsidRPr="00892DE3">
          <w:rPr>
            <w:rStyle w:val="Hyperlink"/>
          </w:rPr>
          <w:t>Downer Annual Report 2016, page 48</w:t>
        </w:r>
        <w:r w:rsidR="00EF420B" w:rsidRPr="00892DE3">
          <w:rPr>
            <w:webHidden/>
          </w:rPr>
          <w:tab/>
        </w:r>
        <w:r w:rsidR="00EF420B" w:rsidRPr="00892DE3">
          <w:rPr>
            <w:webHidden/>
          </w:rPr>
          <w:fldChar w:fldCharType="begin"/>
        </w:r>
        <w:r w:rsidR="00EF420B" w:rsidRPr="00892DE3">
          <w:rPr>
            <w:webHidden/>
          </w:rPr>
          <w:instrText xml:space="preserve"> PAGEREF _Toc478735891 \h </w:instrText>
        </w:r>
        <w:r w:rsidR="00EF420B" w:rsidRPr="00892DE3">
          <w:rPr>
            <w:webHidden/>
          </w:rPr>
        </w:r>
        <w:r w:rsidR="00EF420B" w:rsidRPr="00892DE3">
          <w:rPr>
            <w:webHidden/>
          </w:rPr>
          <w:fldChar w:fldCharType="separate"/>
        </w:r>
        <w:r w:rsidR="00F63B17">
          <w:rPr>
            <w:webHidden/>
          </w:rPr>
          <w:t>231</w:t>
        </w:r>
        <w:r w:rsidR="00EF420B" w:rsidRPr="00892DE3">
          <w:rPr>
            <w:webHidden/>
          </w:rPr>
          <w:fldChar w:fldCharType="end"/>
        </w:r>
      </w:hyperlink>
    </w:p>
    <w:p w:rsidR="00EF420B" w:rsidRPr="00892DE3" w:rsidRDefault="003C212D">
      <w:pPr>
        <w:pStyle w:val="TOC1"/>
        <w:rPr>
          <w:rFonts w:asciiTheme="minorHAnsi" w:eastAsiaTheme="minorEastAsia" w:hAnsiTheme="minorHAnsi"/>
          <w:b w:val="0"/>
          <w:noProof/>
          <w:spacing w:val="0"/>
          <w:sz w:val="22"/>
          <w:szCs w:val="22"/>
          <w:lang w:eastAsia="en-AU"/>
        </w:rPr>
      </w:pPr>
      <w:hyperlink w:anchor="_Toc478735892" w:history="1">
        <w:r w:rsidR="00EF420B" w:rsidRPr="00892DE3">
          <w:rPr>
            <w:rStyle w:val="Hyperlink"/>
            <w:noProof/>
          </w:rPr>
          <w:t>G6.</w:t>
        </w:r>
        <w:r w:rsidR="00EF420B" w:rsidRPr="00892DE3">
          <w:rPr>
            <w:rFonts w:asciiTheme="minorHAnsi" w:eastAsiaTheme="minorEastAsia" w:hAnsiTheme="minorHAnsi"/>
            <w:b w:val="0"/>
            <w:noProof/>
            <w:spacing w:val="0"/>
            <w:sz w:val="22"/>
            <w:szCs w:val="22"/>
            <w:lang w:eastAsia="en-AU"/>
          </w:rPr>
          <w:tab/>
        </w:r>
        <w:r w:rsidR="00EF420B" w:rsidRPr="00892DE3">
          <w:rPr>
            <w:rStyle w:val="Hyperlink"/>
            <w:noProof/>
          </w:rPr>
          <w:t>Example of note mapping template</w:t>
        </w:r>
        <w:r w:rsidR="00EF420B" w:rsidRPr="00892DE3">
          <w:rPr>
            <w:noProof/>
            <w:webHidden/>
          </w:rPr>
          <w:tab/>
        </w:r>
        <w:r w:rsidR="00EF420B" w:rsidRPr="00892DE3">
          <w:rPr>
            <w:noProof/>
            <w:webHidden/>
          </w:rPr>
          <w:fldChar w:fldCharType="begin"/>
        </w:r>
        <w:r w:rsidR="00EF420B" w:rsidRPr="00892DE3">
          <w:rPr>
            <w:noProof/>
            <w:webHidden/>
          </w:rPr>
          <w:instrText xml:space="preserve"> PAGEREF _Toc478735892 \h </w:instrText>
        </w:r>
        <w:r w:rsidR="00EF420B" w:rsidRPr="00892DE3">
          <w:rPr>
            <w:noProof/>
            <w:webHidden/>
          </w:rPr>
        </w:r>
        <w:r w:rsidR="00EF420B" w:rsidRPr="00892DE3">
          <w:rPr>
            <w:noProof/>
            <w:webHidden/>
          </w:rPr>
          <w:fldChar w:fldCharType="separate"/>
        </w:r>
        <w:r w:rsidR="00F63B17">
          <w:rPr>
            <w:noProof/>
            <w:webHidden/>
          </w:rPr>
          <w:t>232</w:t>
        </w:r>
        <w:r w:rsidR="00EF420B" w:rsidRPr="00892DE3">
          <w:rPr>
            <w:noProof/>
            <w:webHidden/>
          </w:rPr>
          <w:fldChar w:fldCharType="end"/>
        </w:r>
      </w:hyperlink>
    </w:p>
    <w:p w:rsidR="002A033E" w:rsidRPr="00892DE3" w:rsidRDefault="002A033E" w:rsidP="002A033E">
      <w:r w:rsidRPr="00892DE3">
        <w:fldChar w:fldCharType="end"/>
      </w:r>
    </w:p>
    <w:p w:rsidR="002A033E" w:rsidRPr="00892DE3" w:rsidRDefault="002A033E" w:rsidP="004B49BC"/>
    <w:p w:rsidR="00BC7F0A" w:rsidRPr="00892DE3" w:rsidRDefault="00BC7F0A" w:rsidP="00B8612F">
      <w:r w:rsidRPr="00892DE3">
        <w:br w:type="page"/>
      </w:r>
    </w:p>
    <w:p w:rsidR="00C045F2" w:rsidRPr="00892DE3" w:rsidRDefault="00730113" w:rsidP="002A033E">
      <w:pPr>
        <w:pStyle w:val="Heading20"/>
      </w:pPr>
      <w:bookmarkStart w:id="209" w:name="_Toc477967535"/>
      <w:bookmarkStart w:id="210" w:name="_Toc478056459"/>
      <w:bookmarkStart w:id="211" w:name="_Toc478735876"/>
      <w:bookmarkStart w:id="212" w:name="_Toc478735893"/>
      <w:bookmarkStart w:id="213" w:name="_Toc481592327"/>
      <w:r w:rsidRPr="00892DE3">
        <w:t>G1.</w:t>
      </w:r>
      <w:r w:rsidRPr="00892DE3">
        <w:tab/>
      </w:r>
      <w:r w:rsidR="00C045F2" w:rsidRPr="00892DE3">
        <w:t>Introduction</w:t>
      </w:r>
      <w:bookmarkEnd w:id="209"/>
      <w:bookmarkEnd w:id="210"/>
      <w:bookmarkEnd w:id="211"/>
      <w:bookmarkEnd w:id="212"/>
      <w:bookmarkEnd w:id="213"/>
    </w:p>
    <w:p w:rsidR="00C045F2" w:rsidRPr="00892DE3" w:rsidRDefault="00C045F2" w:rsidP="00C045F2">
      <w:pPr>
        <w:ind w:left="720" w:hanging="720"/>
      </w:pPr>
      <w:r w:rsidRPr="00892DE3">
        <w:t xml:space="preserve">Consider the statement: </w:t>
      </w:r>
      <w:r w:rsidR="00B145D6" w:rsidRPr="00892DE3">
        <w:t>‘</w:t>
      </w:r>
      <w:r w:rsidRPr="00892DE3">
        <w:t>Finan</w:t>
      </w:r>
      <w:r w:rsidR="00437D1F" w:rsidRPr="00892DE3">
        <w:t>cial statements tell a story</w:t>
      </w:r>
      <w:r w:rsidR="00B145D6" w:rsidRPr="00892DE3">
        <w:t>’</w:t>
      </w:r>
      <w:r w:rsidR="00437D1F" w:rsidRPr="00892DE3">
        <w:t>.</w:t>
      </w:r>
    </w:p>
    <w:p w:rsidR="00C045F2" w:rsidRPr="00892DE3" w:rsidRDefault="00C045F2" w:rsidP="00C045F2">
      <w:r w:rsidRPr="00892DE3">
        <w:t>How well does your financial report tell your story? This is the fundamental question that the process of streamlining financial st</w:t>
      </w:r>
      <w:r w:rsidR="006D2BA7" w:rsidRPr="00892DE3">
        <w:t>atements is seeking to address.</w:t>
      </w:r>
    </w:p>
    <w:p w:rsidR="00C045F2" w:rsidRPr="00892DE3" w:rsidRDefault="00C045F2" w:rsidP="00C045F2">
      <w:r w:rsidRPr="00892DE3">
        <w:t>The process primarily involves improving the messages contained within existing financial statements by presenting relevant information together, removing clutter, immaterial and duplicate disclosures and improving the readability of financial information by incorporating financial information into different sections and removing technical</w:t>
      </w:r>
      <w:r w:rsidR="006D2BA7" w:rsidRPr="00892DE3">
        <w:t xml:space="preserve"> jargon to the extent possible.</w:t>
      </w:r>
    </w:p>
    <w:p w:rsidR="00C045F2" w:rsidRPr="00892DE3" w:rsidRDefault="00C045F2" w:rsidP="00C045F2">
      <w:r w:rsidRPr="00892DE3">
        <w:t xml:space="preserve">In introducing the concept of </w:t>
      </w:r>
      <w:r w:rsidR="00B145D6" w:rsidRPr="00892DE3">
        <w:t>‘</w:t>
      </w:r>
      <w:r w:rsidRPr="00892DE3">
        <w:t>streamlining</w:t>
      </w:r>
      <w:r w:rsidR="00B145D6" w:rsidRPr="00892DE3">
        <w:t>’</w:t>
      </w:r>
      <w:r w:rsidRPr="00892DE3">
        <w:t xml:space="preserve">, here are </w:t>
      </w:r>
      <w:r w:rsidR="00412820" w:rsidRPr="00892DE3">
        <w:t xml:space="preserve">a </w:t>
      </w:r>
      <w:r w:rsidRPr="00892DE3">
        <w:t>few thoughts on the objec</w:t>
      </w:r>
      <w:r w:rsidR="006D2BA7" w:rsidRPr="00892DE3">
        <w:t>tives of a streamlining project</w:t>
      </w:r>
      <w:r w:rsidR="00A77F48" w:rsidRPr="00892DE3">
        <w:t>.</w:t>
      </w:r>
    </w:p>
    <w:p w:rsidR="00C045F2" w:rsidRPr="00892DE3" w:rsidRDefault="00C045F2" w:rsidP="00730113">
      <w:pPr>
        <w:pStyle w:val="HighlightBoxText"/>
        <w:rPr>
          <w:b/>
        </w:rPr>
      </w:pPr>
      <w:r w:rsidRPr="00892DE3">
        <w:rPr>
          <w:b/>
        </w:rPr>
        <w:t>W</w:t>
      </w:r>
      <w:r w:rsidR="00FD3859" w:rsidRPr="00892DE3">
        <w:rPr>
          <w:b/>
        </w:rPr>
        <w:t>hat streamlining should achieve</w:t>
      </w:r>
    </w:p>
    <w:p w:rsidR="00C045F2" w:rsidRPr="00892DE3" w:rsidRDefault="007C1524" w:rsidP="00C045F2">
      <w:pPr>
        <w:pStyle w:val="HighlightBoxBullet"/>
      </w:pPr>
      <w:r w:rsidRPr="00892DE3">
        <w:t>p</w:t>
      </w:r>
      <w:r w:rsidR="00C045F2" w:rsidRPr="00892DE3">
        <w:t>resenting information in a manner that is relevant to the us</w:t>
      </w:r>
      <w:r w:rsidR="00FD3859" w:rsidRPr="00892DE3">
        <w:t>ers of the financial statements.</w:t>
      </w:r>
    </w:p>
    <w:p w:rsidR="00C045F2" w:rsidRPr="00892DE3" w:rsidRDefault="007C1524" w:rsidP="00C045F2">
      <w:pPr>
        <w:pStyle w:val="HighlightBoxBullet"/>
      </w:pPr>
      <w:r w:rsidRPr="00892DE3">
        <w:t>r</w:t>
      </w:r>
      <w:r w:rsidR="00C045F2" w:rsidRPr="00892DE3">
        <w:t>emoving disclosures that are immaterial in the context of the financ</w:t>
      </w:r>
      <w:r w:rsidR="00FD3859" w:rsidRPr="00892DE3">
        <w:t>ial statements taken as a whole.</w:t>
      </w:r>
    </w:p>
    <w:p w:rsidR="00C045F2" w:rsidRPr="00892DE3" w:rsidRDefault="007C1524" w:rsidP="00C045F2">
      <w:pPr>
        <w:pStyle w:val="HighlightBoxBullet"/>
      </w:pPr>
      <w:r w:rsidRPr="00892DE3">
        <w:t>m</w:t>
      </w:r>
      <w:r w:rsidR="00C045F2" w:rsidRPr="00892DE3">
        <w:t>oving away from a ch</w:t>
      </w:r>
      <w:r w:rsidR="00FD3859" w:rsidRPr="00892DE3">
        <w:t>ecklist approach to disclosures.</w:t>
      </w:r>
    </w:p>
    <w:p w:rsidR="00C045F2" w:rsidRPr="00892DE3" w:rsidRDefault="007C1524" w:rsidP="00C045F2">
      <w:pPr>
        <w:pStyle w:val="HighlightBoxBullet"/>
      </w:pPr>
      <w:r w:rsidRPr="00892DE3">
        <w:t>c</w:t>
      </w:r>
      <w:r w:rsidR="00C045F2" w:rsidRPr="00892DE3">
        <w:t>ommunicating financial information to the reader of the financial statements in a manner that aligns with the objectives, service delivery, financial performance and financial positi</w:t>
      </w:r>
      <w:r w:rsidR="00FD3859" w:rsidRPr="00892DE3">
        <w:t>on of the reporting entity.</w:t>
      </w:r>
    </w:p>
    <w:p w:rsidR="00C045F2" w:rsidRPr="00892DE3" w:rsidRDefault="007C1524" w:rsidP="00C045F2">
      <w:pPr>
        <w:pStyle w:val="HighlightBoxBullet"/>
      </w:pPr>
      <w:r w:rsidRPr="00892DE3">
        <w:t>e</w:t>
      </w:r>
      <w:r w:rsidR="00C045F2" w:rsidRPr="00892DE3">
        <w:t>nhancing the readability of financial report and making these more user-friendly.</w:t>
      </w:r>
    </w:p>
    <w:p w:rsidR="00C045F2" w:rsidRPr="00892DE3" w:rsidRDefault="00FD3859" w:rsidP="00730113">
      <w:pPr>
        <w:pStyle w:val="HighlightBoxText"/>
        <w:rPr>
          <w:b/>
        </w:rPr>
      </w:pPr>
      <w:r w:rsidRPr="00892DE3">
        <w:rPr>
          <w:b/>
        </w:rPr>
        <w:t>What streamlining is not</w:t>
      </w:r>
    </w:p>
    <w:p w:rsidR="00C045F2" w:rsidRPr="00892DE3" w:rsidRDefault="007C1524" w:rsidP="00C045F2">
      <w:pPr>
        <w:pStyle w:val="HighlightBoxBullet"/>
      </w:pPr>
      <w:r w:rsidRPr="00892DE3">
        <w:t>a</w:t>
      </w:r>
      <w:r w:rsidR="00C045F2" w:rsidRPr="00892DE3">
        <w:t xml:space="preserve"> process of removing information that is required by the applicable regulatory framework</w:t>
      </w:r>
      <w:r w:rsidR="00FD3859" w:rsidRPr="00892DE3">
        <w:t>s governing financial reporting.</w:t>
      </w:r>
    </w:p>
    <w:p w:rsidR="00C045F2" w:rsidRPr="00892DE3" w:rsidRDefault="007C1524" w:rsidP="00C045F2">
      <w:pPr>
        <w:pStyle w:val="HighlightBoxBullet"/>
      </w:pPr>
      <w:r w:rsidRPr="00892DE3">
        <w:t>a</w:t>
      </w:r>
      <w:r w:rsidR="00C045F2" w:rsidRPr="00892DE3">
        <w:t xml:space="preserve"> way of </w:t>
      </w:r>
      <w:r w:rsidR="00B145D6" w:rsidRPr="00892DE3">
        <w:t>‘</w:t>
      </w:r>
      <w:r w:rsidR="00C045F2" w:rsidRPr="00892DE3">
        <w:t>hiding</w:t>
      </w:r>
      <w:r w:rsidR="00B145D6" w:rsidRPr="00892DE3">
        <w:t>’</w:t>
      </w:r>
      <w:r w:rsidR="00C045F2" w:rsidRPr="00892DE3">
        <w:t xml:space="preserve"> information that is relevant t</w:t>
      </w:r>
      <w:r w:rsidR="00FD3859" w:rsidRPr="00892DE3">
        <w:t>o users of financial statements.</w:t>
      </w:r>
    </w:p>
    <w:p w:rsidR="00C045F2" w:rsidRPr="00892DE3" w:rsidRDefault="007C1524" w:rsidP="00C045F2">
      <w:pPr>
        <w:pStyle w:val="HighlightBoxBullet"/>
      </w:pPr>
      <w:r w:rsidRPr="00892DE3">
        <w:t>a</w:t>
      </w:r>
      <w:r w:rsidR="00C045F2" w:rsidRPr="00892DE3">
        <w:t xml:space="preserve"> complete change in exis</w:t>
      </w:r>
      <w:r w:rsidR="00FD3859" w:rsidRPr="00892DE3">
        <w:t>ting reporting requirements.</w:t>
      </w:r>
    </w:p>
    <w:p w:rsidR="00C045F2" w:rsidRPr="00892DE3" w:rsidRDefault="007C1524" w:rsidP="00C045F2">
      <w:pPr>
        <w:pStyle w:val="HighlightBoxBullet"/>
      </w:pPr>
      <w:r w:rsidRPr="00892DE3">
        <w:t>c</w:t>
      </w:r>
      <w:r w:rsidR="00C045F2" w:rsidRPr="00892DE3">
        <w:t>reating</w:t>
      </w:r>
      <w:r w:rsidRPr="00892DE3">
        <w:t xml:space="preserve"> a</w:t>
      </w:r>
      <w:r w:rsidR="00C045F2" w:rsidRPr="00892DE3">
        <w:t xml:space="preserve"> revised template disclosures to be applied on a </w:t>
      </w:r>
      <w:r w:rsidR="000E2142" w:rsidRPr="00892DE3">
        <w:t>‘</w:t>
      </w:r>
      <w:r w:rsidR="00C045F2" w:rsidRPr="00892DE3">
        <w:t>one</w:t>
      </w:r>
      <w:r w:rsidR="000E2142" w:rsidRPr="00892DE3">
        <w:t xml:space="preserve"> </w:t>
      </w:r>
      <w:r w:rsidR="00C045F2" w:rsidRPr="00892DE3">
        <w:t>size fits all</w:t>
      </w:r>
      <w:r w:rsidR="000E2142" w:rsidRPr="00892DE3">
        <w:t>’</w:t>
      </w:r>
      <w:r w:rsidR="00C045F2" w:rsidRPr="00892DE3">
        <w:t xml:space="preserve"> basis.</w:t>
      </w:r>
    </w:p>
    <w:p w:rsidR="00C045F2" w:rsidRPr="00892DE3" w:rsidRDefault="00C045F2" w:rsidP="00C045F2"/>
    <w:p w:rsidR="00C045F2" w:rsidRPr="00892DE3" w:rsidRDefault="00C045F2" w:rsidP="00C045F2">
      <w:pPr>
        <w:spacing w:after="120"/>
      </w:pPr>
      <w:r w:rsidRPr="00892DE3">
        <w:t xml:space="preserve">Section </w:t>
      </w:r>
      <w:r w:rsidR="00252951" w:rsidRPr="00892DE3">
        <w:t>G</w:t>
      </w:r>
      <w:r w:rsidRPr="00892DE3">
        <w:t>2 of this guide sets out the steps involved in the process. Throu</w:t>
      </w:r>
      <w:r w:rsidR="00252951" w:rsidRPr="00892DE3">
        <w:t>ghout the process, the ‘three R</w:t>
      </w:r>
      <w:r w:rsidRPr="00892DE3">
        <w:t>s’ are considered as follows:</w:t>
      </w:r>
    </w:p>
    <w:tbl>
      <w:tblPr>
        <w:tblStyle w:val="TableGrid"/>
        <w:tblW w:w="0" w:type="auto"/>
        <w:tblInd w:w="57" w:type="dxa"/>
        <w:tblBorders>
          <w:top w:val="single" w:sz="6" w:space="0" w:color="BFBFBF" w:themeColor="background1" w:themeShade="BF"/>
          <w:left w:val="none" w:sz="0" w:space="0" w:color="auto"/>
          <w:bottom w:val="single" w:sz="6" w:space="0" w:color="BFBFBF" w:themeColor="background1" w:themeShade="BF"/>
          <w:right w:val="none" w:sz="0" w:space="0" w:color="auto"/>
          <w:insideH w:val="single" w:sz="6" w:space="0" w:color="BFBFBF" w:themeColor="background1" w:themeShade="BF"/>
          <w:insideV w:val="none" w:sz="0" w:space="0" w:color="auto"/>
        </w:tblBorders>
        <w:tblLook w:val="04A0" w:firstRow="1" w:lastRow="0" w:firstColumn="1" w:lastColumn="0" w:noHBand="0" w:noVBand="1"/>
      </w:tblPr>
      <w:tblGrid>
        <w:gridCol w:w="1101"/>
        <w:gridCol w:w="8646"/>
      </w:tblGrid>
      <w:tr w:rsidR="00C045F2" w:rsidRPr="00892DE3" w:rsidTr="00B145D6">
        <w:tc>
          <w:tcPr>
            <w:tcW w:w="1101" w:type="dxa"/>
            <w:vAlign w:val="center"/>
          </w:tcPr>
          <w:p w:rsidR="00C045F2" w:rsidRPr="00892DE3" w:rsidRDefault="00C045F2" w:rsidP="00C045F2">
            <w:r w:rsidRPr="00892DE3">
              <w:rPr>
                <w:noProof/>
                <w:lang w:eastAsia="en-AU"/>
              </w:rPr>
              <w:drawing>
                <wp:inline distT="0" distB="0" distL="0" distR="0" wp14:anchorId="2A9B2E54" wp14:editId="1E4D229C">
                  <wp:extent cx="373380" cy="36763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80649" cy="374793"/>
                          </a:xfrm>
                          <a:prstGeom prst="rect">
                            <a:avLst/>
                          </a:prstGeom>
                        </pic:spPr>
                      </pic:pic>
                    </a:graphicData>
                  </a:graphic>
                </wp:inline>
              </w:drawing>
            </w:r>
          </w:p>
        </w:tc>
        <w:tc>
          <w:tcPr>
            <w:tcW w:w="8646" w:type="dxa"/>
            <w:vAlign w:val="center"/>
          </w:tcPr>
          <w:p w:rsidR="00C045F2" w:rsidRPr="00892DE3" w:rsidRDefault="00C045F2" w:rsidP="00F87165">
            <w:r w:rsidRPr="00892DE3">
              <w:rPr>
                <w:b/>
                <w:color w:val="0072CE" w:themeColor="accent4"/>
                <w:sz w:val="22"/>
              </w:rPr>
              <w:t>R</w:t>
            </w:r>
            <w:r w:rsidR="00B145D6" w:rsidRPr="00892DE3">
              <w:rPr>
                <w:b/>
              </w:rPr>
              <w:t>e</w:t>
            </w:r>
            <w:r w:rsidRPr="00892DE3">
              <w:rPr>
                <w:b/>
              </w:rPr>
              <w:t>order</w:t>
            </w:r>
            <w:r w:rsidRPr="00892DE3">
              <w:t xml:space="preserve"> accounting policies and detailed notes so they better reflect the key financial measures and focus on areas of most relevance.</w:t>
            </w:r>
          </w:p>
        </w:tc>
      </w:tr>
      <w:tr w:rsidR="00C045F2" w:rsidRPr="00892DE3" w:rsidTr="00B145D6">
        <w:tc>
          <w:tcPr>
            <w:tcW w:w="1101" w:type="dxa"/>
            <w:vAlign w:val="center"/>
          </w:tcPr>
          <w:p w:rsidR="00C045F2" w:rsidRPr="00892DE3" w:rsidRDefault="00C045F2" w:rsidP="00C045F2">
            <w:r w:rsidRPr="00892DE3">
              <w:rPr>
                <w:noProof/>
                <w:lang w:eastAsia="en-AU"/>
              </w:rPr>
              <w:drawing>
                <wp:inline distT="0" distB="0" distL="0" distR="0" wp14:anchorId="10358933" wp14:editId="70DD2ACA">
                  <wp:extent cx="411480" cy="379417"/>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19562" cy="386869"/>
                          </a:xfrm>
                          <a:prstGeom prst="rect">
                            <a:avLst/>
                          </a:prstGeom>
                        </pic:spPr>
                      </pic:pic>
                    </a:graphicData>
                  </a:graphic>
                </wp:inline>
              </w:drawing>
            </w:r>
          </w:p>
        </w:tc>
        <w:tc>
          <w:tcPr>
            <w:tcW w:w="8646" w:type="dxa"/>
            <w:vAlign w:val="center"/>
          </w:tcPr>
          <w:p w:rsidR="00C045F2" w:rsidRPr="00892DE3" w:rsidRDefault="00C045F2" w:rsidP="00F87165">
            <w:r w:rsidRPr="00892DE3">
              <w:rPr>
                <w:b/>
                <w:color w:val="0072CE" w:themeColor="accent4"/>
                <w:sz w:val="22"/>
              </w:rPr>
              <w:t>R</w:t>
            </w:r>
            <w:r w:rsidR="00B145D6" w:rsidRPr="00892DE3">
              <w:rPr>
                <w:b/>
              </w:rPr>
              <w:t>e</w:t>
            </w:r>
            <w:r w:rsidRPr="00892DE3">
              <w:rPr>
                <w:b/>
              </w:rPr>
              <w:t>write</w:t>
            </w:r>
            <w:r w:rsidRPr="00892DE3">
              <w:t xml:space="preserve"> technical wording into plain English, </w:t>
            </w:r>
            <w:r w:rsidR="00F87165" w:rsidRPr="00892DE3">
              <w:t xml:space="preserve">while </w:t>
            </w:r>
            <w:r w:rsidRPr="00892DE3">
              <w:t xml:space="preserve">still fully complying with relevant accounting standards and regulatory requirements. </w:t>
            </w:r>
          </w:p>
        </w:tc>
      </w:tr>
      <w:tr w:rsidR="00C045F2" w:rsidRPr="00892DE3" w:rsidTr="00B145D6">
        <w:tc>
          <w:tcPr>
            <w:tcW w:w="1101" w:type="dxa"/>
            <w:vAlign w:val="center"/>
          </w:tcPr>
          <w:p w:rsidR="00C045F2" w:rsidRPr="00892DE3" w:rsidRDefault="00C045F2" w:rsidP="00C045F2">
            <w:r w:rsidRPr="00892DE3">
              <w:rPr>
                <w:noProof/>
                <w:lang w:eastAsia="en-AU"/>
              </w:rPr>
              <w:drawing>
                <wp:inline distT="0" distB="0" distL="0" distR="0" wp14:anchorId="6FBF693D" wp14:editId="1D352B8B">
                  <wp:extent cx="373380" cy="432335"/>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82423" cy="442806"/>
                          </a:xfrm>
                          <a:prstGeom prst="rect">
                            <a:avLst/>
                          </a:prstGeom>
                        </pic:spPr>
                      </pic:pic>
                    </a:graphicData>
                  </a:graphic>
                </wp:inline>
              </w:drawing>
            </w:r>
          </w:p>
        </w:tc>
        <w:tc>
          <w:tcPr>
            <w:tcW w:w="8646" w:type="dxa"/>
            <w:vAlign w:val="center"/>
          </w:tcPr>
          <w:p w:rsidR="00C045F2" w:rsidRPr="00892DE3" w:rsidRDefault="00C045F2" w:rsidP="00C045F2">
            <w:r w:rsidRPr="00892DE3">
              <w:rPr>
                <w:b/>
                <w:color w:val="0072CE" w:themeColor="accent4"/>
                <w:sz w:val="22"/>
              </w:rPr>
              <w:t>R</w:t>
            </w:r>
            <w:r w:rsidRPr="00892DE3">
              <w:rPr>
                <w:b/>
              </w:rPr>
              <w:t>emove</w:t>
            </w:r>
            <w:r w:rsidRPr="00892DE3">
              <w:t xml:space="preserve"> immaterial or irrelevant financial statement disclosures that have built up over time.</w:t>
            </w:r>
          </w:p>
        </w:tc>
      </w:tr>
    </w:tbl>
    <w:p w:rsidR="00C045F2" w:rsidRPr="00892DE3" w:rsidRDefault="00C045F2" w:rsidP="00C045F2"/>
    <w:p w:rsidR="007C1524" w:rsidRPr="00892DE3" w:rsidRDefault="00C045F2" w:rsidP="007C1524">
      <w:pPr>
        <w:pStyle w:val="HighlightBoxHeading"/>
      </w:pPr>
      <w:r w:rsidRPr="00892DE3">
        <w:t xml:space="preserve">Application </w:t>
      </w:r>
    </w:p>
    <w:p w:rsidR="004B49BC" w:rsidRPr="00892DE3" w:rsidRDefault="00C045F2" w:rsidP="007C1524">
      <w:pPr>
        <w:pStyle w:val="HighlightBoxHeading"/>
        <w:rPr>
          <w:i w:val="0"/>
        </w:rPr>
      </w:pPr>
      <w:r w:rsidRPr="00892DE3">
        <w:rPr>
          <w:i w:val="0"/>
        </w:rPr>
        <w:t xml:space="preserve">The principles of streamlining are universal and would apply to </w:t>
      </w:r>
      <w:r w:rsidR="007C1524" w:rsidRPr="00892DE3">
        <w:rPr>
          <w:i w:val="0"/>
        </w:rPr>
        <w:t>all agencies</w:t>
      </w:r>
      <w:r w:rsidR="00B145D6" w:rsidRPr="00892DE3">
        <w:rPr>
          <w:i w:val="0"/>
        </w:rPr>
        <w:t>. H</w:t>
      </w:r>
      <w:r w:rsidRPr="00892DE3">
        <w:rPr>
          <w:i w:val="0"/>
        </w:rPr>
        <w:t>owever</w:t>
      </w:r>
      <w:r w:rsidR="00B145D6" w:rsidRPr="00892DE3">
        <w:rPr>
          <w:i w:val="0"/>
        </w:rPr>
        <w:t>,</w:t>
      </w:r>
      <w:r w:rsidRPr="00892DE3">
        <w:rPr>
          <w:i w:val="0"/>
        </w:rPr>
        <w:t xml:space="preserve"> </w:t>
      </w:r>
      <w:r w:rsidR="007C1524" w:rsidRPr="00892DE3">
        <w:rPr>
          <w:i w:val="0"/>
        </w:rPr>
        <w:t xml:space="preserve">public bodies </w:t>
      </w:r>
      <w:r w:rsidRPr="00892DE3">
        <w:rPr>
          <w:i w:val="0"/>
        </w:rPr>
        <w:t xml:space="preserve">will have more latitude in adopting unique note ordering and different note captions </w:t>
      </w:r>
      <w:r w:rsidR="00316ED2" w:rsidRPr="00892DE3">
        <w:rPr>
          <w:i w:val="0"/>
        </w:rPr>
        <w:t>in comparison</w:t>
      </w:r>
      <w:r w:rsidRPr="00892DE3">
        <w:rPr>
          <w:i w:val="0"/>
        </w:rPr>
        <w:t xml:space="preserve"> to </w:t>
      </w:r>
      <w:r w:rsidR="00B145D6" w:rsidRPr="00892DE3">
        <w:rPr>
          <w:i w:val="0"/>
        </w:rPr>
        <w:t>d</w:t>
      </w:r>
      <w:r w:rsidRPr="00892DE3">
        <w:rPr>
          <w:i w:val="0"/>
        </w:rPr>
        <w:t>epartments</w:t>
      </w:r>
      <w:r w:rsidR="00316ED2" w:rsidRPr="00892DE3">
        <w:rPr>
          <w:i w:val="0"/>
        </w:rPr>
        <w:t>, as the compliance with the requirements of the Model Report is mandatory for departments.</w:t>
      </w:r>
      <w:r w:rsidRPr="00892DE3">
        <w:rPr>
          <w:i w:val="0"/>
        </w:rPr>
        <w:t xml:space="preserve"> For each of the steps set out in </w:t>
      </w:r>
      <w:r w:rsidR="00316ED2" w:rsidRPr="00892DE3">
        <w:rPr>
          <w:i w:val="0"/>
        </w:rPr>
        <w:t>S</w:t>
      </w:r>
      <w:r w:rsidRPr="00892DE3">
        <w:rPr>
          <w:i w:val="0"/>
        </w:rPr>
        <w:t xml:space="preserve">ection </w:t>
      </w:r>
      <w:r w:rsidR="00252951" w:rsidRPr="00892DE3">
        <w:rPr>
          <w:i w:val="0"/>
        </w:rPr>
        <w:t>G</w:t>
      </w:r>
      <w:r w:rsidRPr="00892DE3">
        <w:rPr>
          <w:i w:val="0"/>
        </w:rPr>
        <w:t>2</w:t>
      </w:r>
      <w:r w:rsidR="00B145D6" w:rsidRPr="00892DE3">
        <w:rPr>
          <w:i w:val="0"/>
        </w:rPr>
        <w:t>,</w:t>
      </w:r>
      <w:r w:rsidRPr="00892DE3">
        <w:rPr>
          <w:i w:val="0"/>
        </w:rPr>
        <w:t xml:space="preserve"> noting in particular section </w:t>
      </w:r>
      <w:r w:rsidR="00252951" w:rsidRPr="00892DE3">
        <w:rPr>
          <w:i w:val="0"/>
        </w:rPr>
        <w:t>G</w:t>
      </w:r>
      <w:r w:rsidRPr="00892DE3">
        <w:rPr>
          <w:i w:val="0"/>
        </w:rPr>
        <w:t xml:space="preserve">2.4 of this document, comments have been added </w:t>
      </w:r>
      <w:r w:rsidR="007C1524" w:rsidRPr="00892DE3">
        <w:rPr>
          <w:i w:val="0"/>
        </w:rPr>
        <w:t xml:space="preserve">for </w:t>
      </w:r>
      <w:r w:rsidRPr="00892DE3">
        <w:rPr>
          <w:i w:val="0"/>
        </w:rPr>
        <w:t xml:space="preserve">their application to </w:t>
      </w:r>
      <w:r w:rsidR="00B145D6" w:rsidRPr="00892DE3">
        <w:rPr>
          <w:i w:val="0"/>
        </w:rPr>
        <w:t>d</w:t>
      </w:r>
      <w:r w:rsidRPr="00892DE3">
        <w:rPr>
          <w:i w:val="0"/>
        </w:rPr>
        <w:t>epartments.</w:t>
      </w:r>
    </w:p>
    <w:p w:rsidR="00C045F2" w:rsidRPr="00892DE3" w:rsidRDefault="00C045F2" w:rsidP="00C045F2"/>
    <w:p w:rsidR="00C045F2" w:rsidRPr="00892DE3" w:rsidRDefault="00C045F2">
      <w:pPr>
        <w:keepLines w:val="0"/>
        <w:rPr>
          <w:rFonts w:asciiTheme="majorHAnsi" w:eastAsiaTheme="majorEastAsia" w:hAnsiTheme="majorHAnsi" w:cstheme="majorBidi"/>
          <w:b/>
          <w:spacing w:val="-2"/>
          <w:sz w:val="24"/>
          <w:szCs w:val="26"/>
        </w:rPr>
      </w:pPr>
      <w:r w:rsidRPr="00892DE3">
        <w:br w:type="page"/>
      </w:r>
    </w:p>
    <w:p w:rsidR="00C045F2" w:rsidRPr="00892DE3" w:rsidRDefault="00730113" w:rsidP="0094700F">
      <w:pPr>
        <w:pStyle w:val="Heading20"/>
      </w:pPr>
      <w:bookmarkStart w:id="214" w:name="_Toc477967536"/>
      <w:bookmarkStart w:id="215" w:name="_Toc478056460"/>
      <w:bookmarkStart w:id="216" w:name="_Toc478735877"/>
      <w:bookmarkStart w:id="217" w:name="_Toc478735894"/>
      <w:bookmarkStart w:id="218" w:name="_Toc481592328"/>
      <w:r w:rsidRPr="00892DE3">
        <w:t>G2.</w:t>
      </w:r>
      <w:r w:rsidRPr="00892DE3">
        <w:tab/>
      </w:r>
      <w:r w:rsidR="00C045F2" w:rsidRPr="00892DE3">
        <w:t>The process of streamlining</w:t>
      </w:r>
      <w:bookmarkEnd w:id="214"/>
      <w:bookmarkEnd w:id="215"/>
      <w:bookmarkEnd w:id="216"/>
      <w:bookmarkEnd w:id="217"/>
      <w:bookmarkEnd w:id="218"/>
    </w:p>
    <w:p w:rsidR="00C045F2" w:rsidRPr="00892DE3" w:rsidRDefault="00C045F2" w:rsidP="00C045F2">
      <w:r w:rsidRPr="00892DE3">
        <w:t xml:space="preserve">Streamlining financial statements is not a difficult process, however in order to achieve the benefits that streamlining can offer, a systematic approach should be undertaken. </w:t>
      </w:r>
    </w:p>
    <w:p w:rsidR="00C045F2" w:rsidRPr="00892DE3" w:rsidRDefault="009E3365" w:rsidP="00B145D6">
      <w:r w:rsidRPr="00892DE3">
        <w:t xml:space="preserve">While </w:t>
      </w:r>
      <w:r w:rsidR="00C045F2" w:rsidRPr="00892DE3">
        <w:t xml:space="preserve">there is not a </w:t>
      </w:r>
      <w:r w:rsidR="00B145D6" w:rsidRPr="00892DE3">
        <w:t>‘</w:t>
      </w:r>
      <w:r w:rsidR="00C045F2" w:rsidRPr="00892DE3">
        <w:t>one size fits all</w:t>
      </w:r>
      <w:r w:rsidR="00B145D6" w:rsidRPr="00892DE3">
        <w:t>’</w:t>
      </w:r>
      <w:r w:rsidR="00C045F2" w:rsidRPr="00892DE3">
        <w:t xml:space="preserve"> approach, the process outlined in this section has been used </w:t>
      </w:r>
      <w:r w:rsidR="00C045F2" w:rsidRPr="00892DE3">
        <w:rPr>
          <w:spacing w:val="0"/>
        </w:rPr>
        <w:t>successfully</w:t>
      </w:r>
      <w:r w:rsidR="00C045F2" w:rsidRPr="00892DE3">
        <w:t xml:space="preserve"> within the public sector and is recommended for agencies when applying streamlining principles.</w:t>
      </w:r>
    </w:p>
    <w:p w:rsidR="00C045F2" w:rsidRPr="00892DE3" w:rsidRDefault="00C045F2" w:rsidP="00C045F2">
      <w:r w:rsidRPr="00892DE3">
        <w:t>This ‘How to’ guide explains the following components in the process in more detail in the pages that follow:</w:t>
      </w:r>
    </w:p>
    <w:p w:rsidR="00C045F2" w:rsidRPr="00892DE3" w:rsidRDefault="00C045F2" w:rsidP="00C045F2">
      <w:r w:rsidRPr="00892DE3">
        <w:rPr>
          <w:b/>
          <w:i/>
          <w:iCs/>
          <w:noProof/>
          <w:color w:val="0063A6" w:themeColor="accent1"/>
          <w:sz w:val="28"/>
          <w:szCs w:val="28"/>
          <w:lang w:eastAsia="en-AU"/>
        </w:rPr>
        <w:drawing>
          <wp:anchor distT="0" distB="0" distL="114300" distR="114300" simplePos="0" relativeHeight="251659264" behindDoc="1" locked="0" layoutInCell="1" allowOverlap="1" wp14:anchorId="1BD43A02" wp14:editId="37C20F48">
            <wp:simplePos x="0" y="0"/>
            <wp:positionH relativeFrom="column">
              <wp:posOffset>-43815</wp:posOffset>
            </wp:positionH>
            <wp:positionV relativeFrom="paragraph">
              <wp:posOffset>278130</wp:posOffset>
            </wp:positionV>
            <wp:extent cx="6191250" cy="5181600"/>
            <wp:effectExtent l="0" t="0" r="0" b="19050"/>
            <wp:wrapTopAndBottom/>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14:sizeRelH relativeFrom="margin">
              <wp14:pctWidth>0</wp14:pctWidth>
            </wp14:sizeRelH>
            <wp14:sizeRelV relativeFrom="margin">
              <wp14:pctHeight>0</wp14:pctHeight>
            </wp14:sizeRelV>
          </wp:anchor>
        </w:drawing>
      </w:r>
    </w:p>
    <w:p w:rsidR="00AA1DC6" w:rsidRPr="00892DE3" w:rsidRDefault="00AA1DC6">
      <w:pPr>
        <w:keepLines w:val="0"/>
      </w:pPr>
    </w:p>
    <w:p w:rsidR="00AA1DC6" w:rsidRPr="00892DE3" w:rsidRDefault="00730113" w:rsidP="002A033E">
      <w:pPr>
        <w:pStyle w:val="Heading30"/>
      </w:pPr>
      <w:bookmarkStart w:id="219" w:name="_Toc478735878"/>
      <w:r w:rsidRPr="00892DE3">
        <w:t>G2.1</w:t>
      </w:r>
      <w:r w:rsidR="00437D1F" w:rsidRPr="00892DE3">
        <w:tab/>
      </w:r>
      <w:r w:rsidR="00031D16" w:rsidRPr="00892DE3">
        <w:t>Stakeholder engagement</w:t>
      </w:r>
      <w:bookmarkEnd w:id="219"/>
    </w:p>
    <w:p w:rsidR="00031D16" w:rsidRPr="00892DE3" w:rsidRDefault="00031D16" w:rsidP="00031D16">
      <w:r w:rsidRPr="00892DE3">
        <w:t>For the streamlining process to be successful, the reporting entity needs to ensure that all key stakeholders:</w:t>
      </w:r>
    </w:p>
    <w:p w:rsidR="00031D16" w:rsidRPr="00892DE3" w:rsidRDefault="00031D16" w:rsidP="00031D16">
      <w:pPr>
        <w:pStyle w:val="ListBullet"/>
      </w:pPr>
      <w:r w:rsidRPr="00892DE3">
        <w:t>are aligned with the principles of streamlining;</w:t>
      </w:r>
    </w:p>
    <w:p w:rsidR="00031D16" w:rsidRPr="00892DE3" w:rsidRDefault="00031D16" w:rsidP="00031D16">
      <w:pPr>
        <w:pStyle w:val="ListBullet"/>
      </w:pPr>
      <w:r w:rsidRPr="00892DE3">
        <w:t>have provided input into the messaging to be included within the financial statements;</w:t>
      </w:r>
      <w:r w:rsidR="00B145D6" w:rsidRPr="00892DE3">
        <w:t xml:space="preserve"> and</w:t>
      </w:r>
    </w:p>
    <w:p w:rsidR="00031D16" w:rsidRPr="00892DE3" w:rsidRDefault="00031D16" w:rsidP="00031D16">
      <w:pPr>
        <w:pStyle w:val="ListBullet"/>
      </w:pPr>
      <w:r w:rsidRPr="00892DE3">
        <w:t>are supportive of the process and committed to the timelines.</w:t>
      </w:r>
    </w:p>
    <w:p w:rsidR="00031D16" w:rsidRPr="00892DE3" w:rsidRDefault="00031D16" w:rsidP="00031D16">
      <w:r w:rsidRPr="00892DE3">
        <w:t xml:space="preserve">An effective way of achieving this result is through stakeholder engagement sessions. These sessions </w:t>
      </w:r>
      <w:r w:rsidR="007C1524" w:rsidRPr="00892DE3">
        <w:t xml:space="preserve">should </w:t>
      </w:r>
      <w:r w:rsidRPr="00892DE3">
        <w:t>be attended by:</w:t>
      </w:r>
    </w:p>
    <w:p w:rsidR="00031D16" w:rsidRPr="00892DE3" w:rsidRDefault="00730113" w:rsidP="00031D16">
      <w:pPr>
        <w:pStyle w:val="ListBullet"/>
      </w:pPr>
      <w:r w:rsidRPr="00892DE3">
        <w:t>e</w:t>
      </w:r>
      <w:r w:rsidR="00031D16" w:rsidRPr="00892DE3">
        <w:t xml:space="preserve">xecutive management; </w:t>
      </w:r>
    </w:p>
    <w:p w:rsidR="00031D16" w:rsidRPr="00892DE3" w:rsidRDefault="00730113" w:rsidP="00031D16">
      <w:pPr>
        <w:pStyle w:val="ListBullet"/>
      </w:pPr>
      <w:r w:rsidRPr="00892DE3">
        <w:t>t</w:t>
      </w:r>
      <w:r w:rsidR="00031D16" w:rsidRPr="00892DE3">
        <w:t>hose responsible for preparing financial statements and reporting more broadly;</w:t>
      </w:r>
    </w:p>
    <w:p w:rsidR="00031D16" w:rsidRPr="00892DE3" w:rsidRDefault="00730113" w:rsidP="00031D16">
      <w:pPr>
        <w:pStyle w:val="ListBullet"/>
      </w:pPr>
      <w:r w:rsidRPr="00892DE3">
        <w:t>t</w:t>
      </w:r>
      <w:r w:rsidR="00031D16" w:rsidRPr="00892DE3">
        <w:t>hose responsible for engaging with internal and external stakeholders; and/or</w:t>
      </w:r>
    </w:p>
    <w:p w:rsidR="00031D16" w:rsidRPr="00892DE3" w:rsidRDefault="00730113" w:rsidP="00031D16">
      <w:pPr>
        <w:pStyle w:val="ListBullet"/>
      </w:pPr>
      <w:r w:rsidRPr="00892DE3">
        <w:t>t</w:t>
      </w:r>
      <w:r w:rsidR="00031D16" w:rsidRPr="00892DE3">
        <w:t>hose charged with governance (</w:t>
      </w:r>
      <w:r w:rsidR="00316ED2" w:rsidRPr="00892DE3">
        <w:t xml:space="preserve">e.g. </w:t>
      </w:r>
      <w:r w:rsidR="00031D16" w:rsidRPr="00892DE3">
        <w:t>audit committee members)</w:t>
      </w:r>
      <w:r w:rsidRPr="00892DE3">
        <w:t>.</w:t>
      </w:r>
    </w:p>
    <w:p w:rsidR="00DA14E3" w:rsidRPr="00892DE3" w:rsidRDefault="00DA14E3">
      <w:pPr>
        <w:keepLines w:val="0"/>
      </w:pPr>
      <w:r w:rsidRPr="00892DE3">
        <w:br w:type="page"/>
      </w:r>
    </w:p>
    <w:p w:rsidR="00031D16" w:rsidRPr="00892DE3" w:rsidRDefault="00031D16" w:rsidP="00031D16">
      <w:r w:rsidRPr="00892DE3">
        <w:t>A typical agenda for these sessions would be fram</w:t>
      </w:r>
      <w:r w:rsidR="00FD3859" w:rsidRPr="00892DE3">
        <w:t>ed around the following matters:</w:t>
      </w:r>
    </w:p>
    <w:p w:rsidR="00031D16" w:rsidRPr="00892DE3" w:rsidRDefault="00334A43" w:rsidP="00031D16">
      <w:pPr>
        <w:pStyle w:val="ListBullet"/>
      </w:pPr>
      <w:r w:rsidRPr="00892DE3">
        <w:t>t</w:t>
      </w:r>
      <w:r w:rsidR="00031D16" w:rsidRPr="00892DE3">
        <w:t>he objectives and the results t</w:t>
      </w:r>
      <w:r w:rsidR="00FD3859" w:rsidRPr="00892DE3">
        <w:t>he entity is seeking to achieve.</w:t>
      </w:r>
    </w:p>
    <w:p w:rsidR="00031D16" w:rsidRPr="00892DE3" w:rsidRDefault="00334A43" w:rsidP="00031D16">
      <w:pPr>
        <w:pStyle w:val="ListBullet"/>
      </w:pPr>
      <w:r w:rsidRPr="00892DE3">
        <w:t>w</w:t>
      </w:r>
      <w:r w:rsidR="00031D16" w:rsidRPr="00892DE3">
        <w:t>hat streamlining is and the process involved to streamline financial statem</w:t>
      </w:r>
      <w:r w:rsidR="00FD3859" w:rsidRPr="00892DE3">
        <w:t>ents.</w:t>
      </w:r>
    </w:p>
    <w:p w:rsidR="00031D16" w:rsidRPr="00892DE3" w:rsidRDefault="00334A43" w:rsidP="00031D16">
      <w:pPr>
        <w:pStyle w:val="ListBullet"/>
      </w:pPr>
      <w:r w:rsidRPr="00892DE3">
        <w:t>r</w:t>
      </w:r>
      <w:r w:rsidR="00031D16" w:rsidRPr="00892DE3">
        <w:t>equest</w:t>
      </w:r>
      <w:r w:rsidR="00FD3859" w:rsidRPr="00892DE3">
        <w:t>ing</w:t>
      </w:r>
      <w:r w:rsidR="00031D16" w:rsidRPr="00892DE3">
        <w:t xml:space="preserve"> information to understand the most import</w:t>
      </w:r>
      <w:r w:rsidR="00B145D6" w:rsidRPr="00892DE3">
        <w:t>ant messages and the ‘</w:t>
      </w:r>
      <w:r w:rsidR="00031D16" w:rsidRPr="00892DE3">
        <w:t>story</w:t>
      </w:r>
      <w:r w:rsidR="00B145D6" w:rsidRPr="00892DE3">
        <w:t>’</w:t>
      </w:r>
      <w:r w:rsidR="00031D16" w:rsidRPr="00892DE3">
        <w:t xml:space="preserve"> from other stakeholders’ perspective</w:t>
      </w:r>
      <w:r w:rsidR="00FD3859" w:rsidRPr="00892DE3">
        <w:t>.</w:t>
      </w:r>
    </w:p>
    <w:p w:rsidR="00031D16" w:rsidRPr="00892DE3" w:rsidRDefault="00334A43" w:rsidP="00031D16">
      <w:pPr>
        <w:pStyle w:val="ListBullet"/>
      </w:pPr>
      <w:r w:rsidRPr="00892DE3">
        <w:t>o</w:t>
      </w:r>
      <w:r w:rsidR="00031D16" w:rsidRPr="00892DE3">
        <w:t>btain</w:t>
      </w:r>
      <w:r w:rsidR="00FD3859" w:rsidRPr="00892DE3">
        <w:t>ing</w:t>
      </w:r>
      <w:r w:rsidR="00031D16" w:rsidRPr="00892DE3">
        <w:t xml:space="preserve"> feedback and stakeholder ‘buy-in’ of the process.</w:t>
      </w:r>
    </w:p>
    <w:p w:rsidR="00031D16" w:rsidRPr="00892DE3" w:rsidRDefault="00031D16" w:rsidP="00031D16">
      <w:r w:rsidRPr="00892DE3">
        <w:t xml:space="preserve">In preparation for these sessions, it is recommended that all available information is used to form an initial view to present to the stakeholders of how the financial report might be structured differently. This is a good tool to stimulate conversation amongst the stakeholders if they are not familiar with the process. </w:t>
      </w:r>
    </w:p>
    <w:p w:rsidR="00031D16" w:rsidRPr="00892DE3" w:rsidRDefault="00316ED2" w:rsidP="00031D16">
      <w:r w:rsidRPr="00892DE3">
        <w:t>More than one stakeholder engagement sessions may be required and they may need to be</w:t>
      </w:r>
      <w:r w:rsidR="00031D16" w:rsidRPr="00892DE3">
        <w:t xml:space="preserve"> spread out depending on specific circumstances.</w:t>
      </w:r>
    </w:p>
    <w:p w:rsidR="00031D16" w:rsidRPr="00892DE3" w:rsidRDefault="00031D16" w:rsidP="00031D16">
      <w:r w:rsidRPr="00892DE3">
        <w:t>As you would see from the sections that follow, the stakeholder sessions are vitally important for identifying the information that feed</w:t>
      </w:r>
      <w:r w:rsidR="00B145D6" w:rsidRPr="00892DE3">
        <w:t>s</w:t>
      </w:r>
      <w:r w:rsidRPr="00892DE3">
        <w:t xml:space="preserve"> into the remaining steps in the process. Appropriate preparation and execution of this step in the process will be very beneficial in later stages of the project.</w:t>
      </w:r>
    </w:p>
    <w:p w:rsidR="00031D16" w:rsidRPr="00892DE3" w:rsidRDefault="00031D16" w:rsidP="00031D16">
      <w:pPr>
        <w:pStyle w:val="HighlightBoxHeading"/>
      </w:pPr>
      <w:r w:rsidRPr="00892DE3">
        <w:t>Application</w:t>
      </w:r>
    </w:p>
    <w:p w:rsidR="00031D16" w:rsidRPr="00892DE3" w:rsidRDefault="00031D16" w:rsidP="00031D16">
      <w:pPr>
        <w:pStyle w:val="HighlightBoxText"/>
      </w:pPr>
      <w:r w:rsidRPr="00892DE3">
        <w:t xml:space="preserve">Stakeholder consultation meetings are important for </w:t>
      </w:r>
      <w:r w:rsidR="007C1524" w:rsidRPr="00892DE3">
        <w:t>all agencies</w:t>
      </w:r>
      <w:r w:rsidRPr="00892DE3">
        <w:t xml:space="preserve">, but </w:t>
      </w:r>
      <w:r w:rsidR="007C1524" w:rsidRPr="00892DE3">
        <w:t xml:space="preserve">note that </w:t>
      </w:r>
      <w:r w:rsidRPr="00892DE3">
        <w:t xml:space="preserve">the structure of the financial report included in the Model </w:t>
      </w:r>
      <w:r w:rsidR="002B1F95" w:rsidRPr="00892DE3">
        <w:t>financial statements</w:t>
      </w:r>
      <w:r w:rsidR="007C1524" w:rsidRPr="00892DE3">
        <w:t xml:space="preserve"> are mandatory for departments</w:t>
      </w:r>
      <w:r w:rsidRPr="00892DE3">
        <w:t xml:space="preserve">. </w:t>
      </w:r>
      <w:r w:rsidR="007C1524" w:rsidRPr="00892DE3">
        <w:t xml:space="preserve">Public bodies </w:t>
      </w:r>
      <w:r w:rsidRPr="00892DE3">
        <w:t xml:space="preserve">can use the stakeholder meetings to test the application of the Model </w:t>
      </w:r>
      <w:r w:rsidR="00F0558E" w:rsidRPr="00892DE3">
        <w:t xml:space="preserve">financial structure </w:t>
      </w:r>
      <w:r w:rsidRPr="00892DE3">
        <w:t>to their own circumstances and gather information to assist with the completion of the remainder of steps (for instance</w:t>
      </w:r>
      <w:r w:rsidR="007C1524" w:rsidRPr="00892DE3">
        <w:t>,</w:t>
      </w:r>
      <w:r w:rsidRPr="00892DE3">
        <w:t xml:space="preserve"> matters that </w:t>
      </w:r>
      <w:r w:rsidR="00316ED2" w:rsidRPr="00892DE3">
        <w:t xml:space="preserve">are </w:t>
      </w:r>
      <w:r w:rsidRPr="00892DE3">
        <w:t>qualitatively material).</w:t>
      </w:r>
    </w:p>
    <w:p w:rsidR="003D5399" w:rsidRPr="00892DE3" w:rsidRDefault="003D5399" w:rsidP="003D5399"/>
    <w:p w:rsidR="003D5399" w:rsidRPr="00892DE3" w:rsidRDefault="003D5399" w:rsidP="003D5399">
      <w:pPr>
        <w:pStyle w:val="Heading30"/>
      </w:pPr>
      <w:bookmarkStart w:id="220" w:name="_Toc478735879"/>
      <w:r w:rsidRPr="00892DE3">
        <w:t>G2.2</w:t>
      </w:r>
      <w:r w:rsidRPr="00892DE3">
        <w:tab/>
        <w:t>Determine materiality</w:t>
      </w:r>
      <w:bookmarkEnd w:id="220"/>
    </w:p>
    <w:p w:rsidR="00031D16" w:rsidRPr="00892DE3" w:rsidRDefault="00031D16" w:rsidP="00031D16">
      <w:r w:rsidRPr="00892DE3">
        <w:t xml:space="preserve">The notes to the financial statements </w:t>
      </w:r>
      <w:r w:rsidR="007C1524" w:rsidRPr="00892DE3">
        <w:t>should</w:t>
      </w:r>
      <w:r w:rsidRPr="00892DE3">
        <w:t xml:space="preserve"> include relevant and material information that are required to understand the financial position and performance of the </w:t>
      </w:r>
      <w:r w:rsidR="00316ED2" w:rsidRPr="00892DE3">
        <w:t>agency</w:t>
      </w:r>
      <w:r w:rsidRPr="00892DE3">
        <w:t>.</w:t>
      </w:r>
    </w:p>
    <w:p w:rsidR="00031D16" w:rsidRPr="00892DE3" w:rsidRDefault="00031D16" w:rsidP="00031D16">
      <w:r w:rsidRPr="00892DE3">
        <w:t xml:space="preserve">As part of the streamlining process, the entity needs to determine what information should be included, what information should be </w:t>
      </w:r>
      <w:r w:rsidR="00316ED2" w:rsidRPr="00892DE3">
        <w:t xml:space="preserve">reordered </w:t>
      </w:r>
      <w:r w:rsidRPr="00892DE3">
        <w:t>in a more logical sequence and what information can be removed from the financial repo</w:t>
      </w:r>
      <w:r w:rsidR="00CC3471" w:rsidRPr="00892DE3">
        <w:t>rt on the basis of materiality.</w:t>
      </w:r>
    </w:p>
    <w:p w:rsidR="00031D16" w:rsidRPr="00892DE3" w:rsidRDefault="00031D16" w:rsidP="00031D16">
      <w:r w:rsidRPr="00892DE3">
        <w:t>Information is considered material and relevant to the understanding of the financial statements if:</w:t>
      </w:r>
    </w:p>
    <w:p w:rsidR="00031D16" w:rsidRPr="00892DE3" w:rsidRDefault="00BC7F0A" w:rsidP="00031D16">
      <w:pPr>
        <w:pStyle w:val="ListBullet"/>
      </w:pPr>
      <w:r w:rsidRPr="00892DE3">
        <w:t>t</w:t>
      </w:r>
      <w:r w:rsidR="00031D16" w:rsidRPr="00892DE3">
        <w:t>he item is significant because of its size or dollar amount (quantitative factor);</w:t>
      </w:r>
    </w:p>
    <w:p w:rsidR="00031D16" w:rsidRPr="00892DE3" w:rsidRDefault="00BC7F0A" w:rsidP="00031D16">
      <w:pPr>
        <w:pStyle w:val="ListBullet"/>
      </w:pPr>
      <w:r w:rsidRPr="00892DE3">
        <w:t>t</w:t>
      </w:r>
      <w:r w:rsidR="00031D16" w:rsidRPr="00892DE3">
        <w:t>he item is significant because of its nature (qualitative factor);</w:t>
      </w:r>
    </w:p>
    <w:p w:rsidR="00031D16" w:rsidRPr="00892DE3" w:rsidRDefault="00BC7F0A" w:rsidP="00031D16">
      <w:pPr>
        <w:pStyle w:val="ListBullet"/>
      </w:pPr>
      <w:r w:rsidRPr="00892DE3">
        <w:t>t</w:t>
      </w:r>
      <w:r w:rsidR="00031D16" w:rsidRPr="00892DE3">
        <w:t>he entity’s results cannot be understood without the specific disclosure (qualitative factor);</w:t>
      </w:r>
    </w:p>
    <w:p w:rsidR="00031D16" w:rsidRPr="00892DE3" w:rsidRDefault="00BC7F0A" w:rsidP="00031D16">
      <w:pPr>
        <w:pStyle w:val="ListBullet"/>
      </w:pPr>
      <w:r w:rsidRPr="00892DE3">
        <w:t>i</w:t>
      </w:r>
      <w:r w:rsidR="00031D16" w:rsidRPr="00892DE3">
        <w:t xml:space="preserve">t is critical for users to understand the changes in operations during the period or the financial position at a particular date (qualitative factor); </w:t>
      </w:r>
    </w:p>
    <w:p w:rsidR="00031D16" w:rsidRPr="00892DE3" w:rsidRDefault="00BC7F0A" w:rsidP="00031D16">
      <w:pPr>
        <w:pStyle w:val="ListBullet"/>
      </w:pPr>
      <w:r w:rsidRPr="00892DE3">
        <w:t>t</w:t>
      </w:r>
      <w:r w:rsidR="00031D16" w:rsidRPr="00892DE3">
        <w:t>here may be a reporting requirement associated with the item (i.e. it needs to be disclosed to comply with a reporting obligation, regardless of value)</w:t>
      </w:r>
      <w:r w:rsidR="00730113" w:rsidRPr="00892DE3">
        <w:t>;</w:t>
      </w:r>
      <w:r w:rsidR="00031D16" w:rsidRPr="00892DE3">
        <w:t xml:space="preserve"> and/or</w:t>
      </w:r>
    </w:p>
    <w:p w:rsidR="00031D16" w:rsidRPr="00892DE3" w:rsidRDefault="00BC7F0A" w:rsidP="00031D16">
      <w:pPr>
        <w:pStyle w:val="ListBullet"/>
      </w:pPr>
      <w:r w:rsidRPr="00892DE3">
        <w:t>i</w:t>
      </w:r>
      <w:r w:rsidR="00031D16" w:rsidRPr="00892DE3">
        <w:t>t is required to meet the needs of a key stakeholder (stakeholder requirements).</w:t>
      </w:r>
    </w:p>
    <w:p w:rsidR="00031D16" w:rsidRPr="00892DE3" w:rsidRDefault="00031D16" w:rsidP="00031D16">
      <w:r w:rsidRPr="00892DE3">
        <w:t xml:space="preserve">Determining </w:t>
      </w:r>
      <w:r w:rsidR="00316ED2" w:rsidRPr="00892DE3">
        <w:t>materiality</w:t>
      </w:r>
      <w:r w:rsidR="00811F01">
        <w:t xml:space="preserve"> </w:t>
      </w:r>
      <w:r w:rsidRPr="00892DE3">
        <w:t>is very judgemental in nature and should not be done in isolation</w:t>
      </w:r>
      <w:r w:rsidR="007C1524" w:rsidRPr="00892DE3">
        <w:t xml:space="preserve"> to the rest of the financial report</w:t>
      </w:r>
      <w:r w:rsidRPr="00892DE3">
        <w:t>. To facilitate this process, it recommended that:</w:t>
      </w:r>
    </w:p>
    <w:p w:rsidR="00031D16" w:rsidRPr="00892DE3" w:rsidRDefault="00031D16" w:rsidP="00031D16">
      <w:pPr>
        <w:pStyle w:val="ListBullet"/>
      </w:pPr>
      <w:r w:rsidRPr="00892DE3">
        <w:t>an appropriate benchmark (</w:t>
      </w:r>
      <w:r w:rsidR="00316ED2" w:rsidRPr="00892DE3">
        <w:t>e.g. percentage</w:t>
      </w:r>
      <w:r w:rsidRPr="00892DE3">
        <w:t xml:space="preserve"> of assets</w:t>
      </w:r>
      <w:r w:rsidR="00316ED2" w:rsidRPr="00892DE3">
        <w:t xml:space="preserve"> and</w:t>
      </w:r>
      <w:r w:rsidRPr="00892DE3">
        <w:t xml:space="preserve"> revenue) is used to obtain a view of quantitatively material limits (the benchmark may differ from entity to entity and it is encouraged that the </w:t>
      </w:r>
      <w:r w:rsidR="007C1524" w:rsidRPr="00892DE3">
        <w:t xml:space="preserve">use </w:t>
      </w:r>
      <w:r w:rsidRPr="00892DE3">
        <w:t xml:space="preserve">of an appropriate benchmark be discussed with the external auditor at an early stage); </w:t>
      </w:r>
    </w:p>
    <w:p w:rsidR="00031D16" w:rsidRPr="00892DE3" w:rsidRDefault="00031D16" w:rsidP="00031D16">
      <w:pPr>
        <w:pStyle w:val="ListBullet"/>
      </w:pPr>
      <w:r w:rsidRPr="00892DE3">
        <w:t>information is obtained through the stakeholder engagement sessions as to what might be deemed ‘material’ from a qualitative perspective;</w:t>
      </w:r>
    </w:p>
    <w:p w:rsidR="00031D16" w:rsidRPr="00892DE3" w:rsidRDefault="00031D16" w:rsidP="00031D16">
      <w:pPr>
        <w:pStyle w:val="ListBullet"/>
      </w:pPr>
      <w:r w:rsidRPr="00892DE3">
        <w:t>knowledge of the business is used to identify additional matters that are qualitatively material; and</w:t>
      </w:r>
    </w:p>
    <w:p w:rsidR="00031D16" w:rsidRPr="00892DE3" w:rsidRDefault="00031D16" w:rsidP="00031D16">
      <w:pPr>
        <w:pStyle w:val="ListBullet"/>
      </w:pPr>
      <w:r w:rsidRPr="00892DE3">
        <w:t xml:space="preserve">all decisions, benchmarks, qualitative and quantitative information </w:t>
      </w:r>
      <w:r w:rsidR="00316ED2" w:rsidRPr="00892DE3">
        <w:t xml:space="preserve">are </w:t>
      </w:r>
      <w:r w:rsidRPr="00892DE3">
        <w:t>documented for review and approval (including by auditors).</w:t>
      </w:r>
    </w:p>
    <w:p w:rsidR="00031D16" w:rsidRPr="00892DE3" w:rsidRDefault="00031D16" w:rsidP="00031D16">
      <w:r w:rsidRPr="00892DE3">
        <w:t xml:space="preserve">A suggested template for documenting materiality consideration is included in </w:t>
      </w:r>
      <w:r w:rsidR="00316ED2" w:rsidRPr="00892DE3">
        <w:t>S</w:t>
      </w:r>
      <w:r w:rsidRPr="00892DE3">
        <w:t xml:space="preserve">ection </w:t>
      </w:r>
      <w:r w:rsidR="00252951" w:rsidRPr="00892DE3">
        <w:t>G</w:t>
      </w:r>
      <w:r w:rsidRPr="00892DE3">
        <w:t>4 of this guide.</w:t>
      </w:r>
    </w:p>
    <w:p w:rsidR="00031D16" w:rsidRPr="00892DE3" w:rsidRDefault="00B145D6" w:rsidP="00BC7F0A">
      <w:pPr>
        <w:pStyle w:val="HighlightBoxHeading"/>
      </w:pPr>
      <w:r w:rsidRPr="00892DE3">
        <w:t>Application</w:t>
      </w:r>
    </w:p>
    <w:p w:rsidR="00031D16" w:rsidRPr="00892DE3" w:rsidRDefault="00031D16" w:rsidP="00BC7F0A">
      <w:pPr>
        <w:pStyle w:val="HighlightBoxText"/>
      </w:pPr>
      <w:r w:rsidRPr="00892DE3">
        <w:t xml:space="preserve">This step applies to </w:t>
      </w:r>
      <w:r w:rsidR="007C1524" w:rsidRPr="00892DE3">
        <w:t>all agencies</w:t>
      </w:r>
      <w:r w:rsidRPr="00892DE3">
        <w:t xml:space="preserve"> and the suggested template in </w:t>
      </w:r>
      <w:r w:rsidR="00316ED2" w:rsidRPr="00892DE3">
        <w:t>S</w:t>
      </w:r>
      <w:r w:rsidRPr="00892DE3">
        <w:t xml:space="preserve">ection </w:t>
      </w:r>
      <w:r w:rsidR="00252951" w:rsidRPr="00892DE3">
        <w:t>G</w:t>
      </w:r>
      <w:r w:rsidRPr="00892DE3">
        <w:t>4 of this guide can be used to document materiality considerations.</w:t>
      </w:r>
    </w:p>
    <w:p w:rsidR="003D5399" w:rsidRPr="00892DE3" w:rsidRDefault="003D5399" w:rsidP="003D5399"/>
    <w:p w:rsidR="003D5399" w:rsidRPr="00892DE3" w:rsidRDefault="003D5399">
      <w:pPr>
        <w:keepLines w:val="0"/>
        <w:rPr>
          <w:rFonts w:asciiTheme="majorHAnsi" w:eastAsiaTheme="majorEastAsia" w:hAnsiTheme="majorHAnsi" w:cstheme="majorBidi"/>
          <w:b/>
          <w:bCs/>
          <w:spacing w:val="-2"/>
          <w:sz w:val="20"/>
          <w:szCs w:val="26"/>
        </w:rPr>
      </w:pPr>
      <w:r w:rsidRPr="00892DE3">
        <w:br w:type="page"/>
      </w:r>
    </w:p>
    <w:p w:rsidR="00437D1F" w:rsidRPr="00892DE3" w:rsidRDefault="00437D1F" w:rsidP="002A033E">
      <w:pPr>
        <w:pStyle w:val="Heading30"/>
      </w:pPr>
      <w:bookmarkStart w:id="221" w:name="_Toc478735880"/>
      <w:r w:rsidRPr="00892DE3">
        <w:t>G2.3</w:t>
      </w:r>
      <w:r w:rsidRPr="00892DE3">
        <w:tab/>
      </w:r>
      <w:r w:rsidR="00B145D6" w:rsidRPr="00892DE3">
        <w:t>Reorder</w:t>
      </w:r>
      <w:r w:rsidRPr="00892DE3">
        <w:t xml:space="preserve"> accounting policies</w:t>
      </w:r>
      <w:r w:rsidR="007C1524" w:rsidRPr="00892DE3">
        <w:t xml:space="preserve">, </w:t>
      </w:r>
      <w:r w:rsidRPr="00892DE3">
        <w:t>critical estimates and judgements</w:t>
      </w:r>
      <w:bookmarkEnd w:id="221"/>
    </w:p>
    <w:p w:rsidR="00437D1F" w:rsidRPr="00892DE3" w:rsidRDefault="00437D1F" w:rsidP="00437D1F">
      <w:r w:rsidRPr="00892DE3">
        <w:t>Traditionally all the accounting policies notes</w:t>
      </w:r>
      <w:r w:rsidR="007C1524" w:rsidRPr="00892DE3">
        <w:t>,</w:t>
      </w:r>
      <w:r w:rsidRPr="00892DE3">
        <w:t xml:space="preserve"> critical estimates and judgements are included in a single section at the start of the notes to the financial statement. One of the key elements to streamlining is separating these notes into their component parts and relocating each significant accounting policy and/or </w:t>
      </w:r>
      <w:r w:rsidR="007C1524" w:rsidRPr="00892DE3">
        <w:t xml:space="preserve">the corresponding </w:t>
      </w:r>
      <w:r w:rsidRPr="00892DE3">
        <w:t xml:space="preserve">critical estimate and judgement to be </w:t>
      </w:r>
      <w:r w:rsidR="007C1524" w:rsidRPr="00892DE3">
        <w:t>positioned with</w:t>
      </w:r>
      <w:r w:rsidRPr="00892DE3">
        <w:t xml:space="preserve"> the relevant note. </w:t>
      </w:r>
    </w:p>
    <w:p w:rsidR="00437D1F" w:rsidRPr="00892DE3" w:rsidRDefault="00437D1F" w:rsidP="00437D1F">
      <w:r w:rsidRPr="00892DE3">
        <w:t xml:space="preserve">For example, the revenue accounting policy and any critical estimates and judgements associated with revenue recognition would be located within the same note. </w:t>
      </w:r>
    </w:p>
    <w:p w:rsidR="00437D1F" w:rsidRPr="00892DE3" w:rsidRDefault="00437D1F" w:rsidP="00437D1F">
      <w:r w:rsidRPr="00892DE3">
        <w:t xml:space="preserve">By having the accounting policy, critical estimate and judgement information, the account breakdown and any other relevant disclosures together, this means the reader of the accounts only has to look in one place to see all relevant information as to how the account or transactions have been accounted for together with the related disclosures. </w:t>
      </w:r>
    </w:p>
    <w:p w:rsidR="00437D1F" w:rsidRPr="00892DE3" w:rsidRDefault="00437D1F" w:rsidP="00437D1F">
      <w:r w:rsidRPr="00892DE3">
        <w:t>This process will also help identity duplicate information. In the past it wasn’t uncommon for information to be disclosed at the beginning of the document in the accounting policy note and then duplicated in the specific note. As</w:t>
      </w:r>
      <w:r w:rsidR="00252951" w:rsidRPr="00892DE3">
        <w:t> </w:t>
      </w:r>
      <w:r w:rsidRPr="00892DE3">
        <w:t xml:space="preserve">part of the streamlining process, this duplicate information can now be removed. </w:t>
      </w:r>
    </w:p>
    <w:p w:rsidR="00437D1F" w:rsidRPr="00892DE3" w:rsidRDefault="00437D1F" w:rsidP="002A033E">
      <w:pPr>
        <w:pStyle w:val="Heading4"/>
      </w:pPr>
      <w:r w:rsidRPr="00892DE3">
        <w:t xml:space="preserve">Orphan accounting policies </w:t>
      </w:r>
    </w:p>
    <w:p w:rsidR="00EE02FB" w:rsidRPr="00892DE3" w:rsidRDefault="00437D1F" w:rsidP="00437D1F">
      <w:r w:rsidRPr="00892DE3">
        <w:t xml:space="preserve">During the process of </w:t>
      </w:r>
      <w:r w:rsidR="00EE02FB" w:rsidRPr="00892DE3">
        <w:t>relocating</w:t>
      </w:r>
      <w:r w:rsidRPr="00892DE3">
        <w:t xml:space="preserve"> each accounting policy you may identify a number of polices with no clear logical place to be moved. </w:t>
      </w:r>
    </w:p>
    <w:p w:rsidR="00437D1F" w:rsidRPr="00892DE3" w:rsidRDefault="00437D1F" w:rsidP="00437D1F">
      <w:r w:rsidRPr="00892DE3">
        <w:t>This could be for a number of reasons</w:t>
      </w:r>
      <w:r w:rsidR="00EE02FB" w:rsidRPr="00892DE3">
        <w:t>:</w:t>
      </w:r>
    </w:p>
    <w:p w:rsidR="00437D1F" w:rsidRPr="00892DE3" w:rsidRDefault="00437D1F" w:rsidP="0052741D">
      <w:pPr>
        <w:pStyle w:val="ListParagraph"/>
        <w:numPr>
          <w:ilvl w:val="0"/>
          <w:numId w:val="44"/>
        </w:numPr>
      </w:pPr>
      <w:r w:rsidRPr="00892DE3">
        <w:t xml:space="preserve">the accounting policy may relate to an immaterial account balance or transaction which was removed as part of the process as described in section </w:t>
      </w:r>
      <w:r w:rsidR="00252951" w:rsidRPr="00892DE3">
        <w:t>G</w:t>
      </w:r>
      <w:r w:rsidRPr="00892DE3">
        <w:t>2.5. In this case</w:t>
      </w:r>
      <w:r w:rsidR="00EF0829" w:rsidRPr="00892DE3">
        <w:t>,</w:t>
      </w:r>
      <w:r w:rsidRPr="00892DE3">
        <w:t xml:space="preserve"> the accounting policy is no longer considered ‘significant’ and can be removed from the financial statements. </w:t>
      </w:r>
    </w:p>
    <w:p w:rsidR="00437D1F" w:rsidRPr="00892DE3" w:rsidRDefault="00437D1F" w:rsidP="0052741D">
      <w:pPr>
        <w:pStyle w:val="ListParagraph"/>
        <w:numPr>
          <w:ilvl w:val="0"/>
          <w:numId w:val="44"/>
        </w:numPr>
      </w:pPr>
      <w:r w:rsidRPr="00892DE3">
        <w:t>the accounting policy may relate to an accounting treatment common across a number of accounts. Accounting policies that often fall into this category include:</w:t>
      </w:r>
    </w:p>
    <w:p w:rsidR="00437D1F" w:rsidRPr="00892DE3" w:rsidRDefault="00FD3859" w:rsidP="00EE02FB">
      <w:pPr>
        <w:pStyle w:val="ListBullet2"/>
      </w:pPr>
      <w:r w:rsidRPr="00892DE3">
        <w:t>b</w:t>
      </w:r>
      <w:r w:rsidR="00437D1F" w:rsidRPr="00892DE3">
        <w:t>asis of consolidation</w:t>
      </w:r>
      <w:r w:rsidRPr="00892DE3">
        <w:t>; and</w:t>
      </w:r>
    </w:p>
    <w:p w:rsidR="00031D16" w:rsidRPr="00892DE3" w:rsidRDefault="00FD3859" w:rsidP="00EE02FB">
      <w:pPr>
        <w:pStyle w:val="ListBullet2"/>
      </w:pPr>
      <w:r w:rsidRPr="00892DE3">
        <w:t>f</w:t>
      </w:r>
      <w:r w:rsidR="00437D1F" w:rsidRPr="00892DE3">
        <w:t>oreign currency translation</w:t>
      </w:r>
      <w:r w:rsidRPr="00892DE3">
        <w:t>.</w:t>
      </w:r>
    </w:p>
    <w:p w:rsidR="00437D1F" w:rsidRPr="00892DE3" w:rsidRDefault="00437D1F" w:rsidP="00437D1F">
      <w:r w:rsidRPr="00892DE3">
        <w:t>In these circumstances, many organisations have opted keep these accounting policies towards the front of the document in the basis of preparation section or to include them i</w:t>
      </w:r>
      <w:r w:rsidR="00B145D6" w:rsidRPr="00892DE3">
        <w:t>n a separate policy note under ‘</w:t>
      </w:r>
      <w:r w:rsidRPr="00892DE3">
        <w:t>other</w:t>
      </w:r>
      <w:r w:rsidR="00B145D6" w:rsidRPr="00892DE3">
        <w:t>’</w:t>
      </w:r>
      <w:r w:rsidRPr="00892DE3">
        <w:t>.</w:t>
      </w:r>
    </w:p>
    <w:p w:rsidR="00437D1F" w:rsidRPr="00892DE3" w:rsidRDefault="00437D1F" w:rsidP="00437D1F">
      <w:pPr>
        <w:pStyle w:val="HighlightBoxHeading"/>
      </w:pPr>
      <w:r w:rsidRPr="00892DE3">
        <w:t>Application</w:t>
      </w:r>
    </w:p>
    <w:p w:rsidR="00437D1F" w:rsidRPr="00892DE3" w:rsidRDefault="00437D1F" w:rsidP="00437D1F">
      <w:pPr>
        <w:pStyle w:val="HighlightBoxText"/>
      </w:pPr>
      <w:r w:rsidRPr="00892DE3">
        <w:t xml:space="preserve">This step applies to </w:t>
      </w:r>
      <w:r w:rsidR="00EE02FB" w:rsidRPr="00892DE3">
        <w:t>all agencies</w:t>
      </w:r>
      <w:r w:rsidRPr="00892DE3">
        <w:t xml:space="preserve">, </w:t>
      </w:r>
      <w:r w:rsidR="00EE02FB" w:rsidRPr="00892DE3">
        <w:t xml:space="preserve">noting </w:t>
      </w:r>
      <w:r w:rsidRPr="00892DE3">
        <w:t xml:space="preserve">the </w:t>
      </w:r>
      <w:r w:rsidR="00B145D6" w:rsidRPr="00892DE3">
        <w:t>reorder</w:t>
      </w:r>
      <w:r w:rsidRPr="00892DE3">
        <w:t>ing flows from the structure discussed in Section</w:t>
      </w:r>
      <w:r w:rsidR="00BC7F0A" w:rsidRPr="00892DE3">
        <w:t> </w:t>
      </w:r>
      <w:r w:rsidR="00252951" w:rsidRPr="00892DE3">
        <w:t>G</w:t>
      </w:r>
      <w:r w:rsidRPr="00892DE3">
        <w:t xml:space="preserve">2.4 </w:t>
      </w:r>
      <w:r w:rsidR="00EE02FB" w:rsidRPr="00892DE3">
        <w:t xml:space="preserve">which </w:t>
      </w:r>
      <w:r w:rsidRPr="00892DE3">
        <w:t>has been illustrate</w:t>
      </w:r>
      <w:r w:rsidR="00252951" w:rsidRPr="00892DE3">
        <w:t>d</w:t>
      </w:r>
      <w:r w:rsidRPr="00892DE3">
        <w:t xml:space="preserve"> in the Model </w:t>
      </w:r>
      <w:r w:rsidR="002B1F95" w:rsidRPr="00892DE3">
        <w:t>financial statements</w:t>
      </w:r>
      <w:r w:rsidRPr="00892DE3">
        <w:t>.</w:t>
      </w:r>
    </w:p>
    <w:p w:rsidR="003D5399" w:rsidRPr="00892DE3" w:rsidRDefault="003D5399" w:rsidP="003D5399"/>
    <w:p w:rsidR="00437D1F" w:rsidRPr="00892DE3" w:rsidRDefault="00437D1F" w:rsidP="002A033E">
      <w:pPr>
        <w:pStyle w:val="Heading30"/>
      </w:pPr>
      <w:bookmarkStart w:id="222" w:name="_Toc478735881"/>
      <w:r w:rsidRPr="00892DE3">
        <w:t>G2.4</w:t>
      </w:r>
      <w:r w:rsidRPr="00892DE3">
        <w:tab/>
      </w:r>
      <w:r w:rsidR="00B145D6" w:rsidRPr="00892DE3">
        <w:t>Reorder</w:t>
      </w:r>
      <w:r w:rsidRPr="00892DE3">
        <w:t xml:space="preserve"> and group the notes to the financial statements into</w:t>
      </w:r>
      <w:r w:rsidR="00EE02FB" w:rsidRPr="00892DE3">
        <w:t xml:space="preserve"> relevant</w:t>
      </w:r>
      <w:r w:rsidRPr="00892DE3">
        <w:t xml:space="preserve"> sections</w:t>
      </w:r>
      <w:bookmarkEnd w:id="222"/>
    </w:p>
    <w:p w:rsidR="00437D1F" w:rsidRPr="00892DE3" w:rsidRDefault="00437D1F" w:rsidP="00437D1F">
      <w:r w:rsidRPr="00892DE3">
        <w:t xml:space="preserve">Traditionally the notes to the financial statements have followed the order of the primary statements. In a streamlined set of financial statements, the notes are </w:t>
      </w:r>
      <w:r w:rsidR="00B145D6" w:rsidRPr="00892DE3">
        <w:t>reorder</w:t>
      </w:r>
      <w:r w:rsidRPr="00892DE3">
        <w:t xml:space="preserve">ed and grouped together into sections that better reflect the key financial measures of the entity and focus on the areas of most relevance. </w:t>
      </w:r>
    </w:p>
    <w:p w:rsidR="00437D1F" w:rsidRPr="00892DE3" w:rsidRDefault="00437D1F" w:rsidP="00437D1F">
      <w:r w:rsidRPr="00892DE3">
        <w:t>When developing the grouping of notes (or the new structure of presenting notes), a systematic order should be taken. Examples of systematic ordering of grouping of notes provided by the Australian Accounting Standards Board (AASB) in the Amendments to Australian Accounting Standards – Disclosure Initiative: Amendments to AASB 101, includes:</w:t>
      </w:r>
    </w:p>
    <w:p w:rsidR="00437D1F" w:rsidRPr="00892DE3" w:rsidRDefault="00437D1F" w:rsidP="00437D1F">
      <w:pPr>
        <w:pStyle w:val="List"/>
      </w:pPr>
      <w:r w:rsidRPr="00892DE3">
        <w:t>(a)</w:t>
      </w:r>
      <w:r w:rsidRPr="00892DE3">
        <w:tab/>
        <w:t>giving prominence to the areas of its activities that the entity considers to be most relevant to an understanding of its financial performance and financial position, such as grouping together information about particular operating activities;</w:t>
      </w:r>
    </w:p>
    <w:p w:rsidR="00437D1F" w:rsidRPr="00892DE3" w:rsidRDefault="00437D1F" w:rsidP="00437D1F">
      <w:pPr>
        <w:pStyle w:val="List"/>
      </w:pPr>
      <w:r w:rsidRPr="00892DE3">
        <w:t>(b)</w:t>
      </w:r>
      <w:r w:rsidRPr="00892DE3">
        <w:tab/>
        <w:t>grouping together information about items measured similarly such as assets measured at fair value; or</w:t>
      </w:r>
    </w:p>
    <w:p w:rsidR="00437D1F" w:rsidRPr="00892DE3" w:rsidRDefault="00437D1F" w:rsidP="00437D1F">
      <w:pPr>
        <w:pStyle w:val="List"/>
      </w:pPr>
      <w:r w:rsidRPr="00892DE3">
        <w:t>(c)</w:t>
      </w:r>
      <w:r w:rsidRPr="00892DE3">
        <w:tab/>
        <w:t>following the order of the line items in the statement(s) of profit or loss and other comprehensive income and the statement of financial position.</w:t>
      </w:r>
    </w:p>
    <w:p w:rsidR="00437D1F" w:rsidRPr="00892DE3" w:rsidRDefault="00437D1F" w:rsidP="00437D1F">
      <w:r w:rsidRPr="00892DE3">
        <w:t xml:space="preserve">The Model </w:t>
      </w:r>
      <w:r w:rsidR="002B1F95" w:rsidRPr="00892DE3">
        <w:t xml:space="preserve">financial statements </w:t>
      </w:r>
      <w:r w:rsidRPr="00892DE3">
        <w:t xml:space="preserve">for Victorian Government Departments have grouped the notes to the financial statements into </w:t>
      </w:r>
      <w:r w:rsidR="00B145D6" w:rsidRPr="00892DE3">
        <w:t>nine</w:t>
      </w:r>
      <w:r w:rsidRPr="00892DE3">
        <w:t xml:space="preserve"> sections. This is one example of how notes could be grouped together. </w:t>
      </w:r>
      <w:r w:rsidR="00EE02FB" w:rsidRPr="00892DE3">
        <w:t>While mandatory for departments, t</w:t>
      </w:r>
      <w:r w:rsidRPr="00892DE3">
        <w:t xml:space="preserve">his is recommended for </w:t>
      </w:r>
      <w:r w:rsidR="00EE02FB" w:rsidRPr="00892DE3">
        <w:t>public bodies</w:t>
      </w:r>
      <w:r w:rsidRPr="00892DE3">
        <w:t xml:space="preserve">. Each entity should develop their own grouping and sections based on their material accounts and the nature of their operations. </w:t>
      </w:r>
    </w:p>
    <w:p w:rsidR="003D5399" w:rsidRPr="00892DE3" w:rsidRDefault="003D5399">
      <w:pPr>
        <w:keepLines w:val="0"/>
      </w:pPr>
      <w:r w:rsidRPr="00892DE3">
        <w:br w:type="page"/>
      </w:r>
    </w:p>
    <w:p w:rsidR="00437D1F" w:rsidRPr="00892DE3" w:rsidRDefault="00437D1F" w:rsidP="00437D1F">
      <w:r w:rsidRPr="00892DE3">
        <w:t xml:space="preserve">The grouping of notes and sections adopted by the Model </w:t>
      </w:r>
      <w:r w:rsidR="002B1F95" w:rsidRPr="00892DE3">
        <w:t xml:space="preserve">financial statements </w:t>
      </w:r>
      <w:r w:rsidRPr="00892DE3">
        <w:t>for Victorian Government Departments (2016-17) include:</w:t>
      </w:r>
    </w:p>
    <w:p w:rsidR="00437D1F" w:rsidRPr="00892DE3" w:rsidRDefault="00437D1F" w:rsidP="00587DAE">
      <w:pPr>
        <w:pStyle w:val="ListNumber"/>
        <w:numPr>
          <w:ilvl w:val="0"/>
          <w:numId w:val="16"/>
        </w:numPr>
      </w:pPr>
      <w:r w:rsidRPr="00892DE3">
        <w:rPr>
          <w:b/>
        </w:rPr>
        <w:t>About this report</w:t>
      </w:r>
      <w:r w:rsidRPr="00892DE3">
        <w:t xml:space="preserve"> – The basis on which the financial statements have been prepared and compliance with reporting regulations</w:t>
      </w:r>
    </w:p>
    <w:p w:rsidR="00437D1F" w:rsidRPr="00892DE3" w:rsidRDefault="00437D1F" w:rsidP="00437D1F">
      <w:pPr>
        <w:pStyle w:val="ListNumber"/>
      </w:pPr>
      <w:r w:rsidRPr="00892DE3">
        <w:rPr>
          <w:b/>
        </w:rPr>
        <w:t>Funding delivery of our services</w:t>
      </w:r>
      <w:r w:rsidRPr="00892DE3">
        <w:t xml:space="preserve"> – Revenue recognised in respect of appropriations and other income sources</w:t>
      </w:r>
    </w:p>
    <w:p w:rsidR="00437D1F" w:rsidRPr="00892DE3" w:rsidRDefault="00437D1F" w:rsidP="00437D1F">
      <w:pPr>
        <w:pStyle w:val="ListNumber"/>
      </w:pPr>
      <w:r w:rsidRPr="00892DE3">
        <w:rPr>
          <w:b/>
        </w:rPr>
        <w:t>The cost of delivering services</w:t>
      </w:r>
      <w:r w:rsidRPr="00892DE3">
        <w:t xml:space="preserve"> – Operating expenses of the Department</w:t>
      </w:r>
    </w:p>
    <w:p w:rsidR="00437D1F" w:rsidRPr="00892DE3" w:rsidRDefault="00437D1F" w:rsidP="00437D1F">
      <w:pPr>
        <w:pStyle w:val="ListNumber"/>
      </w:pPr>
      <w:r w:rsidRPr="00892DE3">
        <w:rPr>
          <w:b/>
        </w:rPr>
        <w:t>Disaggregated financial information by output</w:t>
      </w:r>
      <w:r w:rsidRPr="00892DE3">
        <w:t xml:space="preserve"> – Department outputs and Administered (non-controlled) items</w:t>
      </w:r>
    </w:p>
    <w:p w:rsidR="00437D1F" w:rsidRPr="00892DE3" w:rsidRDefault="00437D1F" w:rsidP="00437D1F">
      <w:pPr>
        <w:pStyle w:val="ListNumber"/>
      </w:pPr>
      <w:r w:rsidRPr="00892DE3">
        <w:rPr>
          <w:b/>
        </w:rPr>
        <w:t>Key assets available to support output delivery</w:t>
      </w:r>
      <w:r w:rsidRPr="00892DE3">
        <w:t xml:space="preserve"> – Land, property, infrastructure, plant and equipment, biological assets, intangible assets, investments and other financial assets, interests in other entities</w:t>
      </w:r>
    </w:p>
    <w:p w:rsidR="00437D1F" w:rsidRPr="00892DE3" w:rsidRDefault="00437D1F" w:rsidP="00437D1F">
      <w:pPr>
        <w:pStyle w:val="ListNumber"/>
      </w:pPr>
      <w:r w:rsidRPr="00892DE3">
        <w:rPr>
          <w:b/>
        </w:rPr>
        <w:t>Other assets and liabilities</w:t>
      </w:r>
      <w:r w:rsidRPr="00892DE3">
        <w:t xml:space="preserve"> – Working capital balances and other key assets and liabilities</w:t>
      </w:r>
    </w:p>
    <w:p w:rsidR="00437D1F" w:rsidRPr="00892DE3" w:rsidRDefault="00316ED2" w:rsidP="00437D1F">
      <w:pPr>
        <w:pStyle w:val="ListNumber"/>
      </w:pPr>
      <w:r w:rsidRPr="00892DE3">
        <w:rPr>
          <w:b/>
        </w:rPr>
        <w:t xml:space="preserve">How we financed </w:t>
      </w:r>
      <w:r w:rsidR="00437D1F" w:rsidRPr="00892DE3">
        <w:rPr>
          <w:b/>
        </w:rPr>
        <w:t>our operations</w:t>
      </w:r>
      <w:r w:rsidR="00437D1F" w:rsidRPr="00892DE3">
        <w:t xml:space="preserve"> – Borrowings, cash flow information, leases, assets pledged as security</w:t>
      </w:r>
    </w:p>
    <w:p w:rsidR="00437D1F" w:rsidRPr="00892DE3" w:rsidRDefault="00437D1F" w:rsidP="00437D1F">
      <w:pPr>
        <w:pStyle w:val="ListNumber"/>
      </w:pPr>
      <w:r w:rsidRPr="00892DE3">
        <w:rPr>
          <w:b/>
        </w:rPr>
        <w:t>Risks, contingencies and valuation judgements</w:t>
      </w:r>
      <w:r w:rsidRPr="00892DE3">
        <w:t xml:space="preserve"> – Financial risk management, contingent assets and liabilities as well as fair value determination</w:t>
      </w:r>
    </w:p>
    <w:p w:rsidR="00437D1F" w:rsidRPr="00892DE3" w:rsidRDefault="00437D1F" w:rsidP="00437D1F">
      <w:pPr>
        <w:pStyle w:val="ListNumber"/>
      </w:pPr>
      <w:r w:rsidRPr="00892DE3">
        <w:rPr>
          <w:b/>
        </w:rPr>
        <w:t>Other disclosures</w:t>
      </w:r>
      <w:r w:rsidRPr="00892DE3">
        <w:t xml:space="preserve"> – Any other disclosures required to comply with accounting and disclosure requirements.</w:t>
      </w:r>
    </w:p>
    <w:p w:rsidR="00437D1F" w:rsidRPr="00892DE3" w:rsidRDefault="00437D1F" w:rsidP="00437D1F">
      <w:r w:rsidRPr="00892DE3">
        <w:t xml:space="preserve">An example of the structure of the notes, to be presented to stakeholders is included in section </w:t>
      </w:r>
      <w:r w:rsidR="00252951" w:rsidRPr="00892DE3">
        <w:t>G</w:t>
      </w:r>
      <w:r w:rsidRPr="00892DE3">
        <w:t xml:space="preserve">5 of this guide. Section </w:t>
      </w:r>
      <w:r w:rsidR="00252951" w:rsidRPr="00892DE3">
        <w:t>G</w:t>
      </w:r>
      <w:r w:rsidRPr="00892DE3">
        <w:t xml:space="preserve">5 also includes </w:t>
      </w:r>
      <w:r w:rsidR="00B145D6" w:rsidRPr="00892DE3">
        <w:t>publicly</w:t>
      </w:r>
      <w:r w:rsidRPr="00892DE3">
        <w:t xml:space="preserve"> available information from other entities with different note structures. </w:t>
      </w:r>
    </w:p>
    <w:p w:rsidR="003D5399" w:rsidRPr="00892DE3" w:rsidRDefault="003D5399" w:rsidP="002A033E">
      <w:pPr>
        <w:pStyle w:val="Heading4"/>
      </w:pPr>
    </w:p>
    <w:p w:rsidR="00437D1F" w:rsidRPr="00892DE3" w:rsidRDefault="00437D1F" w:rsidP="002A033E">
      <w:pPr>
        <w:pStyle w:val="Heading4"/>
      </w:pPr>
      <w:r w:rsidRPr="00892DE3">
        <w:t>Developing section introductions</w:t>
      </w:r>
    </w:p>
    <w:p w:rsidR="00437D1F" w:rsidRPr="00892DE3" w:rsidRDefault="00437D1F" w:rsidP="00437D1F">
      <w:r w:rsidRPr="00892DE3">
        <w:t xml:space="preserve">At the start of each new section of notes, an introduction should be included to enable the reader </w:t>
      </w:r>
      <w:r w:rsidR="00B145D6" w:rsidRPr="00892DE3">
        <w:t>to better understand the entity’</w:t>
      </w:r>
      <w:r w:rsidRPr="00892DE3">
        <w:t xml:space="preserve">s activities and what notes are included in the section. This provides the users with insights into the key activities of the </w:t>
      </w:r>
      <w:r w:rsidR="00316ED2" w:rsidRPr="00892DE3">
        <w:t>agency</w:t>
      </w:r>
      <w:r w:rsidRPr="00892DE3">
        <w:t xml:space="preserve">, logical groupings and categories created to ‘tell the story’ of the </w:t>
      </w:r>
      <w:r w:rsidR="00316ED2" w:rsidRPr="00892DE3">
        <w:t>agency</w:t>
      </w:r>
      <w:r w:rsidRPr="00892DE3">
        <w:t xml:space="preserve">. </w:t>
      </w:r>
    </w:p>
    <w:p w:rsidR="00437D1F" w:rsidRPr="00892DE3" w:rsidRDefault="00437D1F" w:rsidP="00437D1F">
      <w:r w:rsidRPr="00892DE3">
        <w:t xml:space="preserve">The following is an extract of the introduction from the ‘Funding delivery of our services’ section of the Model </w:t>
      </w:r>
      <w:r w:rsidR="002B1F95" w:rsidRPr="00892DE3">
        <w:t xml:space="preserve">financial statements </w:t>
      </w:r>
      <w:r w:rsidRPr="00892DE3">
        <w:t>for Victorian Government Departm</w:t>
      </w:r>
      <w:r w:rsidR="00B40C1E" w:rsidRPr="00892DE3">
        <w:t>ents (2016-</w:t>
      </w:r>
      <w:r w:rsidRPr="00892DE3">
        <w:t>17):</w:t>
      </w:r>
    </w:p>
    <w:p w:rsidR="00B40C1E" w:rsidRPr="00892DE3" w:rsidRDefault="00B40C1E" w:rsidP="00B40C1E">
      <w:pPr>
        <w:pStyle w:val="HighlightBoxText"/>
        <w:tabs>
          <w:tab w:val="left" w:pos="567"/>
        </w:tabs>
        <w:rPr>
          <w:b/>
          <w:sz w:val="20"/>
        </w:rPr>
      </w:pPr>
      <w:r w:rsidRPr="00892DE3">
        <w:rPr>
          <w:b/>
          <w:sz w:val="20"/>
        </w:rPr>
        <w:t>2.</w:t>
      </w:r>
      <w:r w:rsidRPr="00892DE3">
        <w:rPr>
          <w:b/>
          <w:sz w:val="20"/>
        </w:rPr>
        <w:tab/>
        <w:t>Funding delivery of our services</w:t>
      </w:r>
    </w:p>
    <w:p w:rsidR="00B40C1E" w:rsidRPr="00892DE3" w:rsidRDefault="00B40C1E" w:rsidP="00B40C1E">
      <w:pPr>
        <w:pStyle w:val="HighlightBoxText"/>
        <w:rPr>
          <w:b/>
        </w:rPr>
      </w:pPr>
      <w:r w:rsidRPr="00892DE3">
        <w:rPr>
          <w:b/>
        </w:rPr>
        <w:t>Introduction</w:t>
      </w:r>
    </w:p>
    <w:p w:rsidR="00B40C1E" w:rsidRPr="00892DE3" w:rsidRDefault="00B40C1E" w:rsidP="00B40C1E">
      <w:pPr>
        <w:pStyle w:val="HighlightBoxText"/>
      </w:pPr>
      <w:r w:rsidRPr="00892DE3">
        <w:t xml:space="preserve">The Department of Technology’s (the Department) overall objective is to research, develop, promote and support the use of leading edge information, biological technology and telecommunications that bring improvements to the efficiency and effectiveness of government operation, and improvements to </w:t>
      </w:r>
      <w:r w:rsidR="00F0558E" w:rsidRPr="00892DE3">
        <w:t xml:space="preserve">Victorians </w:t>
      </w:r>
      <w:r w:rsidRPr="00892DE3">
        <w:t>quality of life.</w:t>
      </w:r>
    </w:p>
    <w:p w:rsidR="00B40C1E" w:rsidRPr="00892DE3" w:rsidRDefault="00B40C1E" w:rsidP="00B40C1E">
      <w:pPr>
        <w:pStyle w:val="HighlightBoxText"/>
      </w:pPr>
      <w:r w:rsidRPr="00892DE3">
        <w:t xml:space="preserve">To enable the Department to fulfil its objective and provide outputs as described in </w:t>
      </w:r>
      <w:r w:rsidR="00F0558E" w:rsidRPr="00892DE3">
        <w:t xml:space="preserve">Section </w:t>
      </w:r>
      <w:r w:rsidRPr="00892DE3">
        <w:t>4, it receives income (predominantly accrual based parliamentary appropriations). The Department also receives market based fees providing advice and other services in relation to information technology and telecommunications.</w:t>
      </w:r>
    </w:p>
    <w:p w:rsidR="00B40C1E" w:rsidRPr="00892DE3" w:rsidRDefault="00B40C1E" w:rsidP="00B40C1E">
      <w:pPr>
        <w:pStyle w:val="HighlightBoxText"/>
        <w:rPr>
          <w:b/>
        </w:rPr>
      </w:pPr>
      <w:r w:rsidRPr="00892DE3">
        <w:rPr>
          <w:b/>
        </w:rPr>
        <w:t>Structure</w:t>
      </w:r>
    </w:p>
    <w:p w:rsidR="00B40C1E" w:rsidRPr="00892DE3" w:rsidRDefault="00B40C1E" w:rsidP="00B40C1E">
      <w:pPr>
        <w:pStyle w:val="HighlightBoxText"/>
        <w:tabs>
          <w:tab w:val="left" w:pos="567"/>
        </w:tabs>
      </w:pPr>
      <w:r w:rsidRPr="00892DE3">
        <w:t>2.1</w:t>
      </w:r>
      <w:r w:rsidRPr="00892DE3">
        <w:tab/>
        <w:t>Summary of income that funds the delivery of our services</w:t>
      </w:r>
    </w:p>
    <w:p w:rsidR="00B40C1E" w:rsidRPr="00892DE3" w:rsidRDefault="00B40C1E" w:rsidP="00B40C1E">
      <w:pPr>
        <w:pStyle w:val="HighlightBoxText"/>
        <w:tabs>
          <w:tab w:val="left" w:pos="567"/>
        </w:tabs>
      </w:pPr>
      <w:r w:rsidRPr="00892DE3">
        <w:t>2.2</w:t>
      </w:r>
      <w:r w:rsidRPr="00892DE3">
        <w:tab/>
        <w:t>Appropriations</w:t>
      </w:r>
    </w:p>
    <w:p w:rsidR="00B40C1E" w:rsidRPr="00892DE3" w:rsidRDefault="00B40C1E" w:rsidP="00B40C1E">
      <w:pPr>
        <w:pStyle w:val="HighlightBoxText"/>
        <w:tabs>
          <w:tab w:val="left" w:pos="567"/>
        </w:tabs>
      </w:pPr>
      <w:r w:rsidRPr="00892DE3">
        <w:t>2.3</w:t>
      </w:r>
      <w:r w:rsidRPr="00892DE3">
        <w:tab/>
        <w:t>Summary of compliance with annual Parliamentary and special appropriations</w:t>
      </w:r>
    </w:p>
    <w:p w:rsidR="00B40C1E" w:rsidRPr="00892DE3" w:rsidRDefault="00B40C1E" w:rsidP="00B40C1E">
      <w:pPr>
        <w:pStyle w:val="HighlightBoxText"/>
        <w:tabs>
          <w:tab w:val="left" w:pos="567"/>
        </w:tabs>
      </w:pPr>
      <w:r w:rsidRPr="00892DE3">
        <w:t>2.4</w:t>
      </w:r>
      <w:r w:rsidRPr="00892DE3">
        <w:tab/>
        <w:t>Income from transactions</w:t>
      </w:r>
    </w:p>
    <w:p w:rsidR="00B40C1E" w:rsidRPr="00892DE3" w:rsidRDefault="00B40C1E" w:rsidP="00B40C1E">
      <w:pPr>
        <w:pStyle w:val="HighlightBoxText"/>
        <w:tabs>
          <w:tab w:val="left" w:pos="567"/>
        </w:tabs>
      </w:pPr>
      <w:r w:rsidRPr="00892DE3">
        <w:t>2.5</w:t>
      </w:r>
      <w:r w:rsidRPr="00892DE3">
        <w:tab/>
        <w:t>Annotated income agreements</w:t>
      </w:r>
    </w:p>
    <w:p w:rsidR="00B40C1E" w:rsidRPr="00892DE3" w:rsidRDefault="00B40C1E" w:rsidP="00437D1F">
      <w:r w:rsidRPr="00892DE3">
        <w:t xml:space="preserve">It should be noted that the introduction section is also </w:t>
      </w:r>
      <w:r w:rsidR="00B145D6" w:rsidRPr="00892DE3">
        <w:t xml:space="preserve">a </w:t>
      </w:r>
      <w:r w:rsidRPr="00892DE3">
        <w:t xml:space="preserve">useful tool to </w:t>
      </w:r>
      <w:r w:rsidR="00316ED2" w:rsidRPr="00892DE3">
        <w:t xml:space="preserve">communicate </w:t>
      </w:r>
      <w:r w:rsidRPr="00892DE3">
        <w:t xml:space="preserve">information as to why the section was created and convey other messages which may or may not have been conveyed through the financial statements. There is not a </w:t>
      </w:r>
      <w:r w:rsidR="00B145D6" w:rsidRPr="00892DE3">
        <w:t>‘</w:t>
      </w:r>
      <w:r w:rsidRPr="00892DE3">
        <w:t>one</w:t>
      </w:r>
      <w:r w:rsidR="000E2142" w:rsidRPr="00892DE3">
        <w:t xml:space="preserve"> </w:t>
      </w:r>
      <w:r w:rsidRPr="00892DE3">
        <w:t>size</w:t>
      </w:r>
      <w:r w:rsidR="000E2142" w:rsidRPr="00892DE3">
        <w:t xml:space="preserve"> </w:t>
      </w:r>
      <w:r w:rsidRPr="00892DE3">
        <w:t>fit</w:t>
      </w:r>
      <w:r w:rsidR="000E2142" w:rsidRPr="00892DE3">
        <w:t xml:space="preserve"> </w:t>
      </w:r>
      <w:r w:rsidRPr="00892DE3">
        <w:t>all</w:t>
      </w:r>
      <w:r w:rsidR="00B145D6" w:rsidRPr="00892DE3">
        <w:t>’</w:t>
      </w:r>
      <w:r w:rsidRPr="00892DE3">
        <w:t xml:space="preserve"> </w:t>
      </w:r>
      <w:r w:rsidR="000E2142" w:rsidRPr="00892DE3">
        <w:t xml:space="preserve">approach </w:t>
      </w:r>
      <w:r w:rsidRPr="00892DE3">
        <w:t>and some thought would need to be given to the effective and appropriate use of the introduction sections.</w:t>
      </w:r>
    </w:p>
    <w:p w:rsidR="00B40C1E" w:rsidRPr="00892DE3" w:rsidRDefault="00B145D6" w:rsidP="00B40C1E">
      <w:pPr>
        <w:pStyle w:val="HighlightBoxHeading"/>
      </w:pPr>
      <w:r w:rsidRPr="00892DE3">
        <w:t>Application to d</w:t>
      </w:r>
      <w:r w:rsidR="00B40C1E" w:rsidRPr="00892DE3">
        <w:t>epartments</w:t>
      </w:r>
    </w:p>
    <w:p w:rsidR="00B40C1E" w:rsidRPr="00892DE3" w:rsidRDefault="00B40C1E" w:rsidP="00B40C1E">
      <w:pPr>
        <w:pStyle w:val="HighlightBoxText"/>
      </w:pPr>
      <w:r w:rsidRPr="00892DE3">
        <w:t xml:space="preserve">The Model </w:t>
      </w:r>
      <w:r w:rsidR="002B1F95" w:rsidRPr="00892DE3">
        <w:t xml:space="preserve">financial statements </w:t>
      </w:r>
      <w:r w:rsidRPr="00892DE3">
        <w:t xml:space="preserve">incorporate the structure prescribed for government departments. </w:t>
      </w:r>
      <w:r w:rsidR="00EE02FB" w:rsidRPr="00892DE3">
        <w:t xml:space="preserve">If </w:t>
      </w:r>
      <w:r w:rsidRPr="00892DE3">
        <w:t xml:space="preserve">a </w:t>
      </w:r>
      <w:r w:rsidR="00B145D6" w:rsidRPr="00892DE3">
        <w:t>d</w:t>
      </w:r>
      <w:r w:rsidRPr="00892DE3">
        <w:t>epartment believe</w:t>
      </w:r>
      <w:r w:rsidR="00260CCE" w:rsidRPr="00892DE3">
        <w:t>s</w:t>
      </w:r>
      <w:r w:rsidRPr="00892DE3">
        <w:t xml:space="preserve"> its circumstance</w:t>
      </w:r>
      <w:r w:rsidR="00260CCE" w:rsidRPr="00892DE3">
        <w:t>s</w:t>
      </w:r>
      <w:r w:rsidRPr="00892DE3">
        <w:t xml:space="preserve"> are such that it needs to amend the structure of the Model </w:t>
      </w:r>
      <w:r w:rsidR="002B1F95" w:rsidRPr="00892DE3">
        <w:t xml:space="preserve">financial statements </w:t>
      </w:r>
      <w:r w:rsidRPr="00892DE3">
        <w:t>(for whatever reason), then this deviation needs to be consulted with the Accounting Policy team of the Department of Treasury and Finance.</w:t>
      </w:r>
    </w:p>
    <w:p w:rsidR="00B40C1E" w:rsidRPr="00892DE3" w:rsidRDefault="00B40C1E" w:rsidP="00B40C1E">
      <w:pPr>
        <w:pStyle w:val="HighlightBoxText"/>
      </w:pPr>
      <w:r w:rsidRPr="00892DE3">
        <w:t xml:space="preserve">The </w:t>
      </w:r>
      <w:r w:rsidR="00B145D6" w:rsidRPr="00892DE3">
        <w:t>‘</w:t>
      </w:r>
      <w:r w:rsidRPr="00892DE3">
        <w:t>Introduction</w:t>
      </w:r>
      <w:r w:rsidR="00B145D6" w:rsidRPr="00892DE3">
        <w:t>’</w:t>
      </w:r>
      <w:r w:rsidRPr="00892DE3">
        <w:t xml:space="preserve"> sections have already been set up in the Model </w:t>
      </w:r>
      <w:r w:rsidR="002B1F95" w:rsidRPr="00892DE3">
        <w:t>financial statements</w:t>
      </w:r>
      <w:r w:rsidRPr="00892DE3">
        <w:t xml:space="preserve">. Departments should </w:t>
      </w:r>
      <w:r w:rsidRPr="00892DE3">
        <w:rPr>
          <w:spacing w:val="0"/>
        </w:rPr>
        <w:t>ensure</w:t>
      </w:r>
      <w:r w:rsidR="00F0558E" w:rsidRPr="00892DE3">
        <w:t xml:space="preserve"> </w:t>
      </w:r>
      <w:r w:rsidRPr="00892DE3">
        <w:t>the wording included within those section</w:t>
      </w:r>
      <w:r w:rsidR="00B145D6" w:rsidRPr="00892DE3">
        <w:t>s</w:t>
      </w:r>
      <w:r w:rsidRPr="00892DE3">
        <w:t xml:space="preserve"> are appropriate to their circumstances and tailored appropriately.</w:t>
      </w:r>
    </w:p>
    <w:p w:rsidR="00EE02FB" w:rsidRPr="00892DE3" w:rsidRDefault="00EE02FB" w:rsidP="00B40C1E">
      <w:pPr>
        <w:pStyle w:val="HighlightBoxText"/>
      </w:pPr>
      <w:r w:rsidRPr="00892DE3">
        <w:t>Public bodies will need to assess and determine if the proposed structure is appropriate for their specific circumstances.</w:t>
      </w:r>
    </w:p>
    <w:p w:rsidR="00252951" w:rsidRPr="00892DE3" w:rsidRDefault="00252951">
      <w:pPr>
        <w:keepLines w:val="0"/>
        <w:rPr>
          <w:rFonts w:asciiTheme="majorHAnsi" w:eastAsiaTheme="majorEastAsia" w:hAnsiTheme="majorHAnsi" w:cstheme="majorBidi"/>
          <w:b/>
          <w:spacing w:val="-2"/>
          <w:sz w:val="24"/>
          <w:szCs w:val="26"/>
        </w:rPr>
      </w:pPr>
      <w:r w:rsidRPr="00892DE3">
        <w:br w:type="page"/>
      </w:r>
    </w:p>
    <w:p w:rsidR="00B40C1E" w:rsidRPr="00892DE3" w:rsidRDefault="00B40C1E" w:rsidP="002A033E">
      <w:pPr>
        <w:pStyle w:val="Heading30"/>
      </w:pPr>
      <w:bookmarkStart w:id="223" w:name="_Toc478735882"/>
      <w:r w:rsidRPr="00892DE3">
        <w:t>G2.5</w:t>
      </w:r>
      <w:r w:rsidRPr="00892DE3">
        <w:tab/>
        <w:t>Remove immaterial disclosures</w:t>
      </w:r>
      <w:bookmarkEnd w:id="223"/>
    </w:p>
    <w:p w:rsidR="00B40C1E" w:rsidRPr="00892DE3" w:rsidRDefault="00B40C1E" w:rsidP="00B40C1E">
      <w:r w:rsidRPr="00892DE3">
        <w:t xml:space="preserve">Using the prior year’s final financial statements as a starting point, </w:t>
      </w:r>
      <w:r w:rsidR="00316ED2" w:rsidRPr="00892DE3">
        <w:t xml:space="preserve">the agency needs to </w:t>
      </w:r>
      <w:r w:rsidRPr="00892DE3">
        <w:t xml:space="preserve">consider the materiality and relevance of each disclosure in light of the materiality decisions made in </w:t>
      </w:r>
      <w:r w:rsidR="00EE02FB" w:rsidRPr="00892DE3">
        <w:t>S</w:t>
      </w:r>
      <w:r w:rsidRPr="00892DE3">
        <w:t xml:space="preserve">ection </w:t>
      </w:r>
      <w:r w:rsidR="00252951" w:rsidRPr="00892DE3">
        <w:t>G</w:t>
      </w:r>
      <w:r w:rsidRPr="00892DE3">
        <w:t xml:space="preserve">2.2. </w:t>
      </w:r>
    </w:p>
    <w:p w:rsidR="00B40C1E" w:rsidRPr="00892DE3" w:rsidRDefault="00B40C1E" w:rsidP="00B40C1E">
      <w:r w:rsidRPr="00892DE3">
        <w:t xml:space="preserve">Any disclosure or additional information which is no longer considered material should be </w:t>
      </w:r>
      <w:r w:rsidR="00EE02FB" w:rsidRPr="00892DE3">
        <w:t xml:space="preserve">highlighted </w:t>
      </w:r>
      <w:r w:rsidRPr="00892DE3">
        <w:t>for removal.</w:t>
      </w:r>
    </w:p>
    <w:p w:rsidR="00B40C1E" w:rsidRPr="00892DE3" w:rsidRDefault="00B40C1E" w:rsidP="00B40C1E">
      <w:r w:rsidRPr="00892DE3">
        <w:t>The information</w:t>
      </w:r>
      <w:r w:rsidR="00316ED2" w:rsidRPr="00892DE3">
        <w:t xml:space="preserve"> proposed</w:t>
      </w:r>
      <w:r w:rsidRPr="00892DE3">
        <w:t xml:space="preserve"> to be removed </w:t>
      </w:r>
      <w:r w:rsidR="00EE02FB" w:rsidRPr="00892DE3">
        <w:t xml:space="preserve">should </w:t>
      </w:r>
      <w:r w:rsidRPr="00892DE3">
        <w:t xml:space="preserve">be presented for approval (as outlined in </w:t>
      </w:r>
      <w:r w:rsidR="00EE02FB" w:rsidRPr="00892DE3">
        <w:t>S</w:t>
      </w:r>
      <w:r w:rsidRPr="00892DE3">
        <w:t xml:space="preserve">ection </w:t>
      </w:r>
      <w:r w:rsidR="00252951" w:rsidRPr="00892DE3">
        <w:t>G</w:t>
      </w:r>
      <w:r w:rsidRPr="00892DE3">
        <w:t>2.6) through a log of changes made.</w:t>
      </w:r>
    </w:p>
    <w:p w:rsidR="00B40C1E" w:rsidRPr="00892DE3" w:rsidRDefault="00B40C1E" w:rsidP="00B40C1E">
      <w:pPr>
        <w:pStyle w:val="HighlightBoxHeading"/>
      </w:pPr>
      <w:r w:rsidRPr="00892DE3">
        <w:t>Application</w:t>
      </w:r>
    </w:p>
    <w:p w:rsidR="00B40C1E" w:rsidRPr="00892DE3" w:rsidRDefault="00B40C1E" w:rsidP="00B40C1E">
      <w:pPr>
        <w:pStyle w:val="HighlightBoxText"/>
      </w:pPr>
      <w:r w:rsidRPr="00892DE3">
        <w:t xml:space="preserve">This step applies to </w:t>
      </w:r>
      <w:r w:rsidR="00EE02FB" w:rsidRPr="00892DE3">
        <w:t>all agencies</w:t>
      </w:r>
      <w:r w:rsidRPr="00892DE3">
        <w:t>.</w:t>
      </w:r>
    </w:p>
    <w:p w:rsidR="003D5399" w:rsidRPr="00892DE3" w:rsidRDefault="003D5399" w:rsidP="003D5399">
      <w:pPr>
        <w:spacing w:before="0"/>
      </w:pPr>
    </w:p>
    <w:p w:rsidR="00B40C1E" w:rsidRPr="00892DE3" w:rsidRDefault="00B40C1E" w:rsidP="002A033E">
      <w:pPr>
        <w:pStyle w:val="Heading30"/>
      </w:pPr>
      <w:bookmarkStart w:id="224" w:name="_Toc478735883"/>
      <w:r w:rsidRPr="00892DE3">
        <w:t>G2.6</w:t>
      </w:r>
      <w:r w:rsidRPr="00892DE3">
        <w:tab/>
        <w:t>Gain in-principle agreement of judgements made and proposed changes</w:t>
      </w:r>
      <w:bookmarkEnd w:id="224"/>
    </w:p>
    <w:p w:rsidR="00B40C1E" w:rsidRPr="00892DE3" w:rsidRDefault="00B40C1E" w:rsidP="00B40C1E">
      <w:r w:rsidRPr="00892DE3">
        <w:t>Once all structural decisions have been made and documented</w:t>
      </w:r>
      <w:r w:rsidR="00260CCE" w:rsidRPr="00892DE3">
        <w:t>,</w:t>
      </w:r>
      <w:r w:rsidRPr="00892DE3">
        <w:t xml:space="preserve"> including the information</w:t>
      </w:r>
      <w:r w:rsidR="00EE02FB" w:rsidRPr="00892DE3">
        <w:t xml:space="preserve"> proposed</w:t>
      </w:r>
      <w:r w:rsidRPr="00892DE3">
        <w:t xml:space="preserve"> to be removed from the financial statements, </w:t>
      </w:r>
      <w:r w:rsidR="00EE02FB" w:rsidRPr="00892DE3">
        <w:t xml:space="preserve">proposed relocation of </w:t>
      </w:r>
      <w:r w:rsidRPr="00892DE3">
        <w:t>significant accounting policies</w:t>
      </w:r>
      <w:r w:rsidR="00EE02FB" w:rsidRPr="00892DE3">
        <w:t xml:space="preserve">, </w:t>
      </w:r>
      <w:r w:rsidRPr="00892DE3">
        <w:t>critical estimates and judgements and the ordering and grouping of note</w:t>
      </w:r>
      <w:r w:rsidR="007124D6" w:rsidRPr="00892DE3">
        <w:t xml:space="preserve">s, it will be important to get </w:t>
      </w:r>
      <w:r w:rsidRPr="00892DE3">
        <w:t xml:space="preserve">in-principle agreement from key stakeholders. </w:t>
      </w:r>
    </w:p>
    <w:p w:rsidR="00B40C1E" w:rsidRPr="00892DE3" w:rsidRDefault="00B40C1E" w:rsidP="00B40C1E">
      <w:r w:rsidRPr="00892DE3">
        <w:t xml:space="preserve">Similar to </w:t>
      </w:r>
      <w:r w:rsidR="00252951" w:rsidRPr="00892DE3">
        <w:t>G2.</w:t>
      </w:r>
      <w:r w:rsidRPr="00892DE3">
        <w:t xml:space="preserve">1, stakeholder engagement sessions will need to be held. </w:t>
      </w:r>
    </w:p>
    <w:p w:rsidR="00B40C1E" w:rsidRPr="00892DE3" w:rsidRDefault="00B40C1E" w:rsidP="00B40C1E">
      <w:r w:rsidRPr="00892DE3">
        <w:t>The p</w:t>
      </w:r>
      <w:r w:rsidR="003D5399" w:rsidRPr="00892DE3">
        <w:t>urpose of these sessions is to:</w:t>
      </w:r>
    </w:p>
    <w:p w:rsidR="00B40C1E" w:rsidRPr="00892DE3" w:rsidRDefault="00252951" w:rsidP="00B40C1E">
      <w:pPr>
        <w:pStyle w:val="ListBullet"/>
      </w:pPr>
      <w:r w:rsidRPr="00892DE3">
        <w:t>s</w:t>
      </w:r>
      <w:r w:rsidR="00B40C1E" w:rsidRPr="00892DE3">
        <w:t xml:space="preserve">et the scene by presenting the thought process followed to </w:t>
      </w:r>
      <w:r w:rsidRPr="00892DE3">
        <w:t>arrive at the current structure;</w:t>
      </w:r>
    </w:p>
    <w:p w:rsidR="00B40C1E" w:rsidRPr="00892DE3" w:rsidRDefault="00252951" w:rsidP="00B40C1E">
      <w:pPr>
        <w:pStyle w:val="ListBullet"/>
      </w:pPr>
      <w:r w:rsidRPr="00892DE3">
        <w:t>t</w:t>
      </w:r>
      <w:r w:rsidR="007124D6" w:rsidRPr="00892DE3">
        <w:t>est the ‘</w:t>
      </w:r>
      <w:r w:rsidR="00B40C1E" w:rsidRPr="00892DE3">
        <w:t>story</w:t>
      </w:r>
      <w:r w:rsidR="007124D6" w:rsidRPr="00892DE3">
        <w:t>’</w:t>
      </w:r>
      <w:r w:rsidR="00B40C1E" w:rsidRPr="00892DE3">
        <w:t xml:space="preserve"> and the ordering of the notes to ensure it is conveying the appropriate message</w:t>
      </w:r>
      <w:r w:rsidRPr="00892DE3">
        <w:t>;</w:t>
      </w:r>
    </w:p>
    <w:p w:rsidR="00B40C1E" w:rsidRPr="00892DE3" w:rsidRDefault="00252951" w:rsidP="00B40C1E">
      <w:pPr>
        <w:pStyle w:val="ListBullet"/>
      </w:pPr>
      <w:r w:rsidRPr="00892DE3">
        <w:t>g</w:t>
      </w:r>
      <w:r w:rsidR="00B40C1E" w:rsidRPr="00892DE3">
        <w:t xml:space="preserve">ain agreement with the auditors </w:t>
      </w:r>
      <w:r w:rsidR="00316ED2" w:rsidRPr="00892DE3">
        <w:t xml:space="preserve">on the </w:t>
      </w:r>
      <w:r w:rsidR="00B40C1E" w:rsidRPr="00892DE3">
        <w:t>proposed changes, especially judgements made around materi</w:t>
      </w:r>
      <w:r w:rsidRPr="00892DE3">
        <w:t>ality and the removal of notes; and</w:t>
      </w:r>
    </w:p>
    <w:p w:rsidR="00B40C1E" w:rsidRPr="00892DE3" w:rsidRDefault="00252951" w:rsidP="00B40C1E">
      <w:pPr>
        <w:pStyle w:val="ListBullet"/>
      </w:pPr>
      <w:r w:rsidRPr="00892DE3">
        <w:t>d</w:t>
      </w:r>
      <w:r w:rsidR="00B40C1E" w:rsidRPr="00892DE3">
        <w:t>ocument discussions made and update the proposed structure as applicable.</w:t>
      </w:r>
    </w:p>
    <w:p w:rsidR="00B40C1E" w:rsidRPr="00892DE3" w:rsidRDefault="00B40C1E" w:rsidP="00B40C1E">
      <w:pPr>
        <w:pStyle w:val="HighlightBoxHeading"/>
      </w:pPr>
      <w:r w:rsidRPr="00892DE3">
        <w:t>Application</w:t>
      </w:r>
    </w:p>
    <w:p w:rsidR="00B40C1E" w:rsidRPr="00892DE3" w:rsidRDefault="00B40C1E" w:rsidP="00B40C1E">
      <w:pPr>
        <w:pStyle w:val="HighlightBoxText"/>
      </w:pPr>
      <w:r w:rsidRPr="00892DE3">
        <w:t>In principle</w:t>
      </w:r>
      <w:r w:rsidR="00784F1B" w:rsidRPr="00892DE3">
        <w:t xml:space="preserve">, this step applies to </w:t>
      </w:r>
      <w:r w:rsidR="00EE02FB" w:rsidRPr="00892DE3">
        <w:t>all agencies</w:t>
      </w:r>
      <w:r w:rsidRPr="00892DE3">
        <w:t xml:space="preserve">, however </w:t>
      </w:r>
      <w:r w:rsidR="00EE02FB" w:rsidRPr="00892DE3">
        <w:t xml:space="preserve">departments would </w:t>
      </w:r>
      <w:r w:rsidRPr="00892DE3">
        <w:t xml:space="preserve">have fewer judgements to </w:t>
      </w:r>
      <w:r w:rsidR="007124D6" w:rsidRPr="00892DE3">
        <w:t xml:space="preserve">be </w:t>
      </w:r>
      <w:r w:rsidRPr="00892DE3">
        <w:t xml:space="preserve">made as the requirements included within the Model </w:t>
      </w:r>
      <w:r w:rsidR="002B1F95" w:rsidRPr="00892DE3">
        <w:t>financial statements</w:t>
      </w:r>
      <w:r w:rsidR="00EE02FB" w:rsidRPr="00892DE3">
        <w:t xml:space="preserve"> are mandatory </w:t>
      </w:r>
      <w:r w:rsidR="00316ED2" w:rsidRPr="00892DE3">
        <w:t>for departments</w:t>
      </w:r>
      <w:r w:rsidR="00EE02FB" w:rsidRPr="00892DE3">
        <w:t>(unless they are not applicable)</w:t>
      </w:r>
      <w:r w:rsidRPr="00892DE3">
        <w:t>.</w:t>
      </w:r>
    </w:p>
    <w:p w:rsidR="003D5399" w:rsidRPr="00892DE3" w:rsidRDefault="003D5399" w:rsidP="003D5399">
      <w:pPr>
        <w:spacing w:before="0"/>
      </w:pPr>
    </w:p>
    <w:p w:rsidR="00B40C1E" w:rsidRPr="00892DE3" w:rsidRDefault="00B40C1E" w:rsidP="002A033E">
      <w:pPr>
        <w:pStyle w:val="Heading30"/>
      </w:pPr>
      <w:bookmarkStart w:id="225" w:name="_Toc478735884"/>
      <w:r w:rsidRPr="00892DE3">
        <w:t>G2.7</w:t>
      </w:r>
      <w:r w:rsidRPr="00892DE3">
        <w:tab/>
        <w:t xml:space="preserve">Process changes and </w:t>
      </w:r>
      <w:r w:rsidR="00B145D6" w:rsidRPr="00892DE3">
        <w:t>rewrite</w:t>
      </w:r>
      <w:r w:rsidRPr="00892DE3">
        <w:t xml:space="preserve"> technical wording into plain English</w:t>
      </w:r>
      <w:bookmarkEnd w:id="225"/>
    </w:p>
    <w:p w:rsidR="00B40C1E" w:rsidRPr="00892DE3" w:rsidRDefault="00B40C1E" w:rsidP="00B40C1E">
      <w:r w:rsidRPr="00892DE3">
        <w:t>Once the structural changes have been agreed to, the changes can be processed into the electronic copy of the fi</w:t>
      </w:r>
      <w:r w:rsidR="007124D6" w:rsidRPr="00892DE3">
        <w:t>nancial statements.</w:t>
      </w:r>
    </w:p>
    <w:p w:rsidR="00B40C1E" w:rsidRPr="00892DE3" w:rsidRDefault="00B40C1E" w:rsidP="00B40C1E">
      <w:r w:rsidRPr="00892DE3">
        <w:t xml:space="preserve">As the accounting policies </w:t>
      </w:r>
      <w:r w:rsidR="00EE02FB" w:rsidRPr="00892DE3">
        <w:t>have been relocated to</w:t>
      </w:r>
      <w:r w:rsidRPr="00892DE3">
        <w:t xml:space="preserve"> the relevant notes, further duplication may be id</w:t>
      </w:r>
      <w:r w:rsidR="00252951" w:rsidRPr="00892DE3">
        <w:t xml:space="preserve">entified </w:t>
      </w:r>
      <w:r w:rsidR="00EE02FB" w:rsidRPr="00892DE3">
        <w:t xml:space="preserve">in the note </w:t>
      </w:r>
      <w:r w:rsidR="00252951" w:rsidRPr="00892DE3">
        <w:t xml:space="preserve">which can be removed. </w:t>
      </w:r>
      <w:r w:rsidRPr="00892DE3">
        <w:t>As part of this process, the wording and language of all accounting policies, critical estimates and judg</w:t>
      </w:r>
      <w:r w:rsidR="007124D6" w:rsidRPr="00892DE3">
        <w:t>e</w:t>
      </w:r>
      <w:r w:rsidRPr="00892DE3">
        <w:t xml:space="preserve">ments and other narrative disclosures can be simplified, and overly technical terminology </w:t>
      </w:r>
      <w:r w:rsidR="00316ED2" w:rsidRPr="00892DE3">
        <w:t xml:space="preserve">can be </w:t>
      </w:r>
      <w:r w:rsidRPr="00892DE3">
        <w:t xml:space="preserve">replaced with plain English. The use of plain English can help improve the flow, understandability, and linkage of information throughout the report. </w:t>
      </w:r>
    </w:p>
    <w:p w:rsidR="00B40C1E" w:rsidRPr="00892DE3" w:rsidRDefault="00B40C1E" w:rsidP="00B40C1E">
      <w:r w:rsidRPr="00892DE3">
        <w:t xml:space="preserve">As the changes are being processed, each </w:t>
      </w:r>
      <w:r w:rsidR="008F08D9" w:rsidRPr="00892DE3">
        <w:t xml:space="preserve">sections their corresponding </w:t>
      </w:r>
      <w:r w:rsidRPr="00892DE3">
        <w:t>notes, should be considered to ensure that:</w:t>
      </w:r>
    </w:p>
    <w:p w:rsidR="00B40C1E" w:rsidRPr="00892DE3" w:rsidRDefault="00252951" w:rsidP="00B40C1E">
      <w:pPr>
        <w:pStyle w:val="ListBullet"/>
      </w:pPr>
      <w:r w:rsidRPr="00892DE3">
        <w:t>s</w:t>
      </w:r>
      <w:r w:rsidR="00B40C1E" w:rsidRPr="00892DE3">
        <w:t>ection introductions have been included at the start of each section of notes</w:t>
      </w:r>
      <w:r w:rsidR="007124D6" w:rsidRPr="00892DE3">
        <w:t>;</w:t>
      </w:r>
    </w:p>
    <w:p w:rsidR="00B40C1E" w:rsidRPr="00892DE3" w:rsidRDefault="00252951" w:rsidP="00B40C1E">
      <w:pPr>
        <w:pStyle w:val="ListBullet"/>
      </w:pPr>
      <w:r w:rsidRPr="00892DE3">
        <w:t>a</w:t>
      </w:r>
      <w:r w:rsidR="00B40C1E" w:rsidRPr="00892DE3">
        <w:t xml:space="preserve">ll relevant information in connection with a particular account balance or transaction </w:t>
      </w:r>
      <w:r w:rsidR="00EE02FB" w:rsidRPr="00892DE3">
        <w:t xml:space="preserve">are </w:t>
      </w:r>
      <w:r w:rsidR="00B40C1E" w:rsidRPr="00892DE3">
        <w:t>included in a single location, such as:</w:t>
      </w:r>
    </w:p>
    <w:p w:rsidR="00B40C1E" w:rsidRPr="00892DE3" w:rsidRDefault="00B40C1E" w:rsidP="00B40C1E">
      <w:pPr>
        <w:pStyle w:val="ListBullet2"/>
      </w:pPr>
      <w:r w:rsidRPr="00892DE3">
        <w:t>accounting policies;</w:t>
      </w:r>
    </w:p>
    <w:p w:rsidR="00B40C1E" w:rsidRPr="00892DE3" w:rsidRDefault="00B40C1E" w:rsidP="00B40C1E">
      <w:pPr>
        <w:pStyle w:val="ListBullet2"/>
      </w:pPr>
      <w:r w:rsidRPr="00892DE3">
        <w:t>critical estimate and judgement;</w:t>
      </w:r>
    </w:p>
    <w:p w:rsidR="00B40C1E" w:rsidRPr="00892DE3" w:rsidRDefault="00B40C1E" w:rsidP="00B40C1E">
      <w:pPr>
        <w:pStyle w:val="ListBullet2"/>
      </w:pPr>
      <w:r w:rsidRPr="00892DE3">
        <w:t>fair value or carrying amounts disclosures; and</w:t>
      </w:r>
    </w:p>
    <w:p w:rsidR="00B40C1E" w:rsidRPr="00892DE3" w:rsidRDefault="00B40C1E" w:rsidP="00B40C1E">
      <w:pPr>
        <w:pStyle w:val="ListBullet2"/>
      </w:pPr>
      <w:r w:rsidRPr="00892DE3">
        <w:t>[other].</w:t>
      </w:r>
    </w:p>
    <w:p w:rsidR="00B40C1E" w:rsidRPr="00892DE3" w:rsidRDefault="00252951" w:rsidP="00B40C1E">
      <w:pPr>
        <w:pStyle w:val="ListBullet"/>
      </w:pPr>
      <w:r w:rsidRPr="00892DE3">
        <w:t>t</w:t>
      </w:r>
      <w:r w:rsidR="00B40C1E" w:rsidRPr="00892DE3">
        <w:t>able layouts are designed to communica</w:t>
      </w:r>
      <w:r w:rsidR="007124D6" w:rsidRPr="00892DE3">
        <w:t>te the required information</w:t>
      </w:r>
      <w:r w:rsidR="008F08D9" w:rsidRPr="00892DE3">
        <w:t xml:space="preserve"> in the most efficient way</w:t>
      </w:r>
      <w:r w:rsidR="007124D6" w:rsidRPr="00892DE3">
        <w:t xml:space="preserve"> (</w:t>
      </w:r>
      <w:r w:rsidR="00EE02FB" w:rsidRPr="00892DE3">
        <w:t xml:space="preserve">i.e. </w:t>
      </w:r>
      <w:r w:rsidR="007124D6" w:rsidRPr="00892DE3">
        <w:t>re</w:t>
      </w:r>
      <w:r w:rsidR="00B40C1E" w:rsidRPr="00892DE3">
        <w:t>design tables where necessary</w:t>
      </w:r>
      <w:r w:rsidR="00EE02FB" w:rsidRPr="00892DE3">
        <w:t xml:space="preserve"> and consolidate or merge relevant data</w:t>
      </w:r>
      <w:r w:rsidR="00B40C1E" w:rsidRPr="00892DE3">
        <w:t>)</w:t>
      </w:r>
      <w:r w:rsidRPr="00892DE3">
        <w:t>; and</w:t>
      </w:r>
    </w:p>
    <w:p w:rsidR="00B40C1E" w:rsidRPr="00892DE3" w:rsidRDefault="00252951" w:rsidP="00B40C1E">
      <w:pPr>
        <w:pStyle w:val="ListBullet"/>
      </w:pPr>
      <w:r w:rsidRPr="00892DE3">
        <w:t>t</w:t>
      </w:r>
      <w:r w:rsidR="00B40C1E" w:rsidRPr="00892DE3">
        <w:t xml:space="preserve">he structure and </w:t>
      </w:r>
      <w:r w:rsidR="00B145D6" w:rsidRPr="00892DE3">
        <w:t>reorder</w:t>
      </w:r>
      <w:r w:rsidR="00B40C1E" w:rsidRPr="00892DE3">
        <w:t>ing of notes convey the messages identified and agreed to earlier in the process.</w:t>
      </w:r>
    </w:p>
    <w:p w:rsidR="00B40C1E" w:rsidRPr="00892DE3" w:rsidRDefault="00B40C1E" w:rsidP="00B40C1E">
      <w:r w:rsidRPr="00892DE3">
        <w:t>As the changes are being processed into the electronic document, they should also be tracked through the use of a mapping document. At the end of the process, this document will act as a bridging schedule between the prior year’s signed financial statements and the new streamlined financial statements</w:t>
      </w:r>
      <w:r w:rsidR="007124D6" w:rsidRPr="00892DE3">
        <w:t>,</w:t>
      </w:r>
      <w:r w:rsidRPr="00892DE3">
        <w:t xml:space="preserve"> which will assist </w:t>
      </w:r>
      <w:r w:rsidR="008F08D9" w:rsidRPr="00892DE3">
        <w:t xml:space="preserve">the agency </w:t>
      </w:r>
      <w:r w:rsidRPr="00892DE3">
        <w:t>with stakeholder communications and in gaining ultimate approval of the st</w:t>
      </w:r>
      <w:r w:rsidR="00252951" w:rsidRPr="00892DE3">
        <w:t>reamlined financial statements</w:t>
      </w:r>
      <w:r w:rsidR="00EE02FB" w:rsidRPr="00892DE3">
        <w:t xml:space="preserve"> by the key stakeholders.</w:t>
      </w:r>
    </w:p>
    <w:p w:rsidR="00B40C1E" w:rsidRPr="00892DE3" w:rsidRDefault="00B40C1E" w:rsidP="00B40C1E">
      <w:r w:rsidRPr="00892DE3">
        <w:t>For each primary statement and note to the financial statements, the following information should be captured:</w:t>
      </w:r>
    </w:p>
    <w:p w:rsidR="00B40C1E" w:rsidRPr="00892DE3" w:rsidRDefault="005C1A80" w:rsidP="00B40C1E">
      <w:pPr>
        <w:pStyle w:val="ListBullet"/>
      </w:pPr>
      <w:r w:rsidRPr="00892DE3">
        <w:t xml:space="preserve">a </w:t>
      </w:r>
      <w:r w:rsidR="007124D6" w:rsidRPr="00892DE3">
        <w:t>d</w:t>
      </w:r>
      <w:r w:rsidR="00B40C1E" w:rsidRPr="00892DE3">
        <w:t>escription of the key changes;</w:t>
      </w:r>
    </w:p>
    <w:p w:rsidR="00B40C1E" w:rsidRPr="00892DE3" w:rsidRDefault="007124D6" w:rsidP="00B40C1E">
      <w:pPr>
        <w:pStyle w:val="ListBullet"/>
      </w:pPr>
      <w:r w:rsidRPr="00892DE3">
        <w:t>t</w:t>
      </w:r>
      <w:r w:rsidR="00B40C1E" w:rsidRPr="00892DE3">
        <w:t xml:space="preserve">he new location where the information is now </w:t>
      </w:r>
      <w:r w:rsidR="00EE02FB" w:rsidRPr="00892DE3">
        <w:t>positioned</w:t>
      </w:r>
      <w:r w:rsidR="00B40C1E" w:rsidRPr="00892DE3">
        <w:t>; and</w:t>
      </w:r>
    </w:p>
    <w:p w:rsidR="00B40C1E" w:rsidRPr="00892DE3" w:rsidRDefault="007124D6" w:rsidP="00B40C1E">
      <w:pPr>
        <w:pStyle w:val="ListBullet"/>
      </w:pPr>
      <w:r w:rsidRPr="00892DE3">
        <w:t>a</w:t>
      </w:r>
      <w:r w:rsidR="00B40C1E" w:rsidRPr="00892DE3">
        <w:t xml:space="preserve"> summary of key information removed based on materiality.</w:t>
      </w:r>
    </w:p>
    <w:p w:rsidR="00B40C1E" w:rsidRPr="00892DE3" w:rsidRDefault="00B40C1E" w:rsidP="00B40C1E">
      <w:r w:rsidRPr="00892DE3">
        <w:t xml:space="preserve">In order to assist </w:t>
      </w:r>
      <w:r w:rsidR="003504ED" w:rsidRPr="00892DE3">
        <w:t xml:space="preserve">users to </w:t>
      </w:r>
      <w:r w:rsidRPr="00892DE3">
        <w:t xml:space="preserve">document the processed changes, a mapping document template has been developed and included in </w:t>
      </w:r>
      <w:r w:rsidR="00EB30E1" w:rsidRPr="00892DE3">
        <w:t>S</w:t>
      </w:r>
      <w:r w:rsidRPr="00892DE3">
        <w:t xml:space="preserve">ection </w:t>
      </w:r>
      <w:r w:rsidR="00252951" w:rsidRPr="00892DE3">
        <w:t>G</w:t>
      </w:r>
      <w:r w:rsidRPr="00892DE3">
        <w:t>6.</w:t>
      </w:r>
    </w:p>
    <w:p w:rsidR="00B40C1E" w:rsidRPr="00892DE3" w:rsidRDefault="00B40C1E" w:rsidP="00B40C1E">
      <w:pPr>
        <w:pStyle w:val="HighlightBoxHeading"/>
      </w:pPr>
      <w:r w:rsidRPr="00892DE3">
        <w:t>Application</w:t>
      </w:r>
    </w:p>
    <w:p w:rsidR="00B40C1E" w:rsidRPr="00892DE3" w:rsidRDefault="00B40C1E" w:rsidP="00B40C1E">
      <w:pPr>
        <w:pStyle w:val="HighlightBoxText"/>
      </w:pPr>
      <w:r w:rsidRPr="00892DE3">
        <w:t xml:space="preserve">This step applies to </w:t>
      </w:r>
      <w:r w:rsidR="00EB30E1" w:rsidRPr="00892DE3">
        <w:t>all agencies</w:t>
      </w:r>
      <w:r w:rsidRPr="00892DE3">
        <w:t>.</w:t>
      </w:r>
    </w:p>
    <w:p w:rsidR="00B40C1E" w:rsidRPr="00892DE3" w:rsidRDefault="004C027E" w:rsidP="002A033E">
      <w:pPr>
        <w:pStyle w:val="Heading30"/>
      </w:pPr>
      <w:bookmarkStart w:id="226" w:name="_Toc478735885"/>
      <w:r w:rsidRPr="00892DE3">
        <w:t>G2.8</w:t>
      </w:r>
      <w:r w:rsidRPr="00892DE3">
        <w:tab/>
        <w:t>Prepare a consultation draft for review and obtain approval</w:t>
      </w:r>
      <w:bookmarkEnd w:id="226"/>
    </w:p>
    <w:p w:rsidR="004C027E" w:rsidRPr="00892DE3" w:rsidRDefault="004C027E" w:rsidP="004C027E">
      <w:r w:rsidRPr="00892DE3">
        <w:t xml:space="preserve">Once all changes have been processed into the electronic version of the document, this version can become the consultation draft for socialisation and detailed review by key stakeholders. </w:t>
      </w:r>
    </w:p>
    <w:p w:rsidR="004C027E" w:rsidRPr="00892DE3" w:rsidRDefault="004C027E" w:rsidP="004C027E">
      <w:r w:rsidRPr="00892DE3">
        <w:t>The consultation draft should be accompanied by all necessary information and documents supporting the streamlining decisions, including:</w:t>
      </w:r>
    </w:p>
    <w:p w:rsidR="004C027E" w:rsidRPr="00892DE3" w:rsidRDefault="008F08D9" w:rsidP="004C027E">
      <w:pPr>
        <w:pStyle w:val="ListBullet"/>
      </w:pPr>
      <w:r w:rsidRPr="00892DE3">
        <w:t xml:space="preserve">the </w:t>
      </w:r>
      <w:r w:rsidR="007D213C" w:rsidRPr="00892DE3">
        <w:t>m</w:t>
      </w:r>
      <w:r w:rsidR="004C027E" w:rsidRPr="00892DE3">
        <w:t xml:space="preserve">ateriality assessment (refer </w:t>
      </w:r>
      <w:r w:rsidR="00252951" w:rsidRPr="00892DE3">
        <w:t>G</w:t>
      </w:r>
      <w:r w:rsidR="004C027E" w:rsidRPr="00892DE3">
        <w:t>2.2)</w:t>
      </w:r>
      <w:r w:rsidR="007D213C" w:rsidRPr="00892DE3">
        <w:t>;</w:t>
      </w:r>
    </w:p>
    <w:p w:rsidR="004C027E" w:rsidRPr="00892DE3" w:rsidRDefault="007D213C" w:rsidP="004C027E">
      <w:pPr>
        <w:pStyle w:val="ListBullet"/>
      </w:pPr>
      <w:r w:rsidRPr="00892DE3">
        <w:t>g</w:t>
      </w:r>
      <w:r w:rsidR="004C027E" w:rsidRPr="00892DE3">
        <w:t xml:space="preserve">rouping and ordering of notes (refer </w:t>
      </w:r>
      <w:r w:rsidR="00252951" w:rsidRPr="00892DE3">
        <w:t>G</w:t>
      </w:r>
      <w:r w:rsidR="004C027E" w:rsidRPr="00892DE3">
        <w:t>2.4)</w:t>
      </w:r>
      <w:r w:rsidRPr="00892DE3">
        <w:t>; and</w:t>
      </w:r>
    </w:p>
    <w:p w:rsidR="004C027E" w:rsidRPr="00892DE3" w:rsidRDefault="007124D6" w:rsidP="004C027E">
      <w:pPr>
        <w:pStyle w:val="ListBullet"/>
      </w:pPr>
      <w:r w:rsidRPr="00892DE3">
        <w:t xml:space="preserve">a </w:t>
      </w:r>
      <w:r w:rsidR="007D213C" w:rsidRPr="00892DE3">
        <w:t>m</w:t>
      </w:r>
      <w:r w:rsidR="004C027E" w:rsidRPr="00892DE3">
        <w:t xml:space="preserve">apping document summarising key changes and the new location of information (refer </w:t>
      </w:r>
      <w:r w:rsidR="00252951" w:rsidRPr="00892DE3">
        <w:t>G</w:t>
      </w:r>
      <w:r w:rsidR="004C027E" w:rsidRPr="00892DE3">
        <w:t>2.7)</w:t>
      </w:r>
      <w:r w:rsidR="007D213C" w:rsidRPr="00892DE3">
        <w:t>.</w:t>
      </w:r>
    </w:p>
    <w:p w:rsidR="004C027E" w:rsidRPr="00892DE3" w:rsidRDefault="004C027E" w:rsidP="004C027E">
      <w:r w:rsidRPr="00892DE3">
        <w:t xml:space="preserve">The consultation draft accompanied with the above information will need to be circulated to key stakeholders </w:t>
      </w:r>
      <w:r w:rsidR="007D213C" w:rsidRPr="00892DE3">
        <w:t>for final approval, including:</w:t>
      </w:r>
    </w:p>
    <w:p w:rsidR="004C027E" w:rsidRPr="00892DE3" w:rsidRDefault="007D213C" w:rsidP="004C027E">
      <w:pPr>
        <w:pStyle w:val="ListBullet"/>
      </w:pPr>
      <w:r w:rsidRPr="00892DE3">
        <w:t>CFO;</w:t>
      </w:r>
    </w:p>
    <w:p w:rsidR="004C027E" w:rsidRPr="00892DE3" w:rsidRDefault="007D213C" w:rsidP="004C027E">
      <w:pPr>
        <w:pStyle w:val="ListBullet"/>
      </w:pPr>
      <w:r w:rsidRPr="00892DE3">
        <w:t>a</w:t>
      </w:r>
      <w:r w:rsidR="004C027E" w:rsidRPr="00892DE3">
        <w:t>udit and risk committee</w:t>
      </w:r>
      <w:r w:rsidRPr="00892DE3">
        <w:t>;</w:t>
      </w:r>
    </w:p>
    <w:p w:rsidR="004C027E" w:rsidRPr="00892DE3" w:rsidRDefault="007D213C" w:rsidP="004C027E">
      <w:pPr>
        <w:pStyle w:val="ListBullet"/>
      </w:pPr>
      <w:r w:rsidRPr="00892DE3">
        <w:t>a</w:t>
      </w:r>
      <w:r w:rsidR="004C027E" w:rsidRPr="00892DE3">
        <w:t>uditors</w:t>
      </w:r>
      <w:r w:rsidRPr="00892DE3">
        <w:t>;</w:t>
      </w:r>
    </w:p>
    <w:p w:rsidR="004C027E" w:rsidRPr="00892DE3" w:rsidRDefault="004C027E" w:rsidP="004C027E">
      <w:pPr>
        <w:pStyle w:val="ListBullet"/>
      </w:pPr>
      <w:r w:rsidRPr="00892DE3">
        <w:t>relevant ministers (where appropriate)</w:t>
      </w:r>
      <w:r w:rsidR="007D213C" w:rsidRPr="00892DE3">
        <w:t>; and</w:t>
      </w:r>
    </w:p>
    <w:p w:rsidR="004C027E" w:rsidRPr="00892DE3" w:rsidRDefault="007D213C" w:rsidP="004C027E">
      <w:pPr>
        <w:pStyle w:val="ListBullet"/>
      </w:pPr>
      <w:r w:rsidRPr="00892DE3">
        <w:t>a</w:t>
      </w:r>
      <w:r w:rsidR="004C027E" w:rsidRPr="00892DE3">
        <w:t>ny other key stakeholders</w:t>
      </w:r>
      <w:r w:rsidRPr="00892DE3">
        <w:t>.</w:t>
      </w:r>
    </w:p>
    <w:p w:rsidR="004C027E" w:rsidRPr="00892DE3" w:rsidRDefault="007124D6" w:rsidP="004C027E">
      <w:pPr>
        <w:pStyle w:val="HighlightBoxHeading"/>
      </w:pPr>
      <w:r w:rsidRPr="00892DE3">
        <w:t>Application</w:t>
      </w:r>
    </w:p>
    <w:p w:rsidR="004C027E" w:rsidRPr="00892DE3" w:rsidRDefault="004C027E" w:rsidP="004C027E">
      <w:pPr>
        <w:pStyle w:val="HighlightBoxText"/>
      </w:pPr>
      <w:r w:rsidRPr="00892DE3">
        <w:t xml:space="preserve">This step applies to </w:t>
      </w:r>
      <w:r w:rsidR="00EB30E1" w:rsidRPr="00892DE3">
        <w:t>all agencies</w:t>
      </w:r>
      <w:r w:rsidRPr="00892DE3">
        <w:t>.</w:t>
      </w:r>
    </w:p>
    <w:p w:rsidR="003D5399" w:rsidRPr="00892DE3" w:rsidRDefault="003D5399" w:rsidP="003D5399"/>
    <w:p w:rsidR="002D2285" w:rsidRPr="00892DE3" w:rsidRDefault="002D2285" w:rsidP="002A033E">
      <w:pPr>
        <w:pStyle w:val="Heading20"/>
      </w:pPr>
      <w:bookmarkStart w:id="227" w:name="_Toc477967537"/>
      <w:bookmarkStart w:id="228" w:name="_Toc478056461"/>
      <w:bookmarkStart w:id="229" w:name="_Toc478735886"/>
      <w:bookmarkStart w:id="230" w:name="_Toc478735895"/>
      <w:bookmarkStart w:id="231" w:name="_Toc481592329"/>
      <w:r w:rsidRPr="00892DE3">
        <w:t>G3.</w:t>
      </w:r>
      <w:r w:rsidRPr="00892DE3">
        <w:tab/>
        <w:t>Further information</w:t>
      </w:r>
      <w:bookmarkEnd w:id="227"/>
      <w:bookmarkEnd w:id="228"/>
      <w:bookmarkEnd w:id="229"/>
      <w:bookmarkEnd w:id="230"/>
      <w:bookmarkEnd w:id="231"/>
    </w:p>
    <w:p w:rsidR="002D2285" w:rsidRPr="00892DE3" w:rsidRDefault="002D2285" w:rsidP="002D2285">
      <w:r w:rsidRPr="00892DE3">
        <w:t xml:space="preserve">This </w:t>
      </w:r>
      <w:r w:rsidR="007124D6" w:rsidRPr="00892DE3">
        <w:t>‘</w:t>
      </w:r>
      <w:r w:rsidRPr="00892DE3">
        <w:t>How to</w:t>
      </w:r>
      <w:r w:rsidR="007124D6" w:rsidRPr="00892DE3">
        <w:t>’</w:t>
      </w:r>
      <w:r w:rsidRPr="00892DE3">
        <w:t xml:space="preserve"> guide provides basic guidance on the steps and processes to be followed when streamlining </w:t>
      </w:r>
      <w:r w:rsidR="00AA799C" w:rsidRPr="00892DE3">
        <w:t>a set of financial statements.</w:t>
      </w:r>
    </w:p>
    <w:p w:rsidR="002D2285" w:rsidRPr="00892DE3" w:rsidRDefault="002D2285" w:rsidP="002D2285">
      <w:r w:rsidRPr="00892DE3">
        <w:t xml:space="preserve">While the process is the same for all </w:t>
      </w:r>
      <w:r w:rsidR="008F08D9" w:rsidRPr="00892DE3">
        <w:t>agencies</w:t>
      </w:r>
      <w:r w:rsidRPr="00892DE3">
        <w:t xml:space="preserve">, each set of streamlined financial statements will look and feel slightly different as </w:t>
      </w:r>
      <w:r w:rsidR="008F08D9" w:rsidRPr="00892DE3">
        <w:t xml:space="preserve">agencies </w:t>
      </w:r>
      <w:r w:rsidRPr="00892DE3">
        <w:t xml:space="preserve">determine the </w:t>
      </w:r>
      <w:r w:rsidR="007124D6" w:rsidRPr="00892DE3">
        <w:t>best way to tell their</w:t>
      </w:r>
      <w:r w:rsidR="008F08D9" w:rsidRPr="00892DE3">
        <w:t xml:space="preserve"> own</w:t>
      </w:r>
      <w:r w:rsidR="007124D6" w:rsidRPr="00892DE3">
        <w:t xml:space="preserve"> ‘</w:t>
      </w:r>
      <w:r w:rsidR="00AA799C" w:rsidRPr="00892DE3">
        <w:t>story</w:t>
      </w:r>
      <w:r w:rsidR="007124D6" w:rsidRPr="00892DE3">
        <w:t>’</w:t>
      </w:r>
      <w:r w:rsidR="00AA799C" w:rsidRPr="00892DE3">
        <w:t>.</w:t>
      </w:r>
    </w:p>
    <w:p w:rsidR="002D2285" w:rsidRPr="00892DE3" w:rsidRDefault="002D2285" w:rsidP="002D2285">
      <w:r w:rsidRPr="00892DE3">
        <w:t>Ideas of innovative ways to present information can be gained from looking at the financial statements of other government agencies or listed A</w:t>
      </w:r>
      <w:r w:rsidR="007124D6" w:rsidRPr="00892DE3">
        <w:t xml:space="preserve">ustralian Securities Exchange (ASX) </w:t>
      </w:r>
      <w:r w:rsidRPr="00892DE3">
        <w:t xml:space="preserve">organisations who have also gone through the streamlining process. </w:t>
      </w:r>
    </w:p>
    <w:p w:rsidR="004C027E" w:rsidRPr="00892DE3" w:rsidRDefault="002D2285" w:rsidP="002D2285">
      <w:r w:rsidRPr="00892DE3">
        <w:t>A number of examples have been provided in this document</w:t>
      </w:r>
      <w:r w:rsidR="00EB30E1" w:rsidRPr="00892DE3">
        <w:t xml:space="preserve"> in Section G5.</w:t>
      </w:r>
    </w:p>
    <w:p w:rsidR="004C027E" w:rsidRPr="00892DE3" w:rsidRDefault="004C027E" w:rsidP="004C027E"/>
    <w:p w:rsidR="00F1776E" w:rsidRPr="00892DE3" w:rsidRDefault="00F1776E" w:rsidP="00F1776E">
      <w:r w:rsidRPr="00892DE3">
        <w:br w:type="page"/>
      </w:r>
    </w:p>
    <w:p w:rsidR="002D2285" w:rsidRPr="00892DE3" w:rsidRDefault="002D2285" w:rsidP="002A033E">
      <w:pPr>
        <w:pStyle w:val="Heading20"/>
      </w:pPr>
      <w:bookmarkStart w:id="232" w:name="_Toc477967538"/>
      <w:bookmarkStart w:id="233" w:name="_Toc478056462"/>
      <w:bookmarkStart w:id="234" w:name="_Toc478735887"/>
      <w:bookmarkStart w:id="235" w:name="_Toc478735896"/>
      <w:bookmarkStart w:id="236" w:name="_Toc481592330"/>
      <w:r w:rsidRPr="00892DE3">
        <w:t>G4.</w:t>
      </w:r>
      <w:r w:rsidRPr="00892DE3">
        <w:tab/>
        <w:t>Example materiality documentation template</w:t>
      </w:r>
      <w:bookmarkEnd w:id="232"/>
      <w:bookmarkEnd w:id="233"/>
      <w:bookmarkEnd w:id="234"/>
      <w:bookmarkEnd w:id="235"/>
      <w:bookmarkEnd w:id="236"/>
    </w:p>
    <w:p w:rsidR="00F1776E" w:rsidRPr="00892DE3" w:rsidRDefault="00F1776E" w:rsidP="00F1776E">
      <w:pPr>
        <w:rPr>
          <w:b/>
        </w:rPr>
      </w:pPr>
      <w:r w:rsidRPr="00892DE3">
        <w:rPr>
          <w:b/>
        </w:rPr>
        <w:t xml:space="preserve">[Name of </w:t>
      </w:r>
      <w:r w:rsidR="008F08D9" w:rsidRPr="00892DE3">
        <w:rPr>
          <w:b/>
        </w:rPr>
        <w:t>agency</w:t>
      </w:r>
      <w:r w:rsidRPr="00892DE3">
        <w:rPr>
          <w:b/>
        </w:rPr>
        <w:t>]</w:t>
      </w:r>
    </w:p>
    <w:p w:rsidR="00F1776E" w:rsidRPr="00892DE3" w:rsidRDefault="00F1776E" w:rsidP="00F1776E">
      <w:pPr>
        <w:rPr>
          <w:b/>
        </w:rPr>
      </w:pPr>
      <w:r w:rsidRPr="00892DE3">
        <w:rPr>
          <w:b/>
        </w:rPr>
        <w:t>Streamlining project</w:t>
      </w:r>
    </w:p>
    <w:p w:rsidR="00F1776E" w:rsidRPr="00892DE3" w:rsidRDefault="00F1776E" w:rsidP="00F1776E">
      <w:pPr>
        <w:rPr>
          <w:b/>
        </w:rPr>
      </w:pPr>
      <w:r w:rsidRPr="00892DE3">
        <w:rPr>
          <w:b/>
        </w:rPr>
        <w:t>Materiality Considerations</w:t>
      </w:r>
    </w:p>
    <w:p w:rsidR="00F1776E" w:rsidRPr="00892DE3" w:rsidRDefault="00F1776E" w:rsidP="00587DAE">
      <w:pPr>
        <w:pStyle w:val="ListNumber"/>
        <w:numPr>
          <w:ilvl w:val="0"/>
          <w:numId w:val="17"/>
        </w:numPr>
        <w:rPr>
          <w:i/>
        </w:rPr>
      </w:pPr>
      <w:r w:rsidRPr="00892DE3">
        <w:rPr>
          <w:i/>
        </w:rPr>
        <w:t>Objective of this paper</w:t>
      </w:r>
    </w:p>
    <w:p w:rsidR="00F1776E" w:rsidRPr="00892DE3" w:rsidRDefault="00F1776E" w:rsidP="00F1776E">
      <w:pPr>
        <w:pStyle w:val="ListContinue"/>
      </w:pPr>
      <w:r w:rsidRPr="00892DE3">
        <w:t>The objective of this paper is to provide a framework for evaluating whether removal of disclosures in the [</w:t>
      </w:r>
      <w:r w:rsidR="008F08D9" w:rsidRPr="00892DE3">
        <w:t>agency</w:t>
      </w:r>
      <w:r w:rsidRPr="00892DE3">
        <w:t>] financial reports are material.</w:t>
      </w:r>
    </w:p>
    <w:p w:rsidR="00F1776E" w:rsidRPr="00892DE3" w:rsidRDefault="00F1776E" w:rsidP="00F1776E">
      <w:pPr>
        <w:pStyle w:val="ListContinue"/>
      </w:pPr>
      <w:r w:rsidRPr="00892DE3">
        <w:t xml:space="preserve">This paper records the decisions made by management in ensuring that no disclosures are omitted that could influence economic decision making of users or impact the discharge of responsibility by management or a governing body. </w:t>
      </w:r>
    </w:p>
    <w:p w:rsidR="00F1776E" w:rsidRPr="00892DE3" w:rsidRDefault="00F1776E" w:rsidP="00F1776E">
      <w:pPr>
        <w:pStyle w:val="ListNumber"/>
        <w:rPr>
          <w:i/>
        </w:rPr>
      </w:pPr>
      <w:r w:rsidRPr="00892DE3">
        <w:rPr>
          <w:i/>
        </w:rPr>
        <w:t>Defining materiality</w:t>
      </w:r>
    </w:p>
    <w:p w:rsidR="00F1776E" w:rsidRPr="00892DE3" w:rsidRDefault="00F1776E" w:rsidP="00F1776E">
      <w:pPr>
        <w:pStyle w:val="ListContinue"/>
      </w:pPr>
      <w:r w:rsidRPr="00892DE3">
        <w:t>Omission of disclosures are material if they could, individually or collectively, influence the economic decisions of users or affect the discharge of accountability by management or governing body of the reporting entity.</w:t>
      </w:r>
    </w:p>
    <w:p w:rsidR="00F1776E" w:rsidRPr="00892DE3" w:rsidRDefault="00F1776E" w:rsidP="00F1776E">
      <w:pPr>
        <w:pStyle w:val="ListContinue"/>
      </w:pPr>
      <w:r w:rsidRPr="00892DE3">
        <w:t>Materiality in the context of this project is considered under the categories below to provide a framework for eval</w:t>
      </w:r>
      <w:r w:rsidR="007124D6" w:rsidRPr="00892DE3">
        <w:t>uating whether a disclosure is ‘</w:t>
      </w:r>
      <w:r w:rsidRPr="00892DE3">
        <w:t>material</w:t>
      </w:r>
      <w:r w:rsidR="007124D6" w:rsidRPr="00892DE3">
        <w:t>’</w:t>
      </w:r>
      <w:r w:rsidRPr="00892DE3">
        <w:t xml:space="preserve"> and therefore should not be removed. These are:</w:t>
      </w:r>
    </w:p>
    <w:p w:rsidR="00F1776E" w:rsidRPr="00892DE3" w:rsidRDefault="00F1776E" w:rsidP="00F1776E">
      <w:pPr>
        <w:pStyle w:val="ListBullet2"/>
      </w:pPr>
      <w:r w:rsidRPr="00892DE3">
        <w:t xml:space="preserve">quantitative indicators of materiality (refer </w:t>
      </w:r>
      <w:r w:rsidR="007124D6" w:rsidRPr="00892DE3">
        <w:t xml:space="preserve">to </w:t>
      </w:r>
      <w:r w:rsidRPr="00892DE3">
        <w:t>3 below);</w:t>
      </w:r>
    </w:p>
    <w:p w:rsidR="00F1776E" w:rsidRPr="00892DE3" w:rsidRDefault="00F1776E" w:rsidP="00F1776E">
      <w:pPr>
        <w:pStyle w:val="ListBullet2"/>
      </w:pPr>
      <w:r w:rsidRPr="00892DE3">
        <w:t xml:space="preserve">qualitative factors impacting materiality (refer </w:t>
      </w:r>
      <w:r w:rsidR="007124D6" w:rsidRPr="00892DE3">
        <w:t xml:space="preserve">to </w:t>
      </w:r>
      <w:r w:rsidRPr="00892DE3">
        <w:t>4 below); and</w:t>
      </w:r>
    </w:p>
    <w:p w:rsidR="00F1776E" w:rsidRPr="00892DE3" w:rsidRDefault="00F1776E" w:rsidP="00F1776E">
      <w:pPr>
        <w:pStyle w:val="ListBullet2"/>
      </w:pPr>
      <w:r w:rsidRPr="00892DE3">
        <w:t>stakeholder requirements that impact the disclosure of information and therefore impacts materiality (refer section 5 below).</w:t>
      </w:r>
    </w:p>
    <w:p w:rsidR="00F1776E" w:rsidRPr="00892DE3" w:rsidRDefault="00F1776E" w:rsidP="00F1776E">
      <w:pPr>
        <w:pStyle w:val="ListNumber"/>
        <w:rPr>
          <w:i/>
        </w:rPr>
      </w:pPr>
      <w:r w:rsidRPr="00892DE3">
        <w:rPr>
          <w:i/>
        </w:rPr>
        <w:t>Quantitative materiality indicators</w:t>
      </w:r>
    </w:p>
    <w:p w:rsidR="00F1776E" w:rsidRPr="00892DE3" w:rsidRDefault="00F1776E" w:rsidP="00F1776E">
      <w:pPr>
        <w:pStyle w:val="ListContinue"/>
      </w:pPr>
      <w:r w:rsidRPr="00892DE3">
        <w:t>[</w:t>
      </w:r>
      <w:r w:rsidR="008F08D9" w:rsidRPr="00892DE3">
        <w:t>agency</w:t>
      </w:r>
      <w:r w:rsidRPr="00892DE3">
        <w:t>] applies generally accepted quantitative materiality indicators. The quantitative benchmarks applied are:</w:t>
      </w:r>
    </w:p>
    <w:p w:rsidR="00F1776E" w:rsidRPr="00892DE3" w:rsidRDefault="00F1776E" w:rsidP="00F1776E">
      <w:pPr>
        <w:pStyle w:val="ListBullet2"/>
      </w:pPr>
      <w:r w:rsidRPr="00892DE3">
        <w:t>Below [5%] of the applicable benchmark number (refer below) is assumed to be immaterial, unless a disclosure is required by legislation, regulation or specific stakeholder recommendation.</w:t>
      </w:r>
    </w:p>
    <w:p w:rsidR="00F1776E" w:rsidRPr="00892DE3" w:rsidRDefault="00F1776E" w:rsidP="00F1776E">
      <w:pPr>
        <w:pStyle w:val="ListBullet2"/>
      </w:pPr>
      <w:r w:rsidRPr="00892DE3">
        <w:t xml:space="preserve">Between [5%] and [10%] of the applicable benchmark number needs to be considered in the context of qualitative materiality factors (refer </w:t>
      </w:r>
      <w:r w:rsidR="007124D6" w:rsidRPr="00892DE3">
        <w:t xml:space="preserve">to </w:t>
      </w:r>
      <w:r w:rsidRPr="00892DE3">
        <w:t xml:space="preserve">4 below) and consideration of stakeholder requirements (refer </w:t>
      </w:r>
      <w:r w:rsidR="007124D6" w:rsidRPr="00892DE3">
        <w:t xml:space="preserve">to </w:t>
      </w:r>
      <w:r w:rsidRPr="00892DE3">
        <w:t>5 below).</w:t>
      </w:r>
    </w:p>
    <w:p w:rsidR="00F1776E" w:rsidRPr="00892DE3" w:rsidRDefault="00F1776E" w:rsidP="00F1776E">
      <w:pPr>
        <w:pStyle w:val="ListBullet2"/>
      </w:pPr>
      <w:r w:rsidRPr="00892DE3">
        <w:t>Over 10% of the applicable benchmark number is deemed material.</w:t>
      </w:r>
    </w:p>
    <w:p w:rsidR="002D2285" w:rsidRPr="00892DE3" w:rsidRDefault="00F1776E" w:rsidP="00AA799C">
      <w:pPr>
        <w:pStyle w:val="ListContinue"/>
        <w:spacing w:after="120"/>
      </w:pPr>
      <w:r w:rsidRPr="00892DE3">
        <w:t>Two separate quantitative materiality figures are calculated: one for</w:t>
      </w:r>
      <w:r w:rsidR="007124D6" w:rsidRPr="00892DE3">
        <w:t xml:space="preserve"> the</w:t>
      </w:r>
      <w:r w:rsidRPr="00892DE3">
        <w:t xml:space="preserve"> [Comprehensive </w:t>
      </w:r>
      <w:r w:rsidR="00E33E8B" w:rsidRPr="00892DE3">
        <w:t>o</w:t>
      </w:r>
      <w:r w:rsidRPr="00892DE3">
        <w:t xml:space="preserve">perating </w:t>
      </w:r>
      <w:r w:rsidR="00E33E8B" w:rsidRPr="00892DE3">
        <w:t>s</w:t>
      </w:r>
      <w:r w:rsidRPr="00892DE3">
        <w:t xml:space="preserve">tatement] based on </w:t>
      </w:r>
      <w:r w:rsidR="007124D6" w:rsidRPr="00892DE3">
        <w:t>‘</w:t>
      </w:r>
      <w:r w:rsidRPr="00892DE3">
        <w:t>Net Result</w:t>
      </w:r>
      <w:r w:rsidR="007124D6" w:rsidRPr="00892DE3">
        <w:t>’</w:t>
      </w:r>
      <w:r w:rsidRPr="00892DE3">
        <w:t xml:space="preserve"> and </w:t>
      </w:r>
      <w:r w:rsidR="008F08D9" w:rsidRPr="00892DE3">
        <w:t xml:space="preserve">the other </w:t>
      </w:r>
      <w:r w:rsidRPr="00892DE3">
        <w:t xml:space="preserve">for the [Balance </w:t>
      </w:r>
      <w:r w:rsidR="00E33E8B" w:rsidRPr="00892DE3">
        <w:t>s</w:t>
      </w:r>
      <w:r w:rsidRPr="00892DE3">
        <w:t xml:space="preserve">heet] based on </w:t>
      </w:r>
      <w:r w:rsidR="007124D6" w:rsidRPr="00892DE3">
        <w:t>‘</w:t>
      </w:r>
      <w:r w:rsidRPr="00892DE3">
        <w:t>Net Assets</w:t>
      </w:r>
      <w:r w:rsidR="007124D6" w:rsidRPr="00892DE3">
        <w:t>’</w:t>
      </w:r>
      <w:r w:rsidRPr="00892DE3">
        <w:t>:</w:t>
      </w:r>
    </w:p>
    <w:tbl>
      <w:tblPr>
        <w:tblStyle w:val="DTFTable"/>
        <w:tblW w:w="6452" w:type="dxa"/>
        <w:tblInd w:w="397" w:type="dxa"/>
        <w:tblLayout w:type="fixed"/>
        <w:tblCellMar>
          <w:left w:w="45" w:type="dxa"/>
          <w:right w:w="45" w:type="dxa"/>
        </w:tblCellMar>
        <w:tblLook w:val="06A0" w:firstRow="1" w:lastRow="0" w:firstColumn="1" w:lastColumn="0" w:noHBand="1" w:noVBand="1"/>
      </w:tblPr>
      <w:tblGrid>
        <w:gridCol w:w="2483"/>
        <w:gridCol w:w="2127"/>
        <w:gridCol w:w="1842"/>
      </w:tblGrid>
      <w:tr w:rsidR="00F1776E" w:rsidRPr="00892DE3" w:rsidTr="00E33E8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3" w:type="dxa"/>
          </w:tcPr>
          <w:p w:rsidR="00F1776E" w:rsidRPr="00892DE3" w:rsidRDefault="00F1776E" w:rsidP="00E33E8B">
            <w:pPr>
              <w:ind w:left="0" w:firstLine="0"/>
              <w:rPr>
                <w:rFonts w:cstheme="majorHAnsi"/>
              </w:rPr>
            </w:pPr>
          </w:p>
        </w:tc>
        <w:tc>
          <w:tcPr>
            <w:tcW w:w="2127" w:type="dxa"/>
          </w:tcPr>
          <w:p w:rsidR="00F1776E" w:rsidRPr="00892DE3" w:rsidRDefault="00F1776E" w:rsidP="00E33E8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Comprehensive </w:t>
            </w:r>
            <w:r w:rsidR="00E33E8B" w:rsidRPr="00892DE3">
              <w:rPr>
                <w:rFonts w:cstheme="majorHAnsi"/>
              </w:rPr>
              <w:br/>
              <w:t>o</w:t>
            </w:r>
            <w:r w:rsidRPr="00892DE3">
              <w:rPr>
                <w:rFonts w:cstheme="majorHAnsi"/>
              </w:rPr>
              <w:t xml:space="preserve">perating </w:t>
            </w:r>
            <w:r w:rsidR="00E33E8B" w:rsidRPr="00892DE3">
              <w:rPr>
                <w:rFonts w:cstheme="majorHAnsi"/>
              </w:rPr>
              <w:t>s</w:t>
            </w:r>
            <w:r w:rsidRPr="00892DE3">
              <w:rPr>
                <w:rFonts w:cstheme="majorHAnsi"/>
              </w:rPr>
              <w:t>tatement</w:t>
            </w:r>
          </w:p>
        </w:tc>
        <w:tc>
          <w:tcPr>
            <w:tcW w:w="1842" w:type="dxa"/>
          </w:tcPr>
          <w:p w:rsidR="00F1776E" w:rsidRPr="00892DE3" w:rsidRDefault="00F1776E" w:rsidP="00E33E8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Balance </w:t>
            </w:r>
            <w:r w:rsidR="00E33E8B" w:rsidRPr="00892DE3">
              <w:rPr>
                <w:rFonts w:cstheme="majorHAnsi"/>
              </w:rPr>
              <w:br/>
            </w:r>
            <w:r w:rsidRPr="00892DE3">
              <w:rPr>
                <w:rFonts w:cstheme="majorHAnsi"/>
              </w:rPr>
              <w:t>sheet</w:t>
            </w:r>
          </w:p>
        </w:tc>
      </w:tr>
      <w:tr w:rsidR="00F1776E" w:rsidRPr="00892DE3" w:rsidTr="00E33E8B">
        <w:tc>
          <w:tcPr>
            <w:cnfStyle w:val="001000000000" w:firstRow="0" w:lastRow="0" w:firstColumn="1" w:lastColumn="0" w:oddVBand="0" w:evenVBand="0" w:oddHBand="0" w:evenHBand="0" w:firstRowFirstColumn="0" w:firstRowLastColumn="0" w:lastRowFirstColumn="0" w:lastRowLastColumn="0"/>
            <w:tcW w:w="2483" w:type="dxa"/>
          </w:tcPr>
          <w:p w:rsidR="00F1776E" w:rsidRPr="00892DE3" w:rsidRDefault="00F1776E" w:rsidP="00E33E8B">
            <w:pPr>
              <w:ind w:left="0" w:firstLine="0"/>
              <w:rPr>
                <w:rFonts w:cstheme="majorHAnsi"/>
                <w:b/>
              </w:rPr>
            </w:pPr>
            <w:r w:rsidRPr="00892DE3">
              <w:rPr>
                <w:rFonts w:cstheme="majorHAnsi"/>
                <w:b/>
              </w:rPr>
              <w:t>[Entity]</w:t>
            </w:r>
          </w:p>
        </w:tc>
        <w:tc>
          <w:tcPr>
            <w:tcW w:w="2127"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842"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b/>
              </w:rPr>
            </w:pPr>
          </w:p>
        </w:tc>
      </w:tr>
      <w:tr w:rsidR="00F1776E" w:rsidRPr="00892DE3" w:rsidTr="00E33E8B">
        <w:tc>
          <w:tcPr>
            <w:cnfStyle w:val="001000000000" w:firstRow="0" w:lastRow="0" w:firstColumn="1" w:lastColumn="0" w:oddVBand="0" w:evenVBand="0" w:oddHBand="0" w:evenHBand="0" w:firstRowFirstColumn="0" w:firstRowLastColumn="0" w:lastRowFirstColumn="0" w:lastRowLastColumn="0"/>
            <w:tcW w:w="2483" w:type="dxa"/>
          </w:tcPr>
          <w:p w:rsidR="00F1776E" w:rsidRPr="00892DE3" w:rsidRDefault="00F1776E" w:rsidP="00E33E8B">
            <w:pPr>
              <w:ind w:left="0" w:firstLine="0"/>
              <w:rPr>
                <w:rFonts w:cstheme="majorHAnsi"/>
              </w:rPr>
            </w:pPr>
            <w:r w:rsidRPr="00892DE3">
              <w:rPr>
                <w:rFonts w:cstheme="majorHAnsi"/>
              </w:rPr>
              <w:t xml:space="preserve">Lower </w:t>
            </w:r>
            <w:r w:rsidR="00AA799C" w:rsidRPr="00892DE3">
              <w:rPr>
                <w:rFonts w:cstheme="majorHAnsi"/>
              </w:rPr>
              <w:t xml:space="preserve">limit </w:t>
            </w:r>
            <w:r w:rsidRPr="00892DE3">
              <w:rPr>
                <w:rFonts w:cstheme="majorHAnsi"/>
              </w:rPr>
              <w:t xml:space="preserve">[5]% </w:t>
            </w:r>
          </w:p>
        </w:tc>
        <w:tc>
          <w:tcPr>
            <w:tcW w:w="2127"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xx m</w:t>
            </w:r>
          </w:p>
        </w:tc>
        <w:tc>
          <w:tcPr>
            <w:tcW w:w="1842"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xx m</w:t>
            </w:r>
          </w:p>
        </w:tc>
      </w:tr>
      <w:tr w:rsidR="00F1776E" w:rsidRPr="00892DE3" w:rsidTr="00E33E8B">
        <w:tc>
          <w:tcPr>
            <w:cnfStyle w:val="001000000000" w:firstRow="0" w:lastRow="0" w:firstColumn="1" w:lastColumn="0" w:oddVBand="0" w:evenVBand="0" w:oddHBand="0" w:evenHBand="0" w:firstRowFirstColumn="0" w:firstRowLastColumn="0" w:lastRowFirstColumn="0" w:lastRowLastColumn="0"/>
            <w:tcW w:w="2483" w:type="dxa"/>
          </w:tcPr>
          <w:p w:rsidR="00F1776E" w:rsidRPr="00892DE3" w:rsidRDefault="00F1776E" w:rsidP="00E33E8B">
            <w:pPr>
              <w:ind w:left="0" w:firstLine="0"/>
              <w:rPr>
                <w:rFonts w:cstheme="majorHAnsi"/>
              </w:rPr>
            </w:pPr>
            <w:r w:rsidRPr="00892DE3">
              <w:rPr>
                <w:rFonts w:cstheme="majorHAnsi"/>
              </w:rPr>
              <w:t xml:space="preserve">Upper </w:t>
            </w:r>
            <w:r w:rsidR="00AA799C" w:rsidRPr="00892DE3">
              <w:rPr>
                <w:rFonts w:cstheme="majorHAnsi"/>
              </w:rPr>
              <w:t xml:space="preserve">limit </w:t>
            </w:r>
            <w:r w:rsidRPr="00892DE3">
              <w:rPr>
                <w:rFonts w:cstheme="majorHAnsi"/>
              </w:rPr>
              <w:t>[10]%</w:t>
            </w:r>
          </w:p>
        </w:tc>
        <w:tc>
          <w:tcPr>
            <w:tcW w:w="2127"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xx m</w:t>
            </w:r>
          </w:p>
        </w:tc>
        <w:tc>
          <w:tcPr>
            <w:tcW w:w="1842"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xx m</w:t>
            </w:r>
          </w:p>
        </w:tc>
      </w:tr>
    </w:tbl>
    <w:p w:rsidR="00F1776E" w:rsidRPr="00892DE3" w:rsidRDefault="00F1776E" w:rsidP="004C027E"/>
    <w:p w:rsidR="00E33E8B" w:rsidRPr="00892DE3" w:rsidRDefault="00E33E8B" w:rsidP="00E33E8B">
      <w:pPr>
        <w:pStyle w:val="ListNumber"/>
        <w:rPr>
          <w:i/>
        </w:rPr>
      </w:pPr>
      <w:r w:rsidRPr="00892DE3">
        <w:rPr>
          <w:i/>
        </w:rPr>
        <w:t>Qualitative factors impacting materiality</w:t>
      </w:r>
    </w:p>
    <w:p w:rsidR="00E33E8B" w:rsidRPr="00892DE3" w:rsidRDefault="00E33E8B" w:rsidP="00E33E8B">
      <w:pPr>
        <w:pStyle w:val="ListContinue"/>
      </w:pPr>
      <w:r w:rsidRPr="00892DE3">
        <w:t>Qualitative factors need to be evaluated on a case by case basis, however, the following are recorded as key qualitative factors:</w:t>
      </w:r>
    </w:p>
    <w:p w:rsidR="00E33E8B" w:rsidRPr="00892DE3" w:rsidRDefault="00E33E8B" w:rsidP="00E33E8B">
      <w:pPr>
        <w:pStyle w:val="ListBullet2"/>
      </w:pPr>
      <w:r w:rsidRPr="00892DE3">
        <w:t xml:space="preserve">Application of Australian Accounting Standards (including references to materiality in the Framework for the Preparation and Presentation of Financial Statements: AASB 101); </w:t>
      </w:r>
    </w:p>
    <w:p w:rsidR="00E33E8B" w:rsidRPr="00892DE3" w:rsidRDefault="00E33E8B" w:rsidP="00E33E8B">
      <w:pPr>
        <w:pStyle w:val="ListBullet2"/>
      </w:pPr>
      <w:r w:rsidRPr="00892DE3">
        <w:t>The impact on key financial measures as follows:</w:t>
      </w:r>
    </w:p>
    <w:p w:rsidR="00E33E8B" w:rsidRPr="00892DE3" w:rsidRDefault="00E33E8B" w:rsidP="00E33E8B">
      <w:pPr>
        <w:pStyle w:val="ListBullet3"/>
      </w:pPr>
      <w:r w:rsidRPr="00892DE3">
        <w:t>[…]</w:t>
      </w:r>
    </w:p>
    <w:p w:rsidR="00E33E8B" w:rsidRPr="00892DE3" w:rsidRDefault="00E33E8B" w:rsidP="00E33E8B">
      <w:pPr>
        <w:pStyle w:val="ListBullet3"/>
      </w:pPr>
      <w:r w:rsidRPr="00892DE3">
        <w:t>[…]</w:t>
      </w:r>
    </w:p>
    <w:p w:rsidR="00E33E8B" w:rsidRPr="00892DE3" w:rsidRDefault="007124D6" w:rsidP="00E33E8B">
      <w:pPr>
        <w:pStyle w:val="ListBullet3"/>
      </w:pPr>
      <w:r w:rsidRPr="00892DE3">
        <w:t>[…]</w:t>
      </w:r>
    </w:p>
    <w:p w:rsidR="00E33E8B" w:rsidRPr="00892DE3" w:rsidRDefault="00E33E8B" w:rsidP="00E33E8B">
      <w:pPr>
        <w:pStyle w:val="ListBullet3"/>
      </w:pPr>
      <w:r w:rsidRPr="00892DE3">
        <w:t>[…]</w:t>
      </w:r>
      <w:r w:rsidR="007124D6" w:rsidRPr="00892DE3">
        <w:t>.</w:t>
      </w:r>
    </w:p>
    <w:p w:rsidR="00E33E8B" w:rsidRPr="00892DE3" w:rsidRDefault="00E33E8B" w:rsidP="00E33E8B">
      <w:pPr>
        <w:pStyle w:val="ListNumber"/>
        <w:rPr>
          <w:i/>
        </w:rPr>
      </w:pPr>
      <w:r w:rsidRPr="00892DE3">
        <w:rPr>
          <w:i/>
        </w:rPr>
        <w:t>Stakeholder requirements that impact the disclosure of information in the financial report</w:t>
      </w:r>
    </w:p>
    <w:p w:rsidR="00E33E8B" w:rsidRPr="00892DE3" w:rsidRDefault="00E33E8B" w:rsidP="00E33E8B">
      <w:pPr>
        <w:pStyle w:val="ListContinue"/>
      </w:pPr>
      <w:r w:rsidRPr="00892DE3">
        <w:t>Whether the removal of a disclosure is material or not will also be judged in the context of other stakeholder requirements. These include:</w:t>
      </w:r>
    </w:p>
    <w:p w:rsidR="00E33E8B" w:rsidRPr="00892DE3" w:rsidRDefault="00E33E8B" w:rsidP="00E33E8B">
      <w:pPr>
        <w:pStyle w:val="ListBullet2"/>
      </w:pPr>
      <w:r w:rsidRPr="00892DE3">
        <w:t>Specific requirements from the Victoria Auditor General’s Office</w:t>
      </w:r>
      <w:r w:rsidR="007124D6" w:rsidRPr="00892DE3">
        <w:t>;</w:t>
      </w:r>
    </w:p>
    <w:p w:rsidR="00E33E8B" w:rsidRPr="00892DE3" w:rsidRDefault="00E33E8B" w:rsidP="00E33E8B">
      <w:pPr>
        <w:pStyle w:val="ListBullet2"/>
      </w:pPr>
      <w:r w:rsidRPr="00892DE3">
        <w:t>PAEC recommendations</w:t>
      </w:r>
      <w:r w:rsidR="007124D6" w:rsidRPr="00892DE3">
        <w:t>;</w:t>
      </w:r>
    </w:p>
    <w:p w:rsidR="00E33E8B" w:rsidRPr="00892DE3" w:rsidRDefault="00E33E8B" w:rsidP="00E33E8B">
      <w:pPr>
        <w:pStyle w:val="ListBullet2"/>
      </w:pPr>
      <w:r w:rsidRPr="00892DE3">
        <w:t>[…]</w:t>
      </w:r>
    </w:p>
    <w:p w:rsidR="00E33E8B" w:rsidRPr="00892DE3" w:rsidRDefault="00E33E8B" w:rsidP="00E33E8B">
      <w:pPr>
        <w:pStyle w:val="ListBullet2"/>
      </w:pPr>
      <w:r w:rsidRPr="00892DE3">
        <w:t>[…]</w:t>
      </w:r>
      <w:r w:rsidR="007124D6" w:rsidRPr="00892DE3">
        <w:t>.</w:t>
      </w:r>
    </w:p>
    <w:p w:rsidR="00E33E8B" w:rsidRPr="00892DE3" w:rsidRDefault="00E33E8B" w:rsidP="00E33E8B">
      <w:pPr>
        <w:pStyle w:val="ListNumber"/>
        <w:rPr>
          <w:i/>
        </w:rPr>
      </w:pPr>
      <w:r w:rsidRPr="00892DE3">
        <w:rPr>
          <w:i/>
        </w:rPr>
        <w:t>Conclusion</w:t>
      </w:r>
    </w:p>
    <w:p w:rsidR="00E33E8B" w:rsidRPr="00892DE3" w:rsidRDefault="00E33E8B" w:rsidP="00E33E8B">
      <w:pPr>
        <w:pStyle w:val="ListContinue"/>
      </w:pPr>
      <w:r w:rsidRPr="00892DE3">
        <w:t>[</w:t>
      </w:r>
      <w:r w:rsidR="008F08D9" w:rsidRPr="00892DE3">
        <w:t>agency</w:t>
      </w:r>
      <w:r w:rsidRPr="00892DE3">
        <w:t>] will apply materiality as follows:</w:t>
      </w:r>
    </w:p>
    <w:p w:rsidR="00E33E8B" w:rsidRPr="00892DE3" w:rsidRDefault="00E33E8B" w:rsidP="00E33E8B">
      <w:pPr>
        <w:pStyle w:val="ListNumber2"/>
      </w:pPr>
      <w:r w:rsidRPr="00892DE3">
        <w:t>Any disclosures in relation to amounts lower than the lower limit is removed, unless a specific qualitative consideration applies (negative test).</w:t>
      </w:r>
    </w:p>
    <w:p w:rsidR="001B775D" w:rsidRPr="00892DE3" w:rsidRDefault="00E33E8B" w:rsidP="00AA799C">
      <w:r w:rsidRPr="00892DE3">
        <w:t xml:space="preserve">Any disclosures in relation to amounts between the lower and upper limits are first evaluated against the qualitative factors and stakeholder requirements, and removed if deemed </w:t>
      </w:r>
      <w:r w:rsidR="007124D6" w:rsidRPr="00892DE3">
        <w:t>‘</w:t>
      </w:r>
      <w:r w:rsidRPr="00892DE3">
        <w:t>immaterial</w:t>
      </w:r>
      <w:r w:rsidR="007124D6" w:rsidRPr="00892DE3">
        <w:t>’</w:t>
      </w:r>
      <w:r w:rsidRPr="00892DE3">
        <w:t xml:space="preserve"> following that evaluation.</w:t>
      </w:r>
    </w:p>
    <w:p w:rsidR="001B775D" w:rsidRPr="00892DE3" w:rsidRDefault="001B775D" w:rsidP="002A033E">
      <w:pPr>
        <w:pStyle w:val="Heading20"/>
      </w:pPr>
      <w:bookmarkStart w:id="237" w:name="_Toc477967539"/>
      <w:bookmarkStart w:id="238" w:name="_Toc478056463"/>
      <w:bookmarkStart w:id="239" w:name="_Toc478735888"/>
      <w:bookmarkStart w:id="240" w:name="_Toc478735897"/>
      <w:bookmarkStart w:id="241" w:name="_Toc481592331"/>
      <w:r w:rsidRPr="00892DE3">
        <w:t>G5.</w:t>
      </w:r>
      <w:r w:rsidRPr="00892DE3">
        <w:tab/>
        <w:t>Example of revised note structure</w:t>
      </w:r>
      <w:bookmarkEnd w:id="237"/>
      <w:bookmarkEnd w:id="238"/>
      <w:r w:rsidR="00EB30E1" w:rsidRPr="00892DE3">
        <w:t xml:space="preserve"> for departments</w:t>
      </w:r>
      <w:bookmarkEnd w:id="239"/>
      <w:bookmarkEnd w:id="240"/>
      <w:bookmarkEnd w:id="241"/>
    </w:p>
    <w:p w:rsidR="001B775D" w:rsidRPr="00892DE3" w:rsidRDefault="001B775D" w:rsidP="001B775D"/>
    <w:p w:rsidR="001657FB" w:rsidRPr="00892DE3" w:rsidRDefault="001657FB" w:rsidP="00587DAE">
      <w:pPr>
        <w:pStyle w:val="ListNumber"/>
        <w:numPr>
          <w:ilvl w:val="0"/>
          <w:numId w:val="18"/>
        </w:numPr>
        <w:rPr>
          <w:b/>
        </w:rPr>
        <w:sectPr w:rsidR="001657FB" w:rsidRPr="00892DE3" w:rsidSect="00FD0181">
          <w:headerReference w:type="even" r:id="rId166"/>
          <w:headerReference w:type="default" r:id="rId167"/>
          <w:footerReference w:type="first" r:id="rId168"/>
          <w:pgSz w:w="11906" w:h="16838" w:code="9"/>
          <w:pgMar w:top="1134" w:right="1134" w:bottom="1134" w:left="1134" w:header="624" w:footer="567" w:gutter="0"/>
          <w:cols w:sep="1" w:space="567"/>
          <w:titlePg/>
          <w:docGrid w:linePitch="360"/>
        </w:sectPr>
      </w:pPr>
    </w:p>
    <w:p w:rsidR="001B775D" w:rsidRPr="00892DE3" w:rsidRDefault="001B775D" w:rsidP="00587DAE">
      <w:pPr>
        <w:pStyle w:val="ListNumber"/>
        <w:numPr>
          <w:ilvl w:val="0"/>
          <w:numId w:val="18"/>
        </w:numPr>
        <w:rPr>
          <w:b/>
        </w:rPr>
      </w:pPr>
      <w:r w:rsidRPr="00892DE3">
        <w:rPr>
          <w:b/>
        </w:rPr>
        <w:t>About this report</w:t>
      </w:r>
    </w:p>
    <w:p w:rsidR="001B775D" w:rsidRPr="00892DE3" w:rsidRDefault="001B775D" w:rsidP="001B775D">
      <w:pPr>
        <w:pStyle w:val="ListBullet"/>
      </w:pPr>
      <w:r w:rsidRPr="00892DE3">
        <w:t>Basis of preparation</w:t>
      </w:r>
    </w:p>
    <w:p w:rsidR="001B775D" w:rsidRPr="00892DE3" w:rsidRDefault="001B775D" w:rsidP="001B775D">
      <w:pPr>
        <w:pStyle w:val="ListBullet"/>
      </w:pPr>
      <w:r w:rsidRPr="00892DE3">
        <w:t>Compliance information</w:t>
      </w:r>
    </w:p>
    <w:p w:rsidR="001657FB" w:rsidRPr="00892DE3" w:rsidRDefault="001657FB" w:rsidP="001657FB"/>
    <w:p w:rsidR="001B775D" w:rsidRPr="00892DE3" w:rsidRDefault="001B775D" w:rsidP="001657FB">
      <w:pPr>
        <w:pStyle w:val="ListNumber"/>
        <w:rPr>
          <w:b/>
        </w:rPr>
      </w:pPr>
      <w:r w:rsidRPr="00892DE3">
        <w:rPr>
          <w:b/>
        </w:rPr>
        <w:t>Funding delivery of our services</w:t>
      </w:r>
    </w:p>
    <w:p w:rsidR="00242B07" w:rsidRPr="00892DE3" w:rsidRDefault="00242B07" w:rsidP="001657FB">
      <w:pPr>
        <w:pStyle w:val="ListBullet"/>
      </w:pPr>
      <w:r w:rsidRPr="00892DE3">
        <w:t xml:space="preserve">Summary of income that funds the </w:t>
      </w:r>
      <w:r w:rsidR="00EB30E1" w:rsidRPr="00892DE3">
        <w:t>delivery</w:t>
      </w:r>
      <w:r w:rsidRPr="00892DE3">
        <w:t xml:space="preserve"> of </w:t>
      </w:r>
      <w:r w:rsidR="00EB30E1" w:rsidRPr="00892DE3">
        <w:t>our services</w:t>
      </w:r>
    </w:p>
    <w:p w:rsidR="001B775D" w:rsidRPr="00892DE3" w:rsidRDefault="001B775D" w:rsidP="001657FB">
      <w:pPr>
        <w:pStyle w:val="ListBullet"/>
      </w:pPr>
      <w:r w:rsidRPr="00892DE3">
        <w:t>Appropriations</w:t>
      </w:r>
    </w:p>
    <w:p w:rsidR="001B775D" w:rsidRPr="00892DE3" w:rsidRDefault="001B775D" w:rsidP="001657FB">
      <w:pPr>
        <w:pStyle w:val="ListBullet"/>
      </w:pPr>
      <w:r w:rsidRPr="00892DE3">
        <w:t>Summary of compliance with annual Parliamentary and special appropriations</w:t>
      </w:r>
    </w:p>
    <w:p w:rsidR="001B775D" w:rsidRPr="00892DE3" w:rsidRDefault="001B775D" w:rsidP="001657FB">
      <w:pPr>
        <w:pStyle w:val="ListBullet"/>
      </w:pPr>
      <w:r w:rsidRPr="00892DE3">
        <w:t xml:space="preserve">Income from transactions </w:t>
      </w:r>
    </w:p>
    <w:p w:rsidR="001B775D" w:rsidRPr="00892DE3" w:rsidRDefault="001B775D" w:rsidP="001657FB">
      <w:pPr>
        <w:pStyle w:val="ListBullet"/>
      </w:pPr>
      <w:r w:rsidRPr="00892DE3">
        <w:t>Annotated income agreements</w:t>
      </w:r>
    </w:p>
    <w:p w:rsidR="001657FB" w:rsidRPr="00892DE3" w:rsidRDefault="001657FB" w:rsidP="001657FB"/>
    <w:p w:rsidR="001B775D" w:rsidRPr="00892DE3" w:rsidRDefault="001B775D" w:rsidP="001657FB">
      <w:pPr>
        <w:pStyle w:val="ListNumber"/>
        <w:rPr>
          <w:b/>
        </w:rPr>
      </w:pPr>
      <w:r w:rsidRPr="00892DE3">
        <w:rPr>
          <w:b/>
        </w:rPr>
        <w:t>The cost of delivering services</w:t>
      </w:r>
    </w:p>
    <w:p w:rsidR="001B775D" w:rsidRPr="00892DE3" w:rsidRDefault="00EB30E1" w:rsidP="001657FB">
      <w:pPr>
        <w:pStyle w:val="ListBullet"/>
      </w:pPr>
      <w:r w:rsidRPr="00892DE3">
        <w:t>Expenses incurred in delivery of services</w:t>
      </w:r>
    </w:p>
    <w:p w:rsidR="001B775D" w:rsidRPr="00892DE3" w:rsidRDefault="001B775D" w:rsidP="001657FB">
      <w:pPr>
        <w:pStyle w:val="ListBullet"/>
      </w:pPr>
      <w:r w:rsidRPr="00892DE3">
        <w:t>Employee benefits</w:t>
      </w:r>
    </w:p>
    <w:p w:rsidR="001B775D" w:rsidRPr="00892DE3" w:rsidRDefault="001B775D" w:rsidP="001657FB">
      <w:pPr>
        <w:pStyle w:val="ListBullet"/>
      </w:pPr>
      <w:r w:rsidRPr="00892DE3">
        <w:t>Grant expenses</w:t>
      </w:r>
    </w:p>
    <w:p w:rsidR="001B775D" w:rsidRPr="00892DE3" w:rsidRDefault="001B775D" w:rsidP="001657FB">
      <w:pPr>
        <w:pStyle w:val="ListBullet"/>
      </w:pPr>
      <w:r w:rsidRPr="00892DE3">
        <w:t>Capital asset charge</w:t>
      </w:r>
    </w:p>
    <w:p w:rsidR="001B775D" w:rsidRPr="00892DE3" w:rsidRDefault="001B775D" w:rsidP="001657FB">
      <w:pPr>
        <w:pStyle w:val="ListBullet"/>
      </w:pPr>
      <w:r w:rsidRPr="00892DE3">
        <w:t>Other operating expenses</w:t>
      </w:r>
    </w:p>
    <w:p w:rsidR="001657FB" w:rsidRPr="00892DE3" w:rsidRDefault="001657FB" w:rsidP="001657FB"/>
    <w:p w:rsidR="001B775D" w:rsidRPr="00892DE3" w:rsidRDefault="001B775D" w:rsidP="001657FB">
      <w:pPr>
        <w:pStyle w:val="ListNumber"/>
        <w:rPr>
          <w:b/>
        </w:rPr>
      </w:pPr>
      <w:r w:rsidRPr="00892DE3">
        <w:rPr>
          <w:b/>
        </w:rPr>
        <w:t>Disaggregated financial information by output</w:t>
      </w:r>
    </w:p>
    <w:p w:rsidR="001B775D" w:rsidRPr="00892DE3" w:rsidRDefault="001B775D" w:rsidP="001657FB">
      <w:pPr>
        <w:pStyle w:val="ListBullet"/>
      </w:pPr>
      <w:r w:rsidRPr="00892DE3">
        <w:t>Departmental outputs:</w:t>
      </w:r>
    </w:p>
    <w:p w:rsidR="001B775D" w:rsidRPr="00892DE3" w:rsidRDefault="001B775D" w:rsidP="00242B07">
      <w:pPr>
        <w:pStyle w:val="ListBullet2"/>
      </w:pPr>
      <w:r w:rsidRPr="00892DE3">
        <w:t>Description and objectives</w:t>
      </w:r>
    </w:p>
    <w:p w:rsidR="001B775D" w:rsidRPr="00892DE3" w:rsidRDefault="001B775D" w:rsidP="00242B07">
      <w:pPr>
        <w:pStyle w:val="ListBullet2"/>
      </w:pPr>
      <w:r w:rsidRPr="00892DE3">
        <w:t>Controlled income and expenses</w:t>
      </w:r>
    </w:p>
    <w:p w:rsidR="001B775D" w:rsidRPr="00892DE3" w:rsidRDefault="001B775D" w:rsidP="00242B07">
      <w:pPr>
        <w:pStyle w:val="ListBullet2"/>
      </w:pPr>
      <w:r w:rsidRPr="00892DE3">
        <w:t>Controlled assets and liabilities</w:t>
      </w:r>
    </w:p>
    <w:p w:rsidR="001B775D" w:rsidRPr="00892DE3" w:rsidRDefault="001B775D" w:rsidP="00242B07">
      <w:pPr>
        <w:pStyle w:val="ListBullet"/>
      </w:pPr>
      <w:r w:rsidRPr="00892DE3">
        <w:t>Administered (non-controlled) items</w:t>
      </w:r>
    </w:p>
    <w:p w:rsidR="001B775D" w:rsidRPr="00892DE3" w:rsidRDefault="001B775D" w:rsidP="001657FB">
      <w:pPr>
        <w:pStyle w:val="ListBullet"/>
      </w:pPr>
      <w:r w:rsidRPr="00892DE3">
        <w:t xml:space="preserve">Restructuring of </w:t>
      </w:r>
      <w:r w:rsidR="00834B20" w:rsidRPr="00892DE3">
        <w:t>administrative arrangements</w:t>
      </w:r>
    </w:p>
    <w:p w:rsidR="001657FB" w:rsidRPr="00892DE3" w:rsidRDefault="001657FB" w:rsidP="001657FB"/>
    <w:p w:rsidR="001B775D" w:rsidRPr="00892DE3" w:rsidRDefault="001B775D" w:rsidP="001657FB">
      <w:pPr>
        <w:pStyle w:val="ListNumber"/>
        <w:rPr>
          <w:b/>
        </w:rPr>
      </w:pPr>
      <w:r w:rsidRPr="00892DE3">
        <w:rPr>
          <w:b/>
        </w:rPr>
        <w:t>Key assets available to support output delivery</w:t>
      </w:r>
    </w:p>
    <w:p w:rsidR="001B775D" w:rsidRPr="00892DE3" w:rsidRDefault="00242B07" w:rsidP="001657FB">
      <w:pPr>
        <w:pStyle w:val="ListBullet"/>
      </w:pPr>
      <w:r w:rsidRPr="00892DE3">
        <w:t>Total p</w:t>
      </w:r>
      <w:r w:rsidR="001B775D" w:rsidRPr="00892DE3">
        <w:t xml:space="preserve">roperty, </w:t>
      </w:r>
      <w:r w:rsidR="001657FB" w:rsidRPr="00892DE3">
        <w:t>p</w:t>
      </w:r>
      <w:r w:rsidR="001B775D" w:rsidRPr="00892DE3">
        <w:t xml:space="preserve">lant and </w:t>
      </w:r>
      <w:r w:rsidR="001657FB" w:rsidRPr="00892DE3">
        <w:t>e</w:t>
      </w:r>
      <w:r w:rsidR="001B775D" w:rsidRPr="00892DE3">
        <w:t>quipment</w:t>
      </w:r>
    </w:p>
    <w:p w:rsidR="001B775D" w:rsidRPr="00892DE3" w:rsidRDefault="001B775D" w:rsidP="001657FB">
      <w:pPr>
        <w:pStyle w:val="ListBullet"/>
      </w:pPr>
      <w:r w:rsidRPr="00892DE3">
        <w:t>Investment properties</w:t>
      </w:r>
    </w:p>
    <w:p w:rsidR="001B775D" w:rsidRPr="00892DE3" w:rsidRDefault="001B775D" w:rsidP="001657FB">
      <w:pPr>
        <w:pStyle w:val="ListBullet"/>
      </w:pPr>
      <w:r w:rsidRPr="00892DE3">
        <w:t xml:space="preserve">Biological </w:t>
      </w:r>
      <w:r w:rsidR="001657FB" w:rsidRPr="00892DE3">
        <w:t>a</w:t>
      </w:r>
      <w:r w:rsidRPr="00892DE3">
        <w:t>ssets</w:t>
      </w:r>
    </w:p>
    <w:p w:rsidR="001B775D" w:rsidRPr="00892DE3" w:rsidRDefault="001B775D" w:rsidP="001657FB">
      <w:pPr>
        <w:pStyle w:val="ListBullet"/>
      </w:pPr>
      <w:r w:rsidRPr="00892DE3">
        <w:t>Intangible assets</w:t>
      </w:r>
    </w:p>
    <w:p w:rsidR="001B775D" w:rsidRPr="00892DE3" w:rsidRDefault="001B775D" w:rsidP="001657FB">
      <w:pPr>
        <w:pStyle w:val="ListBullet"/>
      </w:pPr>
      <w:r w:rsidRPr="00892DE3">
        <w:t>Investments accounted for using the equity method</w:t>
      </w:r>
    </w:p>
    <w:p w:rsidR="001B775D" w:rsidRPr="00892DE3" w:rsidRDefault="001B775D" w:rsidP="001657FB">
      <w:pPr>
        <w:pStyle w:val="ListBullet"/>
      </w:pPr>
      <w:r w:rsidRPr="00892DE3">
        <w:t xml:space="preserve">Investments and other financial assets </w:t>
      </w:r>
    </w:p>
    <w:p w:rsidR="001B775D" w:rsidRPr="00892DE3" w:rsidRDefault="001B775D" w:rsidP="001657FB">
      <w:pPr>
        <w:pStyle w:val="ListBullet"/>
      </w:pPr>
      <w:r w:rsidRPr="00892DE3">
        <w:t>Acquisition and disposal of entities</w:t>
      </w:r>
    </w:p>
    <w:p w:rsidR="001657FB" w:rsidRPr="00892DE3" w:rsidRDefault="001657FB" w:rsidP="001657FB"/>
    <w:p w:rsidR="001657FB" w:rsidRPr="00892DE3" w:rsidRDefault="001657FB" w:rsidP="001657FB">
      <w:pPr>
        <w:pStyle w:val="ListNumber"/>
        <w:rPr>
          <w:b/>
        </w:rPr>
      </w:pPr>
      <w:r w:rsidRPr="00892DE3">
        <w:rPr>
          <w:b/>
        </w:rPr>
        <w:t>Other assets and liabilities</w:t>
      </w:r>
    </w:p>
    <w:p w:rsidR="001657FB" w:rsidRPr="00892DE3" w:rsidRDefault="001657FB" w:rsidP="001657FB">
      <w:pPr>
        <w:pStyle w:val="ListBullet"/>
      </w:pPr>
      <w:r w:rsidRPr="00892DE3">
        <w:t xml:space="preserve">Receivables </w:t>
      </w:r>
    </w:p>
    <w:p w:rsidR="001657FB" w:rsidRPr="00892DE3" w:rsidRDefault="001657FB" w:rsidP="001657FB">
      <w:pPr>
        <w:pStyle w:val="ListBullet"/>
      </w:pPr>
      <w:r w:rsidRPr="00892DE3">
        <w:t>Payables</w:t>
      </w:r>
    </w:p>
    <w:p w:rsidR="001657FB" w:rsidRPr="00892DE3" w:rsidRDefault="001657FB" w:rsidP="001657FB">
      <w:pPr>
        <w:pStyle w:val="ListBullet"/>
      </w:pPr>
      <w:r w:rsidRPr="00892DE3">
        <w:t>Inventories</w:t>
      </w:r>
    </w:p>
    <w:p w:rsidR="001657FB" w:rsidRPr="00892DE3" w:rsidRDefault="001657FB" w:rsidP="001657FB">
      <w:pPr>
        <w:pStyle w:val="ListBullet"/>
      </w:pPr>
      <w:r w:rsidRPr="00892DE3">
        <w:t>Other non-financial assets</w:t>
      </w:r>
    </w:p>
    <w:p w:rsidR="001657FB" w:rsidRPr="00892DE3" w:rsidRDefault="001657FB" w:rsidP="001657FB">
      <w:pPr>
        <w:pStyle w:val="ListBullet"/>
      </w:pPr>
      <w:r w:rsidRPr="00892DE3">
        <w:t>Other provisions</w:t>
      </w:r>
    </w:p>
    <w:p w:rsidR="001B775D" w:rsidRPr="00892DE3" w:rsidRDefault="001657FB" w:rsidP="001657FB">
      <w:pPr>
        <w:pStyle w:val="ListNumber"/>
        <w:rPr>
          <w:b/>
        </w:rPr>
      </w:pPr>
      <w:r w:rsidRPr="00892DE3">
        <w:rPr>
          <w:b/>
        </w:rPr>
        <w:br w:type="column"/>
      </w:r>
      <w:r w:rsidR="00EB30E1" w:rsidRPr="00892DE3">
        <w:rPr>
          <w:b/>
        </w:rPr>
        <w:t>How we financed</w:t>
      </w:r>
      <w:r w:rsidRPr="00892DE3">
        <w:rPr>
          <w:b/>
        </w:rPr>
        <w:t xml:space="preserve"> our operations</w:t>
      </w:r>
    </w:p>
    <w:p w:rsidR="001B775D" w:rsidRPr="00892DE3" w:rsidRDefault="001B775D" w:rsidP="001657FB">
      <w:pPr>
        <w:pStyle w:val="ListBullet"/>
      </w:pPr>
      <w:r w:rsidRPr="00892DE3">
        <w:t>Borrowings</w:t>
      </w:r>
    </w:p>
    <w:p w:rsidR="001B775D" w:rsidRPr="00892DE3" w:rsidRDefault="001B775D" w:rsidP="001657FB">
      <w:pPr>
        <w:pStyle w:val="ListBullet"/>
      </w:pPr>
      <w:r w:rsidRPr="00892DE3">
        <w:t xml:space="preserve">Leases </w:t>
      </w:r>
    </w:p>
    <w:p w:rsidR="001B775D" w:rsidRPr="00892DE3" w:rsidRDefault="001B775D" w:rsidP="001657FB">
      <w:pPr>
        <w:pStyle w:val="ListBullet"/>
      </w:pPr>
      <w:r w:rsidRPr="00892DE3">
        <w:t>Cash flow information</w:t>
      </w:r>
      <w:r w:rsidR="00242B07" w:rsidRPr="00892DE3">
        <w:t xml:space="preserve"> and balances</w:t>
      </w:r>
    </w:p>
    <w:p w:rsidR="001B775D" w:rsidRPr="00892DE3" w:rsidRDefault="001B775D" w:rsidP="001657FB">
      <w:pPr>
        <w:pStyle w:val="ListBullet"/>
      </w:pPr>
      <w:r w:rsidRPr="00892DE3">
        <w:t>Trust account balances</w:t>
      </w:r>
    </w:p>
    <w:p w:rsidR="001B775D" w:rsidRPr="00892DE3" w:rsidRDefault="001B775D" w:rsidP="001657FB">
      <w:pPr>
        <w:pStyle w:val="ListBullet"/>
      </w:pPr>
      <w:r w:rsidRPr="00892DE3">
        <w:t>Commitments for expenditure</w:t>
      </w:r>
    </w:p>
    <w:p w:rsidR="001B775D" w:rsidRPr="00892DE3" w:rsidRDefault="001B775D" w:rsidP="001657FB">
      <w:pPr>
        <w:pStyle w:val="ListBullet"/>
      </w:pPr>
      <w:r w:rsidRPr="00892DE3">
        <w:t>Assets pledged as security</w:t>
      </w:r>
    </w:p>
    <w:p w:rsidR="001657FB" w:rsidRPr="00892DE3" w:rsidRDefault="001657FB" w:rsidP="001657FB"/>
    <w:p w:rsidR="001B775D" w:rsidRPr="00892DE3" w:rsidRDefault="001657FB" w:rsidP="001657FB">
      <w:pPr>
        <w:pStyle w:val="ListNumber"/>
        <w:rPr>
          <w:b/>
        </w:rPr>
      </w:pPr>
      <w:r w:rsidRPr="00892DE3">
        <w:rPr>
          <w:b/>
        </w:rPr>
        <w:t>Risks, contingencies and valuation judgements</w:t>
      </w:r>
    </w:p>
    <w:p w:rsidR="001B775D" w:rsidRPr="00892DE3" w:rsidRDefault="001B775D" w:rsidP="001657FB">
      <w:pPr>
        <w:pStyle w:val="ListBullet"/>
      </w:pPr>
      <w:r w:rsidRPr="00892DE3">
        <w:t>Financial instruments</w:t>
      </w:r>
      <w:r w:rsidR="00242B07" w:rsidRPr="00892DE3">
        <w:t xml:space="preserve"> specific disclosures</w:t>
      </w:r>
    </w:p>
    <w:p w:rsidR="001B775D" w:rsidRPr="00892DE3" w:rsidRDefault="001B775D" w:rsidP="001657FB">
      <w:pPr>
        <w:pStyle w:val="ListBullet"/>
      </w:pPr>
      <w:r w:rsidRPr="00892DE3">
        <w:t>Contingent assets and contingent liabilities</w:t>
      </w:r>
    </w:p>
    <w:p w:rsidR="001B775D" w:rsidRPr="00892DE3" w:rsidRDefault="001B775D" w:rsidP="001657FB">
      <w:pPr>
        <w:pStyle w:val="ListBullet"/>
      </w:pPr>
      <w:r w:rsidRPr="00892DE3">
        <w:t xml:space="preserve">Fair </w:t>
      </w:r>
      <w:r w:rsidR="001657FB" w:rsidRPr="00892DE3">
        <w:t>v</w:t>
      </w:r>
      <w:r w:rsidRPr="00892DE3">
        <w:t>alue determination</w:t>
      </w:r>
    </w:p>
    <w:p w:rsidR="001657FB" w:rsidRPr="00892DE3" w:rsidRDefault="001657FB" w:rsidP="001657FB"/>
    <w:p w:rsidR="001B775D" w:rsidRPr="00892DE3" w:rsidRDefault="001657FB" w:rsidP="001657FB">
      <w:pPr>
        <w:pStyle w:val="ListNumber"/>
        <w:rPr>
          <w:b/>
        </w:rPr>
      </w:pPr>
      <w:r w:rsidRPr="00892DE3">
        <w:rPr>
          <w:b/>
        </w:rPr>
        <w:t>Other disclosures</w:t>
      </w:r>
    </w:p>
    <w:p w:rsidR="001B775D" w:rsidRDefault="001657FB" w:rsidP="001657FB">
      <w:pPr>
        <w:pStyle w:val="ListBullet"/>
      </w:pPr>
      <w:r w:rsidRPr="00892DE3">
        <w:t>Ex-</w:t>
      </w:r>
      <w:r w:rsidR="001B775D" w:rsidRPr="00892DE3">
        <w:t>gratia expenses</w:t>
      </w:r>
    </w:p>
    <w:p w:rsidR="00B646EE" w:rsidRDefault="00B646EE" w:rsidP="00B646EE">
      <w:pPr>
        <w:pStyle w:val="ListBullet"/>
      </w:pPr>
      <w:r w:rsidRPr="00892DE3">
        <w:t>Other economic flows included in net result</w:t>
      </w:r>
    </w:p>
    <w:p w:rsidR="00B646EE" w:rsidRDefault="00B646EE" w:rsidP="00B646EE">
      <w:pPr>
        <w:pStyle w:val="ListBullet"/>
      </w:pPr>
      <w:r w:rsidRPr="00892DE3">
        <w:t>Discontinued operations and non-current assets held for sale</w:t>
      </w:r>
    </w:p>
    <w:p w:rsidR="00B646EE" w:rsidRPr="00892DE3" w:rsidRDefault="00B646EE" w:rsidP="00B646EE">
      <w:pPr>
        <w:pStyle w:val="ListBullet"/>
      </w:pPr>
      <w:r w:rsidRPr="00892DE3">
        <w:t>Reserves</w:t>
      </w:r>
    </w:p>
    <w:p w:rsidR="00B646EE" w:rsidRDefault="00242B07" w:rsidP="00B646EE">
      <w:pPr>
        <w:pStyle w:val="ListBullet"/>
      </w:pPr>
      <w:r w:rsidRPr="00892DE3">
        <w:t>Entities c</w:t>
      </w:r>
      <w:r w:rsidR="001B775D" w:rsidRPr="00892DE3">
        <w:t xml:space="preserve">onsolidated </w:t>
      </w:r>
      <w:r w:rsidRPr="00892DE3">
        <w:t>pursuant to section 53(1)(b) of the FMA</w:t>
      </w:r>
    </w:p>
    <w:p w:rsidR="00B646EE" w:rsidRDefault="00B646EE" w:rsidP="00B646EE">
      <w:pPr>
        <w:pStyle w:val="ListBullet"/>
      </w:pPr>
      <w:r w:rsidRPr="00892DE3">
        <w:t>Correction of a prior period error (including guidance on changes in accounting policy and accounting estimates)</w:t>
      </w:r>
    </w:p>
    <w:p w:rsidR="00B646EE" w:rsidRDefault="00B646EE" w:rsidP="00B646EE">
      <w:pPr>
        <w:pStyle w:val="ListBullet"/>
      </w:pPr>
      <w:r w:rsidRPr="00892DE3">
        <w:t>Responsible persons</w:t>
      </w:r>
    </w:p>
    <w:p w:rsidR="00B646EE" w:rsidRDefault="00B646EE" w:rsidP="00B646EE">
      <w:pPr>
        <w:pStyle w:val="ListBullet"/>
      </w:pPr>
      <w:r w:rsidRPr="00892DE3">
        <w:t>Remuneration of executives</w:t>
      </w:r>
    </w:p>
    <w:p w:rsidR="00B646EE" w:rsidRDefault="00B646EE" w:rsidP="00B646EE">
      <w:pPr>
        <w:pStyle w:val="ListBullet"/>
      </w:pPr>
      <w:r w:rsidRPr="00892DE3">
        <w:t>Related parties</w:t>
      </w:r>
    </w:p>
    <w:p w:rsidR="00B646EE" w:rsidRDefault="00B646EE" w:rsidP="00B646EE">
      <w:pPr>
        <w:pStyle w:val="ListBullet"/>
      </w:pPr>
      <w:r w:rsidRPr="00892DE3">
        <w:t>Remuneration of auditors</w:t>
      </w:r>
    </w:p>
    <w:p w:rsidR="00B646EE" w:rsidRDefault="00B646EE" w:rsidP="00B646EE">
      <w:pPr>
        <w:pStyle w:val="ListBullet"/>
      </w:pPr>
      <w:r w:rsidRPr="00892DE3">
        <w:t>Subsequent events</w:t>
      </w:r>
    </w:p>
    <w:p w:rsidR="00B646EE" w:rsidRDefault="00B646EE" w:rsidP="00B646EE">
      <w:pPr>
        <w:pStyle w:val="ListBullet"/>
      </w:pPr>
      <w:r w:rsidRPr="00892DE3">
        <w:t>Other accounting policies</w:t>
      </w:r>
    </w:p>
    <w:p w:rsidR="00B646EE" w:rsidRPr="00892DE3" w:rsidRDefault="00B646EE" w:rsidP="00B646EE">
      <w:pPr>
        <w:pStyle w:val="ListBullet"/>
      </w:pPr>
      <w:r w:rsidRPr="00892DE3">
        <w:t>Australian Accounting Standards issued that are not yet effective</w:t>
      </w:r>
    </w:p>
    <w:p w:rsidR="009F6A5B" w:rsidRPr="00892DE3" w:rsidRDefault="001B775D" w:rsidP="001657FB">
      <w:pPr>
        <w:pStyle w:val="ListBullet"/>
      </w:pPr>
      <w:r w:rsidRPr="00892DE3">
        <w:t xml:space="preserve">Glossary of </w:t>
      </w:r>
      <w:r w:rsidR="009F6A5B" w:rsidRPr="00892DE3">
        <w:t xml:space="preserve">technical </w:t>
      </w:r>
      <w:r w:rsidRPr="00892DE3">
        <w:t>terms</w:t>
      </w:r>
    </w:p>
    <w:p w:rsidR="001B775D" w:rsidRPr="00892DE3" w:rsidRDefault="009F6A5B" w:rsidP="001657FB">
      <w:pPr>
        <w:pStyle w:val="ListBullet"/>
      </w:pPr>
      <w:r w:rsidRPr="00892DE3">
        <w:t>S</w:t>
      </w:r>
      <w:r w:rsidR="001B775D" w:rsidRPr="00892DE3">
        <w:t>tyle conventions</w:t>
      </w:r>
    </w:p>
    <w:p w:rsidR="001657FB" w:rsidRPr="00892DE3" w:rsidRDefault="001657FB" w:rsidP="001B775D">
      <w:pPr>
        <w:keepLines w:val="0"/>
        <w:sectPr w:rsidR="001657FB" w:rsidRPr="00892DE3" w:rsidSect="001657FB">
          <w:type w:val="continuous"/>
          <w:pgSz w:w="11906" w:h="16838" w:code="9"/>
          <w:pgMar w:top="1134" w:right="1134" w:bottom="1134" w:left="1134" w:header="624" w:footer="567" w:gutter="0"/>
          <w:cols w:num="2" w:space="567"/>
          <w:titlePg/>
          <w:docGrid w:linePitch="360"/>
        </w:sectPr>
      </w:pPr>
    </w:p>
    <w:p w:rsidR="001657FB" w:rsidRPr="00892DE3" w:rsidRDefault="001657FB" w:rsidP="001B775D">
      <w:pPr>
        <w:keepLines w:val="0"/>
      </w:pPr>
    </w:p>
    <w:p w:rsidR="001657FB" w:rsidRPr="00892DE3" w:rsidRDefault="001657FB" w:rsidP="001657FB">
      <w:pPr>
        <w:sectPr w:rsidR="001657FB" w:rsidRPr="00892DE3" w:rsidSect="001657FB">
          <w:type w:val="continuous"/>
          <w:pgSz w:w="11906" w:h="16838" w:code="9"/>
          <w:pgMar w:top="1134" w:right="1134" w:bottom="1134" w:left="1134" w:header="624" w:footer="567" w:gutter="0"/>
          <w:cols w:num="2" w:sep="1" w:space="567"/>
          <w:titlePg/>
          <w:docGrid w:linePitch="360"/>
        </w:sectPr>
      </w:pPr>
    </w:p>
    <w:p w:rsidR="001B775D" w:rsidRPr="00892DE3" w:rsidRDefault="001B775D" w:rsidP="001B775D">
      <w:pPr>
        <w:keepLines w:val="0"/>
      </w:pPr>
    </w:p>
    <w:p w:rsidR="001657FB" w:rsidRPr="00892DE3" w:rsidRDefault="001657FB">
      <w:pPr>
        <w:keepLines w:val="0"/>
        <w:rPr>
          <w:rFonts w:asciiTheme="majorHAnsi" w:eastAsiaTheme="majorEastAsia" w:hAnsiTheme="majorHAnsi" w:cstheme="majorBidi"/>
          <w:b/>
          <w:bCs/>
          <w:caps/>
          <w:spacing w:val="-2"/>
          <w:sz w:val="28"/>
          <w:szCs w:val="28"/>
        </w:rPr>
      </w:pPr>
      <w:r w:rsidRPr="00892DE3">
        <w:br w:type="page"/>
      </w:r>
    </w:p>
    <w:p w:rsidR="00BA1762" w:rsidRPr="00892DE3" w:rsidRDefault="009500E5" w:rsidP="002A033E">
      <w:pPr>
        <w:pStyle w:val="Heading30"/>
      </w:pPr>
      <w:bookmarkStart w:id="242" w:name="_Toc478735889"/>
      <w:r w:rsidRPr="00892DE3">
        <w:t>Australia Post f</w:t>
      </w:r>
      <w:r w:rsidR="00BA1762" w:rsidRPr="00892DE3">
        <w:t>inancial and statutory reports 2016, page 1</w:t>
      </w:r>
      <w:bookmarkEnd w:id="242"/>
    </w:p>
    <w:p w:rsidR="001657FB" w:rsidRPr="00892DE3" w:rsidRDefault="001657FB">
      <w:pPr>
        <w:keepLines w:val="0"/>
      </w:pPr>
      <w:r w:rsidRPr="00892DE3">
        <w:rPr>
          <w:noProof/>
          <w:lang w:eastAsia="en-AU"/>
        </w:rPr>
        <w:drawing>
          <wp:inline distT="0" distB="0" distL="0" distR="0" wp14:anchorId="2AD10B9C" wp14:editId="30B719F8">
            <wp:extent cx="6120130" cy="7022341"/>
            <wp:effectExtent l="19050" t="19050" r="1397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120130" cy="7022341"/>
                    </a:xfrm>
                    <a:prstGeom prst="rect">
                      <a:avLst/>
                    </a:prstGeom>
                    <a:ln>
                      <a:solidFill>
                        <a:schemeClr val="bg1">
                          <a:lumMod val="50000"/>
                        </a:schemeClr>
                      </a:solidFill>
                    </a:ln>
                  </pic:spPr>
                </pic:pic>
              </a:graphicData>
            </a:graphic>
          </wp:inline>
        </w:drawing>
      </w:r>
    </w:p>
    <w:p w:rsidR="001657FB" w:rsidRPr="00892DE3" w:rsidRDefault="00BA1762" w:rsidP="00BA1762">
      <w:pPr>
        <w:pStyle w:val="Source"/>
      </w:pPr>
      <w:r w:rsidRPr="00892DE3">
        <w:t>Source: auspost.com.au/annualreport2016/resources/docs/auspost_financial_report.pdf</w:t>
      </w:r>
    </w:p>
    <w:p w:rsidR="00BA1762" w:rsidRPr="00892DE3" w:rsidRDefault="00BA1762">
      <w:pPr>
        <w:keepLines w:val="0"/>
      </w:pPr>
      <w:r w:rsidRPr="00892DE3">
        <w:br w:type="page"/>
      </w:r>
    </w:p>
    <w:p w:rsidR="001657FB" w:rsidRPr="00892DE3" w:rsidRDefault="00BA1762" w:rsidP="002A033E">
      <w:pPr>
        <w:pStyle w:val="Heading30"/>
      </w:pPr>
      <w:bookmarkStart w:id="243" w:name="_Toc478735890"/>
      <w:r w:rsidRPr="00892DE3">
        <w:t>Telstra Annual Report 2016, page 76</w:t>
      </w:r>
      <w:bookmarkEnd w:id="243"/>
    </w:p>
    <w:p w:rsidR="00BA1762" w:rsidRPr="00892DE3" w:rsidRDefault="00BA1762" w:rsidP="00BA1762">
      <w:r w:rsidRPr="00892DE3">
        <w:rPr>
          <w:noProof/>
          <w:lang w:eastAsia="en-AU"/>
        </w:rPr>
        <w:drawing>
          <wp:inline distT="0" distB="0" distL="0" distR="0" wp14:anchorId="7B6BFEB4" wp14:editId="791747C2">
            <wp:extent cx="5962650" cy="79914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62650" cy="7991475"/>
                    </a:xfrm>
                    <a:prstGeom prst="rect">
                      <a:avLst/>
                    </a:prstGeom>
                    <a:ln>
                      <a:solidFill>
                        <a:schemeClr val="bg1">
                          <a:lumMod val="50000"/>
                        </a:schemeClr>
                      </a:solidFill>
                    </a:ln>
                  </pic:spPr>
                </pic:pic>
              </a:graphicData>
            </a:graphic>
          </wp:inline>
        </w:drawing>
      </w:r>
    </w:p>
    <w:p w:rsidR="00BA1762" w:rsidRPr="00892DE3" w:rsidRDefault="00BA1762" w:rsidP="00BA1762">
      <w:pPr>
        <w:pStyle w:val="Source"/>
      </w:pPr>
      <w:r w:rsidRPr="00892DE3">
        <w:t>Source: www.telstra.com.au/content/dam/tcom/about-us/investors/pdf-e/2016-Annual-Report.pdf</w:t>
      </w:r>
    </w:p>
    <w:p w:rsidR="00BA1762" w:rsidRPr="00892DE3" w:rsidRDefault="00BA1762">
      <w:pPr>
        <w:keepLines w:val="0"/>
      </w:pPr>
      <w:r w:rsidRPr="00892DE3">
        <w:br w:type="page"/>
      </w:r>
    </w:p>
    <w:p w:rsidR="00BA1762" w:rsidRPr="00892DE3" w:rsidRDefault="00BA1762" w:rsidP="002A033E">
      <w:pPr>
        <w:pStyle w:val="Heading30"/>
      </w:pPr>
      <w:bookmarkStart w:id="244" w:name="_Toc478735891"/>
      <w:r w:rsidRPr="00892DE3">
        <w:t>Downer Annual Report 2016, page 48</w:t>
      </w:r>
      <w:bookmarkEnd w:id="244"/>
    </w:p>
    <w:p w:rsidR="00BA1762" w:rsidRPr="00892DE3" w:rsidRDefault="00BA1762" w:rsidP="00BA1762">
      <w:r w:rsidRPr="00892DE3">
        <w:rPr>
          <w:noProof/>
          <w:lang w:eastAsia="en-AU"/>
        </w:rPr>
        <w:drawing>
          <wp:inline distT="0" distB="0" distL="0" distR="0" wp14:anchorId="0D28CDCC" wp14:editId="716BC95F">
            <wp:extent cx="5695950" cy="719137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695950" cy="7191375"/>
                    </a:xfrm>
                    <a:prstGeom prst="rect">
                      <a:avLst/>
                    </a:prstGeom>
                    <a:ln>
                      <a:solidFill>
                        <a:schemeClr val="bg1">
                          <a:lumMod val="50000"/>
                        </a:schemeClr>
                      </a:solidFill>
                    </a:ln>
                  </pic:spPr>
                </pic:pic>
              </a:graphicData>
            </a:graphic>
          </wp:inline>
        </w:drawing>
      </w:r>
    </w:p>
    <w:p w:rsidR="00BA1762" w:rsidRPr="00892DE3" w:rsidRDefault="00BA1762" w:rsidP="00BA1762">
      <w:pPr>
        <w:pStyle w:val="Source"/>
      </w:pPr>
      <w:r w:rsidRPr="00892DE3">
        <w:t>Source: www.downergroup.com/Resources/Documents/Investors/Financial-Results--Reports/201516/Full-Year-Results/3.-DOW0030-Annual-Report-2016.pdf</w:t>
      </w:r>
    </w:p>
    <w:p w:rsidR="00BA1762" w:rsidRPr="00892DE3" w:rsidRDefault="00BA1762">
      <w:pPr>
        <w:keepLines w:val="0"/>
      </w:pPr>
      <w:r w:rsidRPr="00892DE3">
        <w:br w:type="page"/>
      </w:r>
    </w:p>
    <w:p w:rsidR="00BA1762" w:rsidRPr="00892DE3" w:rsidRDefault="009500E5" w:rsidP="002A033E">
      <w:pPr>
        <w:pStyle w:val="Heading20"/>
      </w:pPr>
      <w:bookmarkStart w:id="245" w:name="_Toc477967540"/>
      <w:bookmarkStart w:id="246" w:name="_Toc478056464"/>
      <w:bookmarkStart w:id="247" w:name="_Toc478735892"/>
      <w:bookmarkStart w:id="248" w:name="_Toc478735898"/>
      <w:bookmarkStart w:id="249" w:name="_Toc481592332"/>
      <w:r w:rsidRPr="00892DE3">
        <w:t>G6.</w:t>
      </w:r>
      <w:r w:rsidRPr="00892DE3">
        <w:tab/>
        <w:t>Example of n</w:t>
      </w:r>
      <w:r w:rsidR="00BA1762" w:rsidRPr="00892DE3">
        <w:t>ote mapping template</w:t>
      </w:r>
      <w:bookmarkEnd w:id="245"/>
      <w:bookmarkEnd w:id="246"/>
      <w:bookmarkEnd w:id="247"/>
      <w:bookmarkEnd w:id="248"/>
      <w:bookmarkEnd w:id="249"/>
      <w:r w:rsidR="00BA1762" w:rsidRPr="00892DE3">
        <w:t xml:space="preserve"> </w:t>
      </w:r>
    </w:p>
    <w:p w:rsidR="00BA1762" w:rsidRPr="00892DE3" w:rsidRDefault="00BA1762" w:rsidP="00BA1762">
      <w:pPr>
        <w:pStyle w:val="TableHeading"/>
      </w:pPr>
      <w:r w:rsidRPr="00892DE3">
        <w:t xml:space="preserve">Summary of key changes made to during the streamlining of the </w:t>
      </w:r>
      <w:r w:rsidR="00834B20" w:rsidRPr="00892DE3">
        <w:t>financial statements</w:t>
      </w:r>
    </w:p>
    <w:tbl>
      <w:tblPr>
        <w:tblStyle w:val="DTFTextTable"/>
        <w:tblW w:w="0" w:type="auto"/>
        <w:tblLook w:val="0620" w:firstRow="1" w:lastRow="0" w:firstColumn="0" w:lastColumn="0" w:noHBand="1" w:noVBand="1"/>
      </w:tblPr>
      <w:tblGrid>
        <w:gridCol w:w="596"/>
        <w:gridCol w:w="1985"/>
        <w:gridCol w:w="3260"/>
        <w:gridCol w:w="1701"/>
        <w:gridCol w:w="2182"/>
      </w:tblGrid>
      <w:tr w:rsidR="00BA1762" w:rsidRPr="00892DE3" w:rsidTr="00821277">
        <w:trPr>
          <w:cnfStyle w:val="100000000000" w:firstRow="1" w:lastRow="0" w:firstColumn="0" w:lastColumn="0" w:oddVBand="0" w:evenVBand="0" w:oddHBand="0" w:evenHBand="0" w:firstRowFirstColumn="0" w:firstRowLastColumn="0" w:lastRowFirstColumn="0" w:lastRowLastColumn="0"/>
          <w:tblHeader/>
        </w:trPr>
        <w:tc>
          <w:tcPr>
            <w:tcW w:w="596" w:type="dxa"/>
            <w:tcBorders>
              <w:bottom w:val="nil"/>
            </w:tcBorders>
          </w:tcPr>
          <w:p w:rsidR="00BA1762" w:rsidRPr="00892DE3" w:rsidRDefault="00BA1762" w:rsidP="00821277">
            <w:pPr>
              <w:keepLines w:val="0"/>
              <w:jc w:val="center"/>
            </w:pPr>
            <w:r w:rsidRPr="00892DE3">
              <w:t>Note</w:t>
            </w:r>
          </w:p>
        </w:tc>
        <w:tc>
          <w:tcPr>
            <w:tcW w:w="1985" w:type="dxa"/>
            <w:tcBorders>
              <w:bottom w:val="nil"/>
            </w:tcBorders>
          </w:tcPr>
          <w:p w:rsidR="00BA1762" w:rsidRPr="00892DE3" w:rsidRDefault="00BA1762" w:rsidP="00821277">
            <w:pPr>
              <w:keepLines w:val="0"/>
            </w:pPr>
            <w:r w:rsidRPr="00892DE3">
              <w:t>Name</w:t>
            </w:r>
          </w:p>
        </w:tc>
        <w:tc>
          <w:tcPr>
            <w:tcW w:w="3260" w:type="dxa"/>
            <w:tcBorders>
              <w:bottom w:val="nil"/>
            </w:tcBorders>
          </w:tcPr>
          <w:p w:rsidR="00BA1762" w:rsidRPr="00892DE3" w:rsidRDefault="00BA1762" w:rsidP="00821277">
            <w:pPr>
              <w:keepLines w:val="0"/>
            </w:pPr>
            <w:r w:rsidRPr="00892DE3">
              <w:t>Description of key changes</w:t>
            </w:r>
          </w:p>
        </w:tc>
        <w:tc>
          <w:tcPr>
            <w:tcW w:w="1701" w:type="dxa"/>
            <w:tcBorders>
              <w:bottom w:val="nil"/>
            </w:tcBorders>
          </w:tcPr>
          <w:p w:rsidR="00BA1762" w:rsidRPr="00892DE3" w:rsidRDefault="00BA1762" w:rsidP="00821277">
            <w:pPr>
              <w:keepLines w:val="0"/>
            </w:pPr>
            <w:r w:rsidRPr="00892DE3">
              <w:t>New location</w:t>
            </w:r>
          </w:p>
        </w:tc>
        <w:tc>
          <w:tcPr>
            <w:tcW w:w="2182" w:type="dxa"/>
            <w:tcBorders>
              <w:bottom w:val="nil"/>
            </w:tcBorders>
          </w:tcPr>
          <w:p w:rsidR="00BA1762" w:rsidRPr="00892DE3" w:rsidRDefault="00BA1762" w:rsidP="00821277">
            <w:pPr>
              <w:keepLines w:val="0"/>
            </w:pPr>
            <w:r w:rsidRPr="00892DE3">
              <w:t>Key information removed from the accounts</w:t>
            </w:r>
          </w:p>
        </w:tc>
      </w:tr>
      <w:tr w:rsidR="00BA1762" w:rsidRPr="00892DE3" w:rsidTr="00821277">
        <w:trPr>
          <w:trHeight w:val="567"/>
        </w:trPr>
        <w:tc>
          <w:tcPr>
            <w:tcW w:w="596" w:type="dxa"/>
            <w:tcBorders>
              <w:bottom w:val="single" w:sz="6" w:space="0" w:color="A6A6A6" w:themeColor="background1" w:themeShade="A6"/>
              <w:right w:val="single" w:sz="6" w:space="0" w:color="A6A6A6" w:themeColor="background1" w:themeShade="A6"/>
            </w:tcBorders>
          </w:tcPr>
          <w:p w:rsidR="00BA1762" w:rsidRPr="00892DE3" w:rsidRDefault="00BA1762" w:rsidP="00BA1762">
            <w:pPr>
              <w:keepLines w:val="0"/>
              <w:jc w:val="center"/>
            </w:pPr>
          </w:p>
        </w:tc>
        <w:tc>
          <w:tcPr>
            <w:tcW w:w="1985" w:type="dxa"/>
            <w:tcBorders>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3260" w:type="dxa"/>
            <w:tcBorders>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1701" w:type="dxa"/>
            <w:tcBorders>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2182" w:type="dxa"/>
            <w:tcBorders>
              <w:left w:val="single" w:sz="6" w:space="0" w:color="A6A6A6" w:themeColor="background1" w:themeShade="A6"/>
              <w:bottom w:val="single" w:sz="6" w:space="0" w:color="A6A6A6" w:themeColor="background1" w:themeShade="A6"/>
            </w:tcBorders>
          </w:tcPr>
          <w:p w:rsidR="00BA1762" w:rsidRPr="00892DE3" w:rsidRDefault="00BA1762" w:rsidP="00BA1762">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BA1762">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BA1762">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BA1762">
            <w:pPr>
              <w:keepLines w:val="0"/>
            </w:pPr>
          </w:p>
        </w:tc>
      </w:tr>
      <w:tr w:rsidR="00BA1762" w:rsidRPr="00892DE3" w:rsidTr="00821277">
        <w:trPr>
          <w:trHeight w:val="567"/>
        </w:trPr>
        <w:tc>
          <w:tcPr>
            <w:tcW w:w="596" w:type="dxa"/>
            <w:tcBorders>
              <w:top w:val="single" w:sz="6" w:space="0" w:color="A6A6A6" w:themeColor="background1" w:themeShade="A6"/>
              <w:bottom w:val="single" w:sz="12" w:space="0" w:color="auto"/>
              <w:right w:val="single" w:sz="6" w:space="0" w:color="A6A6A6" w:themeColor="background1" w:themeShade="A6"/>
            </w:tcBorders>
          </w:tcPr>
          <w:p w:rsidR="00BA1762" w:rsidRPr="00892DE3" w:rsidRDefault="00BA1762" w:rsidP="00BA1762">
            <w:pPr>
              <w:keepLines w:val="0"/>
              <w:jc w:val="center"/>
            </w:pPr>
          </w:p>
        </w:tc>
        <w:tc>
          <w:tcPr>
            <w:tcW w:w="1985" w:type="dxa"/>
            <w:tcBorders>
              <w:top w:val="single" w:sz="6" w:space="0" w:color="A6A6A6" w:themeColor="background1" w:themeShade="A6"/>
              <w:left w:val="single" w:sz="6" w:space="0" w:color="A6A6A6" w:themeColor="background1" w:themeShade="A6"/>
              <w:bottom w:val="single" w:sz="12" w:space="0" w:color="auto"/>
              <w:right w:val="single" w:sz="6" w:space="0" w:color="A6A6A6" w:themeColor="background1" w:themeShade="A6"/>
            </w:tcBorders>
          </w:tcPr>
          <w:p w:rsidR="00BA1762" w:rsidRPr="00892DE3" w:rsidRDefault="00BA1762" w:rsidP="00BA1762">
            <w:pPr>
              <w:keepLines w:val="0"/>
            </w:pPr>
          </w:p>
        </w:tc>
        <w:tc>
          <w:tcPr>
            <w:tcW w:w="3260" w:type="dxa"/>
            <w:tcBorders>
              <w:top w:val="single" w:sz="6" w:space="0" w:color="A6A6A6" w:themeColor="background1" w:themeShade="A6"/>
              <w:left w:val="single" w:sz="6" w:space="0" w:color="A6A6A6" w:themeColor="background1" w:themeShade="A6"/>
              <w:bottom w:val="single" w:sz="12" w:space="0" w:color="auto"/>
              <w:right w:val="single" w:sz="6" w:space="0" w:color="A6A6A6" w:themeColor="background1" w:themeShade="A6"/>
            </w:tcBorders>
          </w:tcPr>
          <w:p w:rsidR="00BA1762" w:rsidRPr="00892DE3" w:rsidRDefault="00BA1762" w:rsidP="00BA1762">
            <w:pPr>
              <w:keepLines w:val="0"/>
            </w:pPr>
          </w:p>
        </w:tc>
        <w:tc>
          <w:tcPr>
            <w:tcW w:w="1701" w:type="dxa"/>
            <w:tcBorders>
              <w:top w:val="single" w:sz="6" w:space="0" w:color="A6A6A6" w:themeColor="background1" w:themeShade="A6"/>
              <w:left w:val="single" w:sz="6" w:space="0" w:color="A6A6A6" w:themeColor="background1" w:themeShade="A6"/>
              <w:bottom w:val="single" w:sz="12" w:space="0" w:color="auto"/>
              <w:right w:val="single" w:sz="6" w:space="0" w:color="A6A6A6" w:themeColor="background1" w:themeShade="A6"/>
            </w:tcBorders>
          </w:tcPr>
          <w:p w:rsidR="00BA1762" w:rsidRPr="00892DE3" w:rsidRDefault="00BA1762" w:rsidP="00BA1762">
            <w:pPr>
              <w:keepLines w:val="0"/>
            </w:pPr>
          </w:p>
        </w:tc>
        <w:tc>
          <w:tcPr>
            <w:tcW w:w="2182" w:type="dxa"/>
            <w:tcBorders>
              <w:top w:val="single" w:sz="6" w:space="0" w:color="A6A6A6" w:themeColor="background1" w:themeShade="A6"/>
              <w:left w:val="single" w:sz="6" w:space="0" w:color="A6A6A6" w:themeColor="background1" w:themeShade="A6"/>
              <w:bottom w:val="single" w:sz="12" w:space="0" w:color="auto"/>
            </w:tcBorders>
          </w:tcPr>
          <w:p w:rsidR="00BA1762" w:rsidRPr="00892DE3" w:rsidRDefault="00BA1762" w:rsidP="00BA1762">
            <w:pPr>
              <w:keepLines w:val="0"/>
            </w:pPr>
          </w:p>
        </w:tc>
      </w:tr>
    </w:tbl>
    <w:p w:rsidR="00B8612F" w:rsidRPr="00892DE3" w:rsidRDefault="00B8612F">
      <w:pPr>
        <w:keepLines w:val="0"/>
      </w:pPr>
    </w:p>
    <w:p w:rsidR="00B8612F" w:rsidRPr="00892DE3" w:rsidRDefault="00B8612F">
      <w:pPr>
        <w:keepLines w:val="0"/>
      </w:pPr>
    </w:p>
    <w:bookmarkEnd w:id="208"/>
    <w:p w:rsidR="0094700F" w:rsidRPr="00892DE3" w:rsidRDefault="0094700F">
      <w:pPr>
        <w:keepLines w:val="0"/>
      </w:pPr>
    </w:p>
    <w:p w:rsidR="00B8612F" w:rsidRPr="00892DE3" w:rsidRDefault="00B8612F">
      <w:pPr>
        <w:keepLines w:val="0"/>
      </w:pPr>
    </w:p>
    <w:p w:rsidR="00B8612F" w:rsidRPr="00892DE3" w:rsidRDefault="00B8612F">
      <w:pPr>
        <w:keepLines w:val="0"/>
        <w:sectPr w:rsidR="00B8612F" w:rsidRPr="00892DE3" w:rsidSect="001657FB">
          <w:type w:val="continuous"/>
          <w:pgSz w:w="11906" w:h="16838" w:code="9"/>
          <w:pgMar w:top="1134" w:right="1134" w:bottom="1134" w:left="1134" w:header="624" w:footer="567" w:gutter="0"/>
          <w:cols w:sep="1" w:space="567"/>
          <w:titlePg/>
          <w:docGrid w:linePitch="360"/>
        </w:sectPr>
      </w:pPr>
    </w:p>
    <w:p w:rsidR="00086706" w:rsidRPr="00892DE3" w:rsidRDefault="00B04CDD" w:rsidP="00B04CDD">
      <w:pPr>
        <w:pStyle w:val="Heading10"/>
      </w:pPr>
      <w:bookmarkStart w:id="250" w:name="Guidance2"/>
      <w:bookmarkStart w:id="251" w:name="_Toc481592333"/>
      <w:r w:rsidRPr="00892DE3">
        <w:t xml:space="preserve">Guidance section 2: </w:t>
      </w:r>
      <w:r w:rsidRPr="00892DE3">
        <w:br/>
        <w:t>General and specific disclosure requirements,</w:t>
      </w:r>
      <w:r w:rsidRPr="00892DE3">
        <w:br/>
        <w:t>including presentation requirements</w:t>
      </w:r>
      <w:bookmarkEnd w:id="250"/>
      <w:bookmarkEnd w:id="251"/>
    </w:p>
    <w:p w:rsidR="00086706" w:rsidRPr="00892DE3" w:rsidRDefault="00086706" w:rsidP="000A408C">
      <w:pPr>
        <w:pStyle w:val="Heading2nonTOC"/>
      </w:pPr>
      <w:bookmarkStart w:id="252" w:name="_Toc477967542"/>
      <w:r w:rsidRPr="00892DE3">
        <w:t>Requirements that apply to all aspects of the preparation of financial statement</w:t>
      </w:r>
      <w:r w:rsidR="007124D6" w:rsidRPr="00892DE3">
        <w:t>s</w:t>
      </w:r>
      <w:bookmarkEnd w:id="252"/>
    </w:p>
    <w:p w:rsidR="00086706" w:rsidRPr="00892DE3" w:rsidRDefault="00086706" w:rsidP="00086706">
      <w:r w:rsidRPr="00892DE3">
        <w:t xml:space="preserve">This </w:t>
      </w:r>
      <w:r w:rsidR="006C6CC0" w:rsidRPr="00892DE3">
        <w:t xml:space="preserve">guidance section </w:t>
      </w:r>
      <w:r w:rsidRPr="00892DE3">
        <w:t xml:space="preserve">highlights those requirements that all </w:t>
      </w:r>
      <w:r w:rsidR="008F08D9" w:rsidRPr="00892DE3">
        <w:t>agencies</w:t>
      </w:r>
      <w:r w:rsidRPr="00892DE3">
        <w:t xml:space="preserve"> need to adhere to in preparing financial statements. </w:t>
      </w:r>
    </w:p>
    <w:p w:rsidR="00086706" w:rsidRPr="00892DE3" w:rsidRDefault="00086706" w:rsidP="00086706">
      <w:r w:rsidRPr="00892DE3">
        <w:rPr>
          <w:b/>
        </w:rPr>
        <w:t>Consistency</w:t>
      </w:r>
      <w:r w:rsidRPr="00892DE3">
        <w:t>: The presentation and classification of items in the financial statements shall be retained from one period to the next unless:</w:t>
      </w:r>
    </w:p>
    <w:p w:rsidR="00086706" w:rsidRPr="00892DE3" w:rsidRDefault="00086706" w:rsidP="00086706">
      <w:pPr>
        <w:pStyle w:val="List"/>
      </w:pPr>
      <w:r w:rsidRPr="00892DE3">
        <w:t>(a)</w:t>
      </w:r>
      <w:r w:rsidRPr="00892DE3">
        <w:tab/>
        <w:t>it is apparent, following a significant change in the nature of the entity’s operations or a review of its financial statements, that another presentation or classification would be more appropriate having regard to the criteria for the selection and application of accounting policies in AASB 108; or</w:t>
      </w:r>
    </w:p>
    <w:p w:rsidR="00086706" w:rsidRPr="00892DE3" w:rsidRDefault="00086706" w:rsidP="00086706">
      <w:pPr>
        <w:pStyle w:val="List"/>
      </w:pPr>
      <w:r w:rsidRPr="00892DE3">
        <w:t>(b)</w:t>
      </w:r>
      <w:r w:rsidRPr="00892DE3">
        <w:tab/>
        <w:t xml:space="preserve">an AAS requires a change in presentation. </w:t>
      </w:r>
      <w:r w:rsidRPr="00892DE3">
        <w:rPr>
          <w:rStyle w:val="SourceReference"/>
        </w:rPr>
        <w:t>[AASB 101.45]</w:t>
      </w:r>
    </w:p>
    <w:p w:rsidR="00086706" w:rsidRPr="00892DE3" w:rsidRDefault="00086706" w:rsidP="00086706">
      <w:r w:rsidRPr="00892DE3">
        <w:rPr>
          <w:b/>
        </w:rPr>
        <w:t>Materiality and aggregation</w:t>
      </w:r>
      <w:r w:rsidRPr="00892DE3">
        <w:t xml:space="preserve">: Each material class of similar items shall be presented separately in the financial statements. Items of a similar nature or function shall be presented separately unless they are immaterial. </w:t>
      </w:r>
      <w:r w:rsidRPr="00892DE3">
        <w:rPr>
          <w:rStyle w:val="SourceReference"/>
        </w:rPr>
        <w:t>[AASB 101.29]</w:t>
      </w:r>
    </w:p>
    <w:p w:rsidR="00086706" w:rsidRPr="00892DE3" w:rsidRDefault="00086706" w:rsidP="00086706">
      <w:r w:rsidRPr="00892DE3">
        <w:t xml:space="preserve">An </w:t>
      </w:r>
      <w:r w:rsidR="008F08D9" w:rsidRPr="00892DE3">
        <w:t xml:space="preserve">agency </w:t>
      </w:r>
      <w:r w:rsidRPr="00892DE3">
        <w:t>must assess and make judgements to determine if an item is material. As a general guide, financial information will be considered material if their omission, misstatement or non-disclosure has the potential, individually or collectively, to:</w:t>
      </w:r>
    </w:p>
    <w:p w:rsidR="00086706" w:rsidRPr="00892DE3" w:rsidRDefault="007124D6" w:rsidP="007124D6">
      <w:pPr>
        <w:pStyle w:val="List"/>
      </w:pPr>
      <w:r w:rsidRPr="00892DE3">
        <w:t>(a)</w:t>
      </w:r>
      <w:r w:rsidRPr="00892DE3">
        <w:tab/>
      </w:r>
      <w:r w:rsidR="00086706" w:rsidRPr="00892DE3">
        <w:t>influence the economic decisions that users make on the basis of the financial statements; and</w:t>
      </w:r>
    </w:p>
    <w:p w:rsidR="00086706" w:rsidRPr="00892DE3" w:rsidRDefault="007124D6" w:rsidP="007124D6">
      <w:pPr>
        <w:pStyle w:val="List"/>
      </w:pPr>
      <w:r w:rsidRPr="00892DE3">
        <w:t>(b)</w:t>
      </w:r>
      <w:r w:rsidRPr="00892DE3">
        <w:tab/>
      </w:r>
      <w:r w:rsidR="00086706" w:rsidRPr="00892DE3">
        <w:t>affect the discharge of accountability by management or governing body of the entity.</w:t>
      </w:r>
    </w:p>
    <w:p w:rsidR="00086706" w:rsidRPr="00892DE3" w:rsidRDefault="00086706" w:rsidP="00086706">
      <w:r w:rsidRPr="00892DE3">
        <w:t>Items that are immaterial both individually and in aggregate may be combined and presented as a single line item. However, the value of such line item is unlikely to exceed 10 per cent of the total value of the financial statement component that it forms part of.</w:t>
      </w:r>
    </w:p>
    <w:p w:rsidR="00086706" w:rsidRPr="00892DE3" w:rsidRDefault="00086706" w:rsidP="00086706">
      <w:r w:rsidRPr="00892DE3">
        <w:rPr>
          <w:b/>
        </w:rPr>
        <w:t>Offsetting</w:t>
      </w:r>
      <w:r w:rsidRPr="00892DE3">
        <w:t xml:space="preserve">: Income, expenses, assets and liabilities shall not be offset unless required by an AAS or permitted by an FRD. </w:t>
      </w:r>
      <w:r w:rsidRPr="00892DE3">
        <w:rPr>
          <w:rStyle w:val="SourceReference"/>
        </w:rPr>
        <w:t>[AASB 101.32]</w:t>
      </w:r>
    </w:p>
    <w:p w:rsidR="00086706" w:rsidRPr="00892DE3" w:rsidRDefault="00086706" w:rsidP="00086706">
      <w:r w:rsidRPr="00892DE3">
        <w:t>For financial instruments, a financial asset and a financial liability shall be offset and the net amount presented in the balance sheet only when an entity:</w:t>
      </w:r>
    </w:p>
    <w:p w:rsidR="00086706" w:rsidRPr="00892DE3" w:rsidRDefault="00086706" w:rsidP="00086706">
      <w:pPr>
        <w:pStyle w:val="List"/>
      </w:pPr>
      <w:r w:rsidRPr="00892DE3">
        <w:t>(a)</w:t>
      </w:r>
      <w:r w:rsidRPr="00892DE3">
        <w:tab/>
        <w:t>currently has a legally enforceable right to set off the recognised amounts; and</w:t>
      </w:r>
    </w:p>
    <w:p w:rsidR="00086706" w:rsidRPr="00892DE3" w:rsidRDefault="00086706" w:rsidP="00086706">
      <w:pPr>
        <w:pStyle w:val="List"/>
      </w:pPr>
      <w:r w:rsidRPr="00892DE3">
        <w:t>(b)</w:t>
      </w:r>
      <w:r w:rsidRPr="00892DE3">
        <w:tab/>
        <w:t>intends either to settle on a net basis, or to realise the asset and settle the liability simultaneously.</w:t>
      </w:r>
    </w:p>
    <w:p w:rsidR="00086706" w:rsidRPr="00892DE3" w:rsidRDefault="00086706" w:rsidP="00086706">
      <w:r w:rsidRPr="00892DE3">
        <w:t xml:space="preserve">In accounting for a transfer of a financial asset that does not qualify for derecognition, the entity shall not offset the transferred asset and the associated liability. </w:t>
      </w:r>
      <w:r w:rsidRPr="00892DE3">
        <w:rPr>
          <w:rStyle w:val="SourceReference"/>
        </w:rPr>
        <w:t>[AASB 132.42]</w:t>
      </w:r>
    </w:p>
    <w:p w:rsidR="00086706" w:rsidRPr="00892DE3" w:rsidRDefault="00086706" w:rsidP="00086706">
      <w:r w:rsidRPr="00892DE3">
        <w:rPr>
          <w:b/>
        </w:rPr>
        <w:t>Comparative information</w:t>
      </w:r>
      <w:r w:rsidRPr="00892DE3">
        <w:t xml:space="preserve"> shall be disclosed in respect of the previous period for all amounts reported in the complete set of financial statements unless an AAS permits otherwise. Comparative information shall be included for narrative and descriptive information when it is relevant to an understanding of the current period’s complete set of financial statements. </w:t>
      </w:r>
      <w:r w:rsidRPr="00892DE3">
        <w:rPr>
          <w:rStyle w:val="SourceReference"/>
        </w:rPr>
        <w:t>[AASB 101.38]</w:t>
      </w:r>
    </w:p>
    <w:p w:rsidR="00086706" w:rsidRPr="00892DE3" w:rsidRDefault="00086706" w:rsidP="00086706">
      <w:r w:rsidRPr="00892DE3">
        <w:rPr>
          <w:b/>
        </w:rPr>
        <w:t>Reclassification of financial information</w:t>
      </w:r>
      <w:r w:rsidRPr="00892DE3">
        <w:t>: When the presentation or classification of items in the complete set of financial statements is amended, comparative amounts shall be reclassified unless the reclassification is impracticable. When comparative amounts are reclassified, an entity shall disclose:</w:t>
      </w:r>
    </w:p>
    <w:p w:rsidR="00086706" w:rsidRPr="00892DE3" w:rsidRDefault="00086706" w:rsidP="00086706">
      <w:pPr>
        <w:pStyle w:val="List"/>
      </w:pPr>
      <w:r w:rsidRPr="00892DE3">
        <w:t>(a)</w:t>
      </w:r>
      <w:r w:rsidRPr="00892DE3">
        <w:tab/>
        <w:t>the nature of the reclassification;</w:t>
      </w:r>
    </w:p>
    <w:p w:rsidR="00086706" w:rsidRPr="00892DE3" w:rsidRDefault="00086706" w:rsidP="00086706">
      <w:pPr>
        <w:pStyle w:val="List"/>
      </w:pPr>
      <w:r w:rsidRPr="00892DE3">
        <w:t>(b)</w:t>
      </w:r>
      <w:r w:rsidRPr="00892DE3">
        <w:tab/>
        <w:t>the amount of each item or class of items that is reclassified; and</w:t>
      </w:r>
    </w:p>
    <w:p w:rsidR="00086706" w:rsidRPr="00892DE3" w:rsidRDefault="00086706" w:rsidP="00086706">
      <w:pPr>
        <w:pStyle w:val="List"/>
      </w:pPr>
      <w:r w:rsidRPr="00892DE3">
        <w:t>(c)</w:t>
      </w:r>
      <w:r w:rsidRPr="00892DE3">
        <w:tab/>
        <w:t xml:space="preserve">the reason for the reclassification. </w:t>
      </w:r>
      <w:r w:rsidRPr="00892DE3">
        <w:rPr>
          <w:rStyle w:val="SourceReference"/>
        </w:rPr>
        <w:t>[AASB 101.41]</w:t>
      </w:r>
    </w:p>
    <w:p w:rsidR="00086706" w:rsidRPr="00892DE3" w:rsidRDefault="00086706" w:rsidP="00086706">
      <w:r w:rsidRPr="00892DE3">
        <w:t>When it is impracticable to reclassify comparative amounts, an entity shall disclose:</w:t>
      </w:r>
    </w:p>
    <w:p w:rsidR="00086706" w:rsidRPr="00892DE3" w:rsidRDefault="00086706" w:rsidP="00086706">
      <w:pPr>
        <w:pStyle w:val="List"/>
      </w:pPr>
      <w:r w:rsidRPr="00892DE3">
        <w:t>(a)</w:t>
      </w:r>
      <w:r w:rsidRPr="00892DE3">
        <w:tab/>
        <w:t>the reason for not reclassifying the amounts; and</w:t>
      </w:r>
    </w:p>
    <w:p w:rsidR="00086706" w:rsidRPr="00892DE3" w:rsidRDefault="00086706" w:rsidP="00086706">
      <w:pPr>
        <w:pStyle w:val="List"/>
      </w:pPr>
      <w:r w:rsidRPr="00892DE3">
        <w:t>(b)</w:t>
      </w:r>
      <w:r w:rsidRPr="00892DE3">
        <w:tab/>
        <w:t xml:space="preserve">the nature of the adjustments that would have been made if the amounts had been reclassified. </w:t>
      </w:r>
      <w:r w:rsidRPr="00892DE3">
        <w:rPr>
          <w:rStyle w:val="SourceReference"/>
        </w:rPr>
        <w:t>[AASB 101.42]</w:t>
      </w:r>
    </w:p>
    <w:p w:rsidR="00086706" w:rsidRPr="00892DE3" w:rsidRDefault="00086706" w:rsidP="00086706">
      <w:r w:rsidRPr="00892DE3">
        <w:rPr>
          <w:b/>
        </w:rPr>
        <w:t>Goods and Services Tax (GST)</w:t>
      </w:r>
      <w:r w:rsidRPr="00892DE3">
        <w:t>: AASB Interpretation 1031 provides that revenue, expenses and assets must be recognised</w:t>
      </w:r>
      <w:r w:rsidR="008F08D9" w:rsidRPr="00892DE3">
        <w:t>,</w:t>
      </w:r>
      <w:r w:rsidRPr="00892DE3">
        <w:t xml:space="preserve"> net of the amount of GST, except where GST relating to the expenditure items is not recoverable from the taxation authority, in which case the item is recognised GST inclusive.</w:t>
      </w:r>
    </w:p>
    <w:p w:rsidR="00086706" w:rsidRPr="00892DE3" w:rsidRDefault="008F08D9" w:rsidP="00086706">
      <w:r w:rsidRPr="00892DE3">
        <w:t xml:space="preserve">Agencies </w:t>
      </w:r>
      <w:r w:rsidR="00086706" w:rsidRPr="00892DE3">
        <w:t xml:space="preserve">that are not able to recover GST relating to particular expenditure items should include a disclosure note indicating which items are inclusive of non-recoverable GST and amend the wording of specific disclosures to make it clear that the amounts disclosed are inclusive of non-recoverable GST. </w:t>
      </w:r>
      <w:r w:rsidR="00086706" w:rsidRPr="00892DE3">
        <w:rPr>
          <w:rStyle w:val="SourceReference"/>
        </w:rPr>
        <w:t>[AASB Interpretation 1031.6 and 1031.7]</w:t>
      </w:r>
    </w:p>
    <w:p w:rsidR="00086706" w:rsidRPr="00892DE3" w:rsidRDefault="00086706" w:rsidP="00086706">
      <w:r w:rsidRPr="00892DE3">
        <w:t xml:space="preserve">Receivables and payables shall be stated with the amount of GST included. </w:t>
      </w:r>
      <w:r w:rsidRPr="00892DE3">
        <w:rPr>
          <w:rStyle w:val="SourceReference"/>
        </w:rPr>
        <w:t>[AASB Interpretation 1031.8]</w:t>
      </w:r>
    </w:p>
    <w:p w:rsidR="00086706" w:rsidRPr="00892DE3" w:rsidRDefault="00086706" w:rsidP="00086706">
      <w:r w:rsidRPr="00892DE3">
        <w:t xml:space="preserve">The gross amount of GST recoverable from, or payable to, the taxation authority shall be included as part of either receivables or other liabilities in the balance sheet. </w:t>
      </w:r>
      <w:r w:rsidRPr="00892DE3">
        <w:rPr>
          <w:rStyle w:val="SourceReference"/>
        </w:rPr>
        <w:t>[AASB Interpretation 1031.9]</w:t>
      </w:r>
    </w:p>
    <w:p w:rsidR="00086706" w:rsidRPr="00892DE3" w:rsidRDefault="00086706" w:rsidP="00086706">
      <w:r w:rsidRPr="00892DE3">
        <w:t xml:space="preserve">The GST component of cash flows arising from investing and financing activities that is recoverable from, or payable to, the taxation authority shall be classified as operating cash flows and will be included in receipts from customers or payments to suppliers, as appropriate. </w:t>
      </w:r>
      <w:r w:rsidRPr="00892DE3">
        <w:rPr>
          <w:rStyle w:val="SourceReference"/>
        </w:rPr>
        <w:t>[AASB Interpretation 1031.10, 1031.11]</w:t>
      </w:r>
    </w:p>
    <w:p w:rsidR="00086706" w:rsidRPr="00892DE3" w:rsidRDefault="00086706" w:rsidP="00086706">
      <w:r w:rsidRPr="00892DE3">
        <w:rPr>
          <w:b/>
        </w:rPr>
        <w:t>True and fair override</w:t>
      </w:r>
      <w:r w:rsidRPr="00892DE3">
        <w:t xml:space="preserve">: A complete set of financial statements shall present fairly the financial position, financial performance and cash flows of an entity. Fair presentation requires the faithful representation of the effects of transactions, other events and conditions in accordance with the definitions and recognition criteria for assets, liabilities, income and expenses set out in the AASB’s conceptual framework (the framework). The application of AASs, with additional disclosure when necessary, is presumed to result in a complete set of financial statements that achieves a fair presentation. </w:t>
      </w:r>
      <w:r w:rsidRPr="00892DE3">
        <w:rPr>
          <w:rStyle w:val="SourceReference"/>
        </w:rPr>
        <w:t>[AASB 101.15]</w:t>
      </w:r>
    </w:p>
    <w:p w:rsidR="00086706" w:rsidRPr="00892DE3" w:rsidRDefault="00086706" w:rsidP="00086706">
      <w:r w:rsidRPr="00892DE3">
        <w:t xml:space="preserve">In the extremely rare circumstance when management concludes that compliance with a requirement in an AAS would be so misleading that it would conflict with the objective of financial statements set out in the framework, the </w:t>
      </w:r>
      <w:r w:rsidR="008F08D9" w:rsidRPr="00892DE3">
        <w:t xml:space="preserve">agency </w:t>
      </w:r>
      <w:r w:rsidRPr="00892DE3">
        <w:t>shall, to the maximum extent possible, reduce the perceived misleading aspects of compliance by disclosing:</w:t>
      </w:r>
    </w:p>
    <w:p w:rsidR="00086706" w:rsidRPr="00892DE3" w:rsidRDefault="00086706" w:rsidP="00086706">
      <w:pPr>
        <w:pStyle w:val="List"/>
      </w:pPr>
      <w:r w:rsidRPr="00892DE3">
        <w:t>(a)</w:t>
      </w:r>
      <w:r w:rsidRPr="00892DE3">
        <w:tab/>
        <w:t xml:space="preserve">the title of the AAS in question, the nature of the requirement, and the reason why management has concluded that complying with that requirement is so misleading in the circumstances that it conflicts with the objective of financial statements set out in the framework </w:t>
      </w:r>
      <w:r w:rsidRPr="00892DE3">
        <w:rPr>
          <w:rStyle w:val="SourceReference"/>
        </w:rPr>
        <w:t>[AASB 101.23(a)]</w:t>
      </w:r>
      <w:r w:rsidRPr="00892DE3">
        <w:t xml:space="preserve">; and </w:t>
      </w:r>
    </w:p>
    <w:p w:rsidR="00086706" w:rsidRPr="00892DE3" w:rsidRDefault="00086706" w:rsidP="00086706">
      <w:pPr>
        <w:pStyle w:val="List"/>
      </w:pPr>
      <w:r w:rsidRPr="00892DE3">
        <w:t>(b)</w:t>
      </w:r>
      <w:r w:rsidRPr="00892DE3">
        <w:tab/>
        <w:t xml:space="preserve">for each period presented, the adjustments to each item in the financial statements that management has concluded would be necessary to achieve a fair presentation. </w:t>
      </w:r>
      <w:r w:rsidRPr="00892DE3">
        <w:rPr>
          <w:rStyle w:val="SourceReference"/>
        </w:rPr>
        <w:t>[AASB 101.23(b)]</w:t>
      </w:r>
    </w:p>
    <w:p w:rsidR="00086706" w:rsidRPr="00892DE3" w:rsidRDefault="00086706" w:rsidP="00086706">
      <w:r w:rsidRPr="00892DE3">
        <w:rPr>
          <w:b/>
        </w:rPr>
        <w:t>Going concern basis</w:t>
      </w:r>
      <w:r w:rsidRPr="00892DE3">
        <w:t xml:space="preserve"> </w:t>
      </w:r>
      <w:r w:rsidRPr="00892DE3">
        <w:rPr>
          <w:rStyle w:val="SourceReference"/>
        </w:rPr>
        <w:t>[AASB 101.25]</w:t>
      </w:r>
    </w:p>
    <w:p w:rsidR="00086706" w:rsidRPr="00892DE3" w:rsidRDefault="00086706" w:rsidP="00086706">
      <w:r w:rsidRPr="00892DE3">
        <w:t xml:space="preserve">When preparing financial statements, management shall make an assessment of </w:t>
      </w:r>
      <w:r w:rsidR="008F08D9" w:rsidRPr="00892DE3">
        <w:t xml:space="preserve">the agency’s </w:t>
      </w:r>
      <w:r w:rsidRPr="00892DE3">
        <w:t xml:space="preserve">ability to continue as a going concern. Financial statements shall be prepared on a going concern basis unless management either intends to liquidate the </w:t>
      </w:r>
      <w:r w:rsidR="008F08D9" w:rsidRPr="00892DE3">
        <w:t xml:space="preserve">agency </w:t>
      </w:r>
      <w:r w:rsidRPr="00892DE3">
        <w:t xml:space="preserve">or to cease trading, or has no realistic alternative but to do so. When management is aware, in making its assessment, of material uncertainties related to events or conditions that may cast significant doubt upon the </w:t>
      </w:r>
      <w:r w:rsidR="008F08D9" w:rsidRPr="00892DE3">
        <w:t xml:space="preserve">agency’s </w:t>
      </w:r>
      <w:r w:rsidRPr="00892DE3">
        <w:t>ability to continue as a going concern, those uncertainties shall be disclosed. When the financial statements are not prepared on a going concern basis, that fact shall be disclosed, together with the basis on which the financial statements are prepared and the reason the entity is not regarded as a going concern.</w:t>
      </w:r>
    </w:p>
    <w:p w:rsidR="0098289E" w:rsidRPr="00892DE3" w:rsidRDefault="0098289E">
      <w:pPr>
        <w:keepLines w:val="0"/>
      </w:pPr>
    </w:p>
    <w:p w:rsidR="0094700F" w:rsidRPr="00892DE3" w:rsidRDefault="0094700F">
      <w:pPr>
        <w:keepLines w:val="0"/>
        <w:sectPr w:rsidR="0094700F" w:rsidRPr="00892DE3" w:rsidSect="002C2301">
          <w:headerReference w:type="even" r:id="rId172"/>
          <w:pgSz w:w="11906" w:h="16838" w:code="9"/>
          <w:pgMar w:top="1134" w:right="1134" w:bottom="1134" w:left="1134" w:header="624" w:footer="567" w:gutter="0"/>
          <w:cols w:sep="1" w:space="567"/>
          <w:titlePg/>
          <w:docGrid w:linePitch="360"/>
        </w:sectPr>
      </w:pPr>
    </w:p>
    <w:p w:rsidR="00086706" w:rsidRPr="00892DE3" w:rsidRDefault="00B04CDD" w:rsidP="00B04CDD">
      <w:pPr>
        <w:pStyle w:val="Heading10"/>
      </w:pPr>
      <w:bookmarkStart w:id="253" w:name="Guidance3"/>
      <w:bookmarkStart w:id="254" w:name="_Toc481592334"/>
      <w:r w:rsidRPr="00892DE3">
        <w:t xml:space="preserve">Guidance section 3: </w:t>
      </w:r>
      <w:r w:rsidRPr="00892DE3">
        <w:br/>
        <w:t>What is not disclosed in the Model financial statemen</w:t>
      </w:r>
      <w:r w:rsidR="00281431" w:rsidRPr="00892DE3">
        <w:t>ts</w:t>
      </w:r>
      <w:bookmarkEnd w:id="253"/>
      <w:bookmarkEnd w:id="254"/>
    </w:p>
    <w:p w:rsidR="00086706" w:rsidRPr="00892DE3" w:rsidRDefault="00086706" w:rsidP="00086706">
      <w:r w:rsidRPr="00892DE3">
        <w:t xml:space="preserve">The Model financial </w:t>
      </w:r>
      <w:r w:rsidR="00834B20" w:rsidRPr="00892DE3">
        <w:t xml:space="preserve">statements </w:t>
      </w:r>
      <w:r w:rsidRPr="00892DE3">
        <w:t xml:space="preserve">do not and cannot be expected to cover all situations that may be encountered in practice. </w:t>
      </w:r>
    </w:p>
    <w:p w:rsidR="004B49BC" w:rsidRPr="00892DE3" w:rsidRDefault="00086706" w:rsidP="00642869">
      <w:pPr>
        <w:spacing w:after="120"/>
      </w:pPr>
      <w:r w:rsidRPr="00892DE3">
        <w:t>Specifically, this Model does not provide illustration guidance on the disclosure requirements of the following</w:t>
      </w:r>
      <w:r w:rsidR="00AA7F41" w:rsidRPr="00892DE3">
        <w:t xml:space="preserve"> effective</w:t>
      </w:r>
      <w:r w:rsidRPr="00892DE3">
        <w:t xml:space="preserve"> AASs that have been issued by the AASB up to and including 1 March 201</w:t>
      </w:r>
      <w:r w:rsidR="00640CA9" w:rsidRPr="00892DE3">
        <w:t>7</w:t>
      </w:r>
      <w:r w:rsidRPr="00892DE3">
        <w:t>.</w:t>
      </w:r>
    </w:p>
    <w:tbl>
      <w:tblPr>
        <w:tblStyle w:val="DTFTextTable"/>
        <w:tblW w:w="9637" w:type="dxa"/>
        <w:tblInd w:w="45" w:type="dxa"/>
        <w:tblLayout w:type="fixed"/>
        <w:tblCellMar>
          <w:left w:w="45" w:type="dxa"/>
          <w:right w:w="45" w:type="dxa"/>
        </w:tblCellMar>
        <w:tblLook w:val="04A0" w:firstRow="1" w:lastRow="0" w:firstColumn="1" w:lastColumn="0" w:noHBand="0" w:noVBand="1"/>
      </w:tblPr>
      <w:tblGrid>
        <w:gridCol w:w="1735"/>
        <w:gridCol w:w="7902"/>
      </w:tblGrid>
      <w:tr w:rsidR="00086706" w:rsidRPr="00892DE3" w:rsidTr="00421C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5" w:type="dxa"/>
          </w:tcPr>
          <w:p w:rsidR="00086706" w:rsidRPr="00892DE3" w:rsidRDefault="00086706" w:rsidP="00086706">
            <w:r w:rsidRPr="00892DE3">
              <w:t xml:space="preserve">Reference </w:t>
            </w:r>
          </w:p>
        </w:tc>
        <w:tc>
          <w:tcPr>
            <w:tcW w:w="7902" w:type="dxa"/>
          </w:tcPr>
          <w:p w:rsidR="00086706" w:rsidRPr="00892DE3" w:rsidRDefault="00086706" w:rsidP="00086706">
            <w:pPr>
              <w:cnfStyle w:val="100000000000" w:firstRow="1" w:lastRow="0" w:firstColumn="0" w:lastColumn="0" w:oddVBand="0" w:evenVBand="0" w:oddHBand="0" w:evenHBand="0" w:firstRowFirstColumn="0" w:firstRowLastColumn="0" w:lastRowFirstColumn="0" w:lastRowLastColumn="0"/>
            </w:pPr>
            <w:r w:rsidRPr="00892DE3">
              <w:t>Title</w:t>
            </w:r>
          </w:p>
        </w:tc>
      </w:tr>
      <w:tr w:rsidR="00086706" w:rsidRPr="00892DE3" w:rsidTr="0042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086706" w:rsidRPr="00892DE3" w:rsidRDefault="00086706" w:rsidP="00086706">
            <w:pPr>
              <w:spacing w:before="20" w:after="20"/>
              <w:rPr>
                <w:rFonts w:cstheme="majorHAnsi"/>
                <w:sz w:val="17"/>
              </w:rPr>
            </w:pPr>
            <w:r w:rsidRPr="00892DE3">
              <w:rPr>
                <w:rFonts w:cstheme="majorHAnsi"/>
                <w:sz w:val="17"/>
              </w:rPr>
              <w:t>AASB 1</w:t>
            </w:r>
          </w:p>
        </w:tc>
        <w:tc>
          <w:tcPr>
            <w:tcW w:w="7902" w:type="dxa"/>
          </w:tcPr>
          <w:p w:rsidR="00086706" w:rsidRPr="00892DE3" w:rsidRDefault="00086706" w:rsidP="00086706">
            <w:pPr>
              <w:spacing w:before="20" w:after="20"/>
              <w:cnfStyle w:val="000000100000" w:firstRow="0" w:lastRow="0" w:firstColumn="0" w:lastColumn="0" w:oddVBand="0" w:evenVBand="0" w:oddHBand="1" w:evenHBand="0" w:firstRowFirstColumn="0" w:firstRowLastColumn="0" w:lastRowFirstColumn="0" w:lastRowLastColumn="0"/>
              <w:rPr>
                <w:rFonts w:cstheme="majorHAnsi"/>
                <w:sz w:val="17"/>
              </w:rPr>
            </w:pPr>
            <w:r w:rsidRPr="00892DE3">
              <w:rPr>
                <w:rFonts w:cstheme="majorHAnsi"/>
                <w:sz w:val="17"/>
              </w:rPr>
              <w:t>First</w:t>
            </w:r>
            <w:r w:rsidRPr="00892DE3">
              <w:rPr>
                <w:rFonts w:cstheme="majorHAnsi"/>
                <w:sz w:val="17"/>
              </w:rPr>
              <w:noBreakHyphen/>
              <w:t>time Adoption of Australian Accounting Standards</w:t>
            </w:r>
          </w:p>
        </w:tc>
      </w:tr>
      <w:tr w:rsidR="00086706" w:rsidRPr="00892DE3" w:rsidTr="00421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086706" w:rsidRPr="00892DE3" w:rsidRDefault="00086706" w:rsidP="00086706">
            <w:pPr>
              <w:spacing w:before="20" w:after="20"/>
              <w:rPr>
                <w:rFonts w:cstheme="majorHAnsi"/>
                <w:sz w:val="17"/>
              </w:rPr>
            </w:pPr>
            <w:r w:rsidRPr="00892DE3">
              <w:rPr>
                <w:rFonts w:cstheme="majorHAnsi"/>
                <w:sz w:val="17"/>
              </w:rPr>
              <w:t>AASB 2</w:t>
            </w:r>
          </w:p>
        </w:tc>
        <w:tc>
          <w:tcPr>
            <w:tcW w:w="7902" w:type="dxa"/>
          </w:tcPr>
          <w:p w:rsidR="00086706" w:rsidRPr="00892DE3" w:rsidRDefault="00086706" w:rsidP="00086706">
            <w:pPr>
              <w:spacing w:before="20" w:after="20"/>
              <w:cnfStyle w:val="000000010000" w:firstRow="0" w:lastRow="0" w:firstColumn="0" w:lastColumn="0" w:oddVBand="0" w:evenVBand="0" w:oddHBand="0" w:evenHBand="1" w:firstRowFirstColumn="0" w:firstRowLastColumn="0" w:lastRowFirstColumn="0" w:lastRowLastColumn="0"/>
              <w:rPr>
                <w:rFonts w:cstheme="majorHAnsi"/>
                <w:sz w:val="17"/>
              </w:rPr>
            </w:pPr>
            <w:r w:rsidRPr="00892DE3">
              <w:rPr>
                <w:rFonts w:cstheme="majorHAnsi"/>
                <w:sz w:val="17"/>
              </w:rPr>
              <w:t>Share</w:t>
            </w:r>
            <w:r w:rsidRPr="00892DE3">
              <w:rPr>
                <w:rFonts w:cstheme="majorHAnsi"/>
                <w:sz w:val="17"/>
              </w:rPr>
              <w:noBreakHyphen/>
              <w:t>based Payment</w:t>
            </w:r>
          </w:p>
        </w:tc>
      </w:tr>
      <w:tr w:rsidR="00086706" w:rsidRPr="00892DE3" w:rsidTr="0042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086706" w:rsidRPr="00892DE3" w:rsidRDefault="00086706" w:rsidP="00086706">
            <w:pPr>
              <w:spacing w:before="20" w:after="20"/>
              <w:rPr>
                <w:rFonts w:cstheme="majorHAnsi"/>
                <w:sz w:val="17"/>
              </w:rPr>
            </w:pPr>
            <w:r w:rsidRPr="00892DE3">
              <w:rPr>
                <w:rFonts w:cstheme="majorHAnsi"/>
                <w:sz w:val="17"/>
              </w:rPr>
              <w:t>AASB 4</w:t>
            </w:r>
          </w:p>
        </w:tc>
        <w:tc>
          <w:tcPr>
            <w:tcW w:w="7902" w:type="dxa"/>
          </w:tcPr>
          <w:p w:rsidR="00086706" w:rsidRPr="00892DE3" w:rsidRDefault="00086706" w:rsidP="00086706">
            <w:pPr>
              <w:spacing w:before="20" w:after="20"/>
              <w:cnfStyle w:val="000000100000" w:firstRow="0" w:lastRow="0" w:firstColumn="0" w:lastColumn="0" w:oddVBand="0" w:evenVBand="0" w:oddHBand="1" w:evenHBand="0" w:firstRowFirstColumn="0" w:firstRowLastColumn="0" w:lastRowFirstColumn="0" w:lastRowLastColumn="0"/>
              <w:rPr>
                <w:rFonts w:cstheme="majorHAnsi"/>
                <w:sz w:val="17"/>
              </w:rPr>
            </w:pPr>
            <w:r w:rsidRPr="00892DE3">
              <w:rPr>
                <w:rFonts w:cstheme="majorHAnsi"/>
                <w:sz w:val="17"/>
              </w:rPr>
              <w:t>Insurance Contracts</w:t>
            </w:r>
          </w:p>
        </w:tc>
      </w:tr>
      <w:tr w:rsidR="00086706" w:rsidRPr="00892DE3" w:rsidTr="00421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086706" w:rsidRPr="00892DE3" w:rsidRDefault="00086706" w:rsidP="00086706">
            <w:pPr>
              <w:spacing w:before="20" w:after="20"/>
              <w:rPr>
                <w:rFonts w:cstheme="majorHAnsi"/>
                <w:sz w:val="17"/>
              </w:rPr>
            </w:pPr>
            <w:r w:rsidRPr="00892DE3">
              <w:rPr>
                <w:rFonts w:cstheme="majorHAnsi"/>
                <w:sz w:val="17"/>
              </w:rPr>
              <w:t>AASB 6</w:t>
            </w:r>
          </w:p>
        </w:tc>
        <w:tc>
          <w:tcPr>
            <w:tcW w:w="7902" w:type="dxa"/>
          </w:tcPr>
          <w:p w:rsidR="00086706" w:rsidRPr="00892DE3" w:rsidRDefault="00086706" w:rsidP="00086706">
            <w:pPr>
              <w:spacing w:before="20" w:after="20"/>
              <w:cnfStyle w:val="000000010000" w:firstRow="0" w:lastRow="0" w:firstColumn="0" w:lastColumn="0" w:oddVBand="0" w:evenVBand="0" w:oddHBand="0" w:evenHBand="1" w:firstRowFirstColumn="0" w:firstRowLastColumn="0" w:lastRowFirstColumn="0" w:lastRowLastColumn="0"/>
              <w:rPr>
                <w:rFonts w:cstheme="majorHAnsi"/>
                <w:sz w:val="17"/>
              </w:rPr>
            </w:pPr>
            <w:r w:rsidRPr="00892DE3">
              <w:rPr>
                <w:rFonts w:cstheme="majorHAnsi"/>
                <w:sz w:val="17"/>
              </w:rPr>
              <w:t>Exploration for and Evaluation of Mineral Resources</w:t>
            </w:r>
          </w:p>
        </w:tc>
      </w:tr>
      <w:tr w:rsidR="00086706" w:rsidRPr="00892DE3" w:rsidTr="0042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086706" w:rsidRPr="00892DE3" w:rsidRDefault="00086706" w:rsidP="00086706">
            <w:pPr>
              <w:spacing w:before="20" w:after="20"/>
              <w:rPr>
                <w:rFonts w:cstheme="majorHAnsi"/>
                <w:sz w:val="17"/>
              </w:rPr>
            </w:pPr>
            <w:r w:rsidRPr="00892DE3">
              <w:rPr>
                <w:rFonts w:cstheme="majorHAnsi"/>
                <w:sz w:val="17"/>
              </w:rPr>
              <w:t xml:space="preserve">AASB 8 </w:t>
            </w:r>
          </w:p>
        </w:tc>
        <w:tc>
          <w:tcPr>
            <w:tcW w:w="7902" w:type="dxa"/>
          </w:tcPr>
          <w:p w:rsidR="00086706" w:rsidRPr="00892DE3" w:rsidRDefault="00086706" w:rsidP="00086706">
            <w:pPr>
              <w:spacing w:before="20" w:after="20"/>
              <w:cnfStyle w:val="000000100000" w:firstRow="0" w:lastRow="0" w:firstColumn="0" w:lastColumn="0" w:oddVBand="0" w:evenVBand="0" w:oddHBand="1" w:evenHBand="0" w:firstRowFirstColumn="0" w:firstRowLastColumn="0" w:lastRowFirstColumn="0" w:lastRowLastColumn="0"/>
              <w:rPr>
                <w:rFonts w:cstheme="majorHAnsi"/>
                <w:sz w:val="17"/>
              </w:rPr>
            </w:pPr>
            <w:r w:rsidRPr="00892DE3">
              <w:rPr>
                <w:rFonts w:cstheme="majorHAnsi"/>
                <w:sz w:val="17"/>
              </w:rPr>
              <w:t>Operating Segments</w:t>
            </w:r>
          </w:p>
        </w:tc>
      </w:tr>
      <w:tr w:rsidR="00086706" w:rsidRPr="00892DE3" w:rsidTr="00421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086706" w:rsidRPr="00892DE3" w:rsidRDefault="00086706" w:rsidP="00086706">
            <w:pPr>
              <w:spacing w:before="20" w:after="20"/>
              <w:rPr>
                <w:rFonts w:cstheme="majorHAnsi"/>
                <w:sz w:val="17"/>
              </w:rPr>
            </w:pPr>
            <w:r w:rsidRPr="00892DE3">
              <w:rPr>
                <w:rFonts w:cstheme="majorHAnsi"/>
                <w:sz w:val="17"/>
              </w:rPr>
              <w:t>AASB 111</w:t>
            </w:r>
          </w:p>
        </w:tc>
        <w:tc>
          <w:tcPr>
            <w:tcW w:w="7902" w:type="dxa"/>
          </w:tcPr>
          <w:p w:rsidR="00086706" w:rsidRPr="00892DE3" w:rsidRDefault="00086706" w:rsidP="00086706">
            <w:pPr>
              <w:spacing w:before="20" w:after="20"/>
              <w:cnfStyle w:val="000000010000" w:firstRow="0" w:lastRow="0" w:firstColumn="0" w:lastColumn="0" w:oddVBand="0" w:evenVBand="0" w:oddHBand="0" w:evenHBand="1" w:firstRowFirstColumn="0" w:firstRowLastColumn="0" w:lastRowFirstColumn="0" w:lastRowLastColumn="0"/>
              <w:rPr>
                <w:rFonts w:cstheme="majorHAnsi"/>
                <w:sz w:val="17"/>
              </w:rPr>
            </w:pPr>
            <w:r w:rsidRPr="00892DE3">
              <w:rPr>
                <w:rFonts w:cstheme="majorHAnsi"/>
                <w:sz w:val="17"/>
              </w:rPr>
              <w:t>Construction contracts</w:t>
            </w:r>
          </w:p>
        </w:tc>
      </w:tr>
      <w:tr w:rsidR="007F363E" w:rsidRPr="00892DE3" w:rsidTr="0042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14</w:t>
            </w:r>
          </w:p>
        </w:tc>
        <w:tc>
          <w:tcPr>
            <w:tcW w:w="7902" w:type="dxa"/>
          </w:tcPr>
          <w:p w:rsidR="007F363E" w:rsidRPr="00892DE3" w:rsidRDefault="007F363E" w:rsidP="00086706">
            <w:pPr>
              <w:spacing w:before="20" w:after="20"/>
              <w:cnfStyle w:val="000000100000" w:firstRow="0" w:lastRow="0" w:firstColumn="0" w:lastColumn="0" w:oddVBand="0" w:evenVBand="0" w:oddHBand="1" w:evenHBand="0" w:firstRowFirstColumn="0" w:firstRowLastColumn="0" w:lastRowFirstColumn="0" w:lastRowLastColumn="0"/>
              <w:rPr>
                <w:rFonts w:cstheme="majorHAnsi"/>
                <w:sz w:val="17"/>
              </w:rPr>
            </w:pPr>
            <w:r w:rsidRPr="00892DE3">
              <w:rPr>
                <w:rFonts w:cstheme="majorHAnsi"/>
                <w:sz w:val="17"/>
              </w:rPr>
              <w:t>Regulatory Deferral Accounts</w:t>
            </w:r>
          </w:p>
        </w:tc>
      </w:tr>
      <w:tr w:rsidR="007F363E" w:rsidRPr="00892DE3" w:rsidTr="00421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112</w:t>
            </w:r>
          </w:p>
        </w:tc>
        <w:tc>
          <w:tcPr>
            <w:tcW w:w="7902" w:type="dxa"/>
          </w:tcPr>
          <w:p w:rsidR="007F363E" w:rsidRPr="00892DE3" w:rsidRDefault="007F363E" w:rsidP="00086706">
            <w:pPr>
              <w:spacing w:before="20" w:after="20"/>
              <w:cnfStyle w:val="000000010000" w:firstRow="0" w:lastRow="0" w:firstColumn="0" w:lastColumn="0" w:oddVBand="0" w:evenVBand="0" w:oddHBand="0" w:evenHBand="1" w:firstRowFirstColumn="0" w:firstRowLastColumn="0" w:lastRowFirstColumn="0" w:lastRowLastColumn="0"/>
              <w:rPr>
                <w:rFonts w:cstheme="majorHAnsi"/>
                <w:sz w:val="17"/>
              </w:rPr>
            </w:pPr>
            <w:r w:rsidRPr="00892DE3">
              <w:rPr>
                <w:rFonts w:cstheme="majorHAnsi"/>
                <w:sz w:val="17"/>
              </w:rPr>
              <w:t>Income Taxes</w:t>
            </w:r>
          </w:p>
        </w:tc>
      </w:tr>
      <w:tr w:rsidR="007F363E" w:rsidRPr="00892DE3" w:rsidTr="0042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120</w:t>
            </w:r>
          </w:p>
        </w:tc>
        <w:tc>
          <w:tcPr>
            <w:tcW w:w="7902" w:type="dxa"/>
          </w:tcPr>
          <w:p w:rsidR="007F363E" w:rsidRPr="00892DE3" w:rsidRDefault="007F363E" w:rsidP="00086706">
            <w:pPr>
              <w:spacing w:before="20" w:after="20"/>
              <w:cnfStyle w:val="000000100000" w:firstRow="0" w:lastRow="0" w:firstColumn="0" w:lastColumn="0" w:oddVBand="0" w:evenVBand="0" w:oddHBand="1" w:evenHBand="0" w:firstRowFirstColumn="0" w:firstRowLastColumn="0" w:lastRowFirstColumn="0" w:lastRowLastColumn="0"/>
              <w:rPr>
                <w:rFonts w:cstheme="majorHAnsi"/>
                <w:sz w:val="17"/>
              </w:rPr>
            </w:pPr>
            <w:r w:rsidRPr="00892DE3">
              <w:rPr>
                <w:rFonts w:cstheme="majorHAnsi"/>
                <w:sz w:val="17"/>
              </w:rPr>
              <w:t>Accounting for Government Grants and Disclosure of Government Assistance</w:t>
            </w:r>
          </w:p>
        </w:tc>
      </w:tr>
      <w:tr w:rsidR="007F363E" w:rsidRPr="00892DE3" w:rsidTr="00421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127</w:t>
            </w:r>
          </w:p>
        </w:tc>
        <w:tc>
          <w:tcPr>
            <w:tcW w:w="7902" w:type="dxa"/>
          </w:tcPr>
          <w:p w:rsidR="007F363E" w:rsidRPr="00892DE3" w:rsidRDefault="007F363E" w:rsidP="00086706">
            <w:pPr>
              <w:spacing w:before="20" w:after="20"/>
              <w:cnfStyle w:val="000000010000" w:firstRow="0" w:lastRow="0" w:firstColumn="0" w:lastColumn="0" w:oddVBand="0" w:evenVBand="0" w:oddHBand="0" w:evenHBand="1" w:firstRowFirstColumn="0" w:firstRowLastColumn="0" w:lastRowFirstColumn="0" w:lastRowLastColumn="0"/>
              <w:rPr>
                <w:rFonts w:cstheme="majorHAnsi"/>
                <w:sz w:val="17"/>
              </w:rPr>
            </w:pPr>
            <w:r w:rsidRPr="00892DE3">
              <w:rPr>
                <w:rFonts w:cstheme="majorHAnsi"/>
                <w:sz w:val="17"/>
              </w:rPr>
              <w:t>Separate Financial Statements</w:t>
            </w:r>
          </w:p>
        </w:tc>
      </w:tr>
      <w:tr w:rsidR="007F363E" w:rsidRPr="00892DE3" w:rsidTr="0042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129</w:t>
            </w:r>
          </w:p>
        </w:tc>
        <w:tc>
          <w:tcPr>
            <w:tcW w:w="7902" w:type="dxa"/>
          </w:tcPr>
          <w:p w:rsidR="007F363E" w:rsidRPr="00892DE3" w:rsidRDefault="007F363E" w:rsidP="00086706">
            <w:pPr>
              <w:spacing w:before="20" w:after="20"/>
              <w:cnfStyle w:val="000000100000" w:firstRow="0" w:lastRow="0" w:firstColumn="0" w:lastColumn="0" w:oddVBand="0" w:evenVBand="0" w:oddHBand="1" w:evenHBand="0" w:firstRowFirstColumn="0" w:firstRowLastColumn="0" w:lastRowFirstColumn="0" w:lastRowLastColumn="0"/>
              <w:rPr>
                <w:rFonts w:cstheme="majorHAnsi"/>
                <w:sz w:val="17"/>
              </w:rPr>
            </w:pPr>
            <w:r w:rsidRPr="00892DE3">
              <w:rPr>
                <w:rFonts w:cstheme="majorHAnsi"/>
                <w:sz w:val="17"/>
              </w:rPr>
              <w:t>Financial Reporting in Hyperinflationary Economics</w:t>
            </w:r>
          </w:p>
        </w:tc>
      </w:tr>
      <w:tr w:rsidR="007F363E" w:rsidRPr="00892DE3" w:rsidTr="00421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133</w:t>
            </w:r>
          </w:p>
        </w:tc>
        <w:tc>
          <w:tcPr>
            <w:tcW w:w="7902" w:type="dxa"/>
          </w:tcPr>
          <w:p w:rsidR="007F363E" w:rsidRPr="00892DE3" w:rsidRDefault="007F363E" w:rsidP="00086706">
            <w:pPr>
              <w:spacing w:before="20" w:after="20"/>
              <w:cnfStyle w:val="000000010000" w:firstRow="0" w:lastRow="0" w:firstColumn="0" w:lastColumn="0" w:oddVBand="0" w:evenVBand="0" w:oddHBand="0" w:evenHBand="1" w:firstRowFirstColumn="0" w:firstRowLastColumn="0" w:lastRowFirstColumn="0" w:lastRowLastColumn="0"/>
              <w:rPr>
                <w:rFonts w:cstheme="majorHAnsi"/>
                <w:sz w:val="17"/>
              </w:rPr>
            </w:pPr>
            <w:r w:rsidRPr="00892DE3">
              <w:rPr>
                <w:rFonts w:cstheme="majorHAnsi"/>
                <w:sz w:val="17"/>
              </w:rPr>
              <w:t>Earnings per Share</w:t>
            </w:r>
          </w:p>
        </w:tc>
      </w:tr>
      <w:tr w:rsidR="007F363E" w:rsidRPr="00892DE3" w:rsidTr="0042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134</w:t>
            </w:r>
          </w:p>
        </w:tc>
        <w:tc>
          <w:tcPr>
            <w:tcW w:w="7902" w:type="dxa"/>
          </w:tcPr>
          <w:p w:rsidR="007F363E" w:rsidRPr="00892DE3" w:rsidRDefault="007F363E" w:rsidP="00086706">
            <w:pPr>
              <w:spacing w:before="20" w:after="20"/>
              <w:cnfStyle w:val="000000100000" w:firstRow="0" w:lastRow="0" w:firstColumn="0" w:lastColumn="0" w:oddVBand="0" w:evenVBand="0" w:oddHBand="1" w:evenHBand="0" w:firstRowFirstColumn="0" w:firstRowLastColumn="0" w:lastRowFirstColumn="0" w:lastRowLastColumn="0"/>
              <w:rPr>
                <w:rFonts w:cstheme="majorHAnsi"/>
                <w:sz w:val="17"/>
              </w:rPr>
            </w:pPr>
            <w:r w:rsidRPr="00892DE3">
              <w:rPr>
                <w:rFonts w:cstheme="majorHAnsi"/>
                <w:sz w:val="17"/>
              </w:rPr>
              <w:t>Interim Financial Reporting</w:t>
            </w:r>
          </w:p>
        </w:tc>
      </w:tr>
      <w:tr w:rsidR="007F363E" w:rsidRPr="00892DE3" w:rsidTr="00421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1023</w:t>
            </w:r>
          </w:p>
        </w:tc>
        <w:tc>
          <w:tcPr>
            <w:tcW w:w="7902" w:type="dxa"/>
          </w:tcPr>
          <w:p w:rsidR="007F363E" w:rsidRPr="00892DE3" w:rsidRDefault="007F363E" w:rsidP="00086706">
            <w:pPr>
              <w:spacing w:before="20" w:after="20"/>
              <w:cnfStyle w:val="000000010000" w:firstRow="0" w:lastRow="0" w:firstColumn="0" w:lastColumn="0" w:oddVBand="0" w:evenVBand="0" w:oddHBand="0" w:evenHBand="1" w:firstRowFirstColumn="0" w:firstRowLastColumn="0" w:lastRowFirstColumn="0" w:lastRowLastColumn="0"/>
              <w:rPr>
                <w:rFonts w:cstheme="majorHAnsi"/>
                <w:sz w:val="17"/>
              </w:rPr>
            </w:pPr>
            <w:r w:rsidRPr="00892DE3">
              <w:rPr>
                <w:rFonts w:cstheme="majorHAnsi"/>
                <w:sz w:val="17"/>
              </w:rPr>
              <w:t>General Insurance Contracts</w:t>
            </w:r>
          </w:p>
        </w:tc>
      </w:tr>
      <w:tr w:rsidR="007F363E" w:rsidRPr="00892DE3" w:rsidTr="0042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1038</w:t>
            </w:r>
          </w:p>
        </w:tc>
        <w:tc>
          <w:tcPr>
            <w:tcW w:w="7902" w:type="dxa"/>
          </w:tcPr>
          <w:p w:rsidR="007F363E" w:rsidRPr="00892DE3" w:rsidRDefault="007F363E" w:rsidP="00086706">
            <w:pPr>
              <w:spacing w:before="20" w:after="20"/>
              <w:cnfStyle w:val="000000100000" w:firstRow="0" w:lastRow="0" w:firstColumn="0" w:lastColumn="0" w:oddVBand="0" w:evenVBand="0" w:oddHBand="1" w:evenHBand="0" w:firstRowFirstColumn="0" w:firstRowLastColumn="0" w:lastRowFirstColumn="0" w:lastRowLastColumn="0"/>
              <w:rPr>
                <w:rFonts w:cstheme="majorHAnsi"/>
                <w:sz w:val="17"/>
              </w:rPr>
            </w:pPr>
            <w:r w:rsidRPr="00892DE3">
              <w:rPr>
                <w:rFonts w:cstheme="majorHAnsi"/>
                <w:sz w:val="17"/>
              </w:rPr>
              <w:t>Life Insurance Contracts</w:t>
            </w:r>
          </w:p>
        </w:tc>
      </w:tr>
      <w:tr w:rsidR="007F363E" w:rsidRPr="00892DE3" w:rsidTr="00421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1039</w:t>
            </w:r>
          </w:p>
        </w:tc>
        <w:tc>
          <w:tcPr>
            <w:tcW w:w="7902" w:type="dxa"/>
          </w:tcPr>
          <w:p w:rsidR="007F363E" w:rsidRPr="00892DE3" w:rsidRDefault="007F363E" w:rsidP="00086706">
            <w:pPr>
              <w:spacing w:before="20" w:after="20"/>
              <w:cnfStyle w:val="000000010000" w:firstRow="0" w:lastRow="0" w:firstColumn="0" w:lastColumn="0" w:oddVBand="0" w:evenVBand="0" w:oddHBand="0" w:evenHBand="1" w:firstRowFirstColumn="0" w:firstRowLastColumn="0" w:lastRowFirstColumn="0" w:lastRowLastColumn="0"/>
              <w:rPr>
                <w:rFonts w:cstheme="majorHAnsi"/>
                <w:sz w:val="17"/>
              </w:rPr>
            </w:pPr>
            <w:r w:rsidRPr="00892DE3">
              <w:rPr>
                <w:rFonts w:cstheme="majorHAnsi"/>
                <w:sz w:val="17"/>
              </w:rPr>
              <w:t>Concise Financial Reports</w:t>
            </w:r>
          </w:p>
        </w:tc>
      </w:tr>
      <w:tr w:rsidR="007F363E" w:rsidRPr="00892DE3" w:rsidTr="0042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RDefault="007F363E" w:rsidP="00086706">
            <w:pPr>
              <w:spacing w:before="20" w:after="20"/>
              <w:rPr>
                <w:rFonts w:cstheme="majorHAnsi"/>
                <w:sz w:val="17"/>
              </w:rPr>
            </w:pPr>
            <w:r w:rsidRPr="00892DE3">
              <w:rPr>
                <w:rFonts w:cstheme="majorHAnsi"/>
                <w:sz w:val="17"/>
              </w:rPr>
              <w:t>AASB 1048</w:t>
            </w:r>
          </w:p>
        </w:tc>
        <w:tc>
          <w:tcPr>
            <w:tcW w:w="7902" w:type="dxa"/>
          </w:tcPr>
          <w:p w:rsidR="007F363E" w:rsidRPr="00892DE3" w:rsidRDefault="007F363E" w:rsidP="00086706">
            <w:pPr>
              <w:spacing w:before="20" w:after="20"/>
              <w:cnfStyle w:val="000000100000" w:firstRow="0" w:lastRow="0" w:firstColumn="0" w:lastColumn="0" w:oddVBand="0" w:evenVBand="0" w:oddHBand="1" w:evenHBand="0" w:firstRowFirstColumn="0" w:firstRowLastColumn="0" w:lastRowFirstColumn="0" w:lastRowLastColumn="0"/>
              <w:rPr>
                <w:rFonts w:cstheme="majorHAnsi"/>
                <w:sz w:val="17"/>
              </w:rPr>
            </w:pPr>
            <w:r w:rsidRPr="00892DE3">
              <w:rPr>
                <w:rFonts w:cstheme="majorHAnsi"/>
                <w:sz w:val="17"/>
              </w:rPr>
              <w:t>Interpretation of Standards</w:t>
            </w:r>
          </w:p>
        </w:tc>
      </w:tr>
      <w:tr w:rsidR="007F363E" w:rsidRPr="00892DE3" w:rsidDel="00803CBB" w:rsidTr="00421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Del="00803CBB" w:rsidRDefault="007F363E" w:rsidP="00086706">
            <w:pPr>
              <w:spacing w:before="20" w:after="20"/>
              <w:rPr>
                <w:rFonts w:cstheme="majorHAnsi"/>
                <w:sz w:val="17"/>
              </w:rPr>
            </w:pPr>
            <w:r w:rsidRPr="00892DE3">
              <w:rPr>
                <w:rFonts w:cstheme="majorHAnsi"/>
                <w:sz w:val="17"/>
              </w:rPr>
              <w:t>AASB 1053</w:t>
            </w:r>
          </w:p>
        </w:tc>
        <w:tc>
          <w:tcPr>
            <w:tcW w:w="7902" w:type="dxa"/>
          </w:tcPr>
          <w:p w:rsidR="007F363E" w:rsidRPr="00892DE3" w:rsidDel="00803CBB" w:rsidRDefault="007F363E" w:rsidP="00086706">
            <w:pPr>
              <w:spacing w:before="20" w:after="20"/>
              <w:cnfStyle w:val="000000010000" w:firstRow="0" w:lastRow="0" w:firstColumn="0" w:lastColumn="0" w:oddVBand="0" w:evenVBand="0" w:oddHBand="0" w:evenHBand="1" w:firstRowFirstColumn="0" w:firstRowLastColumn="0" w:lastRowFirstColumn="0" w:lastRowLastColumn="0"/>
              <w:rPr>
                <w:rFonts w:cstheme="majorHAnsi"/>
                <w:sz w:val="17"/>
              </w:rPr>
            </w:pPr>
            <w:r w:rsidRPr="00892DE3">
              <w:rPr>
                <w:rFonts w:cstheme="majorHAnsi"/>
                <w:sz w:val="17"/>
              </w:rPr>
              <w:t>Application of Tiers of Australian Accounting Standards</w:t>
            </w:r>
          </w:p>
        </w:tc>
      </w:tr>
      <w:tr w:rsidR="007F363E" w:rsidRPr="00892DE3" w:rsidDel="007F363E" w:rsidTr="002C7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7F363E" w:rsidRPr="00892DE3" w:rsidDel="007F363E" w:rsidRDefault="007F363E" w:rsidP="00086706">
            <w:pPr>
              <w:spacing w:before="20" w:after="20"/>
              <w:rPr>
                <w:rFonts w:cstheme="majorHAnsi"/>
                <w:sz w:val="17"/>
              </w:rPr>
            </w:pPr>
            <w:r w:rsidRPr="00892DE3">
              <w:rPr>
                <w:rFonts w:cstheme="majorHAnsi"/>
                <w:sz w:val="17"/>
              </w:rPr>
              <w:t>AASB 1055</w:t>
            </w:r>
          </w:p>
        </w:tc>
        <w:tc>
          <w:tcPr>
            <w:tcW w:w="7902" w:type="dxa"/>
          </w:tcPr>
          <w:p w:rsidR="007F363E" w:rsidRPr="00892DE3" w:rsidDel="007F363E" w:rsidRDefault="007F363E" w:rsidP="00086706">
            <w:pPr>
              <w:spacing w:before="20" w:after="20"/>
              <w:cnfStyle w:val="000000100000" w:firstRow="0" w:lastRow="0" w:firstColumn="0" w:lastColumn="0" w:oddVBand="0" w:evenVBand="0" w:oddHBand="1" w:evenHBand="0" w:firstRowFirstColumn="0" w:firstRowLastColumn="0" w:lastRowFirstColumn="0" w:lastRowLastColumn="0"/>
              <w:rPr>
                <w:rFonts w:cstheme="majorHAnsi"/>
                <w:sz w:val="17"/>
              </w:rPr>
            </w:pPr>
            <w:r w:rsidRPr="00892DE3">
              <w:rPr>
                <w:rFonts w:cstheme="majorHAnsi"/>
                <w:sz w:val="17"/>
              </w:rPr>
              <w:t>Budgetary Reporting</w:t>
            </w:r>
          </w:p>
        </w:tc>
      </w:tr>
      <w:tr w:rsidR="007F363E" w:rsidRPr="00892DE3" w:rsidDel="007F363E" w:rsidTr="002C7A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Borders>
              <w:bottom w:val="single" w:sz="12" w:space="0" w:color="auto"/>
            </w:tcBorders>
          </w:tcPr>
          <w:p w:rsidR="007F363E" w:rsidRPr="00892DE3" w:rsidDel="007F363E" w:rsidRDefault="007F363E" w:rsidP="00086706">
            <w:pPr>
              <w:spacing w:before="20" w:after="20"/>
              <w:rPr>
                <w:rFonts w:cstheme="majorHAnsi"/>
                <w:sz w:val="17"/>
              </w:rPr>
            </w:pPr>
            <w:r w:rsidRPr="00892DE3">
              <w:rPr>
                <w:rFonts w:cstheme="majorHAnsi"/>
                <w:sz w:val="17"/>
              </w:rPr>
              <w:t>AASB 1056</w:t>
            </w:r>
          </w:p>
        </w:tc>
        <w:tc>
          <w:tcPr>
            <w:tcW w:w="7902" w:type="dxa"/>
            <w:tcBorders>
              <w:bottom w:val="single" w:sz="12" w:space="0" w:color="auto"/>
            </w:tcBorders>
          </w:tcPr>
          <w:p w:rsidR="007F363E" w:rsidRPr="00892DE3" w:rsidDel="007F363E" w:rsidRDefault="007F363E" w:rsidP="00086706">
            <w:pPr>
              <w:spacing w:before="20" w:after="20"/>
              <w:cnfStyle w:val="000000010000" w:firstRow="0" w:lastRow="0" w:firstColumn="0" w:lastColumn="0" w:oddVBand="0" w:evenVBand="0" w:oddHBand="0" w:evenHBand="1" w:firstRowFirstColumn="0" w:firstRowLastColumn="0" w:lastRowFirstColumn="0" w:lastRowLastColumn="0"/>
              <w:rPr>
                <w:rFonts w:cstheme="majorHAnsi"/>
                <w:sz w:val="17"/>
              </w:rPr>
            </w:pPr>
            <w:r w:rsidRPr="00892DE3">
              <w:rPr>
                <w:rFonts w:cstheme="majorHAnsi"/>
                <w:sz w:val="17"/>
              </w:rPr>
              <w:t>Superannuation Entities</w:t>
            </w:r>
          </w:p>
        </w:tc>
      </w:tr>
    </w:tbl>
    <w:p w:rsidR="00AD47C0" w:rsidRPr="00892DE3" w:rsidRDefault="00AD47C0" w:rsidP="00086706"/>
    <w:p w:rsidR="00AD47C0" w:rsidRPr="00892DE3" w:rsidRDefault="00AD47C0" w:rsidP="00086706">
      <w:pPr>
        <w:sectPr w:rsidR="00AD47C0" w:rsidRPr="00892DE3" w:rsidSect="002C2301">
          <w:pgSz w:w="11906" w:h="16838" w:code="9"/>
          <w:pgMar w:top="1134" w:right="1134" w:bottom="1134" w:left="1134" w:header="624" w:footer="567" w:gutter="0"/>
          <w:cols w:sep="1" w:space="567"/>
          <w:titlePg/>
          <w:docGrid w:linePitch="360"/>
        </w:sectPr>
      </w:pPr>
    </w:p>
    <w:p w:rsidR="00AD47C0" w:rsidRPr="00892DE3" w:rsidRDefault="00AD47C0" w:rsidP="00796A67">
      <w:pPr>
        <w:pStyle w:val="Heading10"/>
      </w:pPr>
      <w:bookmarkStart w:id="255" w:name="_Toc481592335"/>
      <w:bookmarkStart w:id="256" w:name="_Toc225564585"/>
      <w:bookmarkStart w:id="257" w:name="_Toc324234838"/>
      <w:bookmarkStart w:id="258" w:name="_Toc330906644"/>
      <w:bookmarkStart w:id="259" w:name="_Toc332019433"/>
      <w:bookmarkStart w:id="260" w:name="_Toc350413724"/>
      <w:bookmarkStart w:id="261" w:name="_Toc388277749"/>
      <w:r w:rsidRPr="00892DE3">
        <w:t>Appendices</w:t>
      </w:r>
      <w:bookmarkEnd w:id="255"/>
    </w:p>
    <w:p w:rsidR="00BF5B49" w:rsidRPr="00892DE3" w:rsidRDefault="00BF5B49" w:rsidP="00BF5B49"/>
    <w:p w:rsidR="00F26054" w:rsidRDefault="00AD47C0">
      <w:pPr>
        <w:pStyle w:val="TOC3"/>
        <w:rPr>
          <w:b w:val="0"/>
          <w:sz w:val="22"/>
        </w:rPr>
      </w:pPr>
      <w:r w:rsidRPr="00892DE3">
        <w:fldChar w:fldCharType="begin"/>
      </w:r>
      <w:r w:rsidRPr="00892DE3">
        <w:instrText xml:space="preserve"> TOC \h \z \t "</w:instrText>
      </w:r>
      <w:r w:rsidR="00796A67" w:rsidRPr="00892DE3">
        <w:instrText>Appendix Heading</w:instrText>
      </w:r>
      <w:r w:rsidRPr="00892DE3">
        <w:instrText>,</w:instrText>
      </w:r>
      <w:r w:rsidR="00BF5B49" w:rsidRPr="00892DE3">
        <w:instrText>3</w:instrText>
      </w:r>
      <w:r w:rsidRPr="00892DE3">
        <w:instrText xml:space="preserve">" \* MERGEFORMAT </w:instrText>
      </w:r>
      <w:r w:rsidRPr="00892DE3">
        <w:fldChar w:fldCharType="separate"/>
      </w:r>
      <w:hyperlink w:anchor="_Toc481591389" w:history="1">
        <w:r w:rsidR="00F26054" w:rsidRPr="00C40BEA">
          <w:rPr>
            <w:rStyle w:val="Hyperlink"/>
          </w:rPr>
          <w:t>Appendix 1:</w:t>
        </w:r>
        <w:r w:rsidR="00F26054">
          <w:rPr>
            <w:b w:val="0"/>
            <w:sz w:val="22"/>
          </w:rPr>
          <w:tab/>
        </w:r>
        <w:r w:rsidR="00F26054" w:rsidRPr="00C40BEA">
          <w:rPr>
            <w:rStyle w:val="Hyperlink"/>
          </w:rPr>
          <w:t>Extracts of whole of government financial statements and analysis of disclosures</w:t>
        </w:r>
        <w:r w:rsidR="00F26054">
          <w:rPr>
            <w:webHidden/>
          </w:rPr>
          <w:tab/>
        </w:r>
        <w:r w:rsidR="00F26054">
          <w:rPr>
            <w:webHidden/>
          </w:rPr>
          <w:fldChar w:fldCharType="begin"/>
        </w:r>
        <w:r w:rsidR="00F26054">
          <w:rPr>
            <w:webHidden/>
          </w:rPr>
          <w:instrText xml:space="preserve"> PAGEREF _Toc481591389 \h </w:instrText>
        </w:r>
        <w:r w:rsidR="00F26054">
          <w:rPr>
            <w:webHidden/>
          </w:rPr>
        </w:r>
        <w:r w:rsidR="00F26054">
          <w:rPr>
            <w:webHidden/>
          </w:rPr>
          <w:fldChar w:fldCharType="separate"/>
        </w:r>
        <w:r w:rsidR="00F63B17">
          <w:rPr>
            <w:webHidden/>
          </w:rPr>
          <w:t>237</w:t>
        </w:r>
        <w:r w:rsidR="00F26054">
          <w:rPr>
            <w:webHidden/>
          </w:rPr>
          <w:fldChar w:fldCharType="end"/>
        </w:r>
      </w:hyperlink>
    </w:p>
    <w:p w:rsidR="00F26054" w:rsidRDefault="003C212D">
      <w:pPr>
        <w:pStyle w:val="TOC3"/>
        <w:rPr>
          <w:b w:val="0"/>
          <w:sz w:val="22"/>
        </w:rPr>
      </w:pPr>
      <w:hyperlink w:anchor="_Toc481591390" w:history="1">
        <w:r w:rsidR="00F26054" w:rsidRPr="00C40BEA">
          <w:rPr>
            <w:rStyle w:val="Hyperlink"/>
          </w:rPr>
          <w:t>Appendix 2:</w:t>
        </w:r>
        <w:r w:rsidR="00F26054">
          <w:rPr>
            <w:b w:val="0"/>
            <w:sz w:val="22"/>
          </w:rPr>
          <w:tab/>
        </w:r>
        <w:r w:rsidR="00F26054" w:rsidRPr="00C40BEA">
          <w:rPr>
            <w:rStyle w:val="Hyperlink"/>
          </w:rPr>
          <w:t>Budgetary reporting:  explanation of material variances between budget and actual outcomes</w:t>
        </w:r>
        <w:r w:rsidR="00F26054">
          <w:rPr>
            <w:webHidden/>
          </w:rPr>
          <w:tab/>
        </w:r>
        <w:r w:rsidR="00F26054">
          <w:rPr>
            <w:webHidden/>
          </w:rPr>
          <w:fldChar w:fldCharType="begin"/>
        </w:r>
        <w:r w:rsidR="00F26054">
          <w:rPr>
            <w:webHidden/>
          </w:rPr>
          <w:instrText xml:space="preserve"> PAGEREF _Toc481591390 \h </w:instrText>
        </w:r>
        <w:r w:rsidR="00F26054">
          <w:rPr>
            <w:webHidden/>
          </w:rPr>
        </w:r>
        <w:r w:rsidR="00F26054">
          <w:rPr>
            <w:webHidden/>
          </w:rPr>
          <w:fldChar w:fldCharType="separate"/>
        </w:r>
        <w:r w:rsidR="00F63B17">
          <w:rPr>
            <w:webHidden/>
          </w:rPr>
          <w:t>252</w:t>
        </w:r>
        <w:r w:rsidR="00F26054">
          <w:rPr>
            <w:webHidden/>
          </w:rPr>
          <w:fldChar w:fldCharType="end"/>
        </w:r>
      </w:hyperlink>
    </w:p>
    <w:p w:rsidR="00F26054" w:rsidRDefault="003C212D">
      <w:pPr>
        <w:pStyle w:val="TOC3"/>
        <w:rPr>
          <w:b w:val="0"/>
          <w:sz w:val="22"/>
        </w:rPr>
      </w:pPr>
      <w:hyperlink w:anchor="_Toc481591391" w:history="1">
        <w:r w:rsidR="00F26054" w:rsidRPr="00C40BEA">
          <w:rPr>
            <w:rStyle w:val="Hyperlink"/>
          </w:rPr>
          <w:t>Appendix 3: Understanding the independent auditor’s report</w:t>
        </w:r>
        <w:r w:rsidR="00F26054">
          <w:rPr>
            <w:webHidden/>
          </w:rPr>
          <w:tab/>
        </w:r>
        <w:r w:rsidR="00F26054">
          <w:rPr>
            <w:webHidden/>
          </w:rPr>
          <w:fldChar w:fldCharType="begin"/>
        </w:r>
        <w:r w:rsidR="00F26054">
          <w:rPr>
            <w:webHidden/>
          </w:rPr>
          <w:instrText xml:space="preserve"> PAGEREF _Toc481591391 \h </w:instrText>
        </w:r>
        <w:r w:rsidR="00F26054">
          <w:rPr>
            <w:webHidden/>
          </w:rPr>
        </w:r>
        <w:r w:rsidR="00F26054">
          <w:rPr>
            <w:webHidden/>
          </w:rPr>
          <w:fldChar w:fldCharType="separate"/>
        </w:r>
        <w:r w:rsidR="00F63B17">
          <w:rPr>
            <w:webHidden/>
          </w:rPr>
          <w:t>258</w:t>
        </w:r>
        <w:r w:rsidR="00F26054">
          <w:rPr>
            <w:webHidden/>
          </w:rPr>
          <w:fldChar w:fldCharType="end"/>
        </w:r>
      </w:hyperlink>
    </w:p>
    <w:p w:rsidR="00F26054" w:rsidRDefault="003C212D">
      <w:pPr>
        <w:pStyle w:val="TOC3"/>
        <w:rPr>
          <w:b w:val="0"/>
          <w:sz w:val="22"/>
        </w:rPr>
      </w:pPr>
      <w:hyperlink w:anchor="_Toc481591392" w:history="1">
        <w:r w:rsidR="00F26054" w:rsidRPr="00C40BEA">
          <w:rPr>
            <w:rStyle w:val="Hyperlink"/>
          </w:rPr>
          <w:t>Appendix 4:</w:t>
        </w:r>
        <w:r w:rsidR="00F26054">
          <w:rPr>
            <w:b w:val="0"/>
            <w:sz w:val="22"/>
          </w:rPr>
          <w:tab/>
        </w:r>
        <w:r w:rsidR="00F26054" w:rsidRPr="00C40BEA">
          <w:rPr>
            <w:rStyle w:val="Hyperlink"/>
          </w:rPr>
          <w:t>AASB 10 Consolidated Financial Statements checklist – control analysis for Victorian public sector entities</w:t>
        </w:r>
        <w:r w:rsidR="00F26054">
          <w:rPr>
            <w:webHidden/>
          </w:rPr>
          <w:tab/>
        </w:r>
        <w:r w:rsidR="00F26054">
          <w:rPr>
            <w:webHidden/>
          </w:rPr>
          <w:fldChar w:fldCharType="begin"/>
        </w:r>
        <w:r w:rsidR="00F26054">
          <w:rPr>
            <w:webHidden/>
          </w:rPr>
          <w:instrText xml:space="preserve"> PAGEREF _Toc481591392 \h </w:instrText>
        </w:r>
        <w:r w:rsidR="00F26054">
          <w:rPr>
            <w:webHidden/>
          </w:rPr>
        </w:r>
        <w:r w:rsidR="00F26054">
          <w:rPr>
            <w:webHidden/>
          </w:rPr>
          <w:fldChar w:fldCharType="separate"/>
        </w:r>
        <w:r w:rsidR="00F63B17">
          <w:rPr>
            <w:webHidden/>
          </w:rPr>
          <w:t>260</w:t>
        </w:r>
        <w:r w:rsidR="00F26054">
          <w:rPr>
            <w:webHidden/>
          </w:rPr>
          <w:fldChar w:fldCharType="end"/>
        </w:r>
      </w:hyperlink>
    </w:p>
    <w:p w:rsidR="00F26054" w:rsidRDefault="003C212D">
      <w:pPr>
        <w:pStyle w:val="TOC3"/>
        <w:rPr>
          <w:b w:val="0"/>
          <w:sz w:val="22"/>
        </w:rPr>
      </w:pPr>
      <w:hyperlink w:anchor="_Toc481591393" w:history="1">
        <w:r w:rsidR="00F26054" w:rsidRPr="00C40BEA">
          <w:rPr>
            <w:rStyle w:val="Hyperlink"/>
          </w:rPr>
          <w:t>Appendix 5:</w:t>
        </w:r>
        <w:r w:rsidR="00F26054">
          <w:rPr>
            <w:b w:val="0"/>
            <w:sz w:val="22"/>
          </w:rPr>
          <w:tab/>
        </w:r>
        <w:r w:rsidR="00F26054" w:rsidRPr="00C40BEA">
          <w:rPr>
            <w:rStyle w:val="Hyperlink"/>
          </w:rPr>
          <w:t>Interests in subsidiary and unconsolidated structured entities</w:t>
        </w:r>
        <w:r w:rsidR="00F26054">
          <w:rPr>
            <w:webHidden/>
          </w:rPr>
          <w:tab/>
        </w:r>
        <w:r w:rsidR="00F26054">
          <w:rPr>
            <w:webHidden/>
          </w:rPr>
          <w:fldChar w:fldCharType="begin"/>
        </w:r>
        <w:r w:rsidR="00F26054">
          <w:rPr>
            <w:webHidden/>
          </w:rPr>
          <w:instrText xml:space="preserve"> PAGEREF _Toc481591393 \h </w:instrText>
        </w:r>
        <w:r w:rsidR="00F26054">
          <w:rPr>
            <w:webHidden/>
          </w:rPr>
        </w:r>
        <w:r w:rsidR="00F26054">
          <w:rPr>
            <w:webHidden/>
          </w:rPr>
          <w:fldChar w:fldCharType="separate"/>
        </w:r>
        <w:r w:rsidR="00F63B17">
          <w:rPr>
            <w:webHidden/>
          </w:rPr>
          <w:t>270</w:t>
        </w:r>
        <w:r w:rsidR="00F26054">
          <w:rPr>
            <w:webHidden/>
          </w:rPr>
          <w:fldChar w:fldCharType="end"/>
        </w:r>
      </w:hyperlink>
    </w:p>
    <w:p w:rsidR="00F26054" w:rsidRDefault="003C212D">
      <w:pPr>
        <w:pStyle w:val="TOC3"/>
        <w:rPr>
          <w:b w:val="0"/>
          <w:sz w:val="22"/>
        </w:rPr>
      </w:pPr>
      <w:hyperlink w:anchor="_Toc481591394" w:history="1">
        <w:r w:rsidR="00F26054" w:rsidRPr="00C40BEA">
          <w:rPr>
            <w:rStyle w:val="Hyperlink"/>
          </w:rPr>
          <w:t>Appendix 6:</w:t>
        </w:r>
        <w:r w:rsidR="00F26054">
          <w:rPr>
            <w:b w:val="0"/>
            <w:sz w:val="22"/>
          </w:rPr>
          <w:tab/>
        </w:r>
        <w:r w:rsidR="00F26054" w:rsidRPr="00C40BEA">
          <w:rPr>
            <w:rStyle w:val="Hyperlink"/>
          </w:rPr>
          <w:t>Annual leave provisions</w:t>
        </w:r>
        <w:r w:rsidR="00F26054">
          <w:rPr>
            <w:webHidden/>
          </w:rPr>
          <w:tab/>
        </w:r>
        <w:r w:rsidR="00F26054">
          <w:rPr>
            <w:webHidden/>
          </w:rPr>
          <w:fldChar w:fldCharType="begin"/>
        </w:r>
        <w:r w:rsidR="00F26054">
          <w:rPr>
            <w:webHidden/>
          </w:rPr>
          <w:instrText xml:space="preserve"> PAGEREF _Toc481591394 \h </w:instrText>
        </w:r>
        <w:r w:rsidR="00F26054">
          <w:rPr>
            <w:webHidden/>
          </w:rPr>
        </w:r>
        <w:r w:rsidR="00F26054">
          <w:rPr>
            <w:webHidden/>
          </w:rPr>
          <w:fldChar w:fldCharType="separate"/>
        </w:r>
        <w:r w:rsidR="00F63B17">
          <w:rPr>
            <w:webHidden/>
          </w:rPr>
          <w:t>273</w:t>
        </w:r>
        <w:r w:rsidR="00F26054">
          <w:rPr>
            <w:webHidden/>
          </w:rPr>
          <w:fldChar w:fldCharType="end"/>
        </w:r>
      </w:hyperlink>
    </w:p>
    <w:p w:rsidR="00F26054" w:rsidRDefault="003C212D">
      <w:pPr>
        <w:pStyle w:val="TOC3"/>
        <w:rPr>
          <w:b w:val="0"/>
          <w:sz w:val="22"/>
        </w:rPr>
      </w:pPr>
      <w:hyperlink w:anchor="_Toc481591395" w:history="1">
        <w:r w:rsidR="00F26054" w:rsidRPr="00C40BEA">
          <w:rPr>
            <w:rStyle w:val="Hyperlink"/>
          </w:rPr>
          <w:t>Appendix 7:</w:t>
        </w:r>
        <w:r w:rsidR="00F26054">
          <w:rPr>
            <w:b w:val="0"/>
            <w:sz w:val="22"/>
          </w:rPr>
          <w:tab/>
        </w:r>
        <w:r w:rsidR="00F26054" w:rsidRPr="00C40BEA">
          <w:rPr>
            <w:rStyle w:val="Hyperlink"/>
          </w:rPr>
          <w:t>Fair value measurement indicative expectations</w:t>
        </w:r>
        <w:r w:rsidR="00F26054">
          <w:rPr>
            <w:webHidden/>
          </w:rPr>
          <w:tab/>
        </w:r>
        <w:r w:rsidR="00F26054">
          <w:rPr>
            <w:webHidden/>
          </w:rPr>
          <w:fldChar w:fldCharType="begin"/>
        </w:r>
        <w:r w:rsidR="00F26054">
          <w:rPr>
            <w:webHidden/>
          </w:rPr>
          <w:instrText xml:space="preserve"> PAGEREF _Toc481591395 \h </w:instrText>
        </w:r>
        <w:r w:rsidR="00F26054">
          <w:rPr>
            <w:webHidden/>
          </w:rPr>
        </w:r>
        <w:r w:rsidR="00F26054">
          <w:rPr>
            <w:webHidden/>
          </w:rPr>
          <w:fldChar w:fldCharType="separate"/>
        </w:r>
        <w:r w:rsidR="00F63B17">
          <w:rPr>
            <w:webHidden/>
          </w:rPr>
          <w:t>276</w:t>
        </w:r>
        <w:r w:rsidR="00F26054">
          <w:rPr>
            <w:webHidden/>
          </w:rPr>
          <w:fldChar w:fldCharType="end"/>
        </w:r>
      </w:hyperlink>
    </w:p>
    <w:p w:rsidR="00F26054" w:rsidRDefault="003C212D">
      <w:pPr>
        <w:pStyle w:val="TOC3"/>
        <w:rPr>
          <w:b w:val="0"/>
          <w:sz w:val="22"/>
        </w:rPr>
      </w:pPr>
      <w:hyperlink w:anchor="_Toc481591396" w:history="1">
        <w:r w:rsidR="00F26054" w:rsidRPr="00C40BEA">
          <w:rPr>
            <w:rStyle w:val="Hyperlink"/>
          </w:rPr>
          <w:t>Appendix 8:</w:t>
        </w:r>
        <w:r w:rsidR="00F26054">
          <w:rPr>
            <w:b w:val="0"/>
            <w:sz w:val="22"/>
          </w:rPr>
          <w:tab/>
        </w:r>
        <w:r w:rsidR="00F26054" w:rsidRPr="00C40BEA">
          <w:rPr>
            <w:rStyle w:val="Hyperlink"/>
          </w:rPr>
          <w:t>Practical classification guide between transactions and other economic flows</w:t>
        </w:r>
        <w:r w:rsidR="00F26054">
          <w:rPr>
            <w:webHidden/>
          </w:rPr>
          <w:tab/>
        </w:r>
        <w:r w:rsidR="00F26054">
          <w:rPr>
            <w:webHidden/>
          </w:rPr>
          <w:fldChar w:fldCharType="begin"/>
        </w:r>
        <w:r w:rsidR="00F26054">
          <w:rPr>
            <w:webHidden/>
          </w:rPr>
          <w:instrText xml:space="preserve"> PAGEREF _Toc481591396 \h </w:instrText>
        </w:r>
        <w:r w:rsidR="00F26054">
          <w:rPr>
            <w:webHidden/>
          </w:rPr>
        </w:r>
        <w:r w:rsidR="00F26054">
          <w:rPr>
            <w:webHidden/>
          </w:rPr>
          <w:fldChar w:fldCharType="separate"/>
        </w:r>
        <w:r w:rsidR="00F63B17">
          <w:rPr>
            <w:webHidden/>
          </w:rPr>
          <w:t>277</w:t>
        </w:r>
        <w:r w:rsidR="00F26054">
          <w:rPr>
            <w:webHidden/>
          </w:rPr>
          <w:fldChar w:fldCharType="end"/>
        </w:r>
      </w:hyperlink>
    </w:p>
    <w:p w:rsidR="00F26054" w:rsidRDefault="003C212D">
      <w:pPr>
        <w:pStyle w:val="TOC3"/>
        <w:rPr>
          <w:b w:val="0"/>
          <w:sz w:val="22"/>
        </w:rPr>
      </w:pPr>
      <w:hyperlink w:anchor="_Toc481591397" w:history="1">
        <w:r w:rsidR="00F26054" w:rsidRPr="00C40BEA">
          <w:rPr>
            <w:rStyle w:val="Hyperlink"/>
          </w:rPr>
          <w:t>Appendix 9:</w:t>
        </w:r>
        <w:r w:rsidR="00F26054">
          <w:rPr>
            <w:b w:val="0"/>
            <w:sz w:val="22"/>
          </w:rPr>
          <w:tab/>
        </w:r>
        <w:r w:rsidR="00F26054" w:rsidRPr="00C40BEA">
          <w:rPr>
            <w:rStyle w:val="Hyperlink"/>
          </w:rPr>
          <w:t>Declaration Certificate for executives – the certificate for declaration of related party transactions in compliance with aasb 124</w:t>
        </w:r>
        <w:r w:rsidR="00F26054">
          <w:rPr>
            <w:webHidden/>
          </w:rPr>
          <w:tab/>
        </w:r>
        <w:r w:rsidR="00F26054">
          <w:rPr>
            <w:webHidden/>
          </w:rPr>
          <w:fldChar w:fldCharType="begin"/>
        </w:r>
        <w:r w:rsidR="00F26054">
          <w:rPr>
            <w:webHidden/>
          </w:rPr>
          <w:instrText xml:space="preserve"> PAGEREF _Toc481591397 \h </w:instrText>
        </w:r>
        <w:r w:rsidR="00F26054">
          <w:rPr>
            <w:webHidden/>
          </w:rPr>
        </w:r>
        <w:r w:rsidR="00F26054">
          <w:rPr>
            <w:webHidden/>
          </w:rPr>
          <w:fldChar w:fldCharType="separate"/>
        </w:r>
        <w:r w:rsidR="00F63B17">
          <w:rPr>
            <w:webHidden/>
          </w:rPr>
          <w:t>278</w:t>
        </w:r>
        <w:r w:rsidR="00F26054">
          <w:rPr>
            <w:webHidden/>
          </w:rPr>
          <w:fldChar w:fldCharType="end"/>
        </w:r>
      </w:hyperlink>
    </w:p>
    <w:p w:rsidR="00F26054" w:rsidRDefault="003C212D">
      <w:pPr>
        <w:pStyle w:val="TOC3"/>
        <w:rPr>
          <w:b w:val="0"/>
          <w:sz w:val="22"/>
        </w:rPr>
      </w:pPr>
      <w:hyperlink w:anchor="_Toc481591398" w:history="1">
        <w:r w:rsidR="00F26054" w:rsidRPr="00C40BEA">
          <w:rPr>
            <w:rStyle w:val="Hyperlink"/>
          </w:rPr>
          <w:t>Appendix 10:</w:t>
        </w:r>
        <w:r w:rsidR="00F26054">
          <w:rPr>
            <w:b w:val="0"/>
            <w:sz w:val="22"/>
          </w:rPr>
          <w:tab/>
        </w:r>
        <w:r w:rsidR="00F26054" w:rsidRPr="00C40BEA">
          <w:rPr>
            <w:rStyle w:val="Hyperlink"/>
          </w:rPr>
          <w:t xml:space="preserve">AASB 124 </w:t>
        </w:r>
        <w:r w:rsidR="00F26054" w:rsidRPr="00C40BEA">
          <w:rPr>
            <w:rStyle w:val="Hyperlink"/>
            <w:i/>
          </w:rPr>
          <w:t xml:space="preserve">Related Party Disclosures – </w:t>
        </w:r>
        <w:r w:rsidR="00F26054" w:rsidRPr="00C40BEA">
          <w:rPr>
            <w:rStyle w:val="Hyperlink"/>
          </w:rPr>
          <w:t>entity management checklist</w:t>
        </w:r>
        <w:r w:rsidR="00F26054">
          <w:rPr>
            <w:webHidden/>
          </w:rPr>
          <w:tab/>
        </w:r>
        <w:r w:rsidR="00F26054">
          <w:rPr>
            <w:webHidden/>
          </w:rPr>
          <w:fldChar w:fldCharType="begin"/>
        </w:r>
        <w:r w:rsidR="00F26054">
          <w:rPr>
            <w:webHidden/>
          </w:rPr>
          <w:instrText xml:space="preserve"> PAGEREF _Toc481591398 \h </w:instrText>
        </w:r>
        <w:r w:rsidR="00F26054">
          <w:rPr>
            <w:webHidden/>
          </w:rPr>
        </w:r>
        <w:r w:rsidR="00F26054">
          <w:rPr>
            <w:webHidden/>
          </w:rPr>
          <w:fldChar w:fldCharType="separate"/>
        </w:r>
        <w:r w:rsidR="00F63B17">
          <w:rPr>
            <w:webHidden/>
          </w:rPr>
          <w:t>294</w:t>
        </w:r>
        <w:r w:rsidR="00F26054">
          <w:rPr>
            <w:webHidden/>
          </w:rPr>
          <w:fldChar w:fldCharType="end"/>
        </w:r>
      </w:hyperlink>
    </w:p>
    <w:p w:rsidR="00F26054" w:rsidRDefault="003C212D">
      <w:pPr>
        <w:pStyle w:val="TOC3"/>
        <w:rPr>
          <w:b w:val="0"/>
          <w:sz w:val="22"/>
        </w:rPr>
      </w:pPr>
      <w:hyperlink w:anchor="_Toc481591399" w:history="1">
        <w:r w:rsidR="00F26054" w:rsidRPr="00C40BEA">
          <w:rPr>
            <w:rStyle w:val="Hyperlink"/>
          </w:rPr>
          <w:t>Appendix 11:</w:t>
        </w:r>
        <w:r w:rsidR="00F26054">
          <w:rPr>
            <w:b w:val="0"/>
            <w:sz w:val="22"/>
          </w:rPr>
          <w:tab/>
        </w:r>
        <w:r w:rsidR="00F26054" w:rsidRPr="00C40BEA">
          <w:rPr>
            <w:rStyle w:val="Hyperlink"/>
          </w:rPr>
          <w:t>When to account for surplus assets as ‘held for sale’</w:t>
        </w:r>
        <w:r w:rsidR="00F26054">
          <w:rPr>
            <w:webHidden/>
          </w:rPr>
          <w:tab/>
        </w:r>
        <w:r w:rsidR="00F26054">
          <w:rPr>
            <w:webHidden/>
          </w:rPr>
          <w:fldChar w:fldCharType="begin"/>
        </w:r>
        <w:r w:rsidR="00F26054">
          <w:rPr>
            <w:webHidden/>
          </w:rPr>
          <w:instrText xml:space="preserve"> PAGEREF _Toc481591399 \h </w:instrText>
        </w:r>
        <w:r w:rsidR="00F26054">
          <w:rPr>
            <w:webHidden/>
          </w:rPr>
        </w:r>
        <w:r w:rsidR="00F26054">
          <w:rPr>
            <w:webHidden/>
          </w:rPr>
          <w:fldChar w:fldCharType="separate"/>
        </w:r>
        <w:r w:rsidR="00F63B17">
          <w:rPr>
            <w:webHidden/>
          </w:rPr>
          <w:t>306</w:t>
        </w:r>
        <w:r w:rsidR="00F26054">
          <w:rPr>
            <w:webHidden/>
          </w:rPr>
          <w:fldChar w:fldCharType="end"/>
        </w:r>
      </w:hyperlink>
    </w:p>
    <w:p w:rsidR="00F26054" w:rsidRDefault="003C212D">
      <w:pPr>
        <w:pStyle w:val="TOC3"/>
        <w:rPr>
          <w:b w:val="0"/>
          <w:sz w:val="22"/>
        </w:rPr>
      </w:pPr>
      <w:hyperlink w:anchor="_Toc481591400" w:history="1">
        <w:r w:rsidR="00F26054" w:rsidRPr="00C40BEA">
          <w:rPr>
            <w:rStyle w:val="Hyperlink"/>
          </w:rPr>
          <w:t>Appendix 12:</w:t>
        </w:r>
        <w:r w:rsidR="00F26054">
          <w:rPr>
            <w:b w:val="0"/>
            <w:sz w:val="22"/>
          </w:rPr>
          <w:tab/>
        </w:r>
        <w:r w:rsidR="00F26054" w:rsidRPr="00C40BEA">
          <w:rPr>
            <w:rStyle w:val="Hyperlink"/>
          </w:rPr>
          <w:t>Summary of new/revised accounting standards effective for current and future reporting periods</w:t>
        </w:r>
        <w:r w:rsidR="00F26054">
          <w:rPr>
            <w:webHidden/>
          </w:rPr>
          <w:tab/>
        </w:r>
        <w:r w:rsidR="00F26054">
          <w:rPr>
            <w:webHidden/>
          </w:rPr>
          <w:fldChar w:fldCharType="begin"/>
        </w:r>
        <w:r w:rsidR="00F26054">
          <w:rPr>
            <w:webHidden/>
          </w:rPr>
          <w:instrText xml:space="preserve"> PAGEREF _Toc481591400 \h </w:instrText>
        </w:r>
        <w:r w:rsidR="00F26054">
          <w:rPr>
            <w:webHidden/>
          </w:rPr>
        </w:r>
        <w:r w:rsidR="00F26054">
          <w:rPr>
            <w:webHidden/>
          </w:rPr>
          <w:fldChar w:fldCharType="separate"/>
        </w:r>
        <w:r w:rsidR="00F63B17">
          <w:rPr>
            <w:webHidden/>
          </w:rPr>
          <w:t>310</w:t>
        </w:r>
        <w:r w:rsidR="00F26054">
          <w:rPr>
            <w:webHidden/>
          </w:rPr>
          <w:fldChar w:fldCharType="end"/>
        </w:r>
      </w:hyperlink>
    </w:p>
    <w:p w:rsidR="00F26054" w:rsidRDefault="003C212D">
      <w:pPr>
        <w:pStyle w:val="TOC3"/>
        <w:rPr>
          <w:b w:val="0"/>
          <w:sz w:val="22"/>
        </w:rPr>
      </w:pPr>
      <w:hyperlink w:anchor="_Toc481591401" w:history="1">
        <w:r w:rsidR="00F26054" w:rsidRPr="00C40BEA">
          <w:rPr>
            <w:rStyle w:val="Hyperlink"/>
          </w:rPr>
          <w:t>Appendix 13:</w:t>
        </w:r>
        <w:r w:rsidR="00F26054">
          <w:rPr>
            <w:b w:val="0"/>
            <w:sz w:val="22"/>
          </w:rPr>
          <w:tab/>
        </w:r>
        <w:r w:rsidR="00F26054" w:rsidRPr="00C40BEA">
          <w:rPr>
            <w:rStyle w:val="Hyperlink"/>
          </w:rPr>
          <w:t>AASB reporting requirements for For-Profit and Not-for-Profit entities in the Victorian Public Sector</w:t>
        </w:r>
        <w:r w:rsidR="00F26054">
          <w:rPr>
            <w:webHidden/>
          </w:rPr>
          <w:tab/>
        </w:r>
        <w:r w:rsidR="00F26054">
          <w:rPr>
            <w:webHidden/>
          </w:rPr>
          <w:fldChar w:fldCharType="begin"/>
        </w:r>
        <w:r w:rsidR="00F26054">
          <w:rPr>
            <w:webHidden/>
          </w:rPr>
          <w:instrText xml:space="preserve"> PAGEREF _Toc481591401 \h </w:instrText>
        </w:r>
        <w:r w:rsidR="00F26054">
          <w:rPr>
            <w:webHidden/>
          </w:rPr>
        </w:r>
        <w:r w:rsidR="00F26054">
          <w:rPr>
            <w:webHidden/>
          </w:rPr>
          <w:fldChar w:fldCharType="separate"/>
        </w:r>
        <w:r w:rsidR="00F63B17">
          <w:rPr>
            <w:webHidden/>
          </w:rPr>
          <w:t>313</w:t>
        </w:r>
        <w:r w:rsidR="00F26054">
          <w:rPr>
            <w:webHidden/>
          </w:rPr>
          <w:fldChar w:fldCharType="end"/>
        </w:r>
      </w:hyperlink>
    </w:p>
    <w:p w:rsidR="00AD47C0" w:rsidRPr="00892DE3" w:rsidRDefault="00AD47C0" w:rsidP="00AD47C0">
      <w:r w:rsidRPr="00892DE3">
        <w:fldChar w:fldCharType="end"/>
      </w:r>
    </w:p>
    <w:p w:rsidR="00AD47C0" w:rsidRPr="00892DE3" w:rsidRDefault="00AD47C0" w:rsidP="00BF5B49"/>
    <w:p w:rsidR="00AD47C0" w:rsidRPr="00892DE3" w:rsidRDefault="00AD47C0" w:rsidP="00AD47C0">
      <w:pPr>
        <w:pStyle w:val="ChapterHeading0"/>
        <w:sectPr w:rsidR="00AD47C0" w:rsidRPr="00892DE3" w:rsidSect="002C2301">
          <w:headerReference w:type="even" r:id="rId173"/>
          <w:headerReference w:type="default" r:id="rId174"/>
          <w:footerReference w:type="even" r:id="rId175"/>
          <w:footerReference w:type="default" r:id="rId176"/>
          <w:footerReference w:type="first" r:id="rId177"/>
          <w:pgSz w:w="11906" w:h="16838" w:code="9"/>
          <w:pgMar w:top="1134" w:right="1134" w:bottom="1134" w:left="1134" w:header="624" w:footer="567" w:gutter="0"/>
          <w:cols w:space="708"/>
          <w:titlePg/>
          <w:docGrid w:linePitch="360"/>
        </w:sectPr>
      </w:pPr>
      <w:r w:rsidRPr="00892DE3">
        <w:br w:type="page"/>
      </w:r>
    </w:p>
    <w:p w:rsidR="00AD47C0" w:rsidRPr="00892DE3" w:rsidRDefault="00AD47C0" w:rsidP="008852ED">
      <w:pPr>
        <w:pStyle w:val="AppendixHeading"/>
      </w:pPr>
      <w:bookmarkStart w:id="262" w:name="_Toc481591389"/>
      <w:bookmarkStart w:id="263" w:name="_Toc481592336"/>
      <w:r w:rsidRPr="00892DE3">
        <w:t>Appendix 1:</w:t>
      </w:r>
      <w:r w:rsidRPr="00892DE3">
        <w:tab/>
        <w:t>Extracts of whole of government financial statements and analysis of disclosures</w:t>
      </w:r>
      <w:bookmarkEnd w:id="256"/>
      <w:bookmarkEnd w:id="257"/>
      <w:bookmarkEnd w:id="258"/>
      <w:bookmarkEnd w:id="259"/>
      <w:bookmarkEnd w:id="260"/>
      <w:bookmarkEnd w:id="261"/>
      <w:bookmarkEnd w:id="262"/>
      <w:bookmarkEnd w:id="263"/>
    </w:p>
    <w:p w:rsidR="00AD47C0" w:rsidRPr="0093711E" w:rsidRDefault="00AD47C0" w:rsidP="00AD47C0">
      <w:pPr>
        <w:pStyle w:val="NormalBlue"/>
        <w:rPr>
          <w:color w:val="0072CE" w:themeColor="accent4"/>
          <w:sz w:val="20"/>
        </w:rPr>
      </w:pPr>
      <w:r w:rsidRPr="0093711E">
        <w:rPr>
          <w:color w:val="0072CE" w:themeColor="accent4"/>
          <w:sz w:val="20"/>
        </w:rPr>
        <w:t xml:space="preserve">[The following extracts are supplementary information for the introduction to the Model report and therefore not part of disclosure requirements. These extracts have been included to highlight the different presentation formats in whole of government publications for the estimates and actuals.] </w:t>
      </w:r>
    </w:p>
    <w:p w:rsidR="00AD47C0" w:rsidRPr="00892DE3" w:rsidRDefault="00AD47C0" w:rsidP="009B556F">
      <w:pPr>
        <w:pStyle w:val="Heading1nonTOC"/>
        <w:pBdr>
          <w:bottom w:val="none" w:sz="0" w:space="0" w:color="auto"/>
        </w:pBdr>
        <w:rPr>
          <w:caps w:val="0"/>
        </w:rPr>
      </w:pPr>
      <w:bookmarkStart w:id="264" w:name="_Toc225564586"/>
      <w:bookmarkStart w:id="265" w:name="_Toc324234839"/>
      <w:bookmarkStart w:id="266" w:name="_Toc330906645"/>
      <w:bookmarkStart w:id="267" w:name="_Toc332019434"/>
      <w:bookmarkStart w:id="268" w:name="_Toc350413725"/>
      <w:bookmarkStart w:id="269" w:name="_Toc388277750"/>
      <w:r w:rsidRPr="00892DE3">
        <w:rPr>
          <w:caps w:val="0"/>
        </w:rPr>
        <w:t>Appendix 1(a) – Extract of estimated financial statements from the 2016</w:t>
      </w:r>
      <w:r w:rsidRPr="00892DE3">
        <w:rPr>
          <w:caps w:val="0"/>
        </w:rPr>
        <w:noBreakHyphen/>
        <w:t>17 Statement of Finances</w:t>
      </w:r>
      <w:bookmarkEnd w:id="264"/>
      <w:r w:rsidRPr="00892DE3">
        <w:rPr>
          <w:caps w:val="0"/>
        </w:rPr>
        <w:t>: Budget Paper No. 5</w:t>
      </w:r>
      <w:bookmarkEnd w:id="265"/>
      <w:bookmarkEnd w:id="266"/>
      <w:bookmarkEnd w:id="267"/>
      <w:bookmarkEnd w:id="268"/>
      <w:bookmarkEnd w:id="269"/>
    </w:p>
    <w:p w:rsidR="00AD47C0" w:rsidRPr="00892DE3" w:rsidRDefault="00AD47C0" w:rsidP="00BF5B49">
      <w:pPr>
        <w:pStyle w:val="Heading2nonTOC"/>
      </w:pPr>
      <w:r w:rsidRPr="00892DE3">
        <w:t>Estimated financial statements</w:t>
      </w:r>
    </w:p>
    <w:p w:rsidR="00AD47C0" w:rsidRPr="00892DE3" w:rsidRDefault="00AD47C0" w:rsidP="00AD47C0">
      <w:pPr>
        <w:pStyle w:val="TableHeading"/>
      </w:pPr>
      <w:r w:rsidRPr="00892DE3">
        <w:t>Table 1.1:</w:t>
      </w:r>
      <w:r w:rsidRPr="00892DE3">
        <w:tab/>
        <w:t xml:space="preserve">Estimated general government sector comprehensive operating statement </w:t>
      </w:r>
      <w:r w:rsidR="00B623D8" w:rsidRPr="00892DE3">
        <w:br/>
      </w:r>
      <w:r w:rsidRPr="00892DE3">
        <w:t>for the financial year ending 30 June</w:t>
      </w:r>
      <w:r w:rsidRPr="00892DE3">
        <w:tab/>
        <w:t>($ million)</w:t>
      </w:r>
    </w:p>
    <w:tbl>
      <w:tblPr>
        <w:tblStyle w:val="DTFTable"/>
        <w:tblW w:w="9639" w:type="dxa"/>
        <w:tblLayout w:type="fixed"/>
        <w:tblCellMar>
          <w:left w:w="45" w:type="dxa"/>
          <w:right w:w="45" w:type="dxa"/>
        </w:tblCellMar>
        <w:tblLook w:val="06E0" w:firstRow="1" w:lastRow="1" w:firstColumn="1" w:lastColumn="0" w:noHBand="1" w:noVBand="1"/>
      </w:tblPr>
      <w:tblGrid>
        <w:gridCol w:w="5120"/>
        <w:gridCol w:w="608"/>
        <w:gridCol w:w="924"/>
        <w:gridCol w:w="980"/>
        <w:gridCol w:w="966"/>
        <w:gridCol w:w="1041"/>
      </w:tblGrid>
      <w:tr w:rsidR="00AD47C0"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0" w:type="dxa"/>
            <w:tcBorders>
              <w:top w:val="single" w:sz="6" w:space="0" w:color="auto"/>
              <w:left w:val="single" w:sz="6" w:space="0" w:color="auto"/>
              <w:bottom w:val="single" w:sz="6" w:space="0" w:color="auto"/>
              <w:right w:val="nil"/>
            </w:tcBorders>
            <w:shd w:val="clear" w:color="000000" w:fill="000000"/>
          </w:tcPr>
          <w:p w:rsidR="00AD47C0" w:rsidRPr="00892DE3" w:rsidRDefault="00AD47C0" w:rsidP="00BC4184">
            <w:pPr>
              <w:spacing w:after="0"/>
              <w:ind w:left="0" w:firstLine="0"/>
            </w:pPr>
          </w:p>
        </w:tc>
        <w:tc>
          <w:tcPr>
            <w:tcW w:w="608" w:type="dxa"/>
            <w:tcBorders>
              <w:top w:val="single" w:sz="6" w:space="0" w:color="auto"/>
              <w:left w:val="nil"/>
              <w:bottom w:val="single" w:sz="6" w:space="0" w:color="auto"/>
              <w:right w:val="nil"/>
            </w:tcBorders>
            <w:shd w:val="clear" w:color="000000" w:fill="000000"/>
          </w:tcPr>
          <w:p w:rsidR="00AD47C0" w:rsidRPr="00892DE3" w:rsidRDefault="00AD47C0" w:rsidP="00BC4184">
            <w:pPr>
              <w:spacing w:after="0"/>
              <w:jc w:val="center"/>
              <w:cnfStyle w:val="100000000000" w:firstRow="1" w:lastRow="0" w:firstColumn="0" w:lastColumn="0" w:oddVBand="0" w:evenVBand="0" w:oddHBand="0" w:evenHBand="0" w:firstRowFirstColumn="0" w:firstRowLastColumn="0" w:lastRowFirstColumn="0" w:lastRowLastColumn="0"/>
            </w:pPr>
            <w:r w:rsidRPr="00892DE3">
              <w:br/>
              <w:t>Notes</w:t>
            </w:r>
          </w:p>
        </w:tc>
        <w:tc>
          <w:tcPr>
            <w:tcW w:w="924" w:type="dxa"/>
            <w:tcBorders>
              <w:top w:val="single" w:sz="6" w:space="0" w:color="auto"/>
              <w:left w:val="nil"/>
              <w:bottom w:val="single" w:sz="6" w:space="0" w:color="auto"/>
              <w:right w:val="nil"/>
            </w:tcBorders>
            <w:shd w:val="clear" w:color="000000" w:fill="000000"/>
          </w:tcPr>
          <w:p w:rsidR="00AD47C0" w:rsidRPr="00892DE3" w:rsidRDefault="00AD47C0" w:rsidP="002774BB">
            <w:pPr>
              <w:spacing w:after="0"/>
              <w:cnfStyle w:val="100000000000" w:firstRow="1" w:lastRow="0" w:firstColumn="0" w:lastColumn="0" w:oddVBand="0" w:evenVBand="0" w:oddHBand="0" w:evenHBand="0" w:firstRowFirstColumn="0" w:firstRowLastColumn="0" w:lastRowFirstColumn="0" w:lastRowLastColumn="0"/>
            </w:pPr>
            <w:r w:rsidRPr="00892DE3">
              <w:t>2016-17</w:t>
            </w:r>
            <w:r w:rsidRPr="00892DE3">
              <w:br/>
              <w:t>budget</w:t>
            </w:r>
          </w:p>
        </w:tc>
        <w:tc>
          <w:tcPr>
            <w:tcW w:w="980" w:type="dxa"/>
            <w:tcBorders>
              <w:top w:val="single" w:sz="6" w:space="0" w:color="auto"/>
              <w:left w:val="nil"/>
              <w:bottom w:val="single" w:sz="6" w:space="0" w:color="auto"/>
              <w:right w:val="nil"/>
            </w:tcBorders>
            <w:shd w:val="clear" w:color="000000" w:fill="000000"/>
          </w:tcPr>
          <w:p w:rsidR="00AD47C0" w:rsidRPr="00892DE3" w:rsidRDefault="00AD47C0" w:rsidP="00BC4184">
            <w:pPr>
              <w:spacing w:after="0"/>
              <w:cnfStyle w:val="100000000000" w:firstRow="1" w:lastRow="0" w:firstColumn="0" w:lastColumn="0" w:oddVBand="0" w:evenVBand="0" w:oddHBand="0" w:evenHBand="0" w:firstRowFirstColumn="0" w:firstRowLastColumn="0" w:lastRowFirstColumn="0" w:lastRowLastColumn="0"/>
            </w:pPr>
            <w:r w:rsidRPr="00892DE3">
              <w:t>2017-18</w:t>
            </w:r>
            <w:r w:rsidRPr="00892DE3">
              <w:br/>
              <w:t>estimate</w:t>
            </w:r>
          </w:p>
        </w:tc>
        <w:tc>
          <w:tcPr>
            <w:tcW w:w="966" w:type="dxa"/>
            <w:tcBorders>
              <w:top w:val="single" w:sz="6" w:space="0" w:color="auto"/>
              <w:left w:val="nil"/>
              <w:bottom w:val="single" w:sz="6" w:space="0" w:color="auto"/>
              <w:right w:val="nil"/>
            </w:tcBorders>
            <w:shd w:val="clear" w:color="000000" w:fill="000000"/>
          </w:tcPr>
          <w:p w:rsidR="00AD47C0" w:rsidRPr="00892DE3" w:rsidRDefault="00AD47C0" w:rsidP="00BC4184">
            <w:pPr>
              <w:spacing w:after="0"/>
              <w:cnfStyle w:val="100000000000" w:firstRow="1" w:lastRow="0" w:firstColumn="0" w:lastColumn="0" w:oddVBand="0" w:evenVBand="0" w:oddHBand="0" w:evenHBand="0" w:firstRowFirstColumn="0" w:firstRowLastColumn="0" w:lastRowFirstColumn="0" w:lastRowLastColumn="0"/>
            </w:pPr>
            <w:r w:rsidRPr="00892DE3">
              <w:t>2018-19</w:t>
            </w:r>
            <w:r w:rsidRPr="00892DE3">
              <w:br/>
              <w:t>estimate</w:t>
            </w:r>
          </w:p>
        </w:tc>
        <w:tc>
          <w:tcPr>
            <w:tcW w:w="1041" w:type="dxa"/>
            <w:tcBorders>
              <w:top w:val="single" w:sz="6" w:space="0" w:color="auto"/>
              <w:left w:val="nil"/>
              <w:bottom w:val="single" w:sz="6" w:space="0" w:color="auto"/>
              <w:right w:val="single" w:sz="6" w:space="0" w:color="auto"/>
            </w:tcBorders>
            <w:shd w:val="clear" w:color="000000" w:fill="000000"/>
          </w:tcPr>
          <w:p w:rsidR="00AD47C0" w:rsidRPr="00892DE3" w:rsidRDefault="00AD47C0" w:rsidP="00BC4184">
            <w:pPr>
              <w:spacing w:after="0"/>
              <w:cnfStyle w:val="100000000000" w:firstRow="1" w:lastRow="0" w:firstColumn="0" w:lastColumn="0" w:oddVBand="0" w:evenVBand="0" w:oddHBand="0" w:evenHBand="0" w:firstRowFirstColumn="0" w:firstRowLastColumn="0" w:lastRowFirstColumn="0" w:lastRowLastColumn="0"/>
            </w:pPr>
            <w:r w:rsidRPr="00892DE3">
              <w:t>2019-20</w:t>
            </w:r>
            <w:r w:rsidRPr="00892DE3">
              <w:br/>
              <w:t>estimate</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left w:val="nil"/>
              <w:bottom w:val="nil"/>
              <w:right w:val="nil"/>
            </w:tcBorders>
            <w:shd w:val="solid" w:color="FFFFFF" w:fill="auto"/>
          </w:tcPr>
          <w:p w:rsidR="00AD47C0" w:rsidRPr="00892DE3" w:rsidRDefault="00AD47C0" w:rsidP="009B556F">
            <w:pPr>
              <w:spacing w:after="0" w:line="276" w:lineRule="auto"/>
              <w:rPr>
                <w:b/>
              </w:rPr>
            </w:pPr>
            <w:r w:rsidRPr="00892DE3">
              <w:rPr>
                <w:b/>
              </w:rPr>
              <w:t>Revenue from transactions</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Taxation revenue</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2</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21 594</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21 292</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22 468</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23 354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Interest revenue</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881</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915</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903</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906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Dividends and income tax equivalent and rate equivalent revenue</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3</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1 059</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1 377</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846</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787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Sales of goods and services</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4</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6 843</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7 036</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7 212</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7 240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Grant revenue</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5</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27 424</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28 069</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28 844</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29 957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single" w:sz="6" w:space="0" w:color="000000"/>
              <w:right w:val="nil"/>
            </w:tcBorders>
            <w:shd w:val="solid" w:color="FFFFFF" w:fill="auto"/>
          </w:tcPr>
          <w:p w:rsidR="00AD47C0" w:rsidRPr="00892DE3" w:rsidRDefault="00AD47C0" w:rsidP="009B556F">
            <w:pPr>
              <w:spacing w:after="0" w:line="276" w:lineRule="auto"/>
            </w:pPr>
            <w:r w:rsidRPr="00892DE3">
              <w:t>Other revenue</w:t>
            </w:r>
          </w:p>
        </w:tc>
        <w:tc>
          <w:tcPr>
            <w:tcW w:w="608" w:type="dxa"/>
            <w:tcBorders>
              <w:top w:val="nil"/>
              <w:left w:val="nil"/>
              <w:bottom w:val="single" w:sz="6" w:space="0" w:color="000000"/>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6</w:t>
            </w:r>
          </w:p>
        </w:tc>
        <w:tc>
          <w:tcPr>
            <w:tcW w:w="924" w:type="dxa"/>
            <w:tcBorders>
              <w:top w:val="nil"/>
              <w:left w:val="nil"/>
              <w:bottom w:val="single" w:sz="6"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2 569</w:t>
            </w:r>
          </w:p>
        </w:tc>
        <w:tc>
          <w:tcPr>
            <w:tcW w:w="980" w:type="dxa"/>
            <w:tcBorders>
              <w:top w:val="nil"/>
              <w:left w:val="nil"/>
              <w:bottom w:val="single" w:sz="6"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2 320</w:t>
            </w:r>
          </w:p>
        </w:tc>
        <w:tc>
          <w:tcPr>
            <w:tcW w:w="966" w:type="dxa"/>
            <w:tcBorders>
              <w:top w:val="nil"/>
              <w:left w:val="nil"/>
              <w:bottom w:val="single" w:sz="6"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2 331</w:t>
            </w:r>
          </w:p>
        </w:tc>
        <w:tc>
          <w:tcPr>
            <w:tcW w:w="1041" w:type="dxa"/>
            <w:tcBorders>
              <w:top w:val="nil"/>
              <w:left w:val="nil"/>
              <w:bottom w:val="single" w:sz="6"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2 374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rPr>
                <w:b/>
              </w:rPr>
            </w:pPr>
            <w:r w:rsidRPr="00892DE3">
              <w:rPr>
                <w:b/>
              </w:rPr>
              <w:t>Total revenue from transactions</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24" w:type="dxa"/>
            <w:tcBorders>
              <w:top w:val="nil"/>
              <w:left w:val="nil"/>
              <w:bottom w:val="nil"/>
              <w:right w:val="nil"/>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60 370</w:t>
            </w:r>
          </w:p>
        </w:tc>
        <w:tc>
          <w:tcPr>
            <w:tcW w:w="980" w:type="dxa"/>
            <w:tcBorders>
              <w:top w:val="nil"/>
              <w:left w:val="nil"/>
              <w:bottom w:val="nil"/>
              <w:right w:val="nil"/>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61 009</w:t>
            </w:r>
          </w:p>
        </w:tc>
        <w:tc>
          <w:tcPr>
            <w:tcW w:w="966" w:type="dxa"/>
            <w:tcBorders>
              <w:top w:val="nil"/>
              <w:left w:val="nil"/>
              <w:bottom w:val="nil"/>
              <w:right w:val="nil"/>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62 604</w:t>
            </w:r>
          </w:p>
        </w:tc>
        <w:tc>
          <w:tcPr>
            <w:tcW w:w="1041" w:type="dxa"/>
            <w:tcBorders>
              <w:top w:val="nil"/>
              <w:left w:val="nil"/>
              <w:bottom w:val="nil"/>
              <w:right w:val="nil"/>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64 618</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9639" w:type="dxa"/>
            <w:gridSpan w:val="6"/>
            <w:tcBorders>
              <w:top w:val="nil"/>
              <w:left w:val="nil"/>
              <w:bottom w:val="nil"/>
              <w:right w:val="nil"/>
            </w:tcBorders>
            <w:shd w:val="solid" w:color="FFFFFF" w:fill="auto"/>
          </w:tcPr>
          <w:p w:rsidR="00AD47C0" w:rsidRPr="00892DE3" w:rsidRDefault="00AD47C0" w:rsidP="009B556F">
            <w:pPr>
              <w:spacing w:after="0" w:line="276" w:lineRule="auto"/>
              <w:rPr>
                <w:b/>
              </w:rPr>
            </w:pPr>
            <w:r w:rsidRPr="00892DE3">
              <w:rPr>
                <w:b/>
              </w:rPr>
              <w:t>Expenses from transactions</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Employee expenses</w:t>
            </w:r>
          </w:p>
        </w:tc>
        <w:tc>
          <w:tcPr>
            <w:tcW w:w="608" w:type="dxa"/>
            <w:tcBorders>
              <w:top w:val="nil"/>
              <w:left w:val="nil"/>
              <w:bottom w:val="nil"/>
              <w:right w:val="nil"/>
            </w:tcBorders>
            <w:shd w:val="solid" w:color="FFFFFF" w:fill="auto"/>
          </w:tcPr>
          <w:p w:rsidR="00AD47C0" w:rsidRPr="00892DE3" w:rsidRDefault="00AD47C0" w:rsidP="00BC4184">
            <w:pPr>
              <w:pStyle w:val="TableTextCentred0"/>
              <w:spacing w:before="20" w:after="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21 298</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22 121</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23 031</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23 713</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Net superannuation interest expense</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7a</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791</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769</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745</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720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Other superannuation</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7a</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2 239</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2 255</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2 287</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2 325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Depreciation</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8</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2 620</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2 780</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3 039</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3 216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Interest expense</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9</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2 433</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2 231</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2 254</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2 214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Grant expense</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10</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9 451</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9 697</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9 942</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10 036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Other operating expenses</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11</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18 669</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19 358</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19 223</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19 923</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single" w:sz="6" w:space="0" w:color="000000"/>
              <w:left w:val="nil"/>
              <w:bottom w:val="single" w:sz="6" w:space="0" w:color="000000"/>
              <w:right w:val="nil"/>
            </w:tcBorders>
            <w:shd w:val="solid" w:color="FFFFFF" w:fill="auto"/>
          </w:tcPr>
          <w:p w:rsidR="00AD47C0" w:rsidRPr="00892DE3" w:rsidRDefault="00AD47C0" w:rsidP="009B556F">
            <w:pPr>
              <w:spacing w:after="0" w:line="276" w:lineRule="auto"/>
              <w:rPr>
                <w:b/>
              </w:rPr>
            </w:pPr>
            <w:r w:rsidRPr="00892DE3">
              <w:rPr>
                <w:b/>
              </w:rPr>
              <w:t>Total expenses from transactions</w:t>
            </w:r>
          </w:p>
        </w:tc>
        <w:tc>
          <w:tcPr>
            <w:tcW w:w="608" w:type="dxa"/>
            <w:tcBorders>
              <w:top w:val="single" w:sz="6" w:space="0" w:color="000000"/>
              <w:left w:val="nil"/>
              <w:bottom w:val="single" w:sz="6" w:space="0" w:color="000000"/>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rPr>
                <w:b/>
              </w:rPr>
            </w:pPr>
            <w:r w:rsidRPr="00892DE3">
              <w:rPr>
                <w:b/>
              </w:rPr>
              <w:t>12</w:t>
            </w:r>
          </w:p>
        </w:tc>
        <w:tc>
          <w:tcPr>
            <w:tcW w:w="924" w:type="dxa"/>
            <w:tcBorders>
              <w:top w:val="single" w:sz="6" w:space="0" w:color="000000"/>
              <w:left w:val="nil"/>
              <w:bottom w:val="single" w:sz="6"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57 501</w:t>
            </w:r>
          </w:p>
        </w:tc>
        <w:tc>
          <w:tcPr>
            <w:tcW w:w="980" w:type="dxa"/>
            <w:tcBorders>
              <w:top w:val="single" w:sz="6" w:space="0" w:color="000000"/>
              <w:left w:val="nil"/>
              <w:bottom w:val="single" w:sz="6"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59 212</w:t>
            </w:r>
          </w:p>
        </w:tc>
        <w:tc>
          <w:tcPr>
            <w:tcW w:w="966" w:type="dxa"/>
            <w:tcBorders>
              <w:top w:val="single" w:sz="6" w:space="0" w:color="000000"/>
              <w:left w:val="nil"/>
              <w:bottom w:val="single" w:sz="6"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60 522</w:t>
            </w:r>
          </w:p>
        </w:tc>
        <w:tc>
          <w:tcPr>
            <w:tcW w:w="1041" w:type="dxa"/>
            <w:tcBorders>
              <w:top w:val="single" w:sz="6" w:space="0" w:color="000000"/>
              <w:left w:val="nil"/>
              <w:bottom w:val="single" w:sz="6"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62 147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single" w:sz="6" w:space="0" w:color="000000"/>
              <w:left w:val="nil"/>
              <w:bottom w:val="single" w:sz="12" w:space="0" w:color="000000"/>
              <w:right w:val="nil"/>
            </w:tcBorders>
            <w:shd w:val="solid" w:color="FFFFFF" w:fill="auto"/>
          </w:tcPr>
          <w:p w:rsidR="00AD47C0" w:rsidRPr="00892DE3" w:rsidRDefault="00AD47C0" w:rsidP="009B556F">
            <w:pPr>
              <w:spacing w:after="0" w:line="276" w:lineRule="auto"/>
              <w:rPr>
                <w:b/>
              </w:rPr>
            </w:pPr>
            <w:r w:rsidRPr="00892DE3">
              <w:rPr>
                <w:b/>
              </w:rPr>
              <w:t>Net result from transactions – net operating balance</w:t>
            </w:r>
          </w:p>
        </w:tc>
        <w:tc>
          <w:tcPr>
            <w:tcW w:w="608" w:type="dxa"/>
            <w:tcBorders>
              <w:top w:val="single" w:sz="6" w:space="0" w:color="000000"/>
              <w:left w:val="nil"/>
              <w:bottom w:val="single" w:sz="12" w:space="0" w:color="000000"/>
              <w:right w:val="nil"/>
            </w:tcBorders>
            <w:shd w:val="solid" w:color="FFFFFF" w:fill="auto"/>
          </w:tcPr>
          <w:p w:rsidR="00AD47C0" w:rsidRPr="00892DE3" w:rsidRDefault="00AD47C0" w:rsidP="00BC4184">
            <w:pPr>
              <w:pStyle w:val="TableTextCentred0"/>
              <w:spacing w:before="20" w:after="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24" w:type="dxa"/>
            <w:tcBorders>
              <w:top w:val="single" w:sz="6" w:space="0" w:color="000000"/>
              <w:left w:val="nil"/>
              <w:bottom w:val="single" w:sz="12"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2 869</w:t>
            </w:r>
          </w:p>
        </w:tc>
        <w:tc>
          <w:tcPr>
            <w:tcW w:w="980" w:type="dxa"/>
            <w:tcBorders>
              <w:top w:val="single" w:sz="6" w:space="0" w:color="000000"/>
              <w:left w:val="nil"/>
              <w:bottom w:val="single" w:sz="12"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1 797</w:t>
            </w:r>
          </w:p>
        </w:tc>
        <w:tc>
          <w:tcPr>
            <w:tcW w:w="966" w:type="dxa"/>
            <w:tcBorders>
              <w:top w:val="single" w:sz="6" w:space="0" w:color="000000"/>
              <w:left w:val="nil"/>
              <w:bottom w:val="single" w:sz="12"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2 082</w:t>
            </w:r>
          </w:p>
        </w:tc>
        <w:tc>
          <w:tcPr>
            <w:tcW w:w="1041" w:type="dxa"/>
            <w:tcBorders>
              <w:top w:val="single" w:sz="6" w:space="0" w:color="000000"/>
              <w:left w:val="nil"/>
              <w:bottom w:val="single" w:sz="12" w:space="0" w:color="000000"/>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2 471</w:t>
            </w:r>
          </w:p>
        </w:tc>
      </w:tr>
      <w:tr w:rsidR="00AD47C0" w:rsidRPr="00892DE3" w:rsidTr="00F042B6">
        <w:trPr>
          <w:gridAfter w:val="1"/>
          <w:wAfter w:w="1041" w:type="dxa"/>
        </w:trPr>
        <w:tc>
          <w:tcPr>
            <w:cnfStyle w:val="001000000000" w:firstRow="0" w:lastRow="0" w:firstColumn="1" w:lastColumn="0" w:oddVBand="0" w:evenVBand="0" w:oddHBand="0" w:evenHBand="0" w:firstRowFirstColumn="0" w:firstRowLastColumn="0" w:lastRowFirstColumn="0" w:lastRowLastColumn="0"/>
            <w:tcW w:w="8598" w:type="dxa"/>
            <w:gridSpan w:val="5"/>
            <w:tcBorders>
              <w:top w:val="nil"/>
              <w:left w:val="nil"/>
              <w:bottom w:val="nil"/>
              <w:right w:val="nil"/>
            </w:tcBorders>
            <w:shd w:val="solid" w:color="FFFFFF" w:fill="auto"/>
          </w:tcPr>
          <w:p w:rsidR="00AD47C0" w:rsidRPr="00892DE3" w:rsidRDefault="00AD47C0" w:rsidP="009B556F">
            <w:pPr>
              <w:spacing w:after="0" w:line="276" w:lineRule="auto"/>
              <w:rPr>
                <w:b/>
              </w:rPr>
            </w:pPr>
            <w:r w:rsidRPr="00892DE3">
              <w:rPr>
                <w:b/>
              </w:rPr>
              <w:t>Other economic flows included in net result</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Net gain/(loss) on disposal of non</w:t>
            </w:r>
            <w:r w:rsidRPr="00892DE3">
              <w:noBreakHyphen/>
              <w:t>financial assets</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73</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337</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77</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67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Net gain/(loss) on financial assets or liabilities at fair value</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11</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16</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17</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pPr>
            <w:r w:rsidRPr="00892DE3">
              <w:t>Other gains/(losses) from other economic flows</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892DE3">
              <w:t>13</w:t>
            </w:r>
          </w:p>
        </w:tc>
        <w:tc>
          <w:tcPr>
            <w:tcW w:w="924"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(318)</w:t>
            </w:r>
          </w:p>
        </w:tc>
        <w:tc>
          <w:tcPr>
            <w:tcW w:w="980"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(328)</w:t>
            </w:r>
          </w:p>
        </w:tc>
        <w:tc>
          <w:tcPr>
            <w:tcW w:w="966"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(335)</w:t>
            </w:r>
          </w:p>
        </w:tc>
        <w:tc>
          <w:tcPr>
            <w:tcW w:w="1041" w:type="dxa"/>
            <w:tcBorders>
              <w:top w:val="nil"/>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(349)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single" w:sz="6" w:space="0" w:color="000000"/>
              <w:left w:val="nil"/>
              <w:bottom w:val="nil"/>
              <w:right w:val="nil"/>
            </w:tcBorders>
            <w:shd w:val="solid" w:color="FFFFFF" w:fill="auto"/>
          </w:tcPr>
          <w:p w:rsidR="00AD47C0" w:rsidRPr="00892DE3" w:rsidRDefault="00AD47C0" w:rsidP="009B556F">
            <w:pPr>
              <w:spacing w:after="0" w:line="276" w:lineRule="auto"/>
              <w:rPr>
                <w:b/>
              </w:rPr>
            </w:pPr>
            <w:r w:rsidRPr="00892DE3">
              <w:rPr>
                <w:b/>
              </w:rPr>
              <w:t>Total other economic flows included in net result</w:t>
            </w:r>
          </w:p>
        </w:tc>
        <w:tc>
          <w:tcPr>
            <w:tcW w:w="608" w:type="dxa"/>
            <w:tcBorders>
              <w:top w:val="single" w:sz="6" w:space="0" w:color="000000"/>
              <w:left w:val="nil"/>
              <w:bottom w:val="nil"/>
              <w:right w:val="nil"/>
            </w:tcBorders>
            <w:shd w:val="solid" w:color="FFFFFF" w:fill="auto"/>
          </w:tcPr>
          <w:p w:rsidR="00AD47C0" w:rsidRPr="00892DE3" w:rsidRDefault="00AD47C0"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24" w:type="dxa"/>
            <w:tcBorders>
              <w:top w:val="single" w:sz="6" w:space="0" w:color="000000"/>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(234)</w:t>
            </w:r>
          </w:p>
        </w:tc>
        <w:tc>
          <w:tcPr>
            <w:tcW w:w="980" w:type="dxa"/>
            <w:tcBorders>
              <w:top w:val="single" w:sz="6" w:space="0" w:color="000000"/>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26</w:t>
            </w:r>
          </w:p>
        </w:tc>
        <w:tc>
          <w:tcPr>
            <w:tcW w:w="966" w:type="dxa"/>
            <w:tcBorders>
              <w:top w:val="single" w:sz="6" w:space="0" w:color="000000"/>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(241)</w:t>
            </w:r>
          </w:p>
        </w:tc>
        <w:tc>
          <w:tcPr>
            <w:tcW w:w="1041" w:type="dxa"/>
            <w:tcBorders>
              <w:top w:val="single" w:sz="6" w:space="0" w:color="000000"/>
              <w:left w:val="nil"/>
              <w:bottom w:val="nil"/>
              <w:right w:val="nil"/>
            </w:tcBorders>
            <w:shd w:val="solid" w:color="FFFFFF" w:fill="auto"/>
          </w:tcPr>
          <w:p w:rsidR="00AD47C0" w:rsidRPr="00892DE3" w:rsidRDefault="00AD47C0"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(265)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20" w:type="dxa"/>
            <w:tcBorders>
              <w:top w:val="single" w:sz="6" w:space="0" w:color="000000"/>
              <w:bottom w:val="single" w:sz="6" w:space="0" w:color="000000"/>
            </w:tcBorders>
            <w:shd w:val="solid" w:color="FFFFFF" w:fill="auto"/>
          </w:tcPr>
          <w:p w:rsidR="00AD47C0" w:rsidRPr="00892DE3" w:rsidRDefault="00AD47C0" w:rsidP="009B556F">
            <w:pPr>
              <w:spacing w:after="0" w:line="276" w:lineRule="auto"/>
            </w:pPr>
            <w:r w:rsidRPr="00892DE3">
              <w:t>Net result</w:t>
            </w:r>
          </w:p>
        </w:tc>
        <w:tc>
          <w:tcPr>
            <w:tcW w:w="608" w:type="dxa"/>
            <w:tcBorders>
              <w:top w:val="single" w:sz="6" w:space="0" w:color="000000"/>
              <w:bottom w:val="single" w:sz="6" w:space="0" w:color="000000"/>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24" w:type="dxa"/>
            <w:tcBorders>
              <w:top w:val="single" w:sz="6" w:space="0" w:color="000000"/>
              <w:bottom w:val="single" w:sz="6" w:space="0" w:color="000000"/>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pPr>
            <w:r w:rsidRPr="00892DE3">
              <w:t>2 635</w:t>
            </w:r>
          </w:p>
        </w:tc>
        <w:tc>
          <w:tcPr>
            <w:tcW w:w="980" w:type="dxa"/>
            <w:tcBorders>
              <w:top w:val="single" w:sz="6" w:space="0" w:color="000000"/>
              <w:bottom w:val="single" w:sz="6" w:space="0" w:color="000000"/>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pPr>
            <w:r w:rsidRPr="00892DE3">
              <w:t>1 823</w:t>
            </w:r>
          </w:p>
        </w:tc>
        <w:tc>
          <w:tcPr>
            <w:tcW w:w="966" w:type="dxa"/>
            <w:tcBorders>
              <w:top w:val="single" w:sz="6" w:space="0" w:color="000000"/>
              <w:bottom w:val="single" w:sz="6" w:space="0" w:color="000000"/>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pPr>
            <w:r w:rsidRPr="00892DE3">
              <w:t>1 841</w:t>
            </w:r>
          </w:p>
        </w:tc>
        <w:tc>
          <w:tcPr>
            <w:tcW w:w="1041" w:type="dxa"/>
            <w:tcBorders>
              <w:top w:val="single" w:sz="6" w:space="0" w:color="000000"/>
              <w:bottom w:val="single" w:sz="6" w:space="0" w:color="000000"/>
            </w:tcBorders>
            <w:shd w:val="solid" w:color="FFFFFF" w:fill="auto"/>
          </w:tcPr>
          <w:p w:rsidR="00AD47C0" w:rsidRPr="00892DE3" w:rsidRDefault="00AD47C0" w:rsidP="00BC4184">
            <w:pPr>
              <w:spacing w:after="0"/>
              <w:ind w:left="170" w:hanging="170"/>
              <w:cnfStyle w:val="000000000000" w:firstRow="0" w:lastRow="0" w:firstColumn="0" w:lastColumn="0" w:oddVBand="0" w:evenVBand="0" w:oddHBand="0" w:evenHBand="0" w:firstRowFirstColumn="0" w:firstRowLastColumn="0" w:lastRowFirstColumn="0" w:lastRowLastColumn="0"/>
            </w:pPr>
            <w:r w:rsidRPr="00892DE3">
              <w:t>2 206</w:t>
            </w:r>
          </w:p>
        </w:tc>
      </w:tr>
      <w:tr w:rsidR="00AD47C0" w:rsidRPr="00892DE3" w:rsidTr="00F042B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6"/>
            <w:tcBorders>
              <w:top w:val="nil"/>
              <w:left w:val="nil"/>
              <w:bottom w:val="nil"/>
              <w:right w:val="nil"/>
            </w:tcBorders>
            <w:shd w:val="solid" w:color="FFFFFF" w:fill="auto"/>
          </w:tcPr>
          <w:p w:rsidR="00AD47C0" w:rsidRPr="00892DE3" w:rsidRDefault="00AD47C0" w:rsidP="009B556F">
            <w:pPr>
              <w:spacing w:after="0" w:line="276" w:lineRule="auto"/>
              <w:ind w:left="170" w:hanging="170"/>
              <w:jc w:val="left"/>
              <w:rPr>
                <w:b/>
              </w:rPr>
            </w:pPr>
            <w:r w:rsidRPr="00892DE3">
              <w:rPr>
                <w:b/>
              </w:rPr>
              <w:t>Other economic flows – other comprehensive income</w:t>
            </w:r>
          </w:p>
        </w:tc>
      </w:tr>
      <w:tr w:rsidR="00AD47C0" w:rsidRPr="00892DE3" w:rsidTr="00F042B6">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6"/>
            <w:tcBorders>
              <w:top w:val="nil"/>
              <w:left w:val="nil"/>
              <w:bottom w:val="nil"/>
              <w:right w:val="nil"/>
            </w:tcBorders>
            <w:shd w:val="solid" w:color="FFFFFF" w:fill="auto"/>
          </w:tcPr>
          <w:p w:rsidR="00AD47C0" w:rsidRPr="00892DE3" w:rsidRDefault="00AD47C0" w:rsidP="009B556F">
            <w:pPr>
              <w:spacing w:after="0" w:line="276" w:lineRule="auto"/>
              <w:ind w:left="170" w:hanging="170"/>
              <w:jc w:val="left"/>
              <w:rPr>
                <w:b/>
              </w:rPr>
            </w:pPr>
            <w:r w:rsidRPr="00892DE3">
              <w:rPr>
                <w:b/>
              </w:rPr>
              <w:t>Items that will not be reclassified to net result</w:t>
            </w:r>
          </w:p>
        </w:tc>
      </w:tr>
      <w:tr w:rsidR="00AD47C0" w:rsidRPr="00892DE3" w:rsidTr="00F042B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ind w:left="170" w:hanging="170"/>
              <w:jc w:val="left"/>
            </w:pPr>
            <w:r w:rsidRPr="00892DE3">
              <w:t>Changes in non</w:t>
            </w:r>
            <w:r w:rsidRPr="00892DE3">
              <w:noBreakHyphen/>
              <w:t>financial assets revaluation surplus</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 xml:space="preserve"> </w:t>
            </w: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AD47C0" w:rsidRPr="00892DE3" w:rsidRDefault="00AD47C0" w:rsidP="00BC4184">
            <w:pPr>
              <w:spacing w:after="0"/>
              <w:ind w:left="170" w:hanging="170"/>
            </w:pPr>
            <w:r w:rsidRPr="00892DE3">
              <w:t>109</w:t>
            </w:r>
          </w:p>
        </w:tc>
        <w:tc>
          <w:tcPr>
            <w:tcW w:w="980" w:type="dxa"/>
            <w:tcBorders>
              <w:top w:val="nil"/>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7 101</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AD47C0" w:rsidRPr="00892DE3" w:rsidRDefault="00AD47C0" w:rsidP="00BC4184">
            <w:pPr>
              <w:spacing w:after="0"/>
              <w:ind w:left="170" w:hanging="170"/>
            </w:pPr>
            <w:r w:rsidRPr="00892DE3">
              <w:t>1 653</w:t>
            </w:r>
          </w:p>
        </w:tc>
        <w:tc>
          <w:tcPr>
            <w:tcW w:w="1041" w:type="dxa"/>
            <w:tcBorders>
              <w:top w:val="nil"/>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7 445</w:t>
            </w:r>
          </w:p>
        </w:tc>
      </w:tr>
      <w:tr w:rsidR="00AD47C0" w:rsidRPr="00892DE3" w:rsidTr="00F042B6">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ind w:left="170" w:hanging="170"/>
              <w:jc w:val="left"/>
            </w:pPr>
            <w:r w:rsidRPr="00892DE3">
              <w:t>Remeasurement of superannuation defined benefit plans</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10000" w:firstRow="0" w:lastRow="0" w:firstColumn="0" w:lastColumn="0" w:oddVBand="0" w:evenVBand="0" w:oddHBand="0" w:evenHBand="1" w:firstRowFirstColumn="0" w:firstRowLastColumn="0" w:lastRowFirstColumn="0" w:lastRowLastColumn="0"/>
            </w:pPr>
            <w:r w:rsidRPr="00892DE3">
              <w:t>7a</w:t>
            </w: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AD47C0" w:rsidRPr="00892DE3" w:rsidRDefault="00AD47C0" w:rsidP="00BC4184">
            <w:pPr>
              <w:spacing w:after="0"/>
              <w:ind w:left="170" w:hanging="170"/>
            </w:pPr>
            <w:r w:rsidRPr="00892DE3">
              <w:t>877</w:t>
            </w:r>
          </w:p>
        </w:tc>
        <w:tc>
          <w:tcPr>
            <w:tcW w:w="980" w:type="dxa"/>
            <w:tcBorders>
              <w:top w:val="nil"/>
              <w:left w:val="nil"/>
              <w:bottom w:val="nil"/>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pPr>
            <w:r w:rsidRPr="00892DE3">
              <w:t>891</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AD47C0" w:rsidRPr="00892DE3" w:rsidRDefault="00AD47C0" w:rsidP="00BC4184">
            <w:pPr>
              <w:spacing w:after="0"/>
              <w:ind w:left="170" w:hanging="170"/>
            </w:pPr>
            <w:r w:rsidRPr="00892DE3">
              <w:t>903</w:t>
            </w:r>
          </w:p>
        </w:tc>
        <w:tc>
          <w:tcPr>
            <w:tcW w:w="1041" w:type="dxa"/>
            <w:tcBorders>
              <w:top w:val="nil"/>
              <w:left w:val="nil"/>
              <w:bottom w:val="nil"/>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pPr>
            <w:r w:rsidRPr="00892DE3">
              <w:t>915</w:t>
            </w:r>
          </w:p>
        </w:tc>
      </w:tr>
      <w:tr w:rsidR="00AD47C0" w:rsidRPr="00892DE3" w:rsidTr="00F042B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ind w:left="170" w:hanging="170"/>
              <w:jc w:val="left"/>
            </w:pPr>
            <w:r w:rsidRPr="00892DE3">
              <w:t>Other movements in equity</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 xml:space="preserve"> </w:t>
            </w: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AD47C0" w:rsidRPr="00892DE3" w:rsidRDefault="00AD47C0" w:rsidP="00BC4184">
            <w:pPr>
              <w:spacing w:after="0"/>
              <w:ind w:left="170" w:hanging="170"/>
            </w:pPr>
            <w:r w:rsidRPr="00892DE3">
              <w:t>(1)</w:t>
            </w:r>
          </w:p>
        </w:tc>
        <w:tc>
          <w:tcPr>
            <w:tcW w:w="980" w:type="dxa"/>
            <w:tcBorders>
              <w:top w:val="nil"/>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4</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AD47C0" w:rsidRPr="00892DE3" w:rsidRDefault="00AD47C0" w:rsidP="00BC4184">
            <w:pPr>
              <w:spacing w:after="0"/>
              <w:ind w:left="170" w:hanging="170"/>
            </w:pPr>
            <w:r w:rsidRPr="00892DE3">
              <w:t>23</w:t>
            </w:r>
          </w:p>
        </w:tc>
        <w:tc>
          <w:tcPr>
            <w:tcW w:w="1041" w:type="dxa"/>
            <w:tcBorders>
              <w:top w:val="nil"/>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13</w:t>
            </w:r>
          </w:p>
        </w:tc>
      </w:tr>
      <w:tr w:rsidR="00AD47C0" w:rsidRPr="00892DE3" w:rsidTr="00F042B6">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6"/>
            <w:tcBorders>
              <w:top w:val="nil"/>
              <w:left w:val="nil"/>
              <w:bottom w:val="nil"/>
              <w:right w:val="nil"/>
            </w:tcBorders>
            <w:shd w:val="solid" w:color="FFFFFF" w:fill="auto"/>
          </w:tcPr>
          <w:p w:rsidR="00AD47C0" w:rsidRPr="00892DE3" w:rsidRDefault="00AD47C0" w:rsidP="009B556F">
            <w:pPr>
              <w:spacing w:after="0" w:line="276" w:lineRule="auto"/>
              <w:ind w:left="170" w:hanging="170"/>
              <w:jc w:val="left"/>
              <w:rPr>
                <w:b/>
              </w:rPr>
            </w:pPr>
            <w:r w:rsidRPr="00892DE3">
              <w:rPr>
                <w:b/>
              </w:rPr>
              <w:t>Items that may be reclassified subsequently to net result</w:t>
            </w:r>
          </w:p>
        </w:tc>
      </w:tr>
      <w:tr w:rsidR="00AD47C0" w:rsidRPr="00892DE3" w:rsidTr="00F042B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ind w:left="170" w:hanging="170"/>
              <w:jc w:val="left"/>
            </w:pPr>
            <w:r w:rsidRPr="00892DE3">
              <w:t>Net gain/(loss) on financial assets at fair value</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 xml:space="preserve"> </w:t>
            </w: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AD47C0" w:rsidRPr="00892DE3" w:rsidRDefault="00AD47C0" w:rsidP="00BC4184">
            <w:pPr>
              <w:spacing w:after="0"/>
              <w:ind w:left="170" w:hanging="170"/>
            </w:pPr>
            <w:r w:rsidRPr="00892DE3">
              <w:t>1</w:t>
            </w:r>
          </w:p>
        </w:tc>
        <w:tc>
          <w:tcPr>
            <w:tcW w:w="980" w:type="dxa"/>
            <w:tcBorders>
              <w:top w:val="nil"/>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1</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AD47C0" w:rsidRPr="00892DE3" w:rsidRDefault="00AD47C0" w:rsidP="00BC4184">
            <w:pPr>
              <w:spacing w:after="0"/>
              <w:ind w:left="170" w:hanging="170"/>
            </w:pPr>
            <w:r w:rsidRPr="00892DE3">
              <w:t>1</w:t>
            </w:r>
          </w:p>
        </w:tc>
        <w:tc>
          <w:tcPr>
            <w:tcW w:w="1041" w:type="dxa"/>
            <w:tcBorders>
              <w:top w:val="nil"/>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2</w:t>
            </w:r>
          </w:p>
        </w:tc>
      </w:tr>
      <w:tr w:rsidR="00AD47C0" w:rsidRPr="00892DE3" w:rsidTr="00F042B6">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ind w:left="170" w:hanging="170"/>
              <w:jc w:val="left"/>
            </w:pPr>
            <w:r w:rsidRPr="00892DE3">
              <w:t>Net gain/(loss) on equity investments in other sector entities at proportional share of the carrying amount of net assets</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jc w:val="center"/>
              <w:cnfStyle w:val="000000010000" w:firstRow="0" w:lastRow="0" w:firstColumn="0" w:lastColumn="0" w:oddVBand="0" w:evenVBand="0" w:oddHBand="0" w:evenHBand="1" w:firstRowFirstColumn="0" w:firstRowLastColumn="0" w:lastRowFirstColumn="0" w:lastRowLastColumn="0"/>
            </w:pPr>
            <w:r w:rsidRPr="00892DE3">
              <w:t>14</w:t>
            </w: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AD47C0" w:rsidRPr="00892DE3" w:rsidRDefault="00AD47C0" w:rsidP="00BC4184">
            <w:pPr>
              <w:spacing w:after="0"/>
              <w:ind w:left="170" w:hanging="170"/>
            </w:pPr>
            <w:r w:rsidRPr="00892DE3">
              <w:t>2 707</w:t>
            </w:r>
          </w:p>
        </w:tc>
        <w:tc>
          <w:tcPr>
            <w:tcW w:w="980" w:type="dxa"/>
            <w:tcBorders>
              <w:top w:val="nil"/>
              <w:left w:val="nil"/>
              <w:bottom w:val="nil"/>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pPr>
            <w:r w:rsidRPr="00892DE3">
              <w:t>(118)</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AD47C0" w:rsidRPr="00892DE3" w:rsidRDefault="00AD47C0" w:rsidP="00BC4184">
            <w:pPr>
              <w:spacing w:after="0"/>
              <w:ind w:left="170" w:hanging="170"/>
            </w:pPr>
            <w:r w:rsidRPr="00892DE3">
              <w:t>866</w:t>
            </w:r>
          </w:p>
        </w:tc>
        <w:tc>
          <w:tcPr>
            <w:tcW w:w="1041" w:type="dxa"/>
            <w:tcBorders>
              <w:top w:val="nil"/>
              <w:left w:val="nil"/>
              <w:bottom w:val="nil"/>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pPr>
            <w:r w:rsidRPr="00892DE3">
              <w:t>(85)</w:t>
            </w:r>
          </w:p>
        </w:tc>
      </w:tr>
      <w:tr w:rsidR="00AD47C0" w:rsidRPr="00892DE3" w:rsidTr="00F042B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single" w:sz="6" w:space="0" w:color="000000"/>
              <w:left w:val="nil"/>
              <w:bottom w:val="single" w:sz="6" w:space="0" w:color="000000"/>
              <w:right w:val="nil"/>
            </w:tcBorders>
            <w:shd w:val="solid" w:color="FFFFFF" w:fill="auto"/>
          </w:tcPr>
          <w:p w:rsidR="00AD47C0" w:rsidRPr="00892DE3" w:rsidRDefault="00AD47C0" w:rsidP="009B556F">
            <w:pPr>
              <w:spacing w:after="0" w:line="276" w:lineRule="auto"/>
              <w:ind w:left="170" w:hanging="170"/>
              <w:jc w:val="left"/>
              <w:rPr>
                <w:b/>
              </w:rPr>
            </w:pPr>
            <w:r w:rsidRPr="00892DE3">
              <w:rPr>
                <w:b/>
              </w:rPr>
              <w:t>Total other economic flows – other comprehensive income</w:t>
            </w:r>
          </w:p>
        </w:tc>
        <w:tc>
          <w:tcPr>
            <w:tcW w:w="608" w:type="dxa"/>
            <w:tcBorders>
              <w:top w:val="single" w:sz="6" w:space="0" w:color="000000"/>
              <w:left w:val="nil"/>
              <w:bottom w:val="single" w:sz="6" w:space="0" w:color="000000"/>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892DE3">
              <w:rPr>
                <w:b/>
              </w:rPr>
              <w:t xml:space="preserve"> </w:t>
            </w: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000000"/>
              <w:left w:val="nil"/>
              <w:bottom w:val="single" w:sz="6" w:space="0" w:color="000000"/>
              <w:right w:val="nil"/>
            </w:tcBorders>
            <w:shd w:val="solid" w:color="FFFFFF" w:fill="auto"/>
          </w:tcPr>
          <w:p w:rsidR="00AD47C0" w:rsidRPr="00892DE3" w:rsidRDefault="00AD47C0" w:rsidP="00BC4184">
            <w:pPr>
              <w:spacing w:after="0"/>
              <w:ind w:left="170" w:hanging="170"/>
              <w:rPr>
                <w:b/>
              </w:rPr>
            </w:pPr>
            <w:r w:rsidRPr="00892DE3">
              <w:rPr>
                <w:b/>
              </w:rPr>
              <w:t>3 693</w:t>
            </w:r>
          </w:p>
        </w:tc>
        <w:tc>
          <w:tcPr>
            <w:tcW w:w="980" w:type="dxa"/>
            <w:tcBorders>
              <w:top w:val="single" w:sz="6" w:space="0" w:color="000000"/>
              <w:left w:val="nil"/>
              <w:bottom w:val="single" w:sz="6" w:space="0" w:color="000000"/>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892DE3">
              <w:rPr>
                <w:b/>
              </w:rPr>
              <w:t>7 879</w:t>
            </w:r>
          </w:p>
        </w:tc>
        <w:tc>
          <w:tcPr>
            <w:cnfStyle w:val="000010000000" w:firstRow="0" w:lastRow="0" w:firstColumn="0" w:lastColumn="0" w:oddVBand="1" w:evenVBand="0" w:oddHBand="0" w:evenHBand="0" w:firstRowFirstColumn="0" w:firstRowLastColumn="0" w:lastRowFirstColumn="0" w:lastRowLastColumn="0"/>
            <w:tcW w:w="966" w:type="dxa"/>
            <w:tcBorders>
              <w:top w:val="single" w:sz="6" w:space="0" w:color="000000"/>
              <w:left w:val="nil"/>
              <w:bottom w:val="single" w:sz="6" w:space="0" w:color="000000"/>
              <w:right w:val="nil"/>
            </w:tcBorders>
            <w:shd w:val="solid" w:color="FFFFFF" w:fill="auto"/>
          </w:tcPr>
          <w:p w:rsidR="00AD47C0" w:rsidRPr="00892DE3" w:rsidRDefault="00AD47C0" w:rsidP="00BC4184">
            <w:pPr>
              <w:spacing w:after="0"/>
              <w:ind w:left="170" w:hanging="170"/>
              <w:rPr>
                <w:b/>
              </w:rPr>
            </w:pPr>
            <w:r w:rsidRPr="00892DE3">
              <w:rPr>
                <w:b/>
              </w:rPr>
              <w:t>3 447</w:t>
            </w:r>
          </w:p>
        </w:tc>
        <w:tc>
          <w:tcPr>
            <w:tcW w:w="1041" w:type="dxa"/>
            <w:tcBorders>
              <w:top w:val="single" w:sz="6" w:space="0" w:color="000000"/>
              <w:left w:val="nil"/>
              <w:bottom w:val="single" w:sz="6" w:space="0" w:color="000000"/>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892DE3">
              <w:rPr>
                <w:b/>
              </w:rPr>
              <w:t>8 289</w:t>
            </w:r>
          </w:p>
        </w:tc>
      </w:tr>
      <w:tr w:rsidR="00AD47C0" w:rsidRPr="00892DE3" w:rsidTr="00F042B6">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single" w:sz="6" w:space="0" w:color="000000"/>
              <w:left w:val="nil"/>
              <w:bottom w:val="single" w:sz="12" w:space="0" w:color="000000"/>
              <w:right w:val="nil"/>
            </w:tcBorders>
            <w:shd w:val="solid" w:color="FFFFFF" w:fill="auto"/>
          </w:tcPr>
          <w:p w:rsidR="00AD47C0" w:rsidRPr="00892DE3" w:rsidRDefault="00AD47C0" w:rsidP="009B556F">
            <w:pPr>
              <w:spacing w:after="0" w:line="276" w:lineRule="auto"/>
              <w:ind w:left="170" w:hanging="170"/>
              <w:jc w:val="left"/>
              <w:rPr>
                <w:b/>
              </w:rPr>
            </w:pPr>
            <w:r w:rsidRPr="00892DE3">
              <w:rPr>
                <w:b/>
              </w:rPr>
              <w:t>Comprehensive result – total change in net worth</w:t>
            </w:r>
          </w:p>
        </w:tc>
        <w:tc>
          <w:tcPr>
            <w:tcW w:w="608" w:type="dxa"/>
            <w:tcBorders>
              <w:top w:val="single" w:sz="6" w:space="0" w:color="000000"/>
              <w:left w:val="nil"/>
              <w:bottom w:val="single" w:sz="12" w:space="0" w:color="000000"/>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892DE3">
              <w:rPr>
                <w:b/>
              </w:rPr>
              <w:t xml:space="preserve"> </w:t>
            </w: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000000"/>
              <w:left w:val="nil"/>
              <w:bottom w:val="single" w:sz="12" w:space="0" w:color="000000"/>
              <w:right w:val="nil"/>
            </w:tcBorders>
            <w:shd w:val="solid" w:color="FFFFFF" w:fill="auto"/>
          </w:tcPr>
          <w:p w:rsidR="00AD47C0" w:rsidRPr="00892DE3" w:rsidRDefault="00AD47C0" w:rsidP="00BC4184">
            <w:pPr>
              <w:spacing w:after="0"/>
              <w:ind w:left="170" w:hanging="170"/>
              <w:rPr>
                <w:b/>
              </w:rPr>
            </w:pPr>
            <w:r w:rsidRPr="00892DE3">
              <w:rPr>
                <w:b/>
              </w:rPr>
              <w:t>6 328</w:t>
            </w:r>
          </w:p>
        </w:tc>
        <w:tc>
          <w:tcPr>
            <w:tcW w:w="980" w:type="dxa"/>
            <w:tcBorders>
              <w:top w:val="single" w:sz="6" w:space="0" w:color="000000"/>
              <w:left w:val="nil"/>
              <w:bottom w:val="single" w:sz="12" w:space="0" w:color="000000"/>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892DE3">
              <w:rPr>
                <w:b/>
              </w:rPr>
              <w:t>9 702</w:t>
            </w:r>
          </w:p>
        </w:tc>
        <w:tc>
          <w:tcPr>
            <w:cnfStyle w:val="000010000000" w:firstRow="0" w:lastRow="0" w:firstColumn="0" w:lastColumn="0" w:oddVBand="1" w:evenVBand="0" w:oddHBand="0" w:evenHBand="0" w:firstRowFirstColumn="0" w:firstRowLastColumn="0" w:lastRowFirstColumn="0" w:lastRowLastColumn="0"/>
            <w:tcW w:w="966" w:type="dxa"/>
            <w:tcBorders>
              <w:top w:val="single" w:sz="6" w:space="0" w:color="000000"/>
              <w:left w:val="nil"/>
              <w:bottom w:val="single" w:sz="12" w:space="0" w:color="000000"/>
              <w:right w:val="nil"/>
            </w:tcBorders>
            <w:shd w:val="solid" w:color="FFFFFF" w:fill="auto"/>
          </w:tcPr>
          <w:p w:rsidR="00AD47C0" w:rsidRPr="00892DE3" w:rsidRDefault="00AD47C0" w:rsidP="00BC4184">
            <w:pPr>
              <w:spacing w:after="0"/>
              <w:ind w:left="170" w:hanging="170"/>
              <w:rPr>
                <w:b/>
              </w:rPr>
            </w:pPr>
            <w:r w:rsidRPr="00892DE3">
              <w:rPr>
                <w:b/>
              </w:rPr>
              <w:t>5 288</w:t>
            </w:r>
          </w:p>
        </w:tc>
        <w:tc>
          <w:tcPr>
            <w:tcW w:w="1041" w:type="dxa"/>
            <w:tcBorders>
              <w:top w:val="single" w:sz="6" w:space="0" w:color="000000"/>
              <w:left w:val="nil"/>
              <w:bottom w:val="single" w:sz="12" w:space="0" w:color="000000"/>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892DE3">
              <w:rPr>
                <w:b/>
              </w:rPr>
              <w:t>10 496</w:t>
            </w:r>
          </w:p>
        </w:tc>
      </w:tr>
      <w:tr w:rsidR="00AD47C0" w:rsidRPr="00892DE3" w:rsidTr="00F042B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single" w:sz="12" w:space="0" w:color="000000"/>
              <w:left w:val="nil"/>
              <w:bottom w:val="nil"/>
              <w:right w:val="nil"/>
            </w:tcBorders>
            <w:shd w:val="solid" w:color="FFFFFF" w:fill="auto"/>
          </w:tcPr>
          <w:p w:rsidR="00AD47C0" w:rsidRPr="00892DE3" w:rsidRDefault="00AD47C0" w:rsidP="009B556F">
            <w:pPr>
              <w:keepNext/>
              <w:spacing w:after="0" w:line="276" w:lineRule="auto"/>
              <w:ind w:left="170" w:hanging="170"/>
              <w:jc w:val="left"/>
              <w:rPr>
                <w:b/>
              </w:rPr>
            </w:pPr>
            <w:r w:rsidRPr="00892DE3">
              <w:rPr>
                <w:b/>
              </w:rPr>
              <w:t>KEY FISCAL AGGREGATES</w:t>
            </w:r>
          </w:p>
        </w:tc>
        <w:tc>
          <w:tcPr>
            <w:tcW w:w="608" w:type="dxa"/>
            <w:tcBorders>
              <w:top w:val="single" w:sz="12" w:space="0" w:color="000000"/>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892DE3">
              <w:rPr>
                <w:b/>
              </w:rPr>
              <w:t xml:space="preserve"> </w:t>
            </w:r>
          </w:p>
        </w:tc>
        <w:tc>
          <w:tcPr>
            <w:cnfStyle w:val="000010000000" w:firstRow="0" w:lastRow="0" w:firstColumn="0" w:lastColumn="0" w:oddVBand="1" w:evenVBand="0" w:oddHBand="0" w:evenHBand="0" w:firstRowFirstColumn="0" w:firstRowLastColumn="0" w:lastRowFirstColumn="0" w:lastRowLastColumn="0"/>
            <w:tcW w:w="924" w:type="dxa"/>
            <w:tcBorders>
              <w:top w:val="single" w:sz="12" w:space="0" w:color="000000"/>
              <w:left w:val="nil"/>
              <w:bottom w:val="nil"/>
              <w:right w:val="nil"/>
            </w:tcBorders>
            <w:shd w:val="solid" w:color="FFFFFF" w:fill="auto"/>
          </w:tcPr>
          <w:p w:rsidR="00AD47C0" w:rsidRPr="00892DE3" w:rsidRDefault="00AD47C0" w:rsidP="00BC4184">
            <w:pPr>
              <w:spacing w:after="0"/>
              <w:ind w:left="170" w:hanging="170"/>
              <w:rPr>
                <w:b/>
              </w:rPr>
            </w:pPr>
            <w:r w:rsidRPr="00892DE3">
              <w:rPr>
                <w:b/>
              </w:rPr>
              <w:t xml:space="preserve"> </w:t>
            </w:r>
          </w:p>
        </w:tc>
        <w:tc>
          <w:tcPr>
            <w:tcW w:w="980" w:type="dxa"/>
            <w:tcBorders>
              <w:top w:val="single" w:sz="12" w:space="0" w:color="000000"/>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892DE3">
              <w:rPr>
                <w:b/>
              </w:rPr>
              <w:t xml:space="preserve"> </w:t>
            </w:r>
          </w:p>
        </w:tc>
        <w:tc>
          <w:tcPr>
            <w:cnfStyle w:val="000010000000" w:firstRow="0" w:lastRow="0" w:firstColumn="0" w:lastColumn="0" w:oddVBand="1" w:evenVBand="0" w:oddHBand="0" w:evenHBand="0" w:firstRowFirstColumn="0" w:firstRowLastColumn="0" w:lastRowFirstColumn="0" w:lastRowLastColumn="0"/>
            <w:tcW w:w="966" w:type="dxa"/>
            <w:tcBorders>
              <w:top w:val="single" w:sz="12" w:space="0" w:color="000000"/>
              <w:left w:val="nil"/>
              <w:bottom w:val="nil"/>
              <w:right w:val="nil"/>
            </w:tcBorders>
            <w:shd w:val="solid" w:color="FFFFFF" w:fill="auto"/>
          </w:tcPr>
          <w:p w:rsidR="00AD47C0" w:rsidRPr="00892DE3" w:rsidRDefault="00AD47C0" w:rsidP="00BC4184">
            <w:pPr>
              <w:spacing w:after="0"/>
              <w:ind w:left="170" w:hanging="170"/>
              <w:rPr>
                <w:b/>
              </w:rPr>
            </w:pPr>
            <w:r w:rsidRPr="00892DE3">
              <w:rPr>
                <w:b/>
              </w:rPr>
              <w:t xml:space="preserve"> </w:t>
            </w:r>
          </w:p>
        </w:tc>
        <w:tc>
          <w:tcPr>
            <w:tcW w:w="1041" w:type="dxa"/>
            <w:tcBorders>
              <w:top w:val="single" w:sz="12" w:space="0" w:color="000000"/>
              <w:left w:val="nil"/>
              <w:bottom w:val="nil"/>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892DE3">
              <w:rPr>
                <w:b/>
              </w:rPr>
              <w:t xml:space="preserve"> </w:t>
            </w:r>
          </w:p>
        </w:tc>
      </w:tr>
      <w:tr w:rsidR="00AD47C0" w:rsidRPr="00892DE3" w:rsidTr="00F042B6">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AD47C0" w:rsidRPr="00892DE3" w:rsidRDefault="00AD47C0" w:rsidP="009B556F">
            <w:pPr>
              <w:spacing w:after="0" w:line="276" w:lineRule="auto"/>
              <w:ind w:left="170" w:hanging="170"/>
              <w:jc w:val="left"/>
              <w:rPr>
                <w:b/>
              </w:rPr>
            </w:pPr>
            <w:r w:rsidRPr="00892DE3">
              <w:rPr>
                <w:b/>
              </w:rPr>
              <w:t>Net operating balance</w:t>
            </w:r>
          </w:p>
        </w:tc>
        <w:tc>
          <w:tcPr>
            <w:tcW w:w="608" w:type="dxa"/>
            <w:tcBorders>
              <w:top w:val="nil"/>
              <w:left w:val="nil"/>
              <w:bottom w:val="nil"/>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892DE3">
              <w:rPr>
                <w:b/>
              </w:rPr>
              <w:t xml:space="preserve"> </w:t>
            </w: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AD47C0" w:rsidRPr="00892DE3" w:rsidRDefault="00AD47C0" w:rsidP="00BC4184">
            <w:pPr>
              <w:spacing w:after="0"/>
              <w:ind w:left="170" w:hanging="170"/>
              <w:rPr>
                <w:b/>
              </w:rPr>
            </w:pPr>
            <w:r w:rsidRPr="00892DE3">
              <w:rPr>
                <w:b/>
              </w:rPr>
              <w:t>2 869</w:t>
            </w:r>
          </w:p>
        </w:tc>
        <w:tc>
          <w:tcPr>
            <w:tcW w:w="980" w:type="dxa"/>
            <w:tcBorders>
              <w:top w:val="nil"/>
              <w:left w:val="nil"/>
              <w:bottom w:val="nil"/>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892DE3">
              <w:rPr>
                <w:b/>
              </w:rPr>
              <w:t>1 797</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AD47C0" w:rsidRPr="00892DE3" w:rsidRDefault="00AD47C0" w:rsidP="00BC4184">
            <w:pPr>
              <w:spacing w:after="0"/>
              <w:ind w:left="170" w:hanging="170"/>
              <w:rPr>
                <w:b/>
              </w:rPr>
            </w:pPr>
            <w:r w:rsidRPr="00892DE3">
              <w:rPr>
                <w:b/>
              </w:rPr>
              <w:t>2 082</w:t>
            </w:r>
          </w:p>
        </w:tc>
        <w:tc>
          <w:tcPr>
            <w:tcW w:w="1041" w:type="dxa"/>
            <w:tcBorders>
              <w:top w:val="nil"/>
              <w:left w:val="nil"/>
              <w:bottom w:val="nil"/>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892DE3">
              <w:rPr>
                <w:b/>
              </w:rPr>
              <w:t>2 471</w:t>
            </w:r>
          </w:p>
        </w:tc>
      </w:tr>
      <w:tr w:rsidR="00AD47C0" w:rsidRPr="00892DE3" w:rsidTr="00F042B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single" w:sz="6" w:space="0" w:color="000000"/>
              <w:right w:val="nil"/>
            </w:tcBorders>
            <w:shd w:val="solid" w:color="FFFFFF" w:fill="auto"/>
          </w:tcPr>
          <w:p w:rsidR="00AD47C0" w:rsidRPr="00892DE3" w:rsidRDefault="00AD47C0" w:rsidP="009B556F">
            <w:pPr>
              <w:spacing w:after="0" w:line="276" w:lineRule="auto"/>
              <w:ind w:left="170" w:hanging="170"/>
              <w:jc w:val="left"/>
            </w:pPr>
            <w:r w:rsidRPr="00892DE3">
              <w:t>Less: Net acquisition of non</w:t>
            </w:r>
            <w:r w:rsidRPr="00892DE3">
              <w:noBreakHyphen/>
              <w:t>financial assets from transactions</w:t>
            </w:r>
          </w:p>
        </w:tc>
        <w:tc>
          <w:tcPr>
            <w:tcW w:w="608" w:type="dxa"/>
            <w:tcBorders>
              <w:top w:val="nil"/>
              <w:left w:val="nil"/>
              <w:bottom w:val="single" w:sz="6" w:space="0" w:color="000000"/>
              <w:right w:val="nil"/>
            </w:tcBorders>
            <w:shd w:val="solid" w:color="FFFFFF" w:fill="auto"/>
          </w:tcPr>
          <w:p w:rsidR="00AD47C0" w:rsidRPr="00892DE3" w:rsidRDefault="00AD47C0" w:rsidP="00BC4184">
            <w:pPr>
              <w:spacing w:after="0"/>
              <w:ind w:left="170" w:hanging="170"/>
              <w:jc w:val="center"/>
              <w:cnfStyle w:val="000000100000" w:firstRow="0" w:lastRow="0" w:firstColumn="0" w:lastColumn="0" w:oddVBand="0" w:evenVBand="0" w:oddHBand="1" w:evenHBand="0" w:firstRowFirstColumn="0" w:firstRowLastColumn="0" w:lastRowFirstColumn="0" w:lastRowLastColumn="0"/>
            </w:pPr>
            <w:r w:rsidRPr="00892DE3">
              <w:t>15</w:t>
            </w: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single" w:sz="6" w:space="0" w:color="000000"/>
              <w:right w:val="nil"/>
            </w:tcBorders>
            <w:shd w:val="solid" w:color="FFFFFF" w:fill="auto"/>
          </w:tcPr>
          <w:p w:rsidR="00AD47C0" w:rsidRPr="00892DE3" w:rsidRDefault="00AD47C0" w:rsidP="00BC4184">
            <w:pPr>
              <w:spacing w:after="0"/>
              <w:ind w:left="170" w:hanging="170"/>
            </w:pPr>
            <w:r w:rsidRPr="00892DE3">
              <w:t>1 063</w:t>
            </w:r>
          </w:p>
        </w:tc>
        <w:tc>
          <w:tcPr>
            <w:tcW w:w="980" w:type="dxa"/>
            <w:tcBorders>
              <w:top w:val="nil"/>
              <w:left w:val="nil"/>
              <w:bottom w:val="single" w:sz="6" w:space="0" w:color="000000"/>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1 146</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single" w:sz="6" w:space="0" w:color="000000"/>
              <w:right w:val="nil"/>
            </w:tcBorders>
            <w:shd w:val="solid" w:color="FFFFFF" w:fill="auto"/>
          </w:tcPr>
          <w:p w:rsidR="00AD47C0" w:rsidRPr="00892DE3" w:rsidRDefault="00AD47C0" w:rsidP="00BC4184">
            <w:pPr>
              <w:spacing w:after="0"/>
              <w:ind w:left="170" w:hanging="170"/>
            </w:pPr>
            <w:r w:rsidRPr="00892DE3">
              <w:t>255</w:t>
            </w:r>
          </w:p>
        </w:tc>
        <w:tc>
          <w:tcPr>
            <w:tcW w:w="1041" w:type="dxa"/>
            <w:tcBorders>
              <w:top w:val="nil"/>
              <w:left w:val="nil"/>
              <w:bottom w:val="single" w:sz="6" w:space="0" w:color="000000"/>
              <w:right w:val="nil"/>
            </w:tcBorders>
            <w:shd w:val="solid" w:color="FFFFFF" w:fill="auto"/>
          </w:tcPr>
          <w:p w:rsidR="00AD47C0" w:rsidRPr="00892DE3" w:rsidRDefault="00AD47C0" w:rsidP="00BC4184">
            <w:pPr>
              <w:spacing w:after="0"/>
              <w:ind w:left="170" w:hanging="170"/>
              <w:cnfStyle w:val="000000100000" w:firstRow="0" w:lastRow="0" w:firstColumn="0" w:lastColumn="0" w:oddVBand="0" w:evenVBand="0" w:oddHBand="1" w:evenHBand="0" w:firstRowFirstColumn="0" w:firstRowLastColumn="0" w:lastRowFirstColumn="0" w:lastRowLastColumn="0"/>
            </w:pPr>
            <w:r w:rsidRPr="00892DE3">
              <w:t>(415)</w:t>
            </w:r>
          </w:p>
        </w:tc>
      </w:tr>
      <w:tr w:rsidR="00AD47C0" w:rsidRPr="00892DE3" w:rsidTr="00F042B6">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0" w:type="dxa"/>
            <w:tcBorders>
              <w:top w:val="single" w:sz="6" w:space="0" w:color="000000"/>
              <w:left w:val="nil"/>
              <w:bottom w:val="single" w:sz="12" w:space="0" w:color="auto"/>
              <w:right w:val="nil"/>
            </w:tcBorders>
            <w:shd w:val="solid" w:color="FFFFFF" w:fill="auto"/>
          </w:tcPr>
          <w:p w:rsidR="00AD47C0" w:rsidRPr="00892DE3" w:rsidRDefault="00AD47C0" w:rsidP="009B556F">
            <w:pPr>
              <w:spacing w:after="0" w:line="276" w:lineRule="auto"/>
              <w:ind w:left="170" w:hanging="170"/>
              <w:jc w:val="left"/>
              <w:rPr>
                <w:b/>
              </w:rPr>
            </w:pPr>
            <w:r w:rsidRPr="00892DE3">
              <w:rPr>
                <w:b/>
              </w:rPr>
              <w:t>Net lending/(borrowing)</w:t>
            </w:r>
          </w:p>
        </w:tc>
        <w:tc>
          <w:tcPr>
            <w:tcW w:w="608" w:type="dxa"/>
            <w:tcBorders>
              <w:top w:val="single" w:sz="6" w:space="0" w:color="000000"/>
              <w:left w:val="nil"/>
              <w:bottom w:val="single" w:sz="12" w:space="0" w:color="auto"/>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892DE3">
              <w:rPr>
                <w:b/>
              </w:rPr>
              <w:t xml:space="preserve"> </w:t>
            </w: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000000"/>
              <w:left w:val="nil"/>
              <w:bottom w:val="single" w:sz="12" w:space="0" w:color="auto"/>
              <w:right w:val="nil"/>
            </w:tcBorders>
            <w:shd w:val="solid" w:color="FFFFFF" w:fill="auto"/>
          </w:tcPr>
          <w:p w:rsidR="00AD47C0" w:rsidRPr="00892DE3" w:rsidRDefault="00AD47C0" w:rsidP="00BC4184">
            <w:pPr>
              <w:spacing w:after="0"/>
              <w:ind w:left="170" w:hanging="170"/>
              <w:rPr>
                <w:b/>
              </w:rPr>
            </w:pPr>
            <w:r w:rsidRPr="00892DE3">
              <w:rPr>
                <w:b/>
              </w:rPr>
              <w:t>1 806</w:t>
            </w:r>
          </w:p>
        </w:tc>
        <w:tc>
          <w:tcPr>
            <w:tcW w:w="980" w:type="dxa"/>
            <w:tcBorders>
              <w:top w:val="single" w:sz="6" w:space="0" w:color="000000"/>
              <w:left w:val="nil"/>
              <w:bottom w:val="single" w:sz="12" w:space="0" w:color="auto"/>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892DE3">
              <w:rPr>
                <w:b/>
              </w:rPr>
              <w:t>651</w:t>
            </w:r>
          </w:p>
        </w:tc>
        <w:tc>
          <w:tcPr>
            <w:cnfStyle w:val="000010000000" w:firstRow="0" w:lastRow="0" w:firstColumn="0" w:lastColumn="0" w:oddVBand="1" w:evenVBand="0" w:oddHBand="0" w:evenHBand="0" w:firstRowFirstColumn="0" w:firstRowLastColumn="0" w:lastRowFirstColumn="0" w:lastRowLastColumn="0"/>
            <w:tcW w:w="966" w:type="dxa"/>
            <w:tcBorders>
              <w:top w:val="single" w:sz="6" w:space="0" w:color="000000"/>
              <w:left w:val="nil"/>
              <w:bottom w:val="single" w:sz="12" w:space="0" w:color="auto"/>
              <w:right w:val="nil"/>
            </w:tcBorders>
            <w:shd w:val="solid" w:color="FFFFFF" w:fill="auto"/>
          </w:tcPr>
          <w:p w:rsidR="00AD47C0" w:rsidRPr="00892DE3" w:rsidRDefault="00AD47C0" w:rsidP="00BC4184">
            <w:pPr>
              <w:spacing w:after="0"/>
              <w:ind w:left="170" w:hanging="170"/>
              <w:rPr>
                <w:b/>
              </w:rPr>
            </w:pPr>
            <w:r w:rsidRPr="00892DE3">
              <w:rPr>
                <w:b/>
              </w:rPr>
              <w:t>1 827</w:t>
            </w:r>
          </w:p>
        </w:tc>
        <w:tc>
          <w:tcPr>
            <w:tcW w:w="1041" w:type="dxa"/>
            <w:tcBorders>
              <w:top w:val="single" w:sz="6" w:space="0" w:color="000000"/>
              <w:left w:val="nil"/>
              <w:bottom w:val="single" w:sz="12" w:space="0" w:color="auto"/>
              <w:right w:val="nil"/>
            </w:tcBorders>
            <w:shd w:val="solid" w:color="FFFFFF" w:fill="auto"/>
          </w:tcPr>
          <w:p w:rsidR="00AD47C0" w:rsidRPr="00892DE3" w:rsidRDefault="00AD47C0"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892DE3">
              <w:rPr>
                <w:b/>
              </w:rPr>
              <w:t>2 887</w:t>
            </w:r>
          </w:p>
        </w:tc>
      </w:tr>
    </w:tbl>
    <w:p w:rsidR="002774BB" w:rsidRPr="009B556F" w:rsidRDefault="00AD47C0" w:rsidP="009B556F">
      <w:pPr>
        <w:pStyle w:val="Source"/>
      </w:pPr>
      <w:r w:rsidRPr="00892DE3">
        <w:t>The accompanying notes form part of these estimated financial statements.</w:t>
      </w:r>
    </w:p>
    <w:p w:rsidR="00AD47C0" w:rsidRPr="00892DE3" w:rsidRDefault="00AD47C0" w:rsidP="00AD47C0">
      <w:pPr>
        <w:pStyle w:val="TableHeading"/>
      </w:pPr>
      <w:r w:rsidRPr="00892DE3">
        <w:t>Table 1.2:</w:t>
      </w:r>
      <w:r w:rsidRPr="00892DE3">
        <w:tab/>
        <w:t>Estimated general government sector balance sheet as at 30 June</w:t>
      </w:r>
      <w:r w:rsidRPr="00892DE3">
        <w:tab/>
        <w:t>($ million)</w:t>
      </w:r>
    </w:p>
    <w:tbl>
      <w:tblPr>
        <w:tblStyle w:val="DTFTable"/>
        <w:tblW w:w="9639" w:type="dxa"/>
        <w:tblInd w:w="29" w:type="dxa"/>
        <w:tblLayout w:type="fixed"/>
        <w:tblCellMar>
          <w:left w:w="43" w:type="dxa"/>
          <w:right w:w="43" w:type="dxa"/>
        </w:tblCellMar>
        <w:tblLook w:val="06A0" w:firstRow="1" w:lastRow="0" w:firstColumn="1" w:lastColumn="0" w:noHBand="1" w:noVBand="1"/>
      </w:tblPr>
      <w:tblGrid>
        <w:gridCol w:w="4409"/>
        <w:gridCol w:w="701"/>
        <w:gridCol w:w="905"/>
        <w:gridCol w:w="906"/>
        <w:gridCol w:w="906"/>
        <w:gridCol w:w="906"/>
        <w:gridCol w:w="906"/>
      </w:tblGrid>
      <w:tr w:rsidR="00AD47C0"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9" w:type="dxa"/>
            <w:tcBorders>
              <w:top w:val="single" w:sz="4" w:space="0" w:color="auto"/>
              <w:left w:val="single" w:sz="4" w:space="0" w:color="auto"/>
              <w:bottom w:val="nil"/>
              <w:right w:val="nil"/>
            </w:tcBorders>
            <w:shd w:val="clear" w:color="auto" w:fill="000000"/>
          </w:tcPr>
          <w:p w:rsidR="00AD47C0" w:rsidRPr="00892DE3" w:rsidRDefault="00AD47C0" w:rsidP="00F042B6">
            <w:pPr>
              <w:ind w:left="0" w:firstLine="0"/>
            </w:pPr>
          </w:p>
        </w:tc>
        <w:tc>
          <w:tcPr>
            <w:tcW w:w="701" w:type="dxa"/>
            <w:tcBorders>
              <w:top w:val="single" w:sz="4" w:space="0" w:color="auto"/>
              <w:left w:val="nil"/>
              <w:bottom w:val="nil"/>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p>
        </w:tc>
        <w:tc>
          <w:tcPr>
            <w:tcW w:w="905"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2016</w:t>
            </w:r>
          </w:p>
        </w:tc>
        <w:tc>
          <w:tcPr>
            <w:tcW w:w="906"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2017</w:t>
            </w:r>
          </w:p>
        </w:tc>
        <w:tc>
          <w:tcPr>
            <w:tcW w:w="906"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2018</w:t>
            </w:r>
          </w:p>
        </w:tc>
        <w:tc>
          <w:tcPr>
            <w:tcW w:w="906"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2019</w:t>
            </w:r>
          </w:p>
        </w:tc>
        <w:tc>
          <w:tcPr>
            <w:tcW w:w="906" w:type="dxa"/>
            <w:tcBorders>
              <w:top w:val="single" w:sz="4" w:space="0" w:color="auto"/>
              <w:left w:val="nil"/>
              <w:bottom w:val="nil"/>
              <w:right w:val="single" w:sz="4" w:space="0" w:color="auto"/>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2020</w:t>
            </w:r>
          </w:p>
        </w:tc>
      </w:tr>
      <w:tr w:rsidR="00AD47C0" w:rsidRPr="00892DE3" w:rsidTr="00F042B6">
        <w:trPr>
          <w:cnfStyle w:val="100000000000" w:firstRow="1" w:lastRow="0" w:firstColumn="0" w:lastColumn="0" w:oddVBand="0" w:evenVBand="0" w:oddHBand="0" w:evenHBand="0" w:firstRowFirstColumn="0" w:firstRowLastColumn="0" w:lastRowFirstColumn="0" w:lastRowLastColumn="0"/>
          <w:trHeight w:val="66"/>
          <w:tblHeader/>
        </w:trPr>
        <w:tc>
          <w:tcPr>
            <w:cnfStyle w:val="001000000000" w:firstRow="0" w:lastRow="0" w:firstColumn="1" w:lastColumn="0" w:oddVBand="0" w:evenVBand="0" w:oddHBand="0" w:evenHBand="0" w:firstRowFirstColumn="0" w:firstRowLastColumn="0" w:lastRowFirstColumn="0" w:lastRowLastColumn="0"/>
            <w:tcW w:w="4409" w:type="dxa"/>
            <w:tcBorders>
              <w:top w:val="nil"/>
              <w:left w:val="single" w:sz="4" w:space="0" w:color="auto"/>
              <w:bottom w:val="single" w:sz="4" w:space="0" w:color="auto"/>
              <w:right w:val="nil"/>
            </w:tcBorders>
            <w:shd w:val="clear" w:color="auto" w:fill="000000"/>
          </w:tcPr>
          <w:p w:rsidR="00AD47C0" w:rsidRPr="00892DE3" w:rsidRDefault="00AD47C0" w:rsidP="00F042B6">
            <w:pPr>
              <w:ind w:left="0" w:firstLine="0"/>
            </w:pPr>
            <w:r w:rsidRPr="00892DE3">
              <w:t xml:space="preserve"> </w:t>
            </w:r>
          </w:p>
        </w:tc>
        <w:tc>
          <w:tcPr>
            <w:tcW w:w="701" w:type="dxa"/>
            <w:tcBorders>
              <w:top w:val="nil"/>
              <w:left w:val="nil"/>
              <w:bottom w:val="single" w:sz="4" w:space="0" w:color="auto"/>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905"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revised</w:t>
            </w:r>
          </w:p>
        </w:tc>
        <w:tc>
          <w:tcPr>
            <w:tcW w:w="906"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budget </w:t>
            </w:r>
          </w:p>
        </w:tc>
        <w:tc>
          <w:tcPr>
            <w:tcW w:w="906"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c>
          <w:tcPr>
            <w:tcW w:w="906"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c>
          <w:tcPr>
            <w:tcW w:w="906" w:type="dxa"/>
            <w:tcBorders>
              <w:top w:val="nil"/>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single" w:sz="4" w:space="0" w:color="auto"/>
              <w:left w:val="nil"/>
              <w:bottom w:val="nil"/>
              <w:right w:val="nil"/>
            </w:tcBorders>
          </w:tcPr>
          <w:p w:rsidR="00AD47C0" w:rsidRPr="00892DE3" w:rsidRDefault="00AD47C0" w:rsidP="009B556F">
            <w:pPr>
              <w:spacing w:line="276" w:lineRule="auto"/>
              <w:rPr>
                <w:b/>
              </w:rPr>
            </w:pPr>
            <w:r w:rsidRPr="00892DE3">
              <w:rPr>
                <w:b/>
              </w:rPr>
              <w:t>Assets</w:t>
            </w:r>
          </w:p>
        </w:tc>
        <w:tc>
          <w:tcPr>
            <w:tcW w:w="701" w:type="dxa"/>
            <w:tcBorders>
              <w:top w:val="single" w:sz="4" w:space="0" w:color="auto"/>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4"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single" w:sz="4"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single" w:sz="4"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single" w:sz="4"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single" w:sz="4"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rPr>
                <w:b/>
              </w:rPr>
            </w:pPr>
            <w:r w:rsidRPr="00892DE3">
              <w:rPr>
                <w:b/>
              </w:rPr>
              <w:t>Financial assets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Cash and deposits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4 338</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4 766</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4 789</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5 107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5 420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Advances paid</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892DE3">
              <w:t>16</w:t>
            </w: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4 521</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10 057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8 823</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7 908</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6 808</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Receivables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5 157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5 192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5 266</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5 450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5 579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Investments, loans and placements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892DE3">
              <w:t>16</w:t>
            </w: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3 552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3 642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3 721</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3 802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3 902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Investments accounted for using equity method</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45</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45</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45</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45</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single" w:sz="6" w:space="0" w:color="auto"/>
              <w:right w:val="nil"/>
            </w:tcBorders>
          </w:tcPr>
          <w:p w:rsidR="00AD47C0" w:rsidRPr="00892DE3" w:rsidRDefault="00AD47C0" w:rsidP="009B556F">
            <w:pPr>
              <w:spacing w:line="276" w:lineRule="auto"/>
            </w:pPr>
            <w:r w:rsidRPr="00892DE3">
              <w:t>Investments in other sector entities</w:t>
            </w:r>
          </w:p>
        </w:tc>
        <w:tc>
          <w:tcPr>
            <w:tcW w:w="701" w:type="dxa"/>
            <w:tcBorders>
              <w:top w:val="nil"/>
              <w:left w:val="nil"/>
              <w:bottom w:val="single" w:sz="6" w:space="0" w:color="auto"/>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892DE3">
              <w:t>14</w:t>
            </w: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85 347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85 878</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88 499</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92 032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94 210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rPr>
                <w:b/>
              </w:rPr>
            </w:pPr>
            <w:r w:rsidRPr="00892DE3">
              <w:rPr>
                <w:b/>
              </w:rPr>
              <w:t>Total financial assets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6"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102 958</w:t>
            </w:r>
          </w:p>
        </w:tc>
        <w:tc>
          <w:tcPr>
            <w:tcW w:w="906" w:type="dxa"/>
            <w:tcBorders>
              <w:top w:val="single" w:sz="6"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109 580</w:t>
            </w:r>
          </w:p>
        </w:tc>
        <w:tc>
          <w:tcPr>
            <w:tcW w:w="906" w:type="dxa"/>
            <w:tcBorders>
              <w:top w:val="single" w:sz="6"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111 142</w:t>
            </w:r>
          </w:p>
        </w:tc>
        <w:tc>
          <w:tcPr>
            <w:tcW w:w="906" w:type="dxa"/>
            <w:tcBorders>
              <w:top w:val="single" w:sz="6"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114 344</w:t>
            </w:r>
          </w:p>
        </w:tc>
        <w:tc>
          <w:tcPr>
            <w:tcW w:w="906" w:type="dxa"/>
            <w:tcBorders>
              <w:top w:val="single" w:sz="6"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115 964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rPr>
                <w:b/>
              </w:rPr>
            </w:pPr>
            <w:r w:rsidRPr="00892DE3">
              <w:rPr>
                <w:b/>
              </w:rPr>
              <w:t>Non</w:t>
            </w:r>
            <w:r w:rsidRPr="00892DE3">
              <w:rPr>
                <w:b/>
              </w:rPr>
              <w:noBreakHyphen/>
              <w:t>financial assets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Inventories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148</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152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156</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161</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165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Non</w:t>
            </w:r>
            <w:r w:rsidRPr="00892DE3">
              <w:noBreakHyphen/>
              <w:t>financial assets held for sale</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162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160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150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160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155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Land, buildings, infrastructure, plant and equipment</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892DE3">
              <w:t>17, 18</w:t>
            </w: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108 600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109 917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118 580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120 832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128 012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Other non</w:t>
            </w:r>
            <w:r w:rsidRPr="00892DE3">
              <w:noBreakHyphen/>
              <w:t>financial assets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892DE3">
              <w:t>19</w:t>
            </w: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1 024</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1 047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869</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827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739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single" w:sz="6" w:space="0" w:color="auto"/>
              <w:left w:val="nil"/>
              <w:bottom w:val="single" w:sz="6" w:space="0" w:color="auto"/>
              <w:right w:val="nil"/>
            </w:tcBorders>
          </w:tcPr>
          <w:p w:rsidR="00AD47C0" w:rsidRPr="00892DE3" w:rsidRDefault="00AD47C0" w:rsidP="009B556F">
            <w:pPr>
              <w:spacing w:line="276" w:lineRule="auto"/>
              <w:rPr>
                <w:b/>
              </w:rPr>
            </w:pPr>
            <w:r w:rsidRPr="00892DE3">
              <w:rPr>
                <w:b/>
              </w:rPr>
              <w:t>Total non</w:t>
            </w:r>
            <w:r w:rsidRPr="00892DE3">
              <w:rPr>
                <w:b/>
              </w:rPr>
              <w:noBreakHyphen/>
              <w:t>financial assets</w:t>
            </w:r>
          </w:p>
        </w:tc>
        <w:tc>
          <w:tcPr>
            <w:tcW w:w="701" w:type="dxa"/>
            <w:tcBorders>
              <w:top w:val="single" w:sz="6" w:space="0" w:color="auto"/>
              <w:left w:val="nil"/>
              <w:bottom w:val="single" w:sz="6" w:space="0" w:color="auto"/>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109 935</w:t>
            </w:r>
          </w:p>
        </w:tc>
        <w:tc>
          <w:tcPr>
            <w:tcW w:w="906"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111 276</w:t>
            </w:r>
          </w:p>
        </w:tc>
        <w:tc>
          <w:tcPr>
            <w:tcW w:w="906" w:type="dxa"/>
            <w:tcBorders>
              <w:top w:val="single" w:sz="6" w:space="0" w:color="auto"/>
              <w:left w:val="nil"/>
              <w:bottom w:val="single" w:sz="6" w:space="0" w:color="auto"/>
              <w:right w:val="nil"/>
            </w:tcBorders>
          </w:tcPr>
          <w:p w:rsidR="00AD47C0" w:rsidRPr="00892DE3" w:rsidRDefault="000348B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119 756</w:t>
            </w:r>
          </w:p>
        </w:tc>
        <w:tc>
          <w:tcPr>
            <w:tcW w:w="906" w:type="dxa"/>
            <w:tcBorders>
              <w:top w:val="single" w:sz="6" w:space="0" w:color="auto"/>
              <w:left w:val="nil"/>
              <w:bottom w:val="single" w:sz="6" w:space="0" w:color="auto"/>
              <w:right w:val="nil"/>
            </w:tcBorders>
          </w:tcPr>
          <w:p w:rsidR="00AD47C0" w:rsidRPr="00892DE3" w:rsidRDefault="000348B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121 980</w:t>
            </w:r>
          </w:p>
        </w:tc>
        <w:tc>
          <w:tcPr>
            <w:tcW w:w="906"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129 071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rPr>
                <w:b/>
              </w:rPr>
            </w:pPr>
            <w:r w:rsidRPr="00892DE3">
              <w:rPr>
                <w:b/>
              </w:rPr>
              <w:t>Total assets</w:t>
            </w:r>
          </w:p>
        </w:tc>
        <w:tc>
          <w:tcPr>
            <w:tcW w:w="701" w:type="dxa"/>
            <w:tcBorders>
              <w:top w:val="single" w:sz="6" w:space="0" w:color="auto"/>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r w:rsidRPr="00892DE3">
              <w:rPr>
                <w:b/>
              </w:rPr>
              <w:t>20d</w:t>
            </w:r>
          </w:p>
        </w:tc>
        <w:tc>
          <w:tcPr>
            <w:tcW w:w="905" w:type="dxa"/>
            <w:tcBorders>
              <w:top w:val="single" w:sz="6"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212 893</w:t>
            </w:r>
          </w:p>
        </w:tc>
        <w:tc>
          <w:tcPr>
            <w:tcW w:w="906" w:type="dxa"/>
            <w:tcBorders>
              <w:top w:val="single" w:sz="6"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220 855</w:t>
            </w:r>
          </w:p>
        </w:tc>
        <w:tc>
          <w:tcPr>
            <w:tcW w:w="906" w:type="dxa"/>
            <w:tcBorders>
              <w:top w:val="single" w:sz="6"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230 898</w:t>
            </w:r>
          </w:p>
        </w:tc>
        <w:tc>
          <w:tcPr>
            <w:tcW w:w="906" w:type="dxa"/>
            <w:tcBorders>
              <w:top w:val="single" w:sz="6"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236 324</w:t>
            </w:r>
          </w:p>
        </w:tc>
        <w:tc>
          <w:tcPr>
            <w:tcW w:w="906" w:type="dxa"/>
            <w:tcBorders>
              <w:top w:val="single" w:sz="6"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245 035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rPr>
                <w:b/>
              </w:rPr>
            </w:pPr>
            <w:r w:rsidRPr="00892DE3">
              <w:rPr>
                <w:b/>
              </w:rPr>
              <w:t>Liabilities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Deposits held and advances received</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518</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6 100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4 922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4 070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3 039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Payables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21</w:t>
            </w: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5 267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5 157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5 011</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4 943</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4 720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Borrowings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22</w:t>
            </w: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34 386</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30 966</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33 306</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35 052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35 299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Employee benefits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23</w:t>
            </w: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5 860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6 257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6 486</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6 740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6 938</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Superannuation</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7d</w:t>
            </w: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27 888</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27 049</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26 165</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25 194</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24 187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single" w:sz="6" w:space="0" w:color="auto"/>
              <w:right w:val="nil"/>
            </w:tcBorders>
          </w:tcPr>
          <w:p w:rsidR="00AD47C0" w:rsidRPr="00892DE3" w:rsidRDefault="00AD47C0" w:rsidP="009B556F">
            <w:pPr>
              <w:spacing w:line="276" w:lineRule="auto"/>
            </w:pPr>
            <w:r w:rsidRPr="00892DE3">
              <w:t>Other provisions</w:t>
            </w:r>
          </w:p>
        </w:tc>
        <w:tc>
          <w:tcPr>
            <w:tcW w:w="701" w:type="dxa"/>
            <w:tcBorders>
              <w:top w:val="nil"/>
              <w:left w:val="nil"/>
              <w:bottom w:val="single" w:sz="6" w:space="0" w:color="auto"/>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891</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914</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893</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923</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954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single" w:sz="6" w:space="0" w:color="auto"/>
              <w:left w:val="nil"/>
              <w:bottom w:val="single" w:sz="6" w:space="0" w:color="auto"/>
              <w:right w:val="nil"/>
            </w:tcBorders>
          </w:tcPr>
          <w:p w:rsidR="00AD47C0" w:rsidRPr="00892DE3" w:rsidRDefault="00AD47C0" w:rsidP="009B556F">
            <w:pPr>
              <w:spacing w:line="276" w:lineRule="auto"/>
              <w:rPr>
                <w:b/>
              </w:rPr>
            </w:pPr>
            <w:r w:rsidRPr="00892DE3">
              <w:rPr>
                <w:b/>
              </w:rPr>
              <w:t>Total liabilities</w:t>
            </w:r>
          </w:p>
        </w:tc>
        <w:tc>
          <w:tcPr>
            <w:tcW w:w="701" w:type="dxa"/>
            <w:tcBorders>
              <w:top w:val="single" w:sz="6" w:space="0" w:color="auto"/>
              <w:left w:val="nil"/>
              <w:bottom w:val="single" w:sz="6" w:space="0" w:color="auto"/>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74 809</w:t>
            </w:r>
          </w:p>
        </w:tc>
        <w:tc>
          <w:tcPr>
            <w:tcW w:w="906"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76 443</w:t>
            </w:r>
          </w:p>
        </w:tc>
        <w:tc>
          <w:tcPr>
            <w:tcW w:w="906"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76 784</w:t>
            </w:r>
          </w:p>
        </w:tc>
        <w:tc>
          <w:tcPr>
            <w:tcW w:w="906"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76 922</w:t>
            </w:r>
          </w:p>
        </w:tc>
        <w:tc>
          <w:tcPr>
            <w:tcW w:w="906"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75 137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single" w:sz="12" w:space="0" w:color="auto"/>
              <w:right w:val="nil"/>
            </w:tcBorders>
          </w:tcPr>
          <w:p w:rsidR="00AD47C0" w:rsidRPr="00892DE3" w:rsidRDefault="00AD47C0" w:rsidP="009B556F">
            <w:pPr>
              <w:spacing w:line="276" w:lineRule="auto"/>
              <w:rPr>
                <w:b/>
              </w:rPr>
            </w:pPr>
            <w:r w:rsidRPr="00892DE3">
              <w:rPr>
                <w:b/>
              </w:rPr>
              <w:t>Net assets</w:t>
            </w:r>
          </w:p>
        </w:tc>
        <w:tc>
          <w:tcPr>
            <w:tcW w:w="701" w:type="dxa"/>
            <w:tcBorders>
              <w:top w:val="nil"/>
              <w:left w:val="nil"/>
              <w:bottom w:val="single" w:sz="12" w:space="0" w:color="auto"/>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6" w:space="0" w:color="auto"/>
              <w:left w:val="nil"/>
              <w:bottom w:val="single" w:sz="12"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138 084</w:t>
            </w:r>
          </w:p>
        </w:tc>
        <w:tc>
          <w:tcPr>
            <w:tcW w:w="906" w:type="dxa"/>
            <w:tcBorders>
              <w:top w:val="single" w:sz="6" w:space="0" w:color="auto"/>
              <w:left w:val="nil"/>
              <w:bottom w:val="single" w:sz="12"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144 412</w:t>
            </w:r>
          </w:p>
        </w:tc>
        <w:tc>
          <w:tcPr>
            <w:tcW w:w="906" w:type="dxa"/>
            <w:tcBorders>
              <w:top w:val="single" w:sz="6" w:space="0" w:color="auto"/>
              <w:left w:val="nil"/>
              <w:bottom w:val="single" w:sz="12"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154 114</w:t>
            </w:r>
          </w:p>
        </w:tc>
        <w:tc>
          <w:tcPr>
            <w:tcW w:w="906" w:type="dxa"/>
            <w:tcBorders>
              <w:top w:val="single" w:sz="6" w:space="0" w:color="auto"/>
              <w:left w:val="nil"/>
              <w:bottom w:val="single" w:sz="12"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159 402</w:t>
            </w:r>
          </w:p>
        </w:tc>
        <w:tc>
          <w:tcPr>
            <w:tcW w:w="906" w:type="dxa"/>
            <w:tcBorders>
              <w:top w:val="single" w:sz="6" w:space="0" w:color="auto"/>
              <w:left w:val="nil"/>
              <w:bottom w:val="single" w:sz="12"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169 898</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Accumulated surplus/(deficit)</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45 682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49 193</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51 907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54 673</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57 804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Reserves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w:t>
            </w: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92 402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95 220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102 207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104 729</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112 094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single" w:sz="6" w:space="0" w:color="auto"/>
              <w:right w:val="nil"/>
            </w:tcBorders>
          </w:tcPr>
          <w:p w:rsidR="00AD47C0" w:rsidRPr="00892DE3" w:rsidRDefault="00AD47C0" w:rsidP="009B556F">
            <w:pPr>
              <w:spacing w:line="276" w:lineRule="auto"/>
            </w:pPr>
            <w:r w:rsidRPr="00892DE3">
              <w:t>Non</w:t>
            </w:r>
            <w:r w:rsidRPr="00892DE3">
              <w:noBreakHyphen/>
              <w:t>controlling interest</w:t>
            </w:r>
          </w:p>
        </w:tc>
        <w:tc>
          <w:tcPr>
            <w:tcW w:w="701" w:type="dxa"/>
            <w:tcBorders>
              <w:top w:val="nil"/>
              <w:left w:val="nil"/>
              <w:bottom w:val="single" w:sz="6" w:space="0" w:color="auto"/>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single" w:sz="6" w:space="0" w:color="auto"/>
              <w:left w:val="nil"/>
              <w:bottom w:val="single" w:sz="6" w:space="0" w:color="auto"/>
              <w:right w:val="nil"/>
            </w:tcBorders>
          </w:tcPr>
          <w:p w:rsidR="00AD47C0" w:rsidRPr="00892DE3" w:rsidRDefault="00AD47C0" w:rsidP="009B556F">
            <w:pPr>
              <w:spacing w:line="276" w:lineRule="auto"/>
              <w:rPr>
                <w:b/>
              </w:rPr>
            </w:pPr>
            <w:r w:rsidRPr="00892DE3">
              <w:rPr>
                <w:b/>
              </w:rPr>
              <w:t>Net worth</w:t>
            </w:r>
          </w:p>
        </w:tc>
        <w:tc>
          <w:tcPr>
            <w:tcW w:w="701" w:type="dxa"/>
            <w:tcBorders>
              <w:top w:val="single" w:sz="6" w:space="0" w:color="auto"/>
              <w:left w:val="nil"/>
              <w:bottom w:val="single" w:sz="6" w:space="0" w:color="auto"/>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138 084</w:t>
            </w:r>
          </w:p>
        </w:tc>
        <w:tc>
          <w:tcPr>
            <w:tcW w:w="906"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144 412</w:t>
            </w:r>
          </w:p>
        </w:tc>
        <w:tc>
          <w:tcPr>
            <w:tcW w:w="906"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154 114</w:t>
            </w:r>
          </w:p>
        </w:tc>
        <w:tc>
          <w:tcPr>
            <w:tcW w:w="906"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159 402</w:t>
            </w:r>
          </w:p>
        </w:tc>
        <w:tc>
          <w:tcPr>
            <w:tcW w:w="906" w:type="dxa"/>
            <w:tcBorders>
              <w:top w:val="single" w:sz="6" w:space="0" w:color="auto"/>
              <w:left w:val="nil"/>
              <w:bottom w:val="single" w:sz="6"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169 898</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rPr>
                <w:b/>
              </w:rPr>
            </w:pPr>
            <w:r w:rsidRPr="00892DE3">
              <w:rPr>
                <w:b/>
              </w:rPr>
              <w:t>FISCAL AGGREGATES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 xml:space="preserve">Net financial worth </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28 150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33 137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34 358</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37 422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40 826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pPr>
            <w:r w:rsidRPr="00892DE3">
              <w:t>Net financial liabilities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57 197</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52 742</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54 141</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54 610</w:t>
            </w: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53 383</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single" w:sz="12" w:space="0" w:color="auto"/>
              <w:right w:val="nil"/>
            </w:tcBorders>
          </w:tcPr>
          <w:p w:rsidR="00AD47C0" w:rsidRPr="00892DE3" w:rsidRDefault="00AD47C0" w:rsidP="009B556F">
            <w:pPr>
              <w:spacing w:line="276" w:lineRule="auto"/>
            </w:pPr>
            <w:r w:rsidRPr="00892DE3">
              <w:t>Net debt</w:t>
            </w:r>
          </w:p>
        </w:tc>
        <w:tc>
          <w:tcPr>
            <w:tcW w:w="701" w:type="dxa"/>
            <w:tcBorders>
              <w:top w:val="nil"/>
              <w:left w:val="nil"/>
              <w:bottom w:val="single" w:sz="12" w:space="0" w:color="auto"/>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single" w:sz="12"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22 493</w:t>
            </w:r>
          </w:p>
        </w:tc>
        <w:tc>
          <w:tcPr>
            <w:tcW w:w="906" w:type="dxa"/>
            <w:tcBorders>
              <w:top w:val="nil"/>
              <w:left w:val="nil"/>
              <w:bottom w:val="single" w:sz="12"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18 601</w:t>
            </w:r>
          </w:p>
        </w:tc>
        <w:tc>
          <w:tcPr>
            <w:tcW w:w="906" w:type="dxa"/>
            <w:tcBorders>
              <w:top w:val="nil"/>
              <w:left w:val="nil"/>
              <w:bottom w:val="single" w:sz="12"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20 896</w:t>
            </w:r>
          </w:p>
        </w:tc>
        <w:tc>
          <w:tcPr>
            <w:tcW w:w="906" w:type="dxa"/>
            <w:tcBorders>
              <w:top w:val="nil"/>
              <w:left w:val="nil"/>
              <w:bottom w:val="single" w:sz="12"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22 304</w:t>
            </w:r>
          </w:p>
        </w:tc>
        <w:tc>
          <w:tcPr>
            <w:tcW w:w="906" w:type="dxa"/>
            <w:tcBorders>
              <w:top w:val="nil"/>
              <w:left w:val="nil"/>
              <w:bottom w:val="single" w:sz="12" w:space="0" w:color="auto"/>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pPr>
            <w:r w:rsidRPr="00892DE3">
              <w:t>22 208</w:t>
            </w:r>
          </w:p>
        </w:tc>
      </w:tr>
    </w:tbl>
    <w:p w:rsidR="00AD47C0" w:rsidRPr="00892DE3" w:rsidRDefault="00AD47C0" w:rsidP="00AD47C0">
      <w:pPr>
        <w:pStyle w:val="Source"/>
      </w:pPr>
      <w:r w:rsidRPr="00892DE3">
        <w:t>The accompanying notes form part of these estimated financial statements.</w:t>
      </w:r>
    </w:p>
    <w:p w:rsidR="00BC4184" w:rsidRPr="00892DE3" w:rsidRDefault="00BC4184">
      <w:pPr>
        <w:keepLines w:val="0"/>
        <w:rPr>
          <w:rFonts w:asciiTheme="majorHAnsi" w:hAnsiTheme="majorHAnsi"/>
          <w:b/>
          <w:szCs w:val="20"/>
        </w:rPr>
      </w:pPr>
      <w:r w:rsidRPr="00892DE3">
        <w:br w:type="page"/>
      </w:r>
    </w:p>
    <w:p w:rsidR="00AD47C0" w:rsidRPr="00892DE3" w:rsidRDefault="00AD47C0" w:rsidP="00AD47C0">
      <w:pPr>
        <w:pStyle w:val="TableHeading"/>
      </w:pPr>
      <w:r w:rsidRPr="00892DE3">
        <w:t>Table 1.3:</w:t>
      </w:r>
      <w:r w:rsidRPr="00892DE3">
        <w:tab/>
        <w:t xml:space="preserve">Estimated general government sector cash flow statement </w:t>
      </w:r>
      <w:r w:rsidR="00B623D8" w:rsidRPr="00892DE3">
        <w:br/>
      </w:r>
      <w:r w:rsidRPr="00892DE3">
        <w:t>for the financial year ending 30 June</w:t>
      </w:r>
      <w:r w:rsidRPr="00892DE3">
        <w:tab/>
        <w:t>($ million)</w:t>
      </w:r>
    </w:p>
    <w:tbl>
      <w:tblPr>
        <w:tblStyle w:val="DTFTable"/>
        <w:tblW w:w="9639" w:type="dxa"/>
        <w:tblInd w:w="29" w:type="dxa"/>
        <w:tblLayout w:type="fixed"/>
        <w:tblCellMar>
          <w:left w:w="43" w:type="dxa"/>
          <w:right w:w="43" w:type="dxa"/>
        </w:tblCellMar>
        <w:tblLook w:val="06A0" w:firstRow="1" w:lastRow="0" w:firstColumn="1" w:lastColumn="0" w:noHBand="1" w:noVBand="1"/>
      </w:tblPr>
      <w:tblGrid>
        <w:gridCol w:w="5170"/>
        <w:gridCol w:w="863"/>
        <w:gridCol w:w="882"/>
        <w:gridCol w:w="896"/>
        <w:gridCol w:w="933"/>
        <w:gridCol w:w="885"/>
        <w:gridCol w:w="10"/>
      </w:tblGrid>
      <w:tr w:rsidR="00AD47C0" w:rsidRPr="00892DE3" w:rsidTr="00F042B6">
        <w:trPr>
          <w:gridAfter w:val="1"/>
          <w:cnfStyle w:val="100000000000" w:firstRow="1" w:lastRow="0" w:firstColumn="0" w:lastColumn="0" w:oddVBand="0" w:evenVBand="0" w:oddHBand="0" w:evenHBand="0" w:firstRowFirstColumn="0" w:firstRowLastColumn="0" w:lastRowFirstColumn="0" w:lastRowLastColumn="0"/>
          <w:wAfter w:w="10" w:type="dxa"/>
          <w:tblHeader/>
        </w:trPr>
        <w:tc>
          <w:tcPr>
            <w:cnfStyle w:val="001000000000" w:firstRow="0" w:lastRow="0" w:firstColumn="1" w:lastColumn="0" w:oddVBand="0" w:evenVBand="0" w:oddHBand="0" w:evenHBand="0" w:firstRowFirstColumn="0" w:firstRowLastColumn="0" w:lastRowFirstColumn="0" w:lastRowLastColumn="0"/>
            <w:tcW w:w="5170" w:type="dxa"/>
            <w:tcBorders>
              <w:top w:val="single" w:sz="4" w:space="0" w:color="auto"/>
              <w:left w:val="single" w:sz="4" w:space="0" w:color="auto"/>
              <w:bottom w:val="nil"/>
              <w:right w:val="nil"/>
            </w:tcBorders>
            <w:shd w:val="clear" w:color="auto" w:fill="000000"/>
          </w:tcPr>
          <w:p w:rsidR="00AD47C0" w:rsidRPr="00892DE3" w:rsidRDefault="00AD47C0" w:rsidP="00F042B6">
            <w:pPr>
              <w:ind w:left="0" w:firstLine="0"/>
            </w:pPr>
            <w:r w:rsidRPr="00892DE3">
              <w:t xml:space="preserve">  </w:t>
            </w:r>
          </w:p>
        </w:tc>
        <w:tc>
          <w:tcPr>
            <w:tcW w:w="863" w:type="dxa"/>
            <w:tcBorders>
              <w:top w:val="single" w:sz="4" w:space="0" w:color="auto"/>
              <w:left w:val="nil"/>
              <w:bottom w:val="nil"/>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p>
        </w:tc>
        <w:tc>
          <w:tcPr>
            <w:tcW w:w="882"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2016-17</w:t>
            </w:r>
          </w:p>
        </w:tc>
        <w:tc>
          <w:tcPr>
            <w:tcW w:w="896"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2017-18</w:t>
            </w:r>
          </w:p>
        </w:tc>
        <w:tc>
          <w:tcPr>
            <w:tcW w:w="933"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2018-19</w:t>
            </w:r>
          </w:p>
        </w:tc>
        <w:tc>
          <w:tcPr>
            <w:tcW w:w="885" w:type="dxa"/>
            <w:tcBorders>
              <w:top w:val="single" w:sz="4" w:space="0" w:color="auto"/>
              <w:left w:val="nil"/>
              <w:bottom w:val="nil"/>
              <w:right w:val="single" w:sz="4" w:space="0" w:color="auto"/>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2019-20</w:t>
            </w:r>
          </w:p>
        </w:tc>
      </w:tr>
      <w:tr w:rsidR="00AD47C0" w:rsidRPr="00892DE3" w:rsidTr="00F042B6">
        <w:trPr>
          <w:gridAfter w:val="1"/>
          <w:cnfStyle w:val="100000000000" w:firstRow="1" w:lastRow="0" w:firstColumn="0" w:lastColumn="0" w:oddVBand="0" w:evenVBand="0" w:oddHBand="0" w:evenHBand="0" w:firstRowFirstColumn="0" w:firstRowLastColumn="0" w:lastRowFirstColumn="0" w:lastRowLastColumn="0"/>
          <w:wAfter w:w="10" w:type="dxa"/>
          <w:tblHeader/>
        </w:trPr>
        <w:tc>
          <w:tcPr>
            <w:cnfStyle w:val="001000000000" w:firstRow="0" w:lastRow="0" w:firstColumn="1" w:lastColumn="0" w:oddVBand="0" w:evenVBand="0" w:oddHBand="0" w:evenHBand="0" w:firstRowFirstColumn="0" w:firstRowLastColumn="0" w:lastRowFirstColumn="0" w:lastRowLastColumn="0"/>
            <w:tcW w:w="5170" w:type="dxa"/>
            <w:tcBorders>
              <w:top w:val="nil"/>
              <w:left w:val="single" w:sz="4" w:space="0" w:color="auto"/>
              <w:bottom w:val="single" w:sz="4" w:space="0" w:color="auto"/>
              <w:right w:val="nil"/>
            </w:tcBorders>
            <w:shd w:val="clear" w:color="auto" w:fill="000000"/>
          </w:tcPr>
          <w:p w:rsidR="00AD47C0" w:rsidRPr="00892DE3" w:rsidRDefault="00AD47C0" w:rsidP="00F042B6">
            <w:pPr>
              <w:ind w:left="0" w:firstLine="0"/>
            </w:pPr>
            <w:r w:rsidRPr="00892DE3">
              <w:t xml:space="preserve">  </w:t>
            </w:r>
          </w:p>
        </w:tc>
        <w:tc>
          <w:tcPr>
            <w:tcW w:w="863" w:type="dxa"/>
            <w:tcBorders>
              <w:top w:val="nil"/>
              <w:left w:val="nil"/>
              <w:bottom w:val="single" w:sz="4" w:space="0" w:color="auto"/>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82"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budget</w:t>
            </w:r>
          </w:p>
        </w:tc>
        <w:tc>
          <w:tcPr>
            <w:tcW w:w="896"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c>
          <w:tcPr>
            <w:tcW w:w="933"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c>
          <w:tcPr>
            <w:tcW w:w="885" w:type="dxa"/>
            <w:tcBorders>
              <w:top w:val="nil"/>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4" w:space="0" w:color="auto"/>
              <w:left w:val="nil"/>
              <w:bottom w:val="nil"/>
              <w:right w:val="nil"/>
            </w:tcBorders>
          </w:tcPr>
          <w:p w:rsidR="00AD47C0" w:rsidRPr="00892DE3" w:rsidRDefault="00AD47C0" w:rsidP="009B556F">
            <w:pPr>
              <w:spacing w:line="276" w:lineRule="auto"/>
              <w:ind w:left="0" w:firstLine="0"/>
              <w:rPr>
                <w:b/>
              </w:rPr>
            </w:pPr>
            <w:r w:rsidRPr="00892DE3">
              <w:rPr>
                <w:b/>
              </w:rPr>
              <w:t>Cash flows from operating activities</w:t>
            </w:r>
          </w:p>
        </w:tc>
        <w:tc>
          <w:tcPr>
            <w:tcW w:w="863" w:type="dxa"/>
            <w:tcBorders>
              <w:top w:val="single" w:sz="4" w:space="0" w:color="auto"/>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single" w:sz="4" w:space="0" w:color="auto"/>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6" w:type="dxa"/>
            <w:tcBorders>
              <w:top w:val="single" w:sz="4" w:space="0" w:color="auto"/>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33" w:type="dxa"/>
            <w:tcBorders>
              <w:top w:val="single" w:sz="4" w:space="0" w:color="auto"/>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85" w:type="dxa"/>
            <w:tcBorders>
              <w:top w:val="single" w:sz="4" w:space="0" w:color="auto"/>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rPr>
                <w:b/>
              </w:rPr>
            </w:pPr>
            <w:r w:rsidRPr="00892DE3">
              <w:rPr>
                <w:b/>
              </w:rPr>
              <w:t>Receipts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Taxes received</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21 483</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21 148</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22 285</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23 183</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Grants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27 424</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28 069</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28 844</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29 957</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Sales of goods and services</w:t>
            </w:r>
            <w:r w:rsidRPr="00892DE3">
              <w:rPr>
                <w:vertAlign w:val="superscript"/>
              </w:rPr>
              <w:t>(a)</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7 602</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7 811</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7 812</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7 906</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Interest received</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881</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914</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903</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906</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Dividends and income tax equivalent and rate equivalent receipts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1 079</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1 380</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785</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781</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Other receipts</w:t>
            </w:r>
          </w:p>
        </w:tc>
        <w:tc>
          <w:tcPr>
            <w:tcW w:w="863" w:type="dxa"/>
            <w:tcBorders>
              <w:top w:val="nil"/>
              <w:left w:val="nil"/>
              <w:bottom w:val="single" w:sz="6" w:space="0" w:color="auto"/>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1 877</w:t>
            </w:r>
          </w:p>
        </w:tc>
        <w:tc>
          <w:tcPr>
            <w:tcW w:w="896"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1 866</w:t>
            </w:r>
          </w:p>
        </w:tc>
        <w:tc>
          <w:tcPr>
            <w:tcW w:w="933"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1 858</w:t>
            </w:r>
          </w:p>
        </w:tc>
        <w:tc>
          <w:tcPr>
            <w:tcW w:w="885"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1 876</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nil"/>
              <w:right w:val="nil"/>
            </w:tcBorders>
          </w:tcPr>
          <w:p w:rsidR="00AD47C0" w:rsidRPr="00892DE3" w:rsidRDefault="00AD47C0" w:rsidP="009B556F">
            <w:pPr>
              <w:spacing w:line="276" w:lineRule="auto"/>
              <w:ind w:left="0" w:firstLine="0"/>
              <w:rPr>
                <w:b/>
              </w:rPr>
            </w:pPr>
            <w:r w:rsidRPr="00892DE3">
              <w:rPr>
                <w:b/>
              </w:rPr>
              <w:t>Total receipts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60 345</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61 188</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62 487</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64 608</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rPr>
                <w:b/>
              </w:rPr>
            </w:pPr>
            <w:r w:rsidRPr="00892DE3">
              <w:rPr>
                <w:b/>
              </w:rPr>
              <w:t>Payments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Payments for employees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(20 902)</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(21 892)</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(22 778)</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(23 517)</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Superannuation</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(2 991)</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(3 018)</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(3 099)</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(3 136)</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Interest paid</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(2 396)</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(2 194)</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(2 217)</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(2 177)</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Grants and subsidies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(9 501)</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(9 658)</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(9 940)</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(9 990)</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Goods and services</w:t>
            </w:r>
            <w:r w:rsidRPr="00892DE3">
              <w:rPr>
                <w:vertAlign w:val="superscript"/>
              </w:rPr>
              <w:t>(a)</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(18 729)</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(19 420)</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(19 263)</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(19 906)</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single" w:sz="6" w:space="0" w:color="auto"/>
              <w:right w:val="nil"/>
            </w:tcBorders>
          </w:tcPr>
          <w:p w:rsidR="00AD47C0" w:rsidRPr="00892DE3" w:rsidRDefault="00AD47C0" w:rsidP="009B556F">
            <w:pPr>
              <w:spacing w:line="276" w:lineRule="auto"/>
              <w:ind w:left="0" w:firstLine="0"/>
            </w:pPr>
            <w:r w:rsidRPr="00892DE3">
              <w:t>Other payments</w:t>
            </w:r>
          </w:p>
        </w:tc>
        <w:tc>
          <w:tcPr>
            <w:tcW w:w="863" w:type="dxa"/>
            <w:tcBorders>
              <w:top w:val="nil"/>
              <w:left w:val="nil"/>
              <w:bottom w:val="single" w:sz="6" w:space="0" w:color="auto"/>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(624)</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(647)</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(670)</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(701)</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single" w:sz="6" w:space="0" w:color="auto"/>
              <w:right w:val="nil"/>
            </w:tcBorders>
          </w:tcPr>
          <w:p w:rsidR="00AD47C0" w:rsidRPr="00892DE3" w:rsidRDefault="00AD47C0" w:rsidP="009B556F">
            <w:pPr>
              <w:spacing w:line="276" w:lineRule="auto"/>
              <w:ind w:left="0" w:firstLine="0"/>
              <w:rPr>
                <w:b/>
              </w:rPr>
            </w:pPr>
            <w:r w:rsidRPr="00892DE3">
              <w:rPr>
                <w:b/>
              </w:rPr>
              <w:t>Total payments</w:t>
            </w:r>
          </w:p>
        </w:tc>
        <w:tc>
          <w:tcPr>
            <w:tcW w:w="863" w:type="dxa"/>
            <w:tcBorders>
              <w:top w:val="nil"/>
              <w:left w:val="nil"/>
              <w:bottom w:val="single" w:sz="6" w:space="0" w:color="auto"/>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single" w:sz="6" w:space="0" w:color="auto"/>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(55 143)</w:t>
            </w:r>
          </w:p>
        </w:tc>
        <w:tc>
          <w:tcPr>
            <w:tcW w:w="896" w:type="dxa"/>
            <w:tcBorders>
              <w:top w:val="single" w:sz="6" w:space="0" w:color="auto"/>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(56 829)</w:t>
            </w:r>
          </w:p>
        </w:tc>
        <w:tc>
          <w:tcPr>
            <w:tcW w:w="933" w:type="dxa"/>
            <w:tcBorders>
              <w:top w:val="single" w:sz="6" w:space="0" w:color="auto"/>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(57 967)</w:t>
            </w:r>
          </w:p>
        </w:tc>
        <w:tc>
          <w:tcPr>
            <w:tcW w:w="885" w:type="dxa"/>
            <w:tcBorders>
              <w:top w:val="single" w:sz="6" w:space="0" w:color="auto"/>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(59 427)</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nil"/>
              <w:right w:val="nil"/>
            </w:tcBorders>
          </w:tcPr>
          <w:p w:rsidR="00AD47C0" w:rsidRPr="00892DE3" w:rsidRDefault="00AD47C0" w:rsidP="009B556F">
            <w:pPr>
              <w:spacing w:line="276" w:lineRule="auto"/>
              <w:ind w:left="0" w:firstLine="0"/>
              <w:rPr>
                <w:b/>
              </w:rPr>
            </w:pPr>
            <w:r w:rsidRPr="00892DE3">
              <w:rPr>
                <w:b/>
              </w:rPr>
              <w:t>Net cash flows from operating activities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5 202</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4 359</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4 520</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5 181</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rPr>
                <w:b/>
              </w:rPr>
            </w:pPr>
            <w:r w:rsidRPr="00892DE3">
              <w:rPr>
                <w:b/>
              </w:rPr>
              <w:t>Cash flows from investing activities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Purchases of non</w:t>
            </w:r>
            <w:r w:rsidRPr="00892DE3">
              <w:noBreakHyphen/>
              <w:t>financial assets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r w:rsidRPr="00892DE3">
              <w:t>20a, b</w:t>
            </w: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(7 206)</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(7 079)</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(6 542)</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(5 489)</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Sales of non</w:t>
            </w:r>
            <w:r w:rsidRPr="00892DE3">
              <w:noBreakHyphen/>
              <w:t>financial assets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487</w:t>
            </w:r>
          </w:p>
        </w:tc>
        <w:tc>
          <w:tcPr>
            <w:tcW w:w="896"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746</w:t>
            </w:r>
          </w:p>
        </w:tc>
        <w:tc>
          <w:tcPr>
            <w:tcW w:w="933"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440</w:t>
            </w:r>
          </w:p>
        </w:tc>
        <w:tc>
          <w:tcPr>
            <w:tcW w:w="885"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237</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nil"/>
              <w:right w:val="nil"/>
            </w:tcBorders>
          </w:tcPr>
          <w:p w:rsidR="00AD47C0" w:rsidRPr="00892DE3" w:rsidRDefault="00AD47C0" w:rsidP="009B556F">
            <w:pPr>
              <w:spacing w:line="276" w:lineRule="auto"/>
              <w:ind w:left="0" w:firstLine="0"/>
            </w:pPr>
            <w:r w:rsidRPr="00892DE3">
              <w:t>Net cash flows from investments in non</w:t>
            </w:r>
            <w:r w:rsidRPr="00892DE3">
              <w:noBreakHyphen/>
              <w:t>financial assets</w:t>
            </w:r>
          </w:p>
        </w:tc>
        <w:tc>
          <w:tcPr>
            <w:tcW w:w="863" w:type="dxa"/>
            <w:tcBorders>
              <w:top w:val="single" w:sz="6" w:space="0" w:color="auto"/>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(6 720)</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(6 333)</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(6 102)</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(5 252)</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single" w:sz="6" w:space="0" w:color="auto"/>
              <w:right w:val="nil"/>
            </w:tcBorders>
          </w:tcPr>
          <w:p w:rsidR="00AD47C0" w:rsidRPr="00892DE3" w:rsidRDefault="00AD47C0" w:rsidP="009B556F">
            <w:pPr>
              <w:spacing w:line="276" w:lineRule="auto"/>
              <w:ind w:left="0" w:firstLine="0"/>
            </w:pPr>
            <w:r w:rsidRPr="00892DE3">
              <w:t>Net cash flows from investments in financial assets for policy purposes</w:t>
            </w:r>
          </w:p>
        </w:tc>
        <w:tc>
          <w:tcPr>
            <w:tcW w:w="863" w:type="dxa"/>
            <w:tcBorders>
              <w:top w:val="nil"/>
              <w:left w:val="nil"/>
              <w:bottom w:val="single" w:sz="6" w:space="0" w:color="auto"/>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391</w:t>
            </w:r>
          </w:p>
        </w:tc>
        <w:tc>
          <w:tcPr>
            <w:tcW w:w="896"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1 556</w:t>
            </w:r>
          </w:p>
        </w:tc>
        <w:tc>
          <w:tcPr>
            <w:tcW w:w="933"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1 676</w:t>
            </w:r>
          </w:p>
        </w:tc>
        <w:tc>
          <w:tcPr>
            <w:tcW w:w="885"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1 602</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rPr>
                <w:b/>
              </w:rPr>
            </w:pPr>
            <w:r w:rsidRPr="00892DE3">
              <w:rPr>
                <w:b/>
              </w:rPr>
              <w:t>Subtotal</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(6 328)</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(4 778)</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(4 426)</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(3 650)</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Net cash flows from investments in financial assets for liquidity management purposes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(84)</w:t>
            </w:r>
          </w:p>
        </w:tc>
        <w:tc>
          <w:tcPr>
            <w:tcW w:w="896"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(68)</w:t>
            </w:r>
          </w:p>
        </w:tc>
        <w:tc>
          <w:tcPr>
            <w:tcW w:w="933"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(67)</w:t>
            </w:r>
          </w:p>
        </w:tc>
        <w:tc>
          <w:tcPr>
            <w:tcW w:w="885"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(80)</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nil"/>
              <w:right w:val="nil"/>
            </w:tcBorders>
          </w:tcPr>
          <w:p w:rsidR="00AD47C0" w:rsidRPr="00892DE3" w:rsidRDefault="00AD47C0" w:rsidP="009B556F">
            <w:pPr>
              <w:spacing w:line="276" w:lineRule="auto"/>
              <w:ind w:left="0" w:firstLine="0"/>
              <w:rPr>
                <w:b/>
              </w:rPr>
            </w:pPr>
            <w:r w:rsidRPr="00892DE3">
              <w:rPr>
                <w:b/>
              </w:rPr>
              <w:t>Net cash flows from investing activities</w:t>
            </w:r>
          </w:p>
        </w:tc>
        <w:tc>
          <w:tcPr>
            <w:tcW w:w="863" w:type="dxa"/>
            <w:tcBorders>
              <w:top w:val="single" w:sz="6" w:space="0" w:color="auto"/>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(6 413)</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(4 846)</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(4 493)</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(3 731)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rPr>
                <w:b/>
              </w:rPr>
            </w:pPr>
            <w:r w:rsidRPr="00892DE3">
              <w:rPr>
                <w:b/>
              </w:rPr>
              <w:t>Cash flows from financing activities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p>
        </w:tc>
        <w:tc>
          <w:tcPr>
            <w:tcW w:w="895" w:type="dxa"/>
            <w:gridSpan w:val="2"/>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Advances received (net)</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5 583</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(1 178)</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(852)</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(1 030)</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Net borrowings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(3 943)</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1 688</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1 143</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(108)</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single" w:sz="6" w:space="0" w:color="auto"/>
              <w:right w:val="nil"/>
            </w:tcBorders>
          </w:tcPr>
          <w:p w:rsidR="00AD47C0" w:rsidRPr="00892DE3" w:rsidRDefault="00AD47C0" w:rsidP="009B556F">
            <w:pPr>
              <w:spacing w:line="276" w:lineRule="auto"/>
              <w:ind w:left="0" w:firstLine="0"/>
              <w:rPr>
                <w:b/>
              </w:rPr>
            </w:pPr>
            <w:r w:rsidRPr="00892DE3">
              <w:rPr>
                <w:b/>
              </w:rPr>
              <w:t>Net cash flows from financing activities</w:t>
            </w:r>
          </w:p>
        </w:tc>
        <w:tc>
          <w:tcPr>
            <w:tcW w:w="863" w:type="dxa"/>
            <w:tcBorders>
              <w:top w:val="single" w:sz="6" w:space="0" w:color="auto"/>
              <w:left w:val="nil"/>
              <w:bottom w:val="single" w:sz="6" w:space="0" w:color="auto"/>
              <w:right w:val="nil"/>
            </w:tcBorders>
            <w:vAlign w:val="center"/>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single" w:sz="6" w:space="0" w:color="auto"/>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1 640</w:t>
            </w:r>
          </w:p>
        </w:tc>
        <w:tc>
          <w:tcPr>
            <w:tcW w:w="896" w:type="dxa"/>
            <w:tcBorders>
              <w:top w:val="single" w:sz="6" w:space="0" w:color="auto"/>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510</w:t>
            </w:r>
          </w:p>
        </w:tc>
        <w:tc>
          <w:tcPr>
            <w:tcW w:w="933" w:type="dxa"/>
            <w:tcBorders>
              <w:top w:val="single" w:sz="6" w:space="0" w:color="auto"/>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291</w:t>
            </w:r>
          </w:p>
        </w:tc>
        <w:tc>
          <w:tcPr>
            <w:tcW w:w="885" w:type="dxa"/>
            <w:tcBorders>
              <w:top w:val="single" w:sz="6" w:space="0" w:color="auto"/>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(1 138)</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rPr>
                <w:b/>
              </w:rPr>
            </w:pPr>
            <w:r w:rsidRPr="00892DE3">
              <w:rPr>
                <w:b/>
              </w:rPr>
              <w:t>Net increase/(decrease) in cash and cash equivalents</w:t>
            </w:r>
          </w:p>
        </w:tc>
        <w:tc>
          <w:tcPr>
            <w:tcW w:w="863" w:type="dxa"/>
            <w:tcBorders>
              <w:top w:val="single" w:sz="6" w:space="0" w:color="auto"/>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429</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23</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318</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313</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Cash and cash equivalents at beginning of reporting period</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4 338</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4 766</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4 789</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5 107</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single" w:sz="12" w:space="0" w:color="auto"/>
              <w:right w:val="nil"/>
            </w:tcBorders>
          </w:tcPr>
          <w:p w:rsidR="00AD47C0" w:rsidRPr="00892DE3" w:rsidRDefault="00AD47C0" w:rsidP="009B556F">
            <w:pPr>
              <w:spacing w:line="276" w:lineRule="auto"/>
              <w:ind w:left="0" w:firstLine="0"/>
              <w:rPr>
                <w:b/>
              </w:rPr>
            </w:pPr>
            <w:r w:rsidRPr="00892DE3">
              <w:rPr>
                <w:b/>
              </w:rPr>
              <w:t>Cash and cash equivalents at end of reporting period</w:t>
            </w:r>
          </w:p>
        </w:tc>
        <w:tc>
          <w:tcPr>
            <w:tcW w:w="863" w:type="dxa"/>
            <w:tcBorders>
              <w:top w:val="single" w:sz="6" w:space="0" w:color="auto"/>
              <w:left w:val="nil"/>
              <w:bottom w:val="single" w:sz="12" w:space="0" w:color="auto"/>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single" w:sz="6" w:space="0" w:color="auto"/>
              <w:left w:val="nil"/>
              <w:bottom w:val="single" w:sz="12"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4 766</w:t>
            </w:r>
          </w:p>
        </w:tc>
        <w:tc>
          <w:tcPr>
            <w:tcW w:w="896" w:type="dxa"/>
            <w:tcBorders>
              <w:top w:val="single" w:sz="6" w:space="0" w:color="auto"/>
              <w:left w:val="nil"/>
              <w:bottom w:val="single" w:sz="12"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4 789</w:t>
            </w:r>
          </w:p>
        </w:tc>
        <w:tc>
          <w:tcPr>
            <w:tcW w:w="933" w:type="dxa"/>
            <w:tcBorders>
              <w:top w:val="single" w:sz="6" w:space="0" w:color="auto"/>
              <w:left w:val="nil"/>
              <w:bottom w:val="single" w:sz="12"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5 107</w:t>
            </w:r>
          </w:p>
        </w:tc>
        <w:tc>
          <w:tcPr>
            <w:tcW w:w="885" w:type="dxa"/>
            <w:tcBorders>
              <w:top w:val="single" w:sz="6" w:space="0" w:color="auto"/>
              <w:left w:val="nil"/>
              <w:bottom w:val="single" w:sz="12"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5 420</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rPr>
                <w:b/>
              </w:rPr>
            </w:pPr>
            <w:r w:rsidRPr="00892DE3">
              <w:rPr>
                <w:b/>
              </w:rPr>
              <w:t>FISCAL AGGREGATES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Net cash flows from operating activities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5 202</w:t>
            </w:r>
          </w:p>
        </w:tc>
        <w:tc>
          <w:tcPr>
            <w:tcW w:w="896"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4 359</w:t>
            </w:r>
          </w:p>
        </w:tc>
        <w:tc>
          <w:tcPr>
            <w:tcW w:w="933"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4 520</w:t>
            </w:r>
          </w:p>
        </w:tc>
        <w:tc>
          <w:tcPr>
            <w:tcW w:w="885" w:type="dxa"/>
            <w:tcBorders>
              <w:top w:val="nil"/>
              <w:left w:val="nil"/>
              <w:bottom w:val="nil"/>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5 181</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pPr>
            <w:r w:rsidRPr="00892DE3">
              <w:t>Net cash flows from investments in non</w:t>
            </w:r>
            <w:r w:rsidRPr="00892DE3">
              <w:noBreakHyphen/>
              <w:t>financial assets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(6 720)</w:t>
            </w:r>
          </w:p>
        </w:tc>
        <w:tc>
          <w:tcPr>
            <w:tcW w:w="896"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(6 333)</w:t>
            </w:r>
          </w:p>
        </w:tc>
        <w:tc>
          <w:tcPr>
            <w:tcW w:w="933"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(6 102)</w:t>
            </w:r>
          </w:p>
        </w:tc>
        <w:tc>
          <w:tcPr>
            <w:tcW w:w="885" w:type="dxa"/>
            <w:tcBorders>
              <w:top w:val="nil"/>
              <w:left w:val="nil"/>
              <w:bottom w:val="single" w:sz="6"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pPr>
            <w:r w:rsidRPr="00892DE3">
              <w:t>(5 252)</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single" w:sz="12" w:space="0" w:color="auto"/>
              <w:right w:val="nil"/>
            </w:tcBorders>
          </w:tcPr>
          <w:p w:rsidR="00AD47C0" w:rsidRPr="00892DE3" w:rsidRDefault="00AD47C0" w:rsidP="009B556F">
            <w:pPr>
              <w:spacing w:line="276" w:lineRule="auto"/>
              <w:ind w:left="0" w:firstLine="0"/>
              <w:rPr>
                <w:b/>
              </w:rPr>
            </w:pPr>
            <w:r w:rsidRPr="00892DE3">
              <w:rPr>
                <w:b/>
              </w:rPr>
              <w:t>Cash surplus/(deficit)</w:t>
            </w:r>
          </w:p>
        </w:tc>
        <w:tc>
          <w:tcPr>
            <w:tcW w:w="863" w:type="dxa"/>
            <w:tcBorders>
              <w:top w:val="single" w:sz="6" w:space="0" w:color="auto"/>
              <w:left w:val="nil"/>
              <w:bottom w:val="single" w:sz="12" w:space="0" w:color="auto"/>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single" w:sz="6" w:space="0" w:color="auto"/>
              <w:left w:val="nil"/>
              <w:bottom w:val="single" w:sz="12"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(1 518)</w:t>
            </w:r>
          </w:p>
        </w:tc>
        <w:tc>
          <w:tcPr>
            <w:tcW w:w="896" w:type="dxa"/>
            <w:tcBorders>
              <w:top w:val="single" w:sz="6" w:space="0" w:color="auto"/>
              <w:left w:val="nil"/>
              <w:bottom w:val="single" w:sz="12"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(1 974)</w:t>
            </w:r>
          </w:p>
        </w:tc>
        <w:tc>
          <w:tcPr>
            <w:tcW w:w="933" w:type="dxa"/>
            <w:tcBorders>
              <w:top w:val="single" w:sz="6" w:space="0" w:color="auto"/>
              <w:left w:val="nil"/>
              <w:bottom w:val="single" w:sz="12"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(1 582)</w:t>
            </w:r>
          </w:p>
        </w:tc>
        <w:tc>
          <w:tcPr>
            <w:tcW w:w="885" w:type="dxa"/>
            <w:tcBorders>
              <w:top w:val="single" w:sz="6" w:space="0" w:color="auto"/>
              <w:left w:val="nil"/>
              <w:bottom w:val="single" w:sz="12" w:space="0" w:color="auto"/>
              <w:right w:val="nil"/>
            </w:tcBorders>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b/>
              </w:rPr>
            </w:pPr>
            <w:r w:rsidRPr="00892DE3">
              <w:rPr>
                <w:b/>
              </w:rPr>
              <w:t>(71)</w:t>
            </w:r>
          </w:p>
        </w:tc>
      </w:tr>
    </w:tbl>
    <w:p w:rsidR="00AD47C0" w:rsidRPr="00892DE3" w:rsidRDefault="00AD47C0" w:rsidP="00AD47C0">
      <w:pPr>
        <w:pStyle w:val="Source"/>
      </w:pPr>
      <w:r w:rsidRPr="00892DE3">
        <w:t>The accompanying notes form part of these estimated financial statements.</w:t>
      </w:r>
    </w:p>
    <w:p w:rsidR="00AD47C0" w:rsidRPr="00892DE3" w:rsidRDefault="00AD47C0" w:rsidP="00AD47C0">
      <w:pPr>
        <w:pStyle w:val="Note"/>
      </w:pPr>
      <w:r w:rsidRPr="00892DE3">
        <w:t>Note:</w:t>
      </w:r>
    </w:p>
    <w:p w:rsidR="00AD47C0" w:rsidRPr="00892DE3" w:rsidRDefault="00AD47C0" w:rsidP="00AD47C0">
      <w:pPr>
        <w:pStyle w:val="Note"/>
      </w:pPr>
      <w:r w:rsidRPr="00892DE3">
        <w:t>(a)</w:t>
      </w:r>
      <w:r w:rsidRPr="00892DE3">
        <w:tab/>
        <w:t>Inclusive of goods and services tax.</w:t>
      </w:r>
    </w:p>
    <w:p w:rsidR="00AD47C0" w:rsidRPr="00892DE3" w:rsidRDefault="00AD47C0" w:rsidP="00B623D8">
      <w:pPr>
        <w:pStyle w:val="TableHeading"/>
      </w:pPr>
      <w:r w:rsidRPr="00892DE3">
        <w:br w:type="page"/>
      </w:r>
      <w:bookmarkStart w:id="270" w:name="_Toc225564587"/>
      <w:r w:rsidRPr="00892DE3">
        <w:t xml:space="preserve">Table 1.4: </w:t>
      </w:r>
      <w:r w:rsidRPr="00892DE3">
        <w:tab/>
        <w:t xml:space="preserve">Estimated general government sector statement of changes in equity </w:t>
      </w:r>
      <w:r w:rsidR="00B623D8" w:rsidRPr="00892DE3">
        <w:br/>
      </w:r>
      <w:r w:rsidRPr="00892DE3">
        <w:t>for the financial year ending 30 June</w:t>
      </w:r>
      <w:r w:rsidR="00B623D8" w:rsidRPr="00892DE3">
        <w:tab/>
      </w:r>
      <w:r w:rsidRPr="00892DE3">
        <w:t>($ million)</w:t>
      </w:r>
    </w:p>
    <w:tbl>
      <w:tblPr>
        <w:tblStyle w:val="DTFTable"/>
        <w:tblW w:w="9637" w:type="dxa"/>
        <w:jc w:val="center"/>
        <w:tblInd w:w="43" w:type="dxa"/>
        <w:tblLayout w:type="fixed"/>
        <w:tblCellMar>
          <w:left w:w="43" w:type="dxa"/>
          <w:right w:w="43" w:type="dxa"/>
        </w:tblCellMar>
        <w:tblLook w:val="06E0" w:firstRow="1" w:lastRow="1" w:firstColumn="1" w:lastColumn="0" w:noHBand="1" w:noVBand="1"/>
      </w:tblPr>
      <w:tblGrid>
        <w:gridCol w:w="3119"/>
        <w:gridCol w:w="213"/>
        <w:gridCol w:w="1022"/>
        <w:gridCol w:w="896"/>
        <w:gridCol w:w="1554"/>
        <w:gridCol w:w="1276"/>
        <w:gridCol w:w="767"/>
        <w:gridCol w:w="790"/>
      </w:tblGrid>
      <w:tr w:rsidR="00D3365F" w:rsidRPr="00892DE3" w:rsidTr="008B155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nil"/>
            </w:tcBorders>
            <w:shd w:val="clear" w:color="auto" w:fill="000000"/>
          </w:tcPr>
          <w:p w:rsidR="00AD47C0" w:rsidRPr="00892DE3" w:rsidRDefault="00AD47C0" w:rsidP="00F042B6">
            <w:pPr>
              <w:ind w:left="0" w:firstLine="0"/>
            </w:pPr>
            <w:r w:rsidRPr="00892DE3">
              <w:br/>
            </w:r>
          </w:p>
        </w:tc>
        <w:tc>
          <w:tcPr>
            <w:tcW w:w="1235" w:type="dxa"/>
            <w:gridSpan w:val="2"/>
            <w:tcBorders>
              <w:top w:val="single" w:sz="4" w:space="0" w:color="auto"/>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br/>
              <w:t>Accumulated surplus/</w:t>
            </w:r>
            <w:r w:rsidRPr="00892DE3">
              <w:br/>
              <w:t>(deficit)</w:t>
            </w:r>
          </w:p>
        </w:tc>
        <w:tc>
          <w:tcPr>
            <w:tcW w:w="896" w:type="dxa"/>
            <w:tcBorders>
              <w:top w:val="single" w:sz="4" w:space="0" w:color="auto"/>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r>
            <w:r w:rsidRPr="00892DE3">
              <w:br/>
              <w:t>controlling interest</w:t>
            </w:r>
          </w:p>
        </w:tc>
        <w:tc>
          <w:tcPr>
            <w:tcW w:w="1554" w:type="dxa"/>
            <w:tcBorders>
              <w:top w:val="single" w:sz="4" w:space="0" w:color="auto"/>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Non-financial assets revaluation surplus</w:t>
            </w:r>
            <w:r w:rsidRPr="00892DE3">
              <w:rPr>
                <w:vertAlign w:val="superscript"/>
              </w:rPr>
              <w:t>(a)</w:t>
            </w:r>
          </w:p>
        </w:tc>
        <w:tc>
          <w:tcPr>
            <w:tcW w:w="1276" w:type="dxa"/>
            <w:tcBorders>
              <w:top w:val="single" w:sz="4" w:space="0" w:color="auto"/>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Investment in other sector entities revaluation surplus</w:t>
            </w:r>
          </w:p>
        </w:tc>
        <w:tc>
          <w:tcPr>
            <w:tcW w:w="767" w:type="dxa"/>
            <w:tcBorders>
              <w:top w:val="single" w:sz="4" w:space="0" w:color="auto"/>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br/>
              <w:t xml:space="preserve">Other </w:t>
            </w:r>
          </w:p>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reserves</w:t>
            </w:r>
          </w:p>
        </w:tc>
        <w:tc>
          <w:tcPr>
            <w:tcW w:w="790" w:type="dxa"/>
            <w:tcBorders>
              <w:top w:val="single" w:sz="4" w:space="0" w:color="auto"/>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br/>
            </w:r>
            <w:r w:rsidRPr="00892DE3">
              <w:br/>
              <w:t>Total</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single" w:sz="4" w:space="0" w:color="auto"/>
              <w:left w:val="nil"/>
              <w:bottom w:val="nil"/>
              <w:right w:val="nil"/>
            </w:tcBorders>
          </w:tcPr>
          <w:p w:rsidR="00AD47C0" w:rsidRPr="00892DE3" w:rsidRDefault="00AD47C0" w:rsidP="009B556F">
            <w:pPr>
              <w:pStyle w:val="Tabletext"/>
              <w:spacing w:line="276" w:lineRule="auto"/>
              <w:ind w:left="0" w:firstLine="0"/>
              <w:rPr>
                <w:b/>
                <w:sz w:val="17"/>
              </w:rPr>
            </w:pPr>
            <w:r w:rsidRPr="00892DE3">
              <w:rPr>
                <w:b/>
                <w:sz w:val="17"/>
              </w:rPr>
              <w:t>2016-17 budget</w:t>
            </w:r>
          </w:p>
        </w:tc>
        <w:tc>
          <w:tcPr>
            <w:tcW w:w="1022"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6"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554"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767"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790"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Balance at 1 July 2016</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45 682</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43 826</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47 884</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692</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138 084</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Net result for the year</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2 635</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2 635</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Other comprehensive income for the year</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875</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109</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2 707</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2</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3 693</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single" w:sz="6" w:space="0" w:color="auto"/>
              <w:left w:val="nil"/>
              <w:bottom w:val="single" w:sz="12" w:space="0" w:color="auto"/>
              <w:right w:val="nil"/>
            </w:tcBorders>
          </w:tcPr>
          <w:p w:rsidR="00AD47C0" w:rsidRPr="00892DE3" w:rsidRDefault="00AD47C0" w:rsidP="009B556F">
            <w:pPr>
              <w:pStyle w:val="Tabletext"/>
              <w:spacing w:line="276" w:lineRule="auto"/>
              <w:ind w:left="0" w:firstLine="0"/>
              <w:rPr>
                <w:b/>
                <w:sz w:val="17"/>
              </w:rPr>
            </w:pPr>
            <w:r w:rsidRPr="00892DE3">
              <w:rPr>
                <w:b/>
                <w:sz w:val="17"/>
              </w:rPr>
              <w:t>Total equity as at 30 June 2017</w:t>
            </w:r>
          </w:p>
        </w:tc>
        <w:tc>
          <w:tcPr>
            <w:tcW w:w="1022"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49 193</w:t>
            </w:r>
          </w:p>
        </w:tc>
        <w:tc>
          <w:tcPr>
            <w:tcW w:w="896"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t>..</w:t>
            </w:r>
          </w:p>
        </w:tc>
        <w:tc>
          <w:tcPr>
            <w:tcW w:w="1554"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43 935</w:t>
            </w:r>
          </w:p>
        </w:tc>
        <w:tc>
          <w:tcPr>
            <w:tcW w:w="1276"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50 591</w:t>
            </w:r>
          </w:p>
        </w:tc>
        <w:tc>
          <w:tcPr>
            <w:tcW w:w="767"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694</w:t>
            </w:r>
          </w:p>
        </w:tc>
        <w:tc>
          <w:tcPr>
            <w:tcW w:w="790"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144 412</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b/>
                <w:sz w:val="17"/>
              </w:rPr>
            </w:pPr>
            <w:r w:rsidRPr="00892DE3">
              <w:rPr>
                <w:b/>
                <w:sz w:val="17"/>
              </w:rPr>
              <w:t>2017-18 estimate</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Balance at 1 July 2017</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49 193</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43 935</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50 591</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694</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144 412</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Net result for the year</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1 823</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1 823</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Other comprehensive income for the year</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892</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7 101</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(118)</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4</w:t>
            </w:r>
          </w:p>
        </w:tc>
        <w:tc>
          <w:tcPr>
            <w:tcW w:w="790" w:type="dxa"/>
            <w:tcBorders>
              <w:top w:val="nil"/>
              <w:left w:val="nil"/>
              <w:bottom w:val="nil"/>
              <w:right w:val="nil"/>
            </w:tcBorders>
          </w:tcPr>
          <w:p w:rsidR="00AD47C0" w:rsidRPr="00892DE3" w:rsidRDefault="00B77219"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7 879</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single" w:sz="6" w:space="0" w:color="auto"/>
              <w:left w:val="nil"/>
              <w:bottom w:val="single" w:sz="12" w:space="0" w:color="auto"/>
              <w:right w:val="nil"/>
            </w:tcBorders>
          </w:tcPr>
          <w:p w:rsidR="00AD47C0" w:rsidRPr="00892DE3" w:rsidRDefault="00AD47C0" w:rsidP="009B556F">
            <w:pPr>
              <w:pStyle w:val="Tabletext"/>
              <w:spacing w:line="276" w:lineRule="auto"/>
              <w:ind w:left="0" w:firstLine="0"/>
              <w:rPr>
                <w:b/>
                <w:sz w:val="17"/>
              </w:rPr>
            </w:pPr>
            <w:r w:rsidRPr="00892DE3">
              <w:rPr>
                <w:b/>
                <w:sz w:val="17"/>
              </w:rPr>
              <w:t>Total equity as at 30 June 2018</w:t>
            </w:r>
          </w:p>
        </w:tc>
        <w:tc>
          <w:tcPr>
            <w:tcW w:w="1022"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51 907</w:t>
            </w:r>
          </w:p>
        </w:tc>
        <w:tc>
          <w:tcPr>
            <w:tcW w:w="896"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t>..</w:t>
            </w:r>
          </w:p>
        </w:tc>
        <w:tc>
          <w:tcPr>
            <w:tcW w:w="1554"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51 036</w:t>
            </w:r>
          </w:p>
        </w:tc>
        <w:tc>
          <w:tcPr>
            <w:tcW w:w="1276"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50 473</w:t>
            </w:r>
          </w:p>
        </w:tc>
        <w:tc>
          <w:tcPr>
            <w:tcW w:w="767"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698</w:t>
            </w:r>
          </w:p>
        </w:tc>
        <w:tc>
          <w:tcPr>
            <w:tcW w:w="790"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154 114</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b/>
                <w:sz w:val="17"/>
              </w:rPr>
            </w:pPr>
            <w:r w:rsidRPr="00892DE3">
              <w:rPr>
                <w:b/>
                <w:sz w:val="17"/>
              </w:rPr>
              <w:t>2018-19 estimate</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Balance at 1 July 2018</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51 907</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51 036</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50 473</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698</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154 114</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Net result for the year</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1 841</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1 841</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Other comprehensive income for the year</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924</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1 653</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866</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4</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3 447</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single" w:sz="6" w:space="0" w:color="auto"/>
              <w:left w:val="nil"/>
              <w:bottom w:val="single" w:sz="12" w:space="0" w:color="auto"/>
              <w:right w:val="nil"/>
            </w:tcBorders>
          </w:tcPr>
          <w:p w:rsidR="00AD47C0" w:rsidRPr="00892DE3" w:rsidRDefault="00AD47C0" w:rsidP="009B556F">
            <w:pPr>
              <w:pStyle w:val="Tabletext"/>
              <w:spacing w:line="276" w:lineRule="auto"/>
              <w:ind w:left="0" w:firstLine="0"/>
              <w:rPr>
                <w:b/>
                <w:sz w:val="17"/>
              </w:rPr>
            </w:pPr>
            <w:r w:rsidRPr="00892DE3">
              <w:rPr>
                <w:b/>
                <w:sz w:val="17"/>
              </w:rPr>
              <w:t>Total equity as at 30 June 2019</w:t>
            </w:r>
          </w:p>
        </w:tc>
        <w:tc>
          <w:tcPr>
            <w:tcW w:w="1022"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54 673</w:t>
            </w:r>
          </w:p>
        </w:tc>
        <w:tc>
          <w:tcPr>
            <w:tcW w:w="896"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t>..</w:t>
            </w:r>
          </w:p>
        </w:tc>
        <w:tc>
          <w:tcPr>
            <w:tcW w:w="1554"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52 689</w:t>
            </w:r>
          </w:p>
        </w:tc>
        <w:tc>
          <w:tcPr>
            <w:tcW w:w="1276"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51 338</w:t>
            </w:r>
          </w:p>
        </w:tc>
        <w:tc>
          <w:tcPr>
            <w:tcW w:w="767"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702</w:t>
            </w:r>
          </w:p>
        </w:tc>
        <w:tc>
          <w:tcPr>
            <w:tcW w:w="790"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159 402</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b/>
                <w:sz w:val="17"/>
              </w:rPr>
            </w:pPr>
            <w:r w:rsidRPr="00892DE3">
              <w:rPr>
                <w:b/>
                <w:sz w:val="17"/>
              </w:rPr>
              <w:t>2019-20 estimate</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Balance at 1 July 2019</w:t>
            </w:r>
          </w:p>
        </w:tc>
        <w:tc>
          <w:tcPr>
            <w:tcW w:w="1022"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54 673</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52 689</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51 338</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702</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159 402</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nil"/>
              <w:right w:val="nil"/>
            </w:tcBorders>
          </w:tcPr>
          <w:p w:rsidR="00AD47C0" w:rsidRPr="00892DE3" w:rsidRDefault="00AD47C0" w:rsidP="009B556F">
            <w:pPr>
              <w:pStyle w:val="Tabletext"/>
              <w:spacing w:line="276" w:lineRule="auto"/>
              <w:ind w:left="0" w:firstLine="0"/>
              <w:rPr>
                <w:sz w:val="17"/>
              </w:rPr>
            </w:pPr>
            <w:r w:rsidRPr="00892DE3">
              <w:rPr>
                <w:sz w:val="17"/>
              </w:rPr>
              <w:t>Net result for the year</w:t>
            </w:r>
          </w:p>
        </w:tc>
        <w:tc>
          <w:tcPr>
            <w:tcW w:w="1022"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2 206</w:t>
            </w:r>
          </w:p>
        </w:tc>
        <w:tc>
          <w:tcPr>
            <w:tcW w:w="89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276"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767"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79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2 206</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nil"/>
              <w:left w:val="nil"/>
              <w:bottom w:val="single" w:sz="6" w:space="0" w:color="auto"/>
              <w:right w:val="nil"/>
            </w:tcBorders>
          </w:tcPr>
          <w:p w:rsidR="00AD47C0" w:rsidRPr="00892DE3" w:rsidRDefault="00AD47C0" w:rsidP="009B556F">
            <w:pPr>
              <w:pStyle w:val="Tabletext"/>
              <w:spacing w:line="276" w:lineRule="auto"/>
              <w:ind w:left="0" w:firstLine="0"/>
              <w:rPr>
                <w:sz w:val="17"/>
              </w:rPr>
            </w:pPr>
            <w:r w:rsidRPr="00892DE3">
              <w:rPr>
                <w:sz w:val="17"/>
              </w:rPr>
              <w:t>Other comprehensive income for the year</w:t>
            </w:r>
          </w:p>
        </w:tc>
        <w:tc>
          <w:tcPr>
            <w:tcW w:w="1022"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925</w:t>
            </w:r>
          </w:p>
        </w:tc>
        <w:tc>
          <w:tcPr>
            <w:tcW w:w="896"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w:t>
            </w:r>
          </w:p>
        </w:tc>
        <w:tc>
          <w:tcPr>
            <w:tcW w:w="1554"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7 445</w:t>
            </w:r>
          </w:p>
        </w:tc>
        <w:tc>
          <w:tcPr>
            <w:tcW w:w="1276"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(85)</w:t>
            </w:r>
          </w:p>
        </w:tc>
        <w:tc>
          <w:tcPr>
            <w:tcW w:w="767"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4</w:t>
            </w:r>
          </w:p>
        </w:tc>
        <w:tc>
          <w:tcPr>
            <w:tcW w:w="790"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t>8 289</w:t>
            </w:r>
          </w:p>
        </w:tc>
      </w:tr>
      <w:tr w:rsidR="00AD47C0" w:rsidRPr="00892DE3" w:rsidTr="008B155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2" w:type="dxa"/>
            <w:gridSpan w:val="2"/>
            <w:tcBorders>
              <w:top w:val="single" w:sz="6" w:space="0" w:color="auto"/>
              <w:bottom w:val="single" w:sz="12" w:space="0" w:color="auto"/>
            </w:tcBorders>
          </w:tcPr>
          <w:p w:rsidR="00AD47C0" w:rsidRPr="00892DE3" w:rsidRDefault="00AD47C0" w:rsidP="009B556F">
            <w:pPr>
              <w:pStyle w:val="Tabletext"/>
              <w:spacing w:line="276" w:lineRule="auto"/>
              <w:ind w:left="0" w:firstLine="0"/>
              <w:rPr>
                <w:b w:val="0"/>
                <w:sz w:val="17"/>
              </w:rPr>
            </w:pPr>
            <w:r w:rsidRPr="00892DE3">
              <w:rPr>
                <w:b w:val="0"/>
                <w:sz w:val="17"/>
              </w:rPr>
              <w:t>Total equity as at 30 June 2020</w:t>
            </w:r>
          </w:p>
        </w:tc>
        <w:tc>
          <w:tcPr>
            <w:tcW w:w="1022"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sidRPr="00892DE3">
              <w:rPr>
                <w:b w:val="0"/>
              </w:rPr>
              <w:t>57 804</w:t>
            </w:r>
          </w:p>
        </w:tc>
        <w:tc>
          <w:tcPr>
            <w:tcW w:w="896"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sidRPr="00892DE3">
              <w:t>..</w:t>
            </w:r>
          </w:p>
        </w:tc>
        <w:tc>
          <w:tcPr>
            <w:tcW w:w="1554"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sidRPr="00892DE3">
              <w:rPr>
                <w:b w:val="0"/>
              </w:rPr>
              <w:t>60 135</w:t>
            </w:r>
          </w:p>
        </w:tc>
        <w:tc>
          <w:tcPr>
            <w:tcW w:w="1276"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sidRPr="00892DE3">
              <w:rPr>
                <w:b w:val="0"/>
              </w:rPr>
              <w:t>51 253</w:t>
            </w:r>
          </w:p>
        </w:tc>
        <w:tc>
          <w:tcPr>
            <w:tcW w:w="767"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sidRPr="00892DE3">
              <w:rPr>
                <w:b w:val="0"/>
              </w:rPr>
              <w:t>706</w:t>
            </w:r>
          </w:p>
        </w:tc>
        <w:tc>
          <w:tcPr>
            <w:tcW w:w="790"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sidRPr="00892DE3">
              <w:rPr>
                <w:b w:val="0"/>
              </w:rPr>
              <w:t>169 898</w:t>
            </w:r>
          </w:p>
        </w:tc>
      </w:tr>
    </w:tbl>
    <w:p w:rsidR="00AD47C0" w:rsidRPr="00892DE3" w:rsidRDefault="00AD47C0" w:rsidP="00AD47C0">
      <w:pPr>
        <w:pStyle w:val="Source"/>
      </w:pPr>
      <w:r w:rsidRPr="00892DE3">
        <w:t>The accompanying notes form part of these estimated financial statements</w:t>
      </w:r>
    </w:p>
    <w:p w:rsidR="00AD47C0" w:rsidRPr="00892DE3" w:rsidRDefault="00AD47C0" w:rsidP="00AD47C0">
      <w:pPr>
        <w:pStyle w:val="Note"/>
      </w:pPr>
      <w:r w:rsidRPr="00892DE3">
        <w:t>Note:</w:t>
      </w:r>
    </w:p>
    <w:p w:rsidR="008B155F" w:rsidRPr="00892DE3" w:rsidRDefault="00AD47C0" w:rsidP="008B155F">
      <w:pPr>
        <w:pStyle w:val="Note"/>
      </w:pPr>
      <w:r w:rsidRPr="00892DE3">
        <w:t>Non-financial assets revaluation surplus relates to revaluation of land, buildings, infrastructure, plant and equipment.</w:t>
      </w:r>
    </w:p>
    <w:p w:rsidR="008B155F" w:rsidRPr="00892DE3" w:rsidRDefault="008B155F" w:rsidP="008B155F"/>
    <w:p w:rsidR="00AD47C0" w:rsidRPr="00892DE3" w:rsidRDefault="00AD47C0" w:rsidP="00B623D8">
      <w:pPr>
        <w:pStyle w:val="Heading1nonTOC"/>
        <w:rPr>
          <w:caps w:val="0"/>
        </w:rPr>
      </w:pPr>
      <w:r w:rsidRPr="00892DE3">
        <w:br w:type="page"/>
      </w:r>
      <w:bookmarkStart w:id="271" w:name="_Toc324234840"/>
      <w:bookmarkStart w:id="272" w:name="_Toc330906646"/>
      <w:bookmarkStart w:id="273" w:name="_Toc332019435"/>
      <w:bookmarkStart w:id="274" w:name="_Toc350413726"/>
      <w:bookmarkStart w:id="275" w:name="_Toc388277751"/>
      <w:r w:rsidRPr="00892DE3">
        <w:rPr>
          <w:caps w:val="0"/>
        </w:rPr>
        <w:t xml:space="preserve">Appendix 1(b) – Extract of financial statements from the </w:t>
      </w:r>
      <w:r w:rsidR="00B623D8" w:rsidRPr="00892DE3">
        <w:rPr>
          <w:caps w:val="0"/>
        </w:rPr>
        <w:br/>
      </w:r>
      <w:r w:rsidRPr="00892DE3">
        <w:rPr>
          <w:i/>
          <w:caps w:val="0"/>
        </w:rPr>
        <w:t>2016</w:t>
      </w:r>
      <w:r w:rsidRPr="00892DE3">
        <w:rPr>
          <w:i/>
          <w:caps w:val="0"/>
        </w:rPr>
        <w:noBreakHyphen/>
        <w:t>17 Quarterly Financial Report No. 1</w:t>
      </w:r>
      <w:bookmarkEnd w:id="270"/>
      <w:bookmarkEnd w:id="271"/>
      <w:bookmarkEnd w:id="272"/>
      <w:bookmarkEnd w:id="273"/>
      <w:bookmarkEnd w:id="274"/>
      <w:bookmarkEnd w:id="275"/>
    </w:p>
    <w:p w:rsidR="00AD47C0" w:rsidRPr="00892DE3" w:rsidRDefault="00AD47C0" w:rsidP="00796A67">
      <w:pPr>
        <w:pStyle w:val="Heading2nonTOC"/>
      </w:pPr>
      <w:bookmarkStart w:id="276" w:name="_Toc213813353"/>
      <w:r w:rsidRPr="00892DE3">
        <w:t>Financial statements for the general government sector</w:t>
      </w:r>
      <w:bookmarkEnd w:id="276"/>
    </w:p>
    <w:p w:rsidR="00AD47C0" w:rsidRPr="00892DE3" w:rsidRDefault="00AD47C0" w:rsidP="00AD47C0">
      <w:pPr>
        <w:pStyle w:val="TableHeading"/>
      </w:pPr>
      <w:bookmarkStart w:id="277" w:name="_Toc308523272"/>
      <w:bookmarkStart w:id="278" w:name="_Toc213813354"/>
      <w:r w:rsidRPr="00892DE3">
        <w:t>Table 1.5:</w:t>
      </w:r>
      <w:r w:rsidRPr="00892DE3">
        <w:tab/>
        <w:t>Comprehensive operating statement for the period ending 30 September</w:t>
      </w:r>
      <w:bookmarkEnd w:id="277"/>
      <w:r w:rsidRPr="00892DE3">
        <w:tab/>
        <w:t>($ million)</w:t>
      </w:r>
    </w:p>
    <w:tbl>
      <w:tblPr>
        <w:tblStyle w:val="DTFTable"/>
        <w:tblW w:w="9637" w:type="dxa"/>
        <w:tblInd w:w="43" w:type="dxa"/>
        <w:tblLayout w:type="fixed"/>
        <w:tblCellMar>
          <w:left w:w="43" w:type="dxa"/>
          <w:right w:w="43" w:type="dxa"/>
        </w:tblCellMar>
        <w:tblLook w:val="06E0" w:firstRow="1" w:lastRow="1" w:firstColumn="1" w:lastColumn="0" w:noHBand="1" w:noVBand="1"/>
      </w:tblPr>
      <w:tblGrid>
        <w:gridCol w:w="1020"/>
        <w:gridCol w:w="6215"/>
        <w:gridCol w:w="700"/>
        <w:gridCol w:w="798"/>
        <w:gridCol w:w="904"/>
      </w:tblGrid>
      <w:tr w:rsidR="00AD47C0" w:rsidRPr="00892DE3" w:rsidTr="008B155F">
        <w:trPr>
          <w:cnfStyle w:val="100000000000" w:firstRow="1" w:lastRow="0" w:firstColumn="0" w:lastColumn="0" w:oddVBand="0" w:evenVBand="0" w:oddHBand="0" w:evenHBand="0" w:firstRowFirstColumn="0" w:firstRowLastColumn="0" w:lastRowFirstColumn="0" w:lastRowLastColumn="0"/>
          <w:cantSplit/>
          <w:trHeight w:val="66"/>
          <w:tblHeader/>
        </w:trPr>
        <w:tc>
          <w:tcPr>
            <w:cnfStyle w:val="001000000000" w:firstRow="0" w:lastRow="0" w:firstColumn="1" w:lastColumn="0" w:oddVBand="0" w:evenVBand="0" w:oddHBand="0" w:evenHBand="0" w:firstRowFirstColumn="0" w:firstRowLastColumn="0" w:lastRowFirstColumn="0" w:lastRowLastColumn="0"/>
            <w:tcW w:w="1021" w:type="dxa"/>
            <w:tcBorders>
              <w:left w:val="single" w:sz="6" w:space="0" w:color="auto"/>
              <w:bottom w:val="single" w:sz="6" w:space="0" w:color="auto"/>
              <w:right w:val="nil"/>
            </w:tcBorders>
            <w:shd w:val="solid" w:color="000000" w:fill="auto"/>
          </w:tcPr>
          <w:p w:rsidR="00AD47C0" w:rsidRPr="00892DE3" w:rsidRDefault="00AD47C0" w:rsidP="008B155F">
            <w:pPr>
              <w:ind w:left="0" w:firstLine="0"/>
              <w:jc w:val="right"/>
            </w:pPr>
            <w:r w:rsidRPr="00892DE3">
              <w:t>2015</w:t>
            </w:r>
            <w:r w:rsidRPr="00892DE3">
              <w:noBreakHyphen/>
              <w:t>16</w:t>
            </w:r>
          </w:p>
        </w:tc>
        <w:tc>
          <w:tcPr>
            <w:tcW w:w="6216" w:type="dxa"/>
            <w:tcBorders>
              <w:left w:val="nil"/>
              <w:bottom w:val="single" w:sz="6" w:space="0" w:color="auto"/>
              <w:right w:val="nil"/>
            </w:tcBorders>
            <w:shd w:val="solid" w:color="000000" w:fill="auto"/>
            <w:vAlign w:val="top"/>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pPr>
          </w:p>
        </w:tc>
        <w:tc>
          <w:tcPr>
            <w:tcW w:w="700"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pPr>
          </w:p>
        </w:tc>
        <w:tc>
          <w:tcPr>
            <w:tcW w:w="1702" w:type="dxa"/>
            <w:gridSpan w:val="2"/>
            <w:tcBorders>
              <w:left w:val="nil"/>
              <w:bottom w:val="single" w:sz="6" w:space="0" w:color="auto"/>
              <w:right w:val="single" w:sz="6" w:space="0" w:color="auto"/>
            </w:tcBorders>
            <w:shd w:val="solid" w:color="000000" w:fill="auto"/>
          </w:tcPr>
          <w:p w:rsidR="00AD47C0" w:rsidRPr="00892DE3" w:rsidRDefault="00AD47C0" w:rsidP="008B155F">
            <w:pPr>
              <w:jc w:val="left"/>
              <w:cnfStyle w:val="100000000000" w:firstRow="1" w:lastRow="0" w:firstColumn="0" w:lastColumn="0" w:oddVBand="0" w:evenVBand="0" w:oddHBand="0" w:evenHBand="0" w:firstRowFirstColumn="0" w:firstRowLastColumn="0" w:lastRowFirstColumn="0" w:lastRowLastColumn="0"/>
            </w:pPr>
            <w:r w:rsidRPr="00892DE3">
              <w:t>2016</w:t>
            </w:r>
            <w:r w:rsidRPr="00892DE3">
              <w:noBreakHyphen/>
              <w:t>17</w:t>
            </w:r>
          </w:p>
        </w:tc>
      </w:tr>
      <w:tr w:rsidR="00AD47C0" w:rsidRPr="00892DE3" w:rsidTr="008B155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21" w:type="dxa"/>
            <w:tcBorders>
              <w:left w:val="single" w:sz="6" w:space="0" w:color="auto"/>
              <w:bottom w:val="single" w:sz="6" w:space="0" w:color="auto"/>
              <w:right w:val="nil"/>
            </w:tcBorders>
            <w:shd w:val="solid" w:color="000000" w:fill="auto"/>
          </w:tcPr>
          <w:p w:rsidR="00AD47C0" w:rsidRPr="00892DE3" w:rsidRDefault="00AD47C0" w:rsidP="008B155F">
            <w:pPr>
              <w:ind w:left="0" w:firstLine="0"/>
              <w:jc w:val="right"/>
              <w:rPr>
                <w:rFonts w:cstheme="majorHAnsi"/>
              </w:rPr>
            </w:pPr>
            <w:bookmarkStart w:id="279" w:name="_Toc213813355"/>
            <w:bookmarkEnd w:id="278"/>
            <w:r w:rsidRPr="00892DE3">
              <w:rPr>
                <w:rFonts w:cstheme="majorHAnsi"/>
              </w:rPr>
              <w:t>Actual</w:t>
            </w:r>
          </w:p>
          <w:p w:rsidR="00AD47C0" w:rsidRPr="00892DE3" w:rsidRDefault="00AD47C0" w:rsidP="008B155F">
            <w:pPr>
              <w:ind w:left="0" w:firstLine="0"/>
              <w:jc w:val="right"/>
              <w:rPr>
                <w:rFonts w:cstheme="majorHAnsi"/>
              </w:rPr>
            </w:pPr>
            <w:r w:rsidRPr="00892DE3">
              <w:rPr>
                <w:rFonts w:cstheme="majorHAnsi"/>
              </w:rPr>
              <w:t>30 Sep</w:t>
            </w:r>
          </w:p>
        </w:tc>
        <w:tc>
          <w:tcPr>
            <w:tcW w:w="6216" w:type="dxa"/>
            <w:tcBorders>
              <w:left w:val="nil"/>
              <w:bottom w:val="single" w:sz="6" w:space="0" w:color="auto"/>
              <w:right w:val="nil"/>
            </w:tcBorders>
            <w:shd w:val="solid" w:color="000000" w:fill="auto"/>
            <w:vAlign w:val="top"/>
          </w:tcPr>
          <w:p w:rsidR="00AD47C0" w:rsidRPr="00892DE3" w:rsidRDefault="00AD47C0" w:rsidP="008B155F">
            <w:pPr>
              <w:ind w:left="113"/>
              <w:jc w:val="left"/>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0"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p>
          <w:p w:rsidR="00AD47C0" w:rsidRPr="00892DE3" w:rsidRDefault="00AD47C0" w:rsidP="008B155F">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Notes</w:t>
            </w:r>
          </w:p>
        </w:tc>
        <w:tc>
          <w:tcPr>
            <w:tcW w:w="798"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Actual</w:t>
            </w:r>
          </w:p>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30 Sep</w:t>
            </w:r>
          </w:p>
        </w:tc>
        <w:tc>
          <w:tcPr>
            <w:tcW w:w="904" w:type="dxa"/>
            <w:tcBorders>
              <w:left w:val="nil"/>
              <w:bottom w:val="single" w:sz="6" w:space="0" w:color="auto"/>
              <w:right w:val="single" w:sz="6" w:space="0" w:color="auto"/>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Annual  budget</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 xml:space="preserve"> </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Revenue from transactions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5 061</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Taxation revenue</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2.1</w:t>
            </w: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5 265</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21 594</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203</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Interest revenue</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168</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881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59</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Dividends and income tax equivalent and rate equivalent revenue</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2.2</w:t>
            </w: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78</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1 661</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Sales of goods and services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2.3</w:t>
            </w: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1 672</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6 843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6 010</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Grant revenue</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2.4</w:t>
            </w: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6 699</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27 424</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564</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revenue</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2.5</w:t>
            </w: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510</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2 569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auto"/>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13 559</w:t>
            </w:r>
          </w:p>
        </w:tc>
        <w:tc>
          <w:tcPr>
            <w:tcW w:w="6216" w:type="dxa"/>
            <w:tcBorders>
              <w:top w:val="single" w:sz="6" w:space="0" w:color="auto"/>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Total revenue from transactions</w:t>
            </w:r>
          </w:p>
        </w:tc>
        <w:tc>
          <w:tcPr>
            <w:tcW w:w="700" w:type="dxa"/>
            <w:tcBorders>
              <w:top w:val="single" w:sz="6" w:space="0" w:color="auto"/>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single" w:sz="6" w:space="0" w:color="auto"/>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14 391</w:t>
            </w:r>
          </w:p>
        </w:tc>
        <w:tc>
          <w:tcPr>
            <w:tcW w:w="904" w:type="dxa"/>
            <w:tcBorders>
              <w:top w:val="single" w:sz="6" w:space="0" w:color="auto"/>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60 370</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rPr>
              <w:t xml:space="preserve"> </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Expenses from transactions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4 768</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Employee expenses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5 179</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21 298</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223</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superannuation interest expense</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3.3</w:t>
            </w: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199</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791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554</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superannuation</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3.3</w:t>
            </w: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552</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2 239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605</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Depreciation</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4.2</w:t>
            </w: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627</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2 620</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513</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Interest expense</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472</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2 433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2 172</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Grant expense</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2 587</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9 451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4 204</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operating expenses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4 295</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18 669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auto"/>
              <w:left w:val="nil"/>
              <w:bottom w:val="single" w:sz="6" w:space="0" w:color="auto"/>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13 040</w:t>
            </w:r>
          </w:p>
        </w:tc>
        <w:tc>
          <w:tcPr>
            <w:tcW w:w="6216" w:type="dxa"/>
            <w:tcBorders>
              <w:top w:val="single" w:sz="6" w:space="0" w:color="auto"/>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Total expenses from transactions</w:t>
            </w:r>
          </w:p>
        </w:tc>
        <w:tc>
          <w:tcPr>
            <w:tcW w:w="700" w:type="dxa"/>
            <w:tcBorders>
              <w:top w:val="single" w:sz="6" w:space="0" w:color="auto"/>
              <w:left w:val="nil"/>
              <w:bottom w:val="single" w:sz="6" w:space="0" w:color="auto"/>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3.4</w:t>
            </w:r>
          </w:p>
        </w:tc>
        <w:tc>
          <w:tcPr>
            <w:tcW w:w="798" w:type="dxa"/>
            <w:tcBorders>
              <w:top w:val="single" w:sz="6" w:space="0" w:color="auto"/>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13 911</w:t>
            </w:r>
          </w:p>
        </w:tc>
        <w:tc>
          <w:tcPr>
            <w:tcW w:w="904" w:type="dxa"/>
            <w:tcBorders>
              <w:top w:val="single" w:sz="6" w:space="0" w:color="auto"/>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57 501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auto"/>
              <w:left w:val="nil"/>
              <w:bottom w:val="single" w:sz="12" w:space="0" w:color="auto"/>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519</w:t>
            </w:r>
          </w:p>
        </w:tc>
        <w:tc>
          <w:tcPr>
            <w:tcW w:w="6216" w:type="dxa"/>
            <w:tcBorders>
              <w:top w:val="single" w:sz="6" w:space="0" w:color="auto"/>
              <w:left w:val="nil"/>
              <w:bottom w:val="single" w:sz="12"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Net result from transactions – net operating balance</w:t>
            </w:r>
          </w:p>
        </w:tc>
        <w:tc>
          <w:tcPr>
            <w:tcW w:w="700" w:type="dxa"/>
            <w:tcBorders>
              <w:top w:val="nil"/>
              <w:left w:val="nil"/>
              <w:bottom w:val="single" w:sz="12" w:space="0" w:color="auto"/>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single" w:sz="6" w:space="0" w:color="auto"/>
              <w:left w:val="nil"/>
              <w:bottom w:val="single" w:sz="12"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480</w:t>
            </w:r>
          </w:p>
        </w:tc>
        <w:tc>
          <w:tcPr>
            <w:tcW w:w="904" w:type="dxa"/>
            <w:tcBorders>
              <w:top w:val="single" w:sz="6" w:space="0" w:color="auto"/>
              <w:left w:val="nil"/>
              <w:bottom w:val="single" w:sz="12"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2 869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 xml:space="preserve"> </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Other economic flows included in net result</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(13)</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gain/(loss) on disposal of non</w:t>
            </w:r>
            <w:r w:rsidRPr="00892DE3">
              <w:rPr>
                <w:rFonts w:cstheme="majorHAnsi"/>
                <w:sz w:val="17"/>
              </w:rPr>
              <w:noBreakHyphen/>
              <w:t>financial assets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(29)</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gain/(loss) on financial assets or liabilities at fair value</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Del="00695614" w:rsidRDefault="00AD47C0" w:rsidP="008B155F">
            <w:pPr>
              <w:pStyle w:val="TableofFigures"/>
              <w:ind w:left="0" w:firstLine="0"/>
              <w:jc w:val="right"/>
              <w:rPr>
                <w:rFonts w:cstheme="majorHAnsi"/>
              </w:rPr>
            </w:pP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Share of net profit/(loss) from associates/joint venture entities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Del="00695614"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p>
        </w:tc>
        <w:tc>
          <w:tcPr>
            <w:tcW w:w="904" w:type="dxa"/>
            <w:tcBorders>
              <w:top w:val="nil"/>
              <w:left w:val="nil"/>
              <w:bottom w:val="nil"/>
              <w:right w:val="nil"/>
            </w:tcBorders>
            <w:vAlign w:val="bottom"/>
          </w:tcPr>
          <w:p w:rsidR="00AD47C0" w:rsidRPr="00892DE3" w:rsidDel="00695614"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single" w:sz="6" w:space="0" w:color="auto"/>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(124)</w:t>
            </w:r>
          </w:p>
        </w:tc>
        <w:tc>
          <w:tcPr>
            <w:tcW w:w="6216" w:type="dxa"/>
            <w:tcBorders>
              <w:top w:val="nil"/>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gains/(losses) from other economic flows</w:t>
            </w:r>
          </w:p>
        </w:tc>
        <w:tc>
          <w:tcPr>
            <w:tcW w:w="700" w:type="dxa"/>
            <w:tcBorders>
              <w:top w:val="nil"/>
              <w:left w:val="nil"/>
              <w:bottom w:val="single" w:sz="6" w:space="0" w:color="auto"/>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7.1</w:t>
            </w:r>
          </w:p>
        </w:tc>
        <w:tc>
          <w:tcPr>
            <w:tcW w:w="798" w:type="dxa"/>
            <w:tcBorders>
              <w:top w:val="nil"/>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(124)</w:t>
            </w:r>
          </w:p>
        </w:tc>
        <w:tc>
          <w:tcPr>
            <w:tcW w:w="904" w:type="dxa"/>
            <w:tcBorders>
              <w:top w:val="nil"/>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(318)</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auto"/>
              <w:left w:val="nil"/>
              <w:bottom w:val="single" w:sz="6" w:space="0" w:color="auto"/>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(166)</w:t>
            </w:r>
          </w:p>
        </w:tc>
        <w:tc>
          <w:tcPr>
            <w:tcW w:w="6216" w:type="dxa"/>
            <w:tcBorders>
              <w:top w:val="single" w:sz="6" w:space="0" w:color="auto"/>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Total other economic flows included in net result</w:t>
            </w:r>
          </w:p>
        </w:tc>
        <w:tc>
          <w:tcPr>
            <w:tcW w:w="700" w:type="dxa"/>
            <w:tcBorders>
              <w:top w:val="single" w:sz="6" w:space="0" w:color="auto"/>
              <w:left w:val="nil"/>
              <w:bottom w:val="single" w:sz="6" w:space="0" w:color="auto"/>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single" w:sz="6" w:space="0" w:color="auto"/>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(110)</w:t>
            </w:r>
          </w:p>
        </w:tc>
        <w:tc>
          <w:tcPr>
            <w:tcW w:w="904" w:type="dxa"/>
            <w:tcBorders>
              <w:top w:val="single" w:sz="6" w:space="0" w:color="auto"/>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(234)</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auto"/>
              <w:left w:val="nil"/>
              <w:bottom w:val="single" w:sz="12" w:space="0" w:color="auto"/>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353</w:t>
            </w:r>
          </w:p>
        </w:tc>
        <w:tc>
          <w:tcPr>
            <w:tcW w:w="6216" w:type="dxa"/>
            <w:tcBorders>
              <w:top w:val="single" w:sz="6" w:space="0" w:color="auto"/>
              <w:left w:val="nil"/>
              <w:bottom w:val="single" w:sz="12"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Net result</w:t>
            </w:r>
          </w:p>
        </w:tc>
        <w:tc>
          <w:tcPr>
            <w:tcW w:w="700" w:type="dxa"/>
            <w:tcBorders>
              <w:top w:val="single" w:sz="6" w:space="0" w:color="auto"/>
              <w:left w:val="nil"/>
              <w:bottom w:val="single" w:sz="12" w:space="0" w:color="auto"/>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single" w:sz="6" w:space="0" w:color="auto"/>
              <w:left w:val="nil"/>
              <w:bottom w:val="single" w:sz="12"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370</w:t>
            </w:r>
          </w:p>
        </w:tc>
        <w:tc>
          <w:tcPr>
            <w:tcW w:w="904" w:type="dxa"/>
            <w:tcBorders>
              <w:top w:val="single" w:sz="6" w:space="0" w:color="auto"/>
              <w:left w:val="nil"/>
              <w:bottom w:val="single" w:sz="12"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2 635</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single" w:sz="12" w:space="0" w:color="auto"/>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rPr>
              <w:t xml:space="preserve"> </w:t>
            </w:r>
          </w:p>
        </w:tc>
        <w:tc>
          <w:tcPr>
            <w:tcW w:w="6216" w:type="dxa"/>
            <w:tcBorders>
              <w:top w:val="single" w:sz="12" w:space="0" w:color="auto"/>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Other economic flows – other comprehensive income </w:t>
            </w:r>
          </w:p>
        </w:tc>
        <w:tc>
          <w:tcPr>
            <w:tcW w:w="700" w:type="dxa"/>
            <w:tcBorders>
              <w:top w:val="single" w:sz="12" w:space="0" w:color="auto"/>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single" w:sz="12" w:space="0" w:color="auto"/>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4" w:type="dxa"/>
            <w:tcBorders>
              <w:top w:val="single" w:sz="12" w:space="0" w:color="auto"/>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rPr>
              <w:t xml:space="preserve"> </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Items that will not be reclassified to net result</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32</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Changes in non</w:t>
            </w:r>
            <w:r w:rsidRPr="00892DE3">
              <w:rPr>
                <w:rFonts w:cstheme="majorHAnsi"/>
                <w:sz w:val="17"/>
              </w:rPr>
              <w:noBreakHyphen/>
              <w:t>financial assets revaluation surplus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B77219"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(93)</w:t>
            </w:r>
            <w:r w:rsidR="00AD47C0" w:rsidRPr="00892DE3">
              <w:rPr>
                <w:rFonts w:cstheme="majorHAnsi"/>
              </w:rPr>
              <w:t xml:space="preserve"> </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(1 934)</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Remeasurement of superannuation defined benefit plans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256</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877</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8B155F" w:rsidP="009B556F">
            <w:pPr>
              <w:pStyle w:val="TableofFigures"/>
              <w:spacing w:line="276" w:lineRule="auto"/>
              <w:ind w:left="227" w:hanging="113"/>
              <w:jc w:val="right"/>
              <w:rPr>
                <w:rFonts w:cstheme="majorHAnsi"/>
              </w:rPr>
            </w:pPr>
            <w:r w:rsidRPr="00892DE3">
              <w:rPr>
                <w:rFonts w:cstheme="majorHAnsi"/>
              </w:rPr>
              <w:t>13</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Other movements in equity</w:t>
            </w:r>
            <w:r w:rsidR="008B155F" w:rsidRPr="00892DE3">
              <w:rPr>
                <w:rFonts w:cstheme="majorHAnsi"/>
                <w:sz w:val="17"/>
              </w:rPr>
              <w:t xml:space="preserve"> </w:t>
            </w:r>
            <w:r w:rsidR="008B155F" w:rsidRPr="00892DE3">
              <w:rPr>
                <w:rFonts w:cstheme="majorHAnsi"/>
                <w:sz w:val="17"/>
                <w:vertAlign w:val="superscript"/>
              </w:rPr>
              <w:t>(a)</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68</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rPr>
              <w:t xml:space="preserve"> </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Items that may be reclassified subsequently to net result</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(3)</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gain/(loss) on financial assets at fair value</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8B155F"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w:t>
            </w:r>
          </w:p>
        </w:tc>
        <w:tc>
          <w:tcPr>
            <w:tcW w:w="904" w:type="dxa"/>
            <w:tcBorders>
              <w:top w:val="nil"/>
              <w:left w:val="nil"/>
              <w:bottom w:val="nil"/>
              <w:right w:val="nil"/>
            </w:tcBorders>
            <w:vAlign w:val="bottom"/>
          </w:tcPr>
          <w:p w:rsidR="00AD47C0" w:rsidRPr="00892DE3" w:rsidRDefault="008B155F"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w:t>
            </w:r>
          </w:p>
        </w:tc>
        <w:tc>
          <w:tcPr>
            <w:tcW w:w="6216"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gain/(loss) on equity investments in other sector entities at proportional share of the carrying amount of net assets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2 707</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auto"/>
              <w:left w:val="nil"/>
              <w:bottom w:val="single" w:sz="6" w:space="0" w:color="auto"/>
              <w:right w:val="nil"/>
            </w:tcBorders>
            <w:vAlign w:val="bottom"/>
          </w:tcPr>
          <w:p w:rsidR="00AD47C0" w:rsidRPr="00892DE3" w:rsidRDefault="008B155F" w:rsidP="008B155F">
            <w:pPr>
              <w:pStyle w:val="TableofFigures"/>
              <w:ind w:left="0" w:firstLine="0"/>
              <w:jc w:val="right"/>
              <w:rPr>
                <w:rFonts w:cstheme="majorHAnsi"/>
                <w:b/>
              </w:rPr>
            </w:pPr>
            <w:r w:rsidRPr="00892DE3">
              <w:rPr>
                <w:rFonts w:cstheme="majorHAnsi"/>
                <w:b/>
              </w:rPr>
              <w:t>(1 892)</w:t>
            </w:r>
          </w:p>
        </w:tc>
        <w:tc>
          <w:tcPr>
            <w:tcW w:w="6216" w:type="dxa"/>
            <w:tcBorders>
              <w:top w:val="single" w:sz="6" w:space="0" w:color="auto"/>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892DE3">
              <w:rPr>
                <w:rFonts w:cstheme="majorHAnsi"/>
                <w:b/>
                <w:sz w:val="17"/>
              </w:rPr>
              <w:t>Total other economic flows – other comprehensive income</w:t>
            </w:r>
            <w:r w:rsidR="008B155F" w:rsidRPr="00892DE3">
              <w:rPr>
                <w:rFonts w:cstheme="majorHAnsi"/>
                <w:b/>
                <w:sz w:val="17"/>
                <w:vertAlign w:val="superscript"/>
              </w:rPr>
              <w:t>(a)</w:t>
            </w:r>
          </w:p>
        </w:tc>
        <w:tc>
          <w:tcPr>
            <w:tcW w:w="700" w:type="dxa"/>
            <w:tcBorders>
              <w:top w:val="single" w:sz="6" w:space="0" w:color="auto"/>
              <w:left w:val="nil"/>
              <w:bottom w:val="single" w:sz="6" w:space="0" w:color="auto"/>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single" w:sz="6" w:space="0" w:color="auto"/>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236</w:t>
            </w:r>
          </w:p>
        </w:tc>
        <w:tc>
          <w:tcPr>
            <w:tcW w:w="904" w:type="dxa"/>
            <w:tcBorders>
              <w:top w:val="single" w:sz="6" w:space="0" w:color="auto"/>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3 693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auto"/>
              <w:left w:val="nil"/>
              <w:bottom w:val="single" w:sz="12" w:space="0" w:color="auto"/>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(1 539)</w:t>
            </w:r>
          </w:p>
        </w:tc>
        <w:tc>
          <w:tcPr>
            <w:tcW w:w="6216" w:type="dxa"/>
            <w:tcBorders>
              <w:top w:val="single" w:sz="6" w:space="0" w:color="auto"/>
              <w:left w:val="nil"/>
              <w:bottom w:val="single" w:sz="12"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892DE3">
              <w:rPr>
                <w:rFonts w:cstheme="majorHAnsi"/>
                <w:b/>
                <w:sz w:val="17"/>
              </w:rPr>
              <w:t>Comprehensive result – total change in net worth</w:t>
            </w:r>
            <w:r w:rsidR="008B155F" w:rsidRPr="00892DE3">
              <w:rPr>
                <w:rFonts w:cstheme="majorHAnsi"/>
                <w:b/>
                <w:sz w:val="17"/>
                <w:vertAlign w:val="superscript"/>
              </w:rPr>
              <w:t>(a)</w:t>
            </w:r>
          </w:p>
        </w:tc>
        <w:tc>
          <w:tcPr>
            <w:tcW w:w="700" w:type="dxa"/>
            <w:tcBorders>
              <w:top w:val="single" w:sz="6" w:space="0" w:color="auto"/>
              <w:left w:val="nil"/>
              <w:bottom w:val="single" w:sz="12" w:space="0" w:color="auto"/>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single" w:sz="6" w:space="0" w:color="auto"/>
              <w:left w:val="nil"/>
              <w:bottom w:val="single" w:sz="12"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607</w:t>
            </w:r>
          </w:p>
        </w:tc>
        <w:tc>
          <w:tcPr>
            <w:tcW w:w="904" w:type="dxa"/>
            <w:tcBorders>
              <w:top w:val="single" w:sz="6" w:space="0" w:color="auto"/>
              <w:left w:val="nil"/>
              <w:bottom w:val="single" w:sz="12"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6 328</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top w:val="single" w:sz="12" w:space="0" w:color="auto"/>
              <w:left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 xml:space="preserve"> </w:t>
            </w:r>
          </w:p>
        </w:tc>
        <w:tc>
          <w:tcPr>
            <w:tcW w:w="6216" w:type="dxa"/>
            <w:tcBorders>
              <w:top w:val="single" w:sz="12" w:space="0" w:color="auto"/>
              <w:left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KEY FISCAL AGGREGATES</w:t>
            </w:r>
          </w:p>
        </w:tc>
        <w:tc>
          <w:tcPr>
            <w:tcW w:w="700" w:type="dxa"/>
            <w:tcBorders>
              <w:top w:val="single" w:sz="12" w:space="0" w:color="auto"/>
              <w:left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8" w:type="dxa"/>
            <w:tcBorders>
              <w:top w:val="single" w:sz="12" w:space="0" w:color="auto"/>
              <w:left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04" w:type="dxa"/>
            <w:tcBorders>
              <w:top w:val="single" w:sz="12" w:space="0" w:color="auto"/>
              <w:left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left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519</w:t>
            </w:r>
          </w:p>
        </w:tc>
        <w:tc>
          <w:tcPr>
            <w:tcW w:w="6216" w:type="dxa"/>
            <w:tcBorders>
              <w:left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Net operating balance</w:t>
            </w:r>
          </w:p>
        </w:tc>
        <w:tc>
          <w:tcPr>
            <w:tcW w:w="700" w:type="dxa"/>
            <w:tcBorders>
              <w:left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8" w:type="dxa"/>
            <w:tcBorders>
              <w:left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480</w:t>
            </w:r>
          </w:p>
        </w:tc>
        <w:tc>
          <w:tcPr>
            <w:tcW w:w="904" w:type="dxa"/>
            <w:tcBorders>
              <w:left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2 869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21" w:type="dxa"/>
            <w:tcBorders>
              <w:left w:val="nil"/>
              <w:bottom w:val="single" w:sz="4" w:space="0" w:color="auto"/>
              <w:right w:val="nil"/>
            </w:tcBorders>
          </w:tcPr>
          <w:p w:rsidR="00AD47C0" w:rsidRPr="00892DE3" w:rsidRDefault="00AD47C0" w:rsidP="008B155F">
            <w:pPr>
              <w:pStyle w:val="TableofFigures"/>
              <w:ind w:left="0" w:firstLine="0"/>
              <w:jc w:val="right"/>
              <w:rPr>
                <w:rFonts w:cstheme="majorHAnsi"/>
              </w:rPr>
            </w:pPr>
            <w:r w:rsidRPr="00892DE3">
              <w:rPr>
                <w:rFonts w:cstheme="majorHAnsi"/>
              </w:rPr>
              <w:t>82</w:t>
            </w:r>
          </w:p>
        </w:tc>
        <w:tc>
          <w:tcPr>
            <w:tcW w:w="6216" w:type="dxa"/>
            <w:tcBorders>
              <w:left w:val="nil"/>
              <w:bottom w:val="single" w:sz="4"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Less: Net acquisition of non</w:t>
            </w:r>
            <w:r w:rsidRPr="00892DE3">
              <w:rPr>
                <w:rFonts w:cstheme="majorHAnsi"/>
                <w:sz w:val="17"/>
              </w:rPr>
              <w:noBreakHyphen/>
              <w:t>financial assets from transactions</w:t>
            </w:r>
            <w:r w:rsidR="008B155F" w:rsidRPr="00892DE3">
              <w:rPr>
                <w:rFonts w:cstheme="majorHAnsi"/>
                <w:sz w:val="17"/>
                <w:vertAlign w:val="superscript"/>
              </w:rPr>
              <w:t>(b)</w:t>
            </w:r>
          </w:p>
        </w:tc>
        <w:tc>
          <w:tcPr>
            <w:tcW w:w="700" w:type="dxa"/>
            <w:tcBorders>
              <w:left w:val="nil"/>
              <w:bottom w:val="single" w:sz="4" w:space="0" w:color="auto"/>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3.6</w:t>
            </w:r>
          </w:p>
        </w:tc>
        <w:tc>
          <w:tcPr>
            <w:tcW w:w="798" w:type="dxa"/>
            <w:tcBorders>
              <w:left w:val="nil"/>
              <w:bottom w:val="single" w:sz="4"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w:t>
            </w:r>
          </w:p>
        </w:tc>
        <w:tc>
          <w:tcPr>
            <w:tcW w:w="904" w:type="dxa"/>
            <w:tcBorders>
              <w:left w:val="nil"/>
              <w:bottom w:val="single" w:sz="4"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1 104</w:t>
            </w:r>
          </w:p>
        </w:tc>
      </w:tr>
      <w:tr w:rsidR="00AD47C0" w:rsidRPr="00892DE3" w:rsidTr="008B155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Borders>
              <w:top w:val="single" w:sz="4" w:space="0" w:color="auto"/>
              <w:bottom w:val="single" w:sz="12" w:space="0" w:color="auto"/>
            </w:tcBorders>
          </w:tcPr>
          <w:p w:rsidR="00AD47C0" w:rsidRPr="00892DE3" w:rsidRDefault="00AD47C0" w:rsidP="008B155F">
            <w:pPr>
              <w:pStyle w:val="TableofFigures"/>
              <w:ind w:left="0" w:firstLine="0"/>
              <w:jc w:val="right"/>
              <w:rPr>
                <w:rFonts w:cstheme="majorHAnsi"/>
                <w:b w:val="0"/>
              </w:rPr>
            </w:pPr>
            <w:r w:rsidRPr="00892DE3">
              <w:rPr>
                <w:rFonts w:cstheme="majorHAnsi"/>
                <w:b w:val="0"/>
              </w:rPr>
              <w:t>437</w:t>
            </w:r>
          </w:p>
        </w:tc>
        <w:tc>
          <w:tcPr>
            <w:tcW w:w="6216" w:type="dxa"/>
            <w:tcBorders>
              <w:top w:val="single" w:sz="4" w:space="0" w:color="auto"/>
              <w:bottom w:val="single" w:sz="12" w:space="0" w:color="auto"/>
            </w:tcBorders>
          </w:tcPr>
          <w:p w:rsidR="00AD47C0" w:rsidRPr="00892DE3" w:rsidRDefault="00AD47C0" w:rsidP="009B556F">
            <w:pPr>
              <w:pStyle w:val="Tabletext"/>
              <w:spacing w:line="276" w:lineRule="auto"/>
              <w:ind w:left="227" w:hanging="113"/>
              <w:jc w:val="left"/>
              <w:cnfStyle w:val="010000000000" w:firstRow="0" w:lastRow="1" w:firstColumn="0" w:lastColumn="0" w:oddVBand="0" w:evenVBand="0" w:oddHBand="0" w:evenHBand="0" w:firstRowFirstColumn="0" w:firstRowLastColumn="0" w:lastRowFirstColumn="0" w:lastRowLastColumn="0"/>
              <w:rPr>
                <w:rFonts w:cstheme="majorHAnsi"/>
                <w:b w:val="0"/>
                <w:sz w:val="17"/>
                <w:vertAlign w:val="superscript"/>
              </w:rPr>
            </w:pPr>
            <w:r w:rsidRPr="00892DE3">
              <w:rPr>
                <w:rFonts w:cstheme="majorHAnsi"/>
                <w:b w:val="0"/>
                <w:sz w:val="17"/>
              </w:rPr>
              <w:t>Net lending/(borrowing)</w:t>
            </w:r>
            <w:r w:rsidR="008B155F" w:rsidRPr="00892DE3">
              <w:rPr>
                <w:rFonts w:cstheme="majorHAnsi"/>
                <w:b w:val="0"/>
                <w:sz w:val="17"/>
              </w:rPr>
              <w:t xml:space="preserve"> </w:t>
            </w:r>
            <w:r w:rsidR="008B155F" w:rsidRPr="00892DE3">
              <w:rPr>
                <w:rFonts w:cstheme="majorHAnsi"/>
                <w:b w:val="0"/>
                <w:sz w:val="17"/>
                <w:vertAlign w:val="superscript"/>
              </w:rPr>
              <w:t>(b)</w:t>
            </w:r>
          </w:p>
        </w:tc>
        <w:tc>
          <w:tcPr>
            <w:tcW w:w="700" w:type="dxa"/>
            <w:tcBorders>
              <w:top w:val="single" w:sz="4" w:space="0" w:color="auto"/>
              <w:bottom w:val="single" w:sz="12" w:space="0" w:color="auto"/>
            </w:tcBorders>
          </w:tcPr>
          <w:p w:rsidR="00AD47C0" w:rsidRPr="00892DE3" w:rsidRDefault="00AD47C0" w:rsidP="008B155F">
            <w:pPr>
              <w:pStyle w:val="TableTextCentred0"/>
              <w:spacing w:before="20" w:after="20"/>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17"/>
              </w:rPr>
            </w:pPr>
            <w:r w:rsidRPr="00892DE3">
              <w:rPr>
                <w:rFonts w:asciiTheme="majorHAnsi" w:hAnsiTheme="majorHAnsi" w:cstheme="majorHAnsi"/>
                <w:b w:val="0"/>
                <w:sz w:val="17"/>
              </w:rPr>
              <w:t xml:space="preserve"> </w:t>
            </w:r>
          </w:p>
        </w:tc>
        <w:tc>
          <w:tcPr>
            <w:tcW w:w="798" w:type="dxa"/>
            <w:tcBorders>
              <w:top w:val="single" w:sz="4" w:space="0" w:color="auto"/>
              <w:bottom w:val="single" w:sz="12" w:space="0" w:color="auto"/>
            </w:tcBorders>
          </w:tcPr>
          <w:p w:rsidR="00AD47C0" w:rsidRPr="00892DE3" w:rsidRDefault="00AD47C0" w:rsidP="008B155F">
            <w:pPr>
              <w:pStyle w:val="TableofFigures"/>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472</w:t>
            </w:r>
          </w:p>
        </w:tc>
        <w:tc>
          <w:tcPr>
            <w:tcW w:w="904" w:type="dxa"/>
            <w:tcBorders>
              <w:top w:val="single" w:sz="4" w:space="0" w:color="auto"/>
              <w:bottom w:val="single" w:sz="12" w:space="0" w:color="auto"/>
            </w:tcBorders>
          </w:tcPr>
          <w:p w:rsidR="00AD47C0" w:rsidRPr="00892DE3" w:rsidRDefault="00AD47C0" w:rsidP="008B155F">
            <w:pPr>
              <w:pStyle w:val="TableofFigures"/>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1 765</w:t>
            </w:r>
          </w:p>
        </w:tc>
      </w:tr>
    </w:tbl>
    <w:p w:rsidR="00AD47C0" w:rsidRPr="00892DE3" w:rsidRDefault="00AD47C0" w:rsidP="008B155F">
      <w:pPr>
        <w:pStyle w:val="Source"/>
      </w:pPr>
      <w:r w:rsidRPr="00892DE3">
        <w:t>The accompanying notes form part of these financial statements.</w:t>
      </w:r>
    </w:p>
    <w:p w:rsidR="00AD47C0" w:rsidRPr="00892DE3" w:rsidRDefault="00AD47C0" w:rsidP="008B155F">
      <w:pPr>
        <w:pStyle w:val="Note"/>
      </w:pPr>
      <w:r w:rsidRPr="00892DE3">
        <w:t>Note</w:t>
      </w:r>
      <w:r w:rsidR="008B155F" w:rsidRPr="00892DE3">
        <w:t>s</w:t>
      </w:r>
      <w:r w:rsidRPr="00892DE3">
        <w:t>:</w:t>
      </w:r>
    </w:p>
    <w:p w:rsidR="00AD47C0" w:rsidRPr="00892DE3" w:rsidRDefault="00AD47C0" w:rsidP="008B155F">
      <w:pPr>
        <w:pStyle w:val="Note"/>
      </w:pPr>
      <w:r w:rsidRPr="00892DE3">
        <w:t>(a)</w:t>
      </w:r>
      <w:r w:rsidRPr="00892DE3">
        <w:tab/>
        <w:t>September 2015</w:t>
      </w:r>
      <w:r w:rsidRPr="00892DE3">
        <w:noBreakHyphen/>
        <w:t>16 comparative figures have been restated to finalise the allocation of equity balances between contributed capital and accumulated funds related to prior year machinery of government changes.</w:t>
      </w:r>
    </w:p>
    <w:p w:rsidR="00AD47C0" w:rsidRPr="009B556F" w:rsidRDefault="00AD47C0" w:rsidP="009B556F">
      <w:pPr>
        <w:pStyle w:val="Note"/>
      </w:pPr>
      <w:r w:rsidRPr="00892DE3">
        <w:t>(b)</w:t>
      </w:r>
      <w:r w:rsidRPr="00892DE3">
        <w:tab/>
        <w:t>September 2015-16 comparative figures and</w:t>
      </w:r>
      <w:r w:rsidR="004B44AD">
        <w:t xml:space="preserve"> </w:t>
      </w:r>
      <w:r w:rsidRPr="00892DE3">
        <w:t>2016-2017 Budget figures have been restated to reflect more current information.</w:t>
      </w:r>
      <w:r w:rsidRPr="00892DE3">
        <w:br w:type="page"/>
      </w:r>
    </w:p>
    <w:p w:rsidR="00AD47C0" w:rsidRPr="00892DE3" w:rsidRDefault="00AD47C0" w:rsidP="00AD47C0">
      <w:pPr>
        <w:pStyle w:val="TableHeading"/>
      </w:pPr>
      <w:r w:rsidRPr="00892DE3">
        <w:t>Table 1.6:</w:t>
      </w:r>
      <w:r w:rsidRPr="00892DE3">
        <w:tab/>
        <w:t>Consolidated balance sheet as at 30 September</w:t>
      </w:r>
      <w:r w:rsidRPr="00892DE3">
        <w:tab/>
        <w:t>($ million)</w:t>
      </w:r>
    </w:p>
    <w:tbl>
      <w:tblPr>
        <w:tblStyle w:val="DTFTable"/>
        <w:tblW w:w="9637" w:type="dxa"/>
        <w:tblInd w:w="43" w:type="dxa"/>
        <w:tblLayout w:type="fixed"/>
        <w:tblCellMar>
          <w:left w:w="43" w:type="dxa"/>
          <w:right w:w="43" w:type="dxa"/>
        </w:tblCellMar>
        <w:tblLook w:val="06E0" w:firstRow="1" w:lastRow="1" w:firstColumn="1" w:lastColumn="0" w:noHBand="1" w:noVBand="1"/>
      </w:tblPr>
      <w:tblGrid>
        <w:gridCol w:w="1000"/>
        <w:gridCol w:w="5379"/>
        <w:gridCol w:w="567"/>
        <w:gridCol w:w="963"/>
        <w:gridCol w:w="824"/>
        <w:gridCol w:w="904"/>
      </w:tblGrid>
      <w:tr w:rsidR="00AD47C0" w:rsidRPr="00892DE3" w:rsidTr="008B155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00" w:type="dxa"/>
            <w:tcBorders>
              <w:left w:val="single" w:sz="6" w:space="0" w:color="auto"/>
              <w:bottom w:val="single" w:sz="6" w:space="0" w:color="auto"/>
              <w:right w:val="nil"/>
            </w:tcBorders>
            <w:shd w:val="solid" w:color="000000" w:fill="auto"/>
          </w:tcPr>
          <w:bookmarkEnd w:id="279"/>
          <w:p w:rsidR="00AD47C0" w:rsidRPr="00892DE3" w:rsidRDefault="00AD47C0" w:rsidP="008B155F">
            <w:pPr>
              <w:ind w:left="0" w:firstLine="0"/>
              <w:jc w:val="right"/>
              <w:rPr>
                <w:rFonts w:cstheme="majorHAnsi"/>
              </w:rPr>
            </w:pPr>
            <w:r w:rsidRPr="00892DE3">
              <w:rPr>
                <w:rFonts w:cstheme="majorHAnsi"/>
              </w:rPr>
              <w:t>2015-16</w:t>
            </w:r>
          </w:p>
          <w:p w:rsidR="00AD47C0" w:rsidRPr="00892DE3" w:rsidRDefault="00AD47C0" w:rsidP="008B155F">
            <w:pPr>
              <w:ind w:left="0" w:firstLine="0"/>
              <w:jc w:val="right"/>
              <w:rPr>
                <w:rFonts w:cstheme="majorHAnsi"/>
              </w:rPr>
            </w:pPr>
            <w:r w:rsidRPr="00892DE3">
              <w:rPr>
                <w:rFonts w:cstheme="majorHAnsi"/>
              </w:rPr>
              <w:t xml:space="preserve">Actual </w:t>
            </w:r>
          </w:p>
          <w:p w:rsidR="00AD47C0" w:rsidRPr="00892DE3" w:rsidRDefault="00AD47C0" w:rsidP="008B155F">
            <w:pPr>
              <w:ind w:left="0" w:firstLine="0"/>
              <w:jc w:val="right"/>
              <w:rPr>
                <w:rFonts w:cstheme="majorHAnsi"/>
              </w:rPr>
            </w:pPr>
            <w:r w:rsidRPr="00892DE3">
              <w:rPr>
                <w:rFonts w:cstheme="majorHAnsi"/>
              </w:rPr>
              <w:t>30 Sep</w:t>
            </w:r>
          </w:p>
        </w:tc>
        <w:tc>
          <w:tcPr>
            <w:tcW w:w="5379"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567"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p>
          <w:p w:rsidR="00AD47C0" w:rsidRPr="00892DE3" w:rsidRDefault="00AD47C0" w:rsidP="008B155F">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Notes</w:t>
            </w:r>
          </w:p>
        </w:tc>
        <w:tc>
          <w:tcPr>
            <w:tcW w:w="963"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Opening</w:t>
            </w:r>
          </w:p>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 Jul</w:t>
            </w:r>
          </w:p>
        </w:tc>
        <w:tc>
          <w:tcPr>
            <w:tcW w:w="824"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2016-17 Actual </w:t>
            </w:r>
          </w:p>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30 Sep</w:t>
            </w:r>
          </w:p>
        </w:tc>
        <w:tc>
          <w:tcPr>
            <w:tcW w:w="904" w:type="dxa"/>
            <w:tcBorders>
              <w:left w:val="nil"/>
              <w:bottom w:val="single" w:sz="6" w:space="0" w:color="auto"/>
              <w:right w:val="single" w:sz="6" w:space="0" w:color="auto"/>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Budget</w:t>
            </w:r>
          </w:p>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30 Jun</w:t>
            </w:r>
            <w:r w:rsidR="008B155F" w:rsidRPr="00892DE3">
              <w:rPr>
                <w:rFonts w:cstheme="majorHAnsi"/>
                <w:vertAlign w:val="superscript"/>
              </w:rPr>
              <w:t>(b)</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 xml:space="preserve"> </w:t>
            </w:r>
          </w:p>
        </w:tc>
        <w:tc>
          <w:tcPr>
            <w:tcW w:w="5379" w:type="dxa"/>
            <w:tcBorders>
              <w:top w:val="single" w:sz="6" w:space="0" w:color="auto"/>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Assets</w:t>
            </w:r>
          </w:p>
        </w:tc>
        <w:tc>
          <w:tcPr>
            <w:tcW w:w="567" w:type="dxa"/>
            <w:tcBorders>
              <w:top w:val="single" w:sz="6" w:space="0" w:color="auto"/>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single" w:sz="6" w:space="0" w:color="auto"/>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24" w:type="dxa"/>
            <w:tcBorders>
              <w:top w:val="single" w:sz="6" w:space="0" w:color="auto"/>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04" w:type="dxa"/>
            <w:tcBorders>
              <w:top w:val="single" w:sz="6" w:space="0" w:color="auto"/>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 xml:space="preserve"> </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Financial assets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4 061</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Cash and deposits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7.2</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4 772</w:t>
            </w:r>
          </w:p>
        </w:tc>
        <w:tc>
          <w:tcPr>
            <w:tcW w:w="824" w:type="dxa"/>
            <w:tcBorders>
              <w:top w:val="nil"/>
              <w:left w:val="nil"/>
              <w:bottom w:val="nil"/>
              <w:right w:val="nil"/>
            </w:tcBorders>
          </w:tcPr>
          <w:p w:rsidR="00AD47C0" w:rsidRPr="00892DE3" w:rsidRDefault="00B77219"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4 079</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5 201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4 567</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Advances paid</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4 582</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4 586</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10 118</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5 897</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Receivables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5.1</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5 566</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5 866</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5 601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3 440</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Investments, loans and placements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2 853</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3 057</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2 943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44</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Investments accounted for using equity method </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46</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46</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82 548</w:t>
            </w:r>
          </w:p>
        </w:tc>
        <w:tc>
          <w:tcPr>
            <w:tcW w:w="5379" w:type="dxa"/>
            <w:tcBorders>
              <w:top w:val="nil"/>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Investments in other sector entities</w:t>
            </w:r>
            <w:r w:rsidR="008B155F" w:rsidRPr="00892DE3">
              <w:rPr>
                <w:rFonts w:cstheme="majorHAnsi"/>
                <w:sz w:val="17"/>
              </w:rPr>
              <w:t xml:space="preserve"> </w:t>
            </w:r>
            <w:r w:rsidR="008B155F" w:rsidRPr="00892DE3">
              <w:rPr>
                <w:rFonts w:cstheme="majorHAnsi"/>
                <w:sz w:val="17"/>
                <w:vertAlign w:val="superscript"/>
              </w:rPr>
              <w:t>(b)</w:t>
            </w:r>
          </w:p>
        </w:tc>
        <w:tc>
          <w:tcPr>
            <w:tcW w:w="567" w:type="dxa"/>
            <w:tcBorders>
              <w:top w:val="nil"/>
              <w:left w:val="nil"/>
              <w:bottom w:val="single" w:sz="6" w:space="0" w:color="auto"/>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94 710</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95 473</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95 242</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single" w:sz="6" w:space="0" w:color="auto"/>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100 558</w:t>
            </w:r>
          </w:p>
        </w:tc>
        <w:tc>
          <w:tcPr>
            <w:tcW w:w="5379" w:type="dxa"/>
            <w:tcBorders>
              <w:top w:val="single" w:sz="6" w:space="0" w:color="auto"/>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892DE3">
              <w:rPr>
                <w:rFonts w:cstheme="majorHAnsi"/>
                <w:b/>
                <w:sz w:val="17"/>
              </w:rPr>
              <w:t>Total financial assets</w:t>
            </w:r>
            <w:r w:rsidR="008B155F" w:rsidRPr="00892DE3">
              <w:rPr>
                <w:rFonts w:cstheme="majorHAnsi"/>
                <w:b/>
                <w:sz w:val="17"/>
              </w:rPr>
              <w:t xml:space="preserve"> </w:t>
            </w:r>
            <w:r w:rsidR="008B155F" w:rsidRPr="00892DE3">
              <w:rPr>
                <w:rFonts w:cstheme="majorHAnsi"/>
                <w:b/>
                <w:sz w:val="17"/>
                <w:vertAlign w:val="superscript"/>
              </w:rPr>
              <w:t>(b)</w:t>
            </w:r>
          </w:p>
        </w:tc>
        <w:tc>
          <w:tcPr>
            <w:tcW w:w="567" w:type="dxa"/>
            <w:tcBorders>
              <w:top w:val="single" w:sz="6" w:space="0" w:color="auto"/>
              <w:left w:val="nil"/>
              <w:bottom w:val="single" w:sz="6" w:space="0" w:color="auto"/>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single" w:sz="6" w:space="0" w:color="auto"/>
              <w:left w:val="nil"/>
              <w:bottom w:val="single" w:sz="6"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112 531</w:t>
            </w:r>
          </w:p>
        </w:tc>
        <w:tc>
          <w:tcPr>
            <w:tcW w:w="824" w:type="dxa"/>
            <w:tcBorders>
              <w:top w:val="single" w:sz="6" w:space="0" w:color="auto"/>
              <w:left w:val="nil"/>
              <w:bottom w:val="single" w:sz="6"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113 108</w:t>
            </w:r>
          </w:p>
        </w:tc>
        <w:tc>
          <w:tcPr>
            <w:tcW w:w="904" w:type="dxa"/>
            <w:tcBorders>
              <w:top w:val="single" w:sz="6" w:space="0" w:color="auto"/>
              <w:left w:val="nil"/>
              <w:bottom w:val="single" w:sz="6"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119 151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rPr>
              <w:t xml:space="preserve"> </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Non</w:t>
            </w:r>
            <w:r w:rsidRPr="00892DE3">
              <w:rPr>
                <w:rFonts w:cstheme="majorHAnsi"/>
                <w:b/>
                <w:sz w:val="17"/>
              </w:rPr>
              <w:noBreakHyphen/>
              <w:t>financial assets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8B155F" w:rsidP="008B155F">
            <w:pPr>
              <w:pStyle w:val="TableofFigures"/>
              <w:ind w:left="0" w:firstLine="0"/>
              <w:jc w:val="right"/>
              <w:rPr>
                <w:rFonts w:cstheme="majorHAnsi"/>
              </w:rPr>
            </w:pPr>
            <w:r w:rsidRPr="00892DE3">
              <w:rPr>
                <w:rFonts w:cstheme="majorHAnsi"/>
              </w:rPr>
              <w:t>146</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Inventories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188</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186</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169</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Non</w:t>
            </w:r>
            <w:r w:rsidRPr="00892DE3">
              <w:rPr>
                <w:rFonts w:cstheme="majorHAnsi"/>
                <w:sz w:val="17"/>
              </w:rPr>
              <w:noBreakHyphen/>
              <w:t>financial assets held for sale</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188</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183</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186</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107 503</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Land, buildings, infrastructure, plant and equipment</w:t>
            </w:r>
            <w:r w:rsidR="008B155F" w:rsidRPr="00892DE3">
              <w:rPr>
                <w:rFonts w:cstheme="majorHAnsi"/>
                <w:sz w:val="17"/>
              </w:rPr>
              <w:t xml:space="preserve"> </w:t>
            </w:r>
            <w:r w:rsidR="008B155F" w:rsidRPr="00892DE3">
              <w:rPr>
                <w:rFonts w:cstheme="majorHAnsi"/>
                <w:sz w:val="17"/>
                <w:vertAlign w:val="superscript"/>
              </w:rPr>
              <w:t>(c)</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4.1</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114 254</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114 009</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115 572</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1 215</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non</w:t>
            </w:r>
            <w:r w:rsidRPr="00892DE3">
              <w:rPr>
                <w:rFonts w:cstheme="majorHAnsi"/>
                <w:sz w:val="17"/>
              </w:rPr>
              <w:noBreakHyphen/>
              <w:t>financial assets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4.7</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1 081</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1 516</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1 103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single" w:sz="6" w:space="0" w:color="auto"/>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109 033</w:t>
            </w:r>
          </w:p>
        </w:tc>
        <w:tc>
          <w:tcPr>
            <w:tcW w:w="5379" w:type="dxa"/>
            <w:tcBorders>
              <w:top w:val="single" w:sz="6" w:space="0" w:color="auto"/>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892DE3">
              <w:rPr>
                <w:rFonts w:cstheme="majorHAnsi"/>
                <w:b/>
                <w:sz w:val="17"/>
              </w:rPr>
              <w:t>Total non</w:t>
            </w:r>
            <w:r w:rsidRPr="00892DE3">
              <w:rPr>
                <w:rFonts w:cstheme="majorHAnsi"/>
                <w:b/>
                <w:sz w:val="17"/>
              </w:rPr>
              <w:noBreakHyphen/>
              <w:t>financial assets</w:t>
            </w:r>
            <w:r w:rsidR="008B155F" w:rsidRPr="00892DE3">
              <w:rPr>
                <w:rFonts w:cstheme="majorHAnsi"/>
                <w:b/>
                <w:sz w:val="17"/>
              </w:rPr>
              <w:t xml:space="preserve"> </w:t>
            </w:r>
            <w:r w:rsidR="008B155F" w:rsidRPr="00892DE3">
              <w:rPr>
                <w:rFonts w:cstheme="majorHAnsi"/>
                <w:b/>
                <w:sz w:val="17"/>
                <w:vertAlign w:val="superscript"/>
              </w:rPr>
              <w:t>(c)</w:t>
            </w:r>
          </w:p>
        </w:tc>
        <w:tc>
          <w:tcPr>
            <w:tcW w:w="567" w:type="dxa"/>
            <w:tcBorders>
              <w:top w:val="single" w:sz="6" w:space="0" w:color="auto"/>
              <w:left w:val="nil"/>
              <w:bottom w:val="single" w:sz="6" w:space="0" w:color="auto"/>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single" w:sz="6" w:space="0" w:color="auto"/>
              <w:left w:val="nil"/>
              <w:bottom w:val="single" w:sz="6"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115 711</w:t>
            </w:r>
          </w:p>
        </w:tc>
        <w:tc>
          <w:tcPr>
            <w:tcW w:w="824" w:type="dxa"/>
            <w:tcBorders>
              <w:top w:val="single" w:sz="6" w:space="0" w:color="auto"/>
              <w:left w:val="nil"/>
              <w:bottom w:val="single" w:sz="6"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115 895</w:t>
            </w:r>
          </w:p>
        </w:tc>
        <w:tc>
          <w:tcPr>
            <w:tcW w:w="904" w:type="dxa"/>
            <w:tcBorders>
              <w:top w:val="single" w:sz="6" w:space="0" w:color="auto"/>
              <w:left w:val="nil"/>
              <w:bottom w:val="single" w:sz="6"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117 052</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209 590</w:t>
            </w:r>
          </w:p>
        </w:tc>
        <w:tc>
          <w:tcPr>
            <w:tcW w:w="5379" w:type="dxa"/>
            <w:tcBorders>
              <w:top w:val="single" w:sz="6" w:space="0" w:color="auto"/>
              <w:left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892DE3">
              <w:rPr>
                <w:rFonts w:cstheme="majorHAnsi"/>
                <w:b/>
                <w:sz w:val="17"/>
              </w:rPr>
              <w:t>Total assets</w:t>
            </w:r>
            <w:r w:rsidR="008B155F" w:rsidRPr="00892DE3">
              <w:rPr>
                <w:rFonts w:cstheme="majorHAnsi"/>
                <w:b/>
                <w:sz w:val="17"/>
              </w:rPr>
              <w:t xml:space="preserve"> </w:t>
            </w:r>
            <w:r w:rsidR="008B155F" w:rsidRPr="00892DE3">
              <w:rPr>
                <w:rFonts w:cstheme="majorHAnsi"/>
                <w:b/>
                <w:sz w:val="17"/>
                <w:vertAlign w:val="superscript"/>
              </w:rPr>
              <w:t>(b)(c)</w:t>
            </w:r>
          </w:p>
        </w:tc>
        <w:tc>
          <w:tcPr>
            <w:tcW w:w="567" w:type="dxa"/>
            <w:tcBorders>
              <w:top w:val="single" w:sz="6" w:space="0" w:color="auto"/>
              <w:left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4.8</w:t>
            </w:r>
          </w:p>
        </w:tc>
        <w:tc>
          <w:tcPr>
            <w:tcW w:w="963" w:type="dxa"/>
            <w:tcBorders>
              <w:top w:val="single" w:sz="6" w:space="0" w:color="auto"/>
              <w:left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228 242</w:t>
            </w:r>
          </w:p>
        </w:tc>
        <w:tc>
          <w:tcPr>
            <w:tcW w:w="824" w:type="dxa"/>
            <w:tcBorders>
              <w:top w:val="single" w:sz="6" w:space="0" w:color="auto"/>
              <w:left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229 002</w:t>
            </w:r>
          </w:p>
        </w:tc>
        <w:tc>
          <w:tcPr>
            <w:tcW w:w="904" w:type="dxa"/>
            <w:tcBorders>
              <w:top w:val="single" w:sz="6" w:space="0" w:color="auto"/>
              <w:left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236 203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left w:val="nil"/>
              <w:bottom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rPr>
              <w:t xml:space="preserve"> </w:t>
            </w:r>
          </w:p>
        </w:tc>
        <w:tc>
          <w:tcPr>
            <w:tcW w:w="5379" w:type="dxa"/>
            <w:tcBorders>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Liabilities</w:t>
            </w:r>
          </w:p>
        </w:tc>
        <w:tc>
          <w:tcPr>
            <w:tcW w:w="567" w:type="dxa"/>
            <w:tcBorders>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824" w:type="dxa"/>
            <w:tcBorders>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4" w:type="dxa"/>
            <w:tcBorders>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8B155F" w:rsidP="008B155F">
            <w:pPr>
              <w:pStyle w:val="TableofFigures"/>
              <w:ind w:left="0" w:firstLine="0"/>
              <w:jc w:val="right"/>
              <w:rPr>
                <w:rFonts w:cstheme="majorHAnsi"/>
              </w:rPr>
            </w:pPr>
            <w:r w:rsidRPr="00892DE3">
              <w:rPr>
                <w:rFonts w:cstheme="majorHAnsi"/>
              </w:rPr>
              <w:t>471</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Deposits held and advances received</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706</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717</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6 288</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5 355</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Payables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5.2</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5 773</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5 481</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5 663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34 597</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Borrowings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33 811</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34 551</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30 391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5 675</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Employee benefits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3.2</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6 137</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6 098</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6 534</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27 885</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Superannuation</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29 291</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29 044</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28 453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754</w:t>
            </w:r>
          </w:p>
        </w:tc>
        <w:tc>
          <w:tcPr>
            <w:tcW w:w="5379" w:type="dxa"/>
            <w:tcBorders>
              <w:top w:val="nil"/>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provisions</w:t>
            </w:r>
          </w:p>
        </w:tc>
        <w:tc>
          <w:tcPr>
            <w:tcW w:w="567" w:type="dxa"/>
            <w:tcBorders>
              <w:top w:val="nil"/>
              <w:left w:val="nil"/>
              <w:bottom w:val="single" w:sz="6" w:space="0" w:color="auto"/>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829</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861</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852</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single" w:sz="6" w:space="0" w:color="auto"/>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74 738</w:t>
            </w:r>
          </w:p>
        </w:tc>
        <w:tc>
          <w:tcPr>
            <w:tcW w:w="5379" w:type="dxa"/>
            <w:tcBorders>
              <w:top w:val="single" w:sz="6" w:space="0" w:color="auto"/>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Total liabilities</w:t>
            </w:r>
          </w:p>
        </w:tc>
        <w:tc>
          <w:tcPr>
            <w:tcW w:w="567" w:type="dxa"/>
            <w:tcBorders>
              <w:top w:val="single" w:sz="6" w:space="0" w:color="auto"/>
              <w:left w:val="nil"/>
              <w:bottom w:val="single" w:sz="6" w:space="0" w:color="auto"/>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single" w:sz="6" w:space="0" w:color="auto"/>
              <w:left w:val="nil"/>
              <w:bottom w:val="single" w:sz="6"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76 547</w:t>
            </w:r>
          </w:p>
        </w:tc>
        <w:tc>
          <w:tcPr>
            <w:tcW w:w="824" w:type="dxa"/>
            <w:tcBorders>
              <w:top w:val="single" w:sz="6" w:space="0" w:color="auto"/>
              <w:left w:val="nil"/>
              <w:bottom w:val="single" w:sz="6"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76 751</w:t>
            </w:r>
          </w:p>
        </w:tc>
        <w:tc>
          <w:tcPr>
            <w:tcW w:w="904" w:type="dxa"/>
            <w:tcBorders>
              <w:top w:val="single" w:sz="6" w:space="0" w:color="auto"/>
              <w:left w:val="nil"/>
              <w:bottom w:val="single" w:sz="6"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78 181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single" w:sz="12" w:space="0" w:color="auto"/>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134 853</w:t>
            </w:r>
          </w:p>
        </w:tc>
        <w:tc>
          <w:tcPr>
            <w:tcW w:w="5379" w:type="dxa"/>
            <w:tcBorders>
              <w:top w:val="single" w:sz="6" w:space="0" w:color="auto"/>
              <w:left w:val="nil"/>
              <w:bottom w:val="single" w:sz="12"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892DE3">
              <w:rPr>
                <w:rFonts w:cstheme="majorHAnsi"/>
                <w:b/>
                <w:sz w:val="17"/>
              </w:rPr>
              <w:t>Net assets</w:t>
            </w:r>
            <w:r w:rsidR="008B155F" w:rsidRPr="00892DE3">
              <w:rPr>
                <w:rFonts w:cstheme="majorHAnsi"/>
                <w:b/>
                <w:sz w:val="17"/>
              </w:rPr>
              <w:t xml:space="preserve"> </w:t>
            </w:r>
            <w:r w:rsidR="008B155F" w:rsidRPr="00892DE3">
              <w:rPr>
                <w:rFonts w:cstheme="majorHAnsi"/>
                <w:b/>
                <w:sz w:val="17"/>
                <w:vertAlign w:val="superscript"/>
              </w:rPr>
              <w:t>(b)(c)</w:t>
            </w:r>
          </w:p>
        </w:tc>
        <w:tc>
          <w:tcPr>
            <w:tcW w:w="567" w:type="dxa"/>
            <w:tcBorders>
              <w:top w:val="single" w:sz="6" w:space="0" w:color="auto"/>
              <w:left w:val="nil"/>
              <w:bottom w:val="single" w:sz="12" w:space="0" w:color="auto"/>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single" w:sz="6" w:space="0" w:color="auto"/>
              <w:left w:val="nil"/>
              <w:bottom w:val="single" w:sz="12"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151 695</w:t>
            </w:r>
          </w:p>
        </w:tc>
        <w:tc>
          <w:tcPr>
            <w:tcW w:w="824" w:type="dxa"/>
            <w:tcBorders>
              <w:top w:val="single" w:sz="6" w:space="0" w:color="auto"/>
              <w:left w:val="nil"/>
              <w:bottom w:val="single" w:sz="12"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152 251</w:t>
            </w:r>
          </w:p>
        </w:tc>
        <w:tc>
          <w:tcPr>
            <w:tcW w:w="904" w:type="dxa"/>
            <w:tcBorders>
              <w:top w:val="single" w:sz="6" w:space="0" w:color="auto"/>
              <w:left w:val="nil"/>
              <w:bottom w:val="single" w:sz="12"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158 022</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12" w:space="0" w:color="auto"/>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44 213</w:t>
            </w:r>
          </w:p>
        </w:tc>
        <w:tc>
          <w:tcPr>
            <w:tcW w:w="5379" w:type="dxa"/>
            <w:tcBorders>
              <w:top w:val="single" w:sz="12" w:space="0" w:color="auto"/>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Accumulated surplus/(deficit)</w:t>
            </w:r>
            <w:r w:rsidR="008B155F" w:rsidRPr="00892DE3">
              <w:rPr>
                <w:rFonts w:cstheme="majorHAnsi"/>
                <w:sz w:val="17"/>
              </w:rPr>
              <w:t xml:space="preserve"> </w:t>
            </w:r>
            <w:r w:rsidRPr="00892DE3">
              <w:rPr>
                <w:rFonts w:cstheme="majorHAnsi"/>
                <w:sz w:val="17"/>
                <w:vertAlign w:val="superscript"/>
              </w:rPr>
              <w:t>(c)</w:t>
            </w:r>
          </w:p>
        </w:tc>
        <w:tc>
          <w:tcPr>
            <w:tcW w:w="567" w:type="dxa"/>
            <w:tcBorders>
              <w:top w:val="single" w:sz="12" w:space="0" w:color="auto"/>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single" w:sz="12" w:space="0" w:color="auto"/>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44 454</w:t>
            </w:r>
          </w:p>
        </w:tc>
        <w:tc>
          <w:tcPr>
            <w:tcW w:w="824" w:type="dxa"/>
            <w:tcBorders>
              <w:top w:val="single" w:sz="12" w:space="0" w:color="auto"/>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45 183</w:t>
            </w:r>
          </w:p>
        </w:tc>
        <w:tc>
          <w:tcPr>
            <w:tcW w:w="904" w:type="dxa"/>
            <w:tcBorders>
              <w:top w:val="single" w:sz="12" w:space="0" w:color="auto"/>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47 963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90 590</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Reserves</w:t>
            </w:r>
            <w:r w:rsidR="008B155F" w:rsidRPr="00892DE3">
              <w:rPr>
                <w:rFonts w:cstheme="majorHAnsi"/>
                <w:sz w:val="17"/>
              </w:rPr>
              <w:t xml:space="preserve"> </w:t>
            </w:r>
            <w:r w:rsidR="008B155F" w:rsidRPr="00892DE3">
              <w:rPr>
                <w:rFonts w:cstheme="majorHAnsi"/>
                <w:sz w:val="17"/>
                <w:vertAlign w:val="superscript"/>
              </w:rPr>
              <w:t>(b)</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107 191</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107 069</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110 009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8B155F" w:rsidP="008B155F">
            <w:pPr>
              <w:pStyle w:val="TableofFigures"/>
              <w:ind w:left="0" w:firstLine="0"/>
              <w:jc w:val="right"/>
              <w:rPr>
                <w:rFonts w:cstheme="majorHAnsi"/>
              </w:rPr>
            </w:pPr>
            <w:r w:rsidRPr="00892DE3">
              <w:rPr>
                <w:rFonts w:cstheme="majorHAnsi"/>
              </w:rPr>
              <w:t>50</w:t>
            </w:r>
          </w:p>
        </w:tc>
        <w:tc>
          <w:tcPr>
            <w:tcW w:w="5379" w:type="dxa"/>
            <w:tcBorders>
              <w:top w:val="nil"/>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Non</w:t>
            </w:r>
            <w:r w:rsidRPr="00892DE3">
              <w:rPr>
                <w:rFonts w:cstheme="majorHAnsi"/>
                <w:sz w:val="17"/>
              </w:rPr>
              <w:noBreakHyphen/>
              <w:t>controlling interest</w:t>
            </w:r>
          </w:p>
        </w:tc>
        <w:tc>
          <w:tcPr>
            <w:tcW w:w="567" w:type="dxa"/>
            <w:tcBorders>
              <w:top w:val="nil"/>
              <w:left w:val="nil"/>
              <w:bottom w:val="single" w:sz="6" w:space="0" w:color="auto"/>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8B155F"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w:t>
            </w:r>
          </w:p>
        </w:tc>
        <w:tc>
          <w:tcPr>
            <w:tcW w:w="824" w:type="dxa"/>
            <w:tcBorders>
              <w:top w:val="nil"/>
              <w:left w:val="nil"/>
              <w:bottom w:val="nil"/>
              <w:right w:val="nil"/>
            </w:tcBorders>
          </w:tcPr>
          <w:p w:rsidR="00AD47C0" w:rsidRPr="00892DE3" w:rsidRDefault="008B155F"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w:t>
            </w:r>
          </w:p>
        </w:tc>
        <w:tc>
          <w:tcPr>
            <w:tcW w:w="904" w:type="dxa"/>
            <w:tcBorders>
              <w:top w:val="nil"/>
              <w:left w:val="nil"/>
              <w:bottom w:val="nil"/>
              <w:right w:val="nil"/>
            </w:tcBorders>
          </w:tcPr>
          <w:p w:rsidR="00AD47C0" w:rsidRPr="00892DE3" w:rsidRDefault="008B155F"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single" w:sz="12" w:space="0" w:color="auto"/>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134 853</w:t>
            </w:r>
          </w:p>
        </w:tc>
        <w:tc>
          <w:tcPr>
            <w:tcW w:w="5379" w:type="dxa"/>
            <w:tcBorders>
              <w:top w:val="single" w:sz="6" w:space="0" w:color="auto"/>
              <w:left w:val="nil"/>
              <w:bottom w:val="single" w:sz="12"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892DE3">
              <w:rPr>
                <w:rFonts w:cstheme="majorHAnsi"/>
                <w:b/>
                <w:sz w:val="17"/>
              </w:rPr>
              <w:t>Net worth</w:t>
            </w:r>
            <w:r w:rsidR="008B155F" w:rsidRPr="00892DE3">
              <w:rPr>
                <w:rFonts w:cstheme="majorHAnsi"/>
                <w:b/>
                <w:sz w:val="17"/>
              </w:rPr>
              <w:t xml:space="preserve"> </w:t>
            </w:r>
            <w:r w:rsidR="008B155F" w:rsidRPr="00892DE3">
              <w:rPr>
                <w:rFonts w:cstheme="majorHAnsi"/>
                <w:b/>
                <w:sz w:val="17"/>
                <w:vertAlign w:val="superscript"/>
              </w:rPr>
              <w:t>(b)(c)</w:t>
            </w:r>
          </w:p>
        </w:tc>
        <w:tc>
          <w:tcPr>
            <w:tcW w:w="567" w:type="dxa"/>
            <w:tcBorders>
              <w:top w:val="single" w:sz="6" w:space="0" w:color="auto"/>
              <w:left w:val="nil"/>
              <w:bottom w:val="single" w:sz="12" w:space="0" w:color="auto"/>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single" w:sz="6" w:space="0" w:color="auto"/>
              <w:left w:val="nil"/>
              <w:bottom w:val="single" w:sz="12"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151 695</w:t>
            </w:r>
          </w:p>
        </w:tc>
        <w:tc>
          <w:tcPr>
            <w:tcW w:w="824" w:type="dxa"/>
            <w:tcBorders>
              <w:top w:val="single" w:sz="6" w:space="0" w:color="auto"/>
              <w:left w:val="nil"/>
              <w:bottom w:val="single" w:sz="12"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152 251</w:t>
            </w:r>
          </w:p>
        </w:tc>
        <w:tc>
          <w:tcPr>
            <w:tcW w:w="904" w:type="dxa"/>
            <w:tcBorders>
              <w:top w:val="single" w:sz="6" w:space="0" w:color="auto"/>
              <w:left w:val="nil"/>
              <w:bottom w:val="single" w:sz="12" w:space="0" w:color="auto"/>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158 022</w:t>
            </w:r>
          </w:p>
        </w:tc>
      </w:tr>
      <w:tr w:rsidR="00AD47C0" w:rsidRPr="00892DE3" w:rsidTr="008B155F">
        <w:trPr>
          <w:trHeight w:hRule="exact" w:val="120"/>
        </w:trPr>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rPr>
              <w:t xml:space="preserve"> </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rPr>
              <w:t xml:space="preserve"> </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FISCAL AGGREGATES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25 820</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Net financial worth</w:t>
            </w:r>
            <w:r w:rsidR="008B155F" w:rsidRPr="00892DE3">
              <w:rPr>
                <w:rFonts w:cstheme="majorHAnsi"/>
                <w:sz w:val="17"/>
              </w:rPr>
              <w:t xml:space="preserve"> </w:t>
            </w:r>
            <w:r w:rsidR="008B155F" w:rsidRPr="00892DE3">
              <w:rPr>
                <w:rFonts w:cstheme="majorHAnsi"/>
                <w:sz w:val="17"/>
                <w:vertAlign w:val="superscript"/>
              </w:rPr>
              <w:t>(b)</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35 984</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36 357</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40 970</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AD47C0" w:rsidRPr="00892DE3" w:rsidRDefault="00AD47C0" w:rsidP="008B155F">
            <w:pPr>
              <w:pStyle w:val="TableofFigures"/>
              <w:ind w:left="0" w:firstLine="0"/>
              <w:jc w:val="right"/>
              <w:rPr>
                <w:rFonts w:cstheme="majorHAnsi"/>
              </w:rPr>
            </w:pPr>
            <w:r w:rsidRPr="00892DE3">
              <w:rPr>
                <w:rFonts w:cstheme="majorHAnsi"/>
              </w:rPr>
              <w:t>56 728</w:t>
            </w:r>
          </w:p>
        </w:tc>
        <w:tc>
          <w:tcPr>
            <w:tcW w:w="5379"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financial liabilities</w:t>
            </w:r>
          </w:p>
        </w:tc>
        <w:tc>
          <w:tcPr>
            <w:tcW w:w="567" w:type="dxa"/>
            <w:tcBorders>
              <w:top w:val="nil"/>
              <w:left w:val="nil"/>
              <w:bottom w:val="nil"/>
              <w:right w:val="nil"/>
            </w:tcBorders>
          </w:tcPr>
          <w:p w:rsidR="00AD47C0" w:rsidRPr="00892DE3" w:rsidRDefault="00AD47C0"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58 727</w:t>
            </w:r>
          </w:p>
        </w:tc>
        <w:tc>
          <w:tcPr>
            <w:tcW w:w="82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59 116</w:t>
            </w:r>
          </w:p>
        </w:tc>
        <w:tc>
          <w:tcPr>
            <w:tcW w:w="904"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54 272</w:t>
            </w:r>
          </w:p>
        </w:tc>
      </w:tr>
      <w:tr w:rsidR="00AD47C0" w:rsidRPr="00892DE3" w:rsidTr="008B155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tcBorders>
              <w:top w:val="nil"/>
              <w:bottom w:val="single" w:sz="12" w:space="0" w:color="auto"/>
            </w:tcBorders>
          </w:tcPr>
          <w:p w:rsidR="00AD47C0" w:rsidRPr="00892DE3" w:rsidRDefault="00AD47C0" w:rsidP="008B155F">
            <w:pPr>
              <w:pStyle w:val="TableofFigures"/>
              <w:ind w:left="0" w:firstLine="0"/>
              <w:jc w:val="right"/>
              <w:rPr>
                <w:rFonts w:cstheme="majorHAnsi"/>
              </w:rPr>
            </w:pPr>
            <w:r w:rsidRPr="00892DE3">
              <w:rPr>
                <w:rFonts w:cstheme="majorHAnsi"/>
              </w:rPr>
              <w:t>23 000</w:t>
            </w:r>
          </w:p>
        </w:tc>
        <w:tc>
          <w:tcPr>
            <w:tcW w:w="5379" w:type="dxa"/>
            <w:tcBorders>
              <w:top w:val="nil"/>
              <w:bottom w:val="single" w:sz="12" w:space="0" w:color="auto"/>
            </w:tcBorders>
          </w:tcPr>
          <w:p w:rsidR="00AD47C0" w:rsidRPr="00892DE3" w:rsidRDefault="00AD47C0" w:rsidP="009B556F">
            <w:pPr>
              <w:pStyle w:val="Tabletext"/>
              <w:spacing w:line="276" w:lineRule="auto"/>
              <w:ind w:left="227" w:hanging="113"/>
              <w:jc w:val="left"/>
              <w:cnfStyle w:val="010000000000" w:firstRow="0" w:lastRow="1"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debt</w:t>
            </w:r>
          </w:p>
        </w:tc>
        <w:tc>
          <w:tcPr>
            <w:tcW w:w="567" w:type="dxa"/>
            <w:tcBorders>
              <w:top w:val="nil"/>
              <w:bottom w:val="single" w:sz="12" w:space="0" w:color="auto"/>
            </w:tcBorders>
          </w:tcPr>
          <w:p w:rsidR="00AD47C0" w:rsidRPr="00892DE3" w:rsidRDefault="00AD47C0" w:rsidP="008B155F">
            <w:pPr>
              <w:pStyle w:val="Tabletextcentred"/>
              <w:cnfStyle w:val="010000000000" w:firstRow="0" w:lastRow="1"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bottom w:val="single" w:sz="12" w:space="0" w:color="auto"/>
            </w:tcBorders>
          </w:tcPr>
          <w:p w:rsidR="00AD47C0" w:rsidRPr="00892DE3" w:rsidRDefault="00AD47C0" w:rsidP="008B155F">
            <w:pPr>
              <w:pStyle w:val="TableofFigures"/>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22 309</w:t>
            </w:r>
          </w:p>
        </w:tc>
        <w:tc>
          <w:tcPr>
            <w:tcW w:w="824" w:type="dxa"/>
            <w:tcBorders>
              <w:top w:val="nil"/>
              <w:bottom w:val="single" w:sz="12" w:space="0" w:color="auto"/>
            </w:tcBorders>
          </w:tcPr>
          <w:p w:rsidR="00AD47C0" w:rsidRPr="00892DE3" w:rsidRDefault="00AD47C0" w:rsidP="008B155F">
            <w:pPr>
              <w:pStyle w:val="TableofFigures"/>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23 545</w:t>
            </w:r>
          </w:p>
        </w:tc>
        <w:tc>
          <w:tcPr>
            <w:tcW w:w="904" w:type="dxa"/>
            <w:tcBorders>
              <w:top w:val="nil"/>
              <w:bottom w:val="single" w:sz="12" w:space="0" w:color="auto"/>
            </w:tcBorders>
          </w:tcPr>
          <w:p w:rsidR="00AD47C0" w:rsidRPr="00892DE3" w:rsidRDefault="00AD47C0" w:rsidP="008B155F">
            <w:pPr>
              <w:pStyle w:val="TableofFigures"/>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18 418</w:t>
            </w:r>
          </w:p>
        </w:tc>
      </w:tr>
    </w:tbl>
    <w:p w:rsidR="00AD47C0" w:rsidRPr="00892DE3" w:rsidRDefault="00AD47C0" w:rsidP="00AD47C0">
      <w:pPr>
        <w:pStyle w:val="SmallLine0"/>
      </w:pPr>
    </w:p>
    <w:p w:rsidR="00AD47C0" w:rsidRPr="00892DE3" w:rsidRDefault="00AD47C0" w:rsidP="008B155F">
      <w:pPr>
        <w:pStyle w:val="Source"/>
      </w:pPr>
      <w:r w:rsidRPr="00892DE3">
        <w:t>The accompanying notes form part of these financial statements.</w:t>
      </w:r>
    </w:p>
    <w:p w:rsidR="00AD47C0" w:rsidRPr="00892DE3" w:rsidRDefault="00AD47C0" w:rsidP="008B155F">
      <w:pPr>
        <w:pStyle w:val="Note"/>
      </w:pPr>
      <w:r w:rsidRPr="00892DE3">
        <w:t>Notes:</w:t>
      </w:r>
    </w:p>
    <w:p w:rsidR="00AD47C0" w:rsidRPr="00892DE3" w:rsidRDefault="00AD47C0" w:rsidP="008B155F">
      <w:pPr>
        <w:pStyle w:val="Note"/>
      </w:pPr>
      <w:r w:rsidRPr="00892DE3">
        <w:t>(a)</w:t>
      </w:r>
      <w:r w:rsidRPr="00892DE3">
        <w:tab/>
        <w:t>Balances represent actual opening balances at 1 July 2016 plus 2016-17 budgeted movements.</w:t>
      </w:r>
    </w:p>
    <w:p w:rsidR="00AD47C0" w:rsidRPr="00892DE3" w:rsidRDefault="00AD47C0" w:rsidP="008B155F">
      <w:pPr>
        <w:pStyle w:val="Note"/>
      </w:pPr>
      <w:r w:rsidRPr="00892DE3">
        <w:t>(b)</w:t>
      </w:r>
      <w:r w:rsidRPr="00892DE3">
        <w:tab/>
        <w:t>September 2015 comparative figures have been restated to reflect an adjustment to Coliban Water’s deferred tax liability balances in the PNFC sector attributable to a change in valuation policy in 2015-16.</w:t>
      </w:r>
    </w:p>
    <w:p w:rsidR="00AD47C0" w:rsidRPr="00892DE3" w:rsidRDefault="00AD47C0" w:rsidP="009B556F">
      <w:pPr>
        <w:pStyle w:val="Note"/>
      </w:pPr>
      <w:r w:rsidRPr="00892DE3">
        <w:t>(c)</w:t>
      </w:r>
      <w:r w:rsidRPr="00892DE3">
        <w:tab/>
        <w:t xml:space="preserve">September 2015 comparative figures have been restated to finalise the allocation of equity balances between contributed capital  and accumulated funds related to prior year machinery of government changes. </w:t>
      </w:r>
      <w:r w:rsidRPr="00892DE3">
        <w:br w:type="page"/>
      </w:r>
    </w:p>
    <w:p w:rsidR="00AD47C0" w:rsidRPr="00892DE3" w:rsidRDefault="00AD47C0" w:rsidP="00B623D8">
      <w:pPr>
        <w:pStyle w:val="TableHeading"/>
      </w:pPr>
      <w:bookmarkStart w:id="280" w:name="_Toc213813356"/>
      <w:r w:rsidRPr="00892DE3">
        <w:t>Table 1.7:</w:t>
      </w:r>
      <w:r w:rsidRPr="00892DE3">
        <w:tab/>
        <w:t>Consolidated cash flow statement for the period ended 30 September</w:t>
      </w:r>
      <w:bookmarkEnd w:id="280"/>
      <w:r w:rsidRPr="00892DE3">
        <w:tab/>
        <w:t>($ million)</w:t>
      </w:r>
    </w:p>
    <w:tbl>
      <w:tblPr>
        <w:tblStyle w:val="DTFTable"/>
        <w:tblW w:w="9637" w:type="dxa"/>
        <w:tblInd w:w="43" w:type="dxa"/>
        <w:tblLayout w:type="fixed"/>
        <w:tblCellMar>
          <w:left w:w="43" w:type="dxa"/>
          <w:right w:w="43" w:type="dxa"/>
        </w:tblCellMar>
        <w:tblLook w:val="06E0" w:firstRow="1" w:lastRow="1" w:firstColumn="1" w:lastColumn="0" w:noHBand="1" w:noVBand="1"/>
      </w:tblPr>
      <w:tblGrid>
        <w:gridCol w:w="966"/>
        <w:gridCol w:w="6264"/>
        <w:gridCol w:w="708"/>
        <w:gridCol w:w="797"/>
        <w:gridCol w:w="902"/>
      </w:tblGrid>
      <w:tr w:rsidR="00AD47C0" w:rsidRPr="00892DE3" w:rsidTr="008B155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single" w:sz="6" w:space="0" w:color="auto"/>
            </w:tcBorders>
            <w:shd w:val="clear" w:color="auto" w:fill="000000"/>
          </w:tcPr>
          <w:p w:rsidR="00AD47C0" w:rsidRPr="00892DE3" w:rsidRDefault="00AD47C0" w:rsidP="008B155F">
            <w:pPr>
              <w:ind w:left="0" w:firstLine="0"/>
              <w:jc w:val="right"/>
              <w:rPr>
                <w:rFonts w:cstheme="majorHAnsi"/>
              </w:rPr>
            </w:pPr>
            <w:r w:rsidRPr="00892DE3">
              <w:rPr>
                <w:rFonts w:cstheme="majorHAnsi"/>
              </w:rPr>
              <w:t>2015-16</w:t>
            </w:r>
          </w:p>
        </w:tc>
        <w:tc>
          <w:tcPr>
            <w:tcW w:w="6264" w:type="dxa"/>
            <w:tcBorders>
              <w:top w:val="single" w:sz="6" w:space="0" w:color="auto"/>
            </w:tcBorders>
            <w:shd w:val="clear" w:color="auto" w:fill="000000"/>
          </w:tcPr>
          <w:p w:rsidR="00AD47C0" w:rsidRPr="00892DE3" w:rsidRDefault="00AD47C0" w:rsidP="008B155F">
            <w:pPr>
              <w:ind w:left="113"/>
              <w:jc w:val="left"/>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8" w:type="dxa"/>
            <w:tcBorders>
              <w:top w:val="single" w:sz="6" w:space="0" w:color="auto"/>
            </w:tcBorders>
            <w:shd w:val="clear" w:color="auto" w:fill="000000"/>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97" w:type="dxa"/>
            <w:tcBorders>
              <w:top w:val="single" w:sz="6" w:space="0" w:color="auto"/>
            </w:tcBorders>
            <w:shd w:val="clear" w:color="auto" w:fill="000000"/>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2016-17</w:t>
            </w:r>
          </w:p>
        </w:tc>
        <w:tc>
          <w:tcPr>
            <w:tcW w:w="902" w:type="dxa"/>
            <w:tcBorders>
              <w:top w:val="single" w:sz="6" w:space="0" w:color="auto"/>
              <w:right w:val="single" w:sz="6" w:space="0" w:color="auto"/>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p>
        </w:tc>
      </w:tr>
      <w:tr w:rsidR="00AD47C0" w:rsidRPr="00892DE3" w:rsidTr="008B155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6" w:type="dxa"/>
            <w:tcBorders>
              <w:left w:val="single" w:sz="6" w:space="0" w:color="auto"/>
              <w:bottom w:val="single" w:sz="6" w:space="0" w:color="auto"/>
              <w:right w:val="nil"/>
            </w:tcBorders>
            <w:shd w:val="solid" w:color="000000" w:fill="auto"/>
          </w:tcPr>
          <w:p w:rsidR="00AD47C0" w:rsidRPr="00892DE3" w:rsidRDefault="00AD47C0" w:rsidP="008B155F">
            <w:pPr>
              <w:ind w:left="0" w:firstLine="0"/>
              <w:jc w:val="right"/>
              <w:rPr>
                <w:rFonts w:cstheme="majorHAnsi"/>
              </w:rPr>
            </w:pPr>
            <w:r w:rsidRPr="00892DE3">
              <w:rPr>
                <w:rFonts w:cstheme="majorHAnsi"/>
              </w:rPr>
              <w:t>Actual</w:t>
            </w:r>
          </w:p>
          <w:p w:rsidR="00AD47C0" w:rsidRPr="00892DE3" w:rsidRDefault="00AD47C0" w:rsidP="008B155F">
            <w:pPr>
              <w:ind w:left="0" w:firstLine="0"/>
              <w:jc w:val="right"/>
              <w:rPr>
                <w:rFonts w:cstheme="majorHAnsi"/>
              </w:rPr>
            </w:pPr>
            <w:r w:rsidRPr="00892DE3">
              <w:rPr>
                <w:rFonts w:cstheme="majorHAnsi"/>
              </w:rPr>
              <w:t xml:space="preserve">30 Sep </w:t>
            </w:r>
          </w:p>
        </w:tc>
        <w:tc>
          <w:tcPr>
            <w:tcW w:w="6264" w:type="dxa"/>
            <w:tcBorders>
              <w:left w:val="nil"/>
              <w:bottom w:val="single" w:sz="6" w:space="0" w:color="auto"/>
              <w:right w:val="nil"/>
            </w:tcBorders>
            <w:shd w:val="solid" w:color="000000" w:fill="auto"/>
          </w:tcPr>
          <w:p w:rsidR="00AD47C0" w:rsidRPr="00892DE3" w:rsidRDefault="00AD47C0" w:rsidP="008B155F">
            <w:pPr>
              <w:ind w:left="113"/>
              <w:jc w:val="left"/>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8" w:type="dxa"/>
            <w:tcBorders>
              <w:left w:val="nil"/>
              <w:bottom w:val="single" w:sz="6" w:space="0" w:color="auto"/>
              <w:right w:val="nil"/>
            </w:tcBorders>
            <w:shd w:val="solid" w:color="000000" w:fill="auto"/>
          </w:tcPr>
          <w:p w:rsidR="00AD47C0" w:rsidRPr="00892DE3" w:rsidRDefault="00AD47C0" w:rsidP="008B155F">
            <w:pPr>
              <w:jc w:val="center"/>
              <w:cnfStyle w:val="100000000000" w:firstRow="1" w:lastRow="0" w:firstColumn="0" w:lastColumn="0" w:oddVBand="0" w:evenVBand="0" w:oddHBand="0" w:evenHBand="0" w:firstRowFirstColumn="0" w:firstRowLastColumn="0" w:lastRowFirstColumn="0" w:lastRowLastColumn="0"/>
              <w:rPr>
                <w:rFonts w:cstheme="majorHAnsi"/>
              </w:rPr>
            </w:pPr>
          </w:p>
          <w:p w:rsidR="00AD47C0" w:rsidRPr="00892DE3" w:rsidRDefault="00AD47C0" w:rsidP="008B155F">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Notes</w:t>
            </w:r>
          </w:p>
        </w:tc>
        <w:tc>
          <w:tcPr>
            <w:tcW w:w="797"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Actual</w:t>
            </w:r>
          </w:p>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30 Sep</w:t>
            </w:r>
          </w:p>
        </w:tc>
        <w:tc>
          <w:tcPr>
            <w:tcW w:w="902" w:type="dxa"/>
            <w:tcBorders>
              <w:left w:val="nil"/>
              <w:bottom w:val="single" w:sz="6" w:space="0" w:color="auto"/>
              <w:right w:val="single" w:sz="6" w:space="0" w:color="auto"/>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Annual Budget</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 xml:space="preserve"> </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Cash flows from operating activities</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02"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AD47C0" w:rsidRPr="00892DE3" w:rsidRDefault="00AD47C0" w:rsidP="008B155F">
            <w:pPr>
              <w:pStyle w:val="TableofFigures"/>
              <w:ind w:left="0" w:firstLine="0"/>
              <w:jc w:val="right"/>
              <w:rPr>
                <w:rFonts w:cstheme="majorHAnsi"/>
                <w:b/>
              </w:rPr>
            </w:pPr>
            <w:r w:rsidRPr="00892DE3">
              <w:rPr>
                <w:rFonts w:cstheme="majorHAnsi"/>
                <w:b/>
              </w:rPr>
              <w:t xml:space="preserve"> </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Receipts</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2" w:type="dxa"/>
            <w:tcBorders>
              <w:top w:val="nil"/>
              <w:left w:val="nil"/>
              <w:bottom w:val="nil"/>
              <w:right w:val="nil"/>
            </w:tcBorders>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4 887</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Taxes received</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5 078</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21 483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6 008</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Grants</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6 699</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27 424</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1 782</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Sales of goods and services</w:t>
            </w:r>
            <w:r w:rsidR="008B155F" w:rsidRPr="00892DE3">
              <w:rPr>
                <w:rFonts w:cstheme="majorHAnsi"/>
                <w:sz w:val="17"/>
              </w:rPr>
              <w:t xml:space="preserve"> </w:t>
            </w:r>
            <w:r w:rsidR="008B155F" w:rsidRPr="00892DE3">
              <w:rPr>
                <w:rFonts w:cstheme="majorHAnsi"/>
                <w:sz w:val="17"/>
                <w:vertAlign w:val="superscript"/>
              </w:rPr>
              <w:t>(a)</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1 891</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7 602</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193</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Interest received</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169</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881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49</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Dividends and income tax equivalent and rate equivalent receipts</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106</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1 079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439</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Other receipts </w:t>
            </w:r>
          </w:p>
        </w:tc>
        <w:tc>
          <w:tcPr>
            <w:tcW w:w="708" w:type="dxa"/>
            <w:tcBorders>
              <w:top w:val="nil"/>
              <w:left w:val="nil"/>
              <w:bottom w:val="single" w:sz="6" w:space="0" w:color="auto"/>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317</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1 877</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13 359</w:t>
            </w:r>
          </w:p>
        </w:tc>
        <w:tc>
          <w:tcPr>
            <w:tcW w:w="6264" w:type="dxa"/>
            <w:tcBorders>
              <w:top w:val="single" w:sz="6" w:space="0" w:color="auto"/>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Total receipts </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single" w:sz="6" w:space="0" w:color="auto"/>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14 260</w:t>
            </w:r>
          </w:p>
        </w:tc>
        <w:tc>
          <w:tcPr>
            <w:tcW w:w="902" w:type="dxa"/>
            <w:tcBorders>
              <w:top w:val="single" w:sz="6" w:space="0" w:color="auto"/>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60 345</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b/>
              </w:rPr>
            </w:pP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Payments</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8B155F" w:rsidP="008B155F">
            <w:pPr>
              <w:pStyle w:val="TableofFigures"/>
              <w:ind w:left="0" w:firstLine="0"/>
              <w:jc w:val="right"/>
              <w:rPr>
                <w:rFonts w:cstheme="majorHAnsi"/>
              </w:rPr>
            </w:pPr>
            <w:r w:rsidRPr="00892DE3">
              <w:rPr>
                <w:rFonts w:cstheme="majorHAnsi"/>
              </w:rPr>
              <w:t>(4 730)</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Payments for employees</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(5 227)</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(20 902)</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(773)</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Superannuation</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(743)</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(2 991)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(531)</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Interest paid</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(493)</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(2 396)</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(2 185)</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Grants and subsidies </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(2 670)</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(9 501)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(4 666)</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Goods and services</w:t>
            </w:r>
            <w:r w:rsidR="008B155F" w:rsidRPr="00892DE3">
              <w:rPr>
                <w:rFonts w:cstheme="majorHAnsi"/>
                <w:sz w:val="17"/>
              </w:rPr>
              <w:t xml:space="preserve"> </w:t>
            </w:r>
            <w:r w:rsidR="008B155F" w:rsidRPr="00892DE3">
              <w:rPr>
                <w:rFonts w:cstheme="majorHAnsi"/>
                <w:sz w:val="17"/>
                <w:vertAlign w:val="superscript"/>
              </w:rPr>
              <w:t>(a)</w:t>
            </w:r>
          </w:p>
        </w:tc>
        <w:tc>
          <w:tcPr>
            <w:tcW w:w="708" w:type="dxa"/>
            <w:tcBorders>
              <w:top w:val="nil"/>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(4 563)</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(18 729)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(194)</w:t>
            </w:r>
          </w:p>
        </w:tc>
        <w:tc>
          <w:tcPr>
            <w:tcW w:w="6264" w:type="dxa"/>
            <w:tcBorders>
              <w:top w:val="nil"/>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payments</w:t>
            </w:r>
          </w:p>
        </w:tc>
        <w:tc>
          <w:tcPr>
            <w:tcW w:w="708" w:type="dxa"/>
            <w:tcBorders>
              <w:top w:val="nil"/>
              <w:left w:val="nil"/>
              <w:bottom w:val="single" w:sz="6" w:space="0" w:color="auto"/>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(194)</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(624)</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single" w:sz="6" w:space="0" w:color="auto"/>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(13 078)</w:t>
            </w:r>
          </w:p>
        </w:tc>
        <w:tc>
          <w:tcPr>
            <w:tcW w:w="6264" w:type="dxa"/>
            <w:tcBorders>
              <w:top w:val="nil"/>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Total payments</w:t>
            </w:r>
          </w:p>
        </w:tc>
        <w:tc>
          <w:tcPr>
            <w:tcW w:w="708" w:type="dxa"/>
            <w:tcBorders>
              <w:top w:val="nil"/>
              <w:left w:val="nil"/>
              <w:bottom w:val="single" w:sz="6" w:space="0" w:color="auto"/>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single" w:sz="6" w:space="0" w:color="auto"/>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(13 890)</w:t>
            </w:r>
          </w:p>
        </w:tc>
        <w:tc>
          <w:tcPr>
            <w:tcW w:w="902" w:type="dxa"/>
            <w:tcBorders>
              <w:top w:val="single" w:sz="6" w:space="0" w:color="auto"/>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(55 143)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nil"/>
              <w:right w:val="nil"/>
            </w:tcBorders>
            <w:vAlign w:val="bottom"/>
          </w:tcPr>
          <w:p w:rsidR="00AD47C0" w:rsidRPr="00892DE3" w:rsidRDefault="008B155F" w:rsidP="008B155F">
            <w:pPr>
              <w:pStyle w:val="TableofFigures"/>
              <w:ind w:left="0" w:firstLine="0"/>
              <w:jc w:val="right"/>
              <w:rPr>
                <w:rFonts w:cstheme="majorHAnsi"/>
                <w:b/>
              </w:rPr>
            </w:pPr>
            <w:r w:rsidRPr="00892DE3">
              <w:rPr>
                <w:rFonts w:cstheme="majorHAnsi"/>
                <w:b/>
              </w:rPr>
              <w:t>280</w:t>
            </w:r>
          </w:p>
        </w:tc>
        <w:tc>
          <w:tcPr>
            <w:tcW w:w="6264" w:type="dxa"/>
            <w:tcBorders>
              <w:top w:val="single" w:sz="6" w:space="0" w:color="auto"/>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Net cash flows from operating activities </w:t>
            </w:r>
          </w:p>
        </w:tc>
        <w:tc>
          <w:tcPr>
            <w:tcW w:w="708" w:type="dxa"/>
            <w:tcBorders>
              <w:top w:val="nil"/>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7.3</w:t>
            </w:r>
          </w:p>
        </w:tc>
        <w:tc>
          <w:tcPr>
            <w:tcW w:w="797" w:type="dxa"/>
            <w:tcBorders>
              <w:top w:val="single" w:sz="6" w:space="0" w:color="auto"/>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370</w:t>
            </w:r>
          </w:p>
        </w:tc>
        <w:tc>
          <w:tcPr>
            <w:tcW w:w="902" w:type="dxa"/>
            <w:tcBorders>
              <w:top w:val="single" w:sz="6" w:space="0" w:color="auto"/>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5 202</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b/>
              </w:rPr>
            </w:pP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Cash flows from investing activities</w:t>
            </w:r>
          </w:p>
        </w:tc>
        <w:tc>
          <w:tcPr>
            <w:tcW w:w="708" w:type="dxa"/>
            <w:tcBorders>
              <w:top w:val="nil"/>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B77219" w:rsidP="008B155F">
            <w:pPr>
              <w:pStyle w:val="TableofFigures"/>
              <w:ind w:left="0" w:firstLine="0"/>
              <w:jc w:val="right"/>
              <w:rPr>
                <w:rFonts w:cstheme="majorHAnsi"/>
              </w:rPr>
            </w:pPr>
            <w:r w:rsidRPr="00892DE3">
              <w:rPr>
                <w:rFonts w:cstheme="majorHAnsi"/>
              </w:rPr>
              <w:t>(960)</w:t>
            </w:r>
          </w:p>
        </w:tc>
        <w:tc>
          <w:tcPr>
            <w:tcW w:w="6264" w:type="dxa"/>
            <w:tcBorders>
              <w:top w:val="nil"/>
              <w:left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Purchases of non</w:t>
            </w:r>
            <w:r w:rsidRPr="00892DE3">
              <w:rPr>
                <w:rFonts w:cstheme="majorHAnsi"/>
                <w:sz w:val="17"/>
              </w:rPr>
              <w:noBreakHyphen/>
              <w:t>financial assets</w:t>
            </w:r>
            <w:r w:rsidR="008B155F" w:rsidRPr="00892DE3">
              <w:rPr>
                <w:rFonts w:cstheme="majorHAnsi"/>
                <w:sz w:val="17"/>
              </w:rPr>
              <w:t xml:space="preserve"> </w:t>
            </w:r>
            <w:r w:rsidR="008B155F" w:rsidRPr="00892DE3">
              <w:rPr>
                <w:rFonts w:cstheme="majorHAnsi"/>
                <w:sz w:val="17"/>
                <w:vertAlign w:val="superscript"/>
              </w:rPr>
              <w:t>(b)</w:t>
            </w:r>
            <w:r w:rsidRPr="00892DE3">
              <w:rPr>
                <w:rFonts w:cstheme="majorHAnsi"/>
                <w:sz w:val="17"/>
              </w:rPr>
              <w:t xml:space="preserve"> </w:t>
            </w:r>
          </w:p>
        </w:tc>
        <w:tc>
          <w:tcPr>
            <w:tcW w:w="708" w:type="dxa"/>
            <w:tcBorders>
              <w:top w:val="nil"/>
              <w:left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3.5</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(1 564)</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(7 206)</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22</w:t>
            </w:r>
          </w:p>
        </w:tc>
        <w:tc>
          <w:tcPr>
            <w:tcW w:w="6264" w:type="dxa"/>
            <w:tcBorders>
              <w:top w:val="nil"/>
              <w:left w:val="nil"/>
              <w:bottom w:val="single" w:sz="4"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Sales of non</w:t>
            </w:r>
            <w:r w:rsidRPr="00892DE3">
              <w:rPr>
                <w:rFonts w:cstheme="majorHAnsi"/>
                <w:sz w:val="17"/>
              </w:rPr>
              <w:noBreakHyphen/>
              <w:t>financial assets</w:t>
            </w:r>
          </w:p>
        </w:tc>
        <w:tc>
          <w:tcPr>
            <w:tcW w:w="708" w:type="dxa"/>
            <w:tcBorders>
              <w:top w:val="nil"/>
              <w:left w:val="nil"/>
              <w:bottom w:val="single" w:sz="4" w:space="0" w:color="auto"/>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487</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(938)</w:t>
            </w:r>
          </w:p>
        </w:tc>
        <w:tc>
          <w:tcPr>
            <w:tcW w:w="6264" w:type="dxa"/>
            <w:tcBorders>
              <w:top w:val="single" w:sz="4" w:space="0" w:color="auto"/>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892DE3">
              <w:rPr>
                <w:rFonts w:cstheme="majorHAnsi"/>
                <w:b/>
                <w:sz w:val="17"/>
              </w:rPr>
              <w:t>Cash flows from investments in non</w:t>
            </w:r>
            <w:r w:rsidRPr="00892DE3">
              <w:rPr>
                <w:rFonts w:cstheme="majorHAnsi"/>
                <w:b/>
                <w:sz w:val="17"/>
              </w:rPr>
              <w:noBreakHyphen/>
              <w:t>financial assets</w:t>
            </w:r>
            <w:r w:rsidR="008B155F" w:rsidRPr="00892DE3">
              <w:rPr>
                <w:rFonts w:cstheme="majorHAnsi"/>
                <w:b/>
                <w:sz w:val="17"/>
              </w:rPr>
              <w:t xml:space="preserve"> </w:t>
            </w:r>
            <w:r w:rsidR="008B155F" w:rsidRPr="00892DE3">
              <w:rPr>
                <w:rFonts w:cstheme="majorHAnsi"/>
                <w:b/>
                <w:sz w:val="17"/>
                <w:vertAlign w:val="superscript"/>
              </w:rPr>
              <w:t>(b)</w:t>
            </w:r>
          </w:p>
        </w:tc>
        <w:tc>
          <w:tcPr>
            <w:tcW w:w="708" w:type="dxa"/>
            <w:tcBorders>
              <w:top w:val="single" w:sz="4" w:space="0" w:color="auto"/>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single" w:sz="6" w:space="0" w:color="auto"/>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(1 540)</w:t>
            </w:r>
          </w:p>
        </w:tc>
        <w:tc>
          <w:tcPr>
            <w:tcW w:w="902" w:type="dxa"/>
            <w:tcBorders>
              <w:top w:val="single" w:sz="6" w:space="0" w:color="auto"/>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(6 720)</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single" w:sz="6" w:space="0" w:color="auto"/>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30</w:t>
            </w:r>
          </w:p>
        </w:tc>
        <w:tc>
          <w:tcPr>
            <w:tcW w:w="6264" w:type="dxa"/>
            <w:tcBorders>
              <w:top w:val="nil"/>
              <w:left w:val="nil"/>
              <w:bottom w:val="single" w:sz="6" w:space="0" w:color="auto"/>
              <w:right w:val="nil"/>
            </w:tcBorders>
            <w:shd w:val="solid" w:color="FFFFFF" w:fill="auto"/>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cash flows from investments in financial assets for policy purposes</w:t>
            </w:r>
            <w:r w:rsidR="008B155F" w:rsidRPr="00892DE3">
              <w:rPr>
                <w:rFonts w:cstheme="majorHAnsi"/>
                <w:sz w:val="17"/>
              </w:rPr>
              <w:t xml:space="preserve"> </w:t>
            </w:r>
            <w:r w:rsidR="008B155F" w:rsidRPr="00892DE3">
              <w:rPr>
                <w:rFonts w:cstheme="majorHAnsi"/>
                <w:sz w:val="17"/>
                <w:vertAlign w:val="superscript"/>
              </w:rPr>
              <w:t>(b)</w:t>
            </w:r>
            <w:r w:rsidRPr="00892DE3">
              <w:rPr>
                <w:rFonts w:cstheme="majorHAnsi"/>
                <w:sz w:val="17"/>
              </w:rPr>
              <w:t xml:space="preserve"> </w:t>
            </w:r>
          </w:p>
        </w:tc>
        <w:tc>
          <w:tcPr>
            <w:tcW w:w="708" w:type="dxa"/>
            <w:tcBorders>
              <w:top w:val="nil"/>
              <w:left w:val="nil"/>
              <w:bottom w:val="single" w:sz="6" w:space="0" w:color="auto"/>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w:t>
            </w:r>
          </w:p>
        </w:tc>
        <w:tc>
          <w:tcPr>
            <w:tcW w:w="902" w:type="dxa"/>
            <w:tcBorders>
              <w:top w:val="nil"/>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391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(908)</w:t>
            </w:r>
          </w:p>
        </w:tc>
        <w:tc>
          <w:tcPr>
            <w:tcW w:w="6264" w:type="dxa"/>
            <w:tcBorders>
              <w:top w:val="nil"/>
              <w:left w:val="nil"/>
              <w:bottom w:val="nil"/>
              <w:right w:val="nil"/>
            </w:tcBorders>
            <w:shd w:val="solid" w:color="FFFFFF" w:fill="auto"/>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Sub</w:t>
            </w:r>
            <w:r w:rsidRPr="00892DE3">
              <w:rPr>
                <w:rFonts w:cstheme="majorHAnsi"/>
                <w:b/>
                <w:sz w:val="17"/>
              </w:rPr>
              <w:noBreakHyphen/>
              <w:t xml:space="preserve">total </w:t>
            </w:r>
          </w:p>
        </w:tc>
        <w:tc>
          <w:tcPr>
            <w:tcW w:w="708" w:type="dxa"/>
            <w:tcBorders>
              <w:top w:val="nil"/>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nil"/>
              <w:left w:val="nil"/>
              <w:bottom w:val="nil"/>
              <w:right w:val="nil"/>
            </w:tcBorders>
            <w:shd w:val="solid" w:color="FFFFFF" w:fill="auto"/>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(1 630)</w:t>
            </w:r>
          </w:p>
        </w:tc>
        <w:tc>
          <w:tcPr>
            <w:tcW w:w="902" w:type="dxa"/>
            <w:tcBorders>
              <w:top w:val="nil"/>
              <w:left w:val="nil"/>
              <w:bottom w:val="nil"/>
              <w:right w:val="nil"/>
            </w:tcBorders>
            <w:shd w:val="solid" w:color="FFFFFF" w:fill="auto"/>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(6 328)</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single" w:sz="6" w:space="0" w:color="auto"/>
              <w:right w:val="nil"/>
            </w:tcBorders>
            <w:vAlign w:val="center"/>
          </w:tcPr>
          <w:p w:rsidR="00AD47C0" w:rsidRPr="00892DE3" w:rsidRDefault="00AD47C0" w:rsidP="008B155F">
            <w:pPr>
              <w:pStyle w:val="TableofFigures"/>
              <w:ind w:left="0" w:firstLine="0"/>
              <w:jc w:val="right"/>
              <w:rPr>
                <w:rFonts w:cstheme="majorHAnsi"/>
              </w:rPr>
            </w:pPr>
            <w:r w:rsidRPr="00892DE3">
              <w:rPr>
                <w:rFonts w:cstheme="majorHAnsi"/>
              </w:rPr>
              <w:t>(74)</w:t>
            </w:r>
          </w:p>
        </w:tc>
        <w:tc>
          <w:tcPr>
            <w:tcW w:w="6264" w:type="dxa"/>
            <w:tcBorders>
              <w:top w:val="nil"/>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cash flows from investments in financial assets for liquidity management purposes</w:t>
            </w:r>
          </w:p>
        </w:tc>
        <w:tc>
          <w:tcPr>
            <w:tcW w:w="708" w:type="dxa"/>
            <w:tcBorders>
              <w:top w:val="nil"/>
              <w:left w:val="nil"/>
              <w:bottom w:val="single" w:sz="6" w:space="0" w:color="auto"/>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single" w:sz="6" w:space="0" w:color="auto"/>
              <w:right w:val="nil"/>
            </w:tcBorders>
            <w:vAlign w:val="center"/>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(184)</w:t>
            </w:r>
          </w:p>
        </w:tc>
        <w:tc>
          <w:tcPr>
            <w:tcW w:w="902" w:type="dxa"/>
            <w:tcBorders>
              <w:top w:val="nil"/>
              <w:left w:val="nil"/>
              <w:bottom w:val="single" w:sz="6" w:space="0" w:color="auto"/>
              <w:right w:val="nil"/>
            </w:tcBorders>
            <w:vAlign w:val="center"/>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(84)</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(982)</w:t>
            </w:r>
          </w:p>
        </w:tc>
        <w:tc>
          <w:tcPr>
            <w:tcW w:w="6264" w:type="dxa"/>
            <w:tcBorders>
              <w:top w:val="single" w:sz="6" w:space="0" w:color="auto"/>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Net cash flows from investing activities </w:t>
            </w:r>
          </w:p>
        </w:tc>
        <w:tc>
          <w:tcPr>
            <w:tcW w:w="708" w:type="dxa"/>
            <w:tcBorders>
              <w:top w:val="single" w:sz="6" w:space="0" w:color="auto"/>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(1 813)</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(6 413)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 xml:space="preserve"> </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Cash flows from financing activities</w:t>
            </w:r>
          </w:p>
        </w:tc>
        <w:tc>
          <w:tcPr>
            <w:tcW w:w="708" w:type="dxa"/>
            <w:tcBorders>
              <w:top w:val="nil"/>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Advances received (net)</w:t>
            </w:r>
          </w:p>
        </w:tc>
        <w:tc>
          <w:tcPr>
            <w:tcW w:w="708" w:type="dxa"/>
            <w:tcBorders>
              <w:top w:val="nil"/>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5 583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528</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borrowings</w:t>
            </w:r>
          </w:p>
        </w:tc>
        <w:tc>
          <w:tcPr>
            <w:tcW w:w="708" w:type="dxa"/>
            <w:tcBorders>
              <w:top w:val="nil"/>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740</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(3 943)</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(47)</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Deposits received (net)</w:t>
            </w:r>
          </w:p>
        </w:tc>
        <w:tc>
          <w:tcPr>
            <w:tcW w:w="708" w:type="dxa"/>
            <w:tcBorders>
              <w:top w:val="nil"/>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single" w:sz="6" w:space="0" w:color="auto"/>
              <w:right w:val="nil"/>
            </w:tcBorders>
            <w:shd w:val="solid" w:color="FFFFFF" w:fill="auto"/>
            <w:vAlign w:val="bottom"/>
          </w:tcPr>
          <w:p w:rsidR="00AD47C0" w:rsidRPr="00892DE3" w:rsidRDefault="00AD47C0" w:rsidP="008B155F">
            <w:pPr>
              <w:pStyle w:val="TableofFigures"/>
              <w:ind w:left="0" w:firstLine="0"/>
              <w:jc w:val="right"/>
              <w:rPr>
                <w:rFonts w:cstheme="majorHAnsi"/>
                <w:b/>
              </w:rPr>
            </w:pPr>
            <w:r w:rsidRPr="00892DE3">
              <w:rPr>
                <w:rFonts w:cstheme="majorHAnsi"/>
                <w:b/>
              </w:rPr>
              <w:t>481</w:t>
            </w:r>
          </w:p>
        </w:tc>
        <w:tc>
          <w:tcPr>
            <w:tcW w:w="6264" w:type="dxa"/>
            <w:tcBorders>
              <w:top w:val="single" w:sz="6" w:space="0" w:color="auto"/>
              <w:left w:val="nil"/>
              <w:bottom w:val="single" w:sz="6" w:space="0" w:color="auto"/>
              <w:right w:val="nil"/>
            </w:tcBorders>
            <w:shd w:val="solid" w:color="FFFFFF" w:fill="auto"/>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Net cash flows from financing activities </w:t>
            </w:r>
          </w:p>
        </w:tc>
        <w:tc>
          <w:tcPr>
            <w:tcW w:w="708" w:type="dxa"/>
            <w:tcBorders>
              <w:top w:val="single" w:sz="6" w:space="0" w:color="auto"/>
              <w:left w:val="nil"/>
              <w:bottom w:val="single" w:sz="6" w:space="0" w:color="auto"/>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single" w:sz="6" w:space="0" w:color="auto"/>
              <w:left w:val="nil"/>
              <w:bottom w:val="single" w:sz="6" w:space="0" w:color="auto"/>
              <w:right w:val="nil"/>
            </w:tcBorders>
            <w:shd w:val="solid" w:color="FFFFFF" w:fill="auto"/>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750</w:t>
            </w:r>
          </w:p>
        </w:tc>
        <w:tc>
          <w:tcPr>
            <w:tcW w:w="902" w:type="dxa"/>
            <w:tcBorders>
              <w:top w:val="single" w:sz="6" w:space="0" w:color="auto"/>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1 640</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shd w:val="solid" w:color="FFFFFF" w:fill="auto"/>
            <w:vAlign w:val="bottom"/>
          </w:tcPr>
          <w:p w:rsidR="00AD47C0" w:rsidRPr="00892DE3" w:rsidRDefault="00AD47C0" w:rsidP="008B155F">
            <w:pPr>
              <w:pStyle w:val="TableofFigures"/>
              <w:ind w:left="0" w:firstLine="0"/>
              <w:jc w:val="right"/>
              <w:rPr>
                <w:rFonts w:cstheme="majorHAnsi"/>
                <w:b/>
              </w:rPr>
            </w:pPr>
            <w:r w:rsidRPr="00892DE3">
              <w:rPr>
                <w:rFonts w:cstheme="majorHAnsi"/>
                <w:b/>
              </w:rPr>
              <w:t>(220)</w:t>
            </w:r>
          </w:p>
        </w:tc>
        <w:tc>
          <w:tcPr>
            <w:tcW w:w="6264" w:type="dxa"/>
            <w:tcBorders>
              <w:top w:val="nil"/>
              <w:left w:val="nil"/>
              <w:bottom w:val="nil"/>
              <w:right w:val="nil"/>
            </w:tcBorders>
            <w:shd w:val="solid" w:color="FFFFFF" w:fill="auto"/>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Net increase/(decrease) in cash and cash equivalents</w:t>
            </w:r>
          </w:p>
        </w:tc>
        <w:tc>
          <w:tcPr>
            <w:tcW w:w="708" w:type="dxa"/>
            <w:tcBorders>
              <w:top w:val="single" w:sz="6" w:space="0" w:color="auto"/>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nil"/>
              <w:left w:val="nil"/>
              <w:bottom w:val="nil"/>
              <w:right w:val="nil"/>
            </w:tcBorders>
            <w:shd w:val="solid" w:color="FFFFFF" w:fill="auto"/>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(693)</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429</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shd w:val="solid" w:color="FFFFFF" w:fill="auto"/>
            <w:vAlign w:val="bottom"/>
          </w:tcPr>
          <w:p w:rsidR="00AD47C0" w:rsidRPr="00892DE3" w:rsidRDefault="00AD47C0" w:rsidP="008B155F">
            <w:pPr>
              <w:pStyle w:val="TableofFigures"/>
              <w:ind w:left="0" w:firstLine="0"/>
              <w:jc w:val="right"/>
              <w:rPr>
                <w:rFonts w:cstheme="majorHAnsi"/>
              </w:rPr>
            </w:pPr>
            <w:r w:rsidRPr="00892DE3">
              <w:rPr>
                <w:rFonts w:cstheme="majorHAnsi"/>
              </w:rPr>
              <w:t>4 282</w:t>
            </w:r>
          </w:p>
        </w:tc>
        <w:tc>
          <w:tcPr>
            <w:tcW w:w="6264" w:type="dxa"/>
            <w:tcBorders>
              <w:top w:val="nil"/>
              <w:left w:val="nil"/>
              <w:bottom w:val="nil"/>
              <w:right w:val="nil"/>
            </w:tcBorders>
            <w:shd w:val="solid" w:color="FFFFFF" w:fill="auto"/>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Cash and cash equivalents at beginning of reporting period</w:t>
            </w:r>
          </w:p>
        </w:tc>
        <w:tc>
          <w:tcPr>
            <w:tcW w:w="708" w:type="dxa"/>
            <w:tcBorders>
              <w:top w:val="nil"/>
              <w:left w:val="nil"/>
              <w:bottom w:val="nil"/>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4 772</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4 772</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single" w:sz="6" w:space="0" w:color="auto"/>
              <w:right w:val="nil"/>
            </w:tcBorders>
            <w:shd w:val="solid" w:color="FFFFFF" w:fill="auto"/>
            <w:vAlign w:val="bottom"/>
          </w:tcPr>
          <w:p w:rsidR="00AD47C0" w:rsidRPr="00892DE3" w:rsidRDefault="00AD47C0" w:rsidP="008B155F">
            <w:pPr>
              <w:pStyle w:val="TableofFigures"/>
              <w:ind w:left="0" w:firstLine="0"/>
              <w:jc w:val="right"/>
              <w:rPr>
                <w:rFonts w:cstheme="majorHAnsi"/>
                <w:b/>
              </w:rPr>
            </w:pPr>
            <w:r w:rsidRPr="00892DE3">
              <w:rPr>
                <w:rFonts w:cstheme="majorHAnsi"/>
                <w:b/>
              </w:rPr>
              <w:t>4 061</w:t>
            </w:r>
          </w:p>
        </w:tc>
        <w:tc>
          <w:tcPr>
            <w:tcW w:w="6264" w:type="dxa"/>
            <w:tcBorders>
              <w:top w:val="single" w:sz="6" w:space="0" w:color="auto"/>
              <w:left w:val="nil"/>
              <w:bottom w:val="single" w:sz="6" w:space="0" w:color="auto"/>
              <w:right w:val="nil"/>
            </w:tcBorders>
            <w:shd w:val="solid" w:color="FFFFFF" w:fill="auto"/>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Cash and cash equivalents at end of reporting period</w:t>
            </w:r>
          </w:p>
        </w:tc>
        <w:tc>
          <w:tcPr>
            <w:tcW w:w="708" w:type="dxa"/>
            <w:tcBorders>
              <w:top w:val="single" w:sz="6" w:space="0" w:color="auto"/>
              <w:left w:val="nil"/>
              <w:bottom w:val="single" w:sz="6" w:space="0" w:color="auto"/>
              <w:right w:val="nil"/>
            </w:tcBorders>
            <w:shd w:val="solid" w:color="FFFFFF" w:fill="auto"/>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7.2</w:t>
            </w:r>
          </w:p>
        </w:tc>
        <w:tc>
          <w:tcPr>
            <w:tcW w:w="797" w:type="dxa"/>
            <w:tcBorders>
              <w:top w:val="single" w:sz="6" w:space="0" w:color="auto"/>
              <w:left w:val="nil"/>
              <w:bottom w:val="single" w:sz="6" w:space="0" w:color="auto"/>
              <w:right w:val="nil"/>
            </w:tcBorders>
            <w:shd w:val="solid" w:color="FFFFFF" w:fill="auto"/>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4 079</w:t>
            </w:r>
          </w:p>
        </w:tc>
        <w:tc>
          <w:tcPr>
            <w:tcW w:w="902" w:type="dxa"/>
            <w:tcBorders>
              <w:top w:val="single" w:sz="6" w:space="0" w:color="auto"/>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5 201</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 xml:space="preserve"> </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FISCAL AGGREGATES</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892DE3">
              <w:rPr>
                <w:rFonts w:asciiTheme="majorHAnsi" w:hAnsiTheme="majorHAnsi" w:cstheme="majorHAnsi"/>
                <w:b/>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 xml:space="preserve"> </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280</w:t>
            </w:r>
          </w:p>
        </w:tc>
        <w:tc>
          <w:tcPr>
            <w:tcW w:w="6264"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cash flows from operating activities</w:t>
            </w:r>
          </w:p>
        </w:tc>
        <w:tc>
          <w:tcPr>
            <w:tcW w:w="708" w:type="dxa"/>
            <w:tcBorders>
              <w:top w:val="nil"/>
              <w:left w:val="nil"/>
              <w:bottom w:val="nil"/>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370</w:t>
            </w:r>
          </w:p>
        </w:tc>
        <w:tc>
          <w:tcPr>
            <w:tcW w:w="902"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5 202</w:t>
            </w:r>
          </w:p>
        </w:tc>
      </w:tr>
      <w:tr w:rsidR="00AD47C0"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single" w:sz="6" w:space="0" w:color="auto"/>
              <w:right w:val="nil"/>
            </w:tcBorders>
            <w:vAlign w:val="bottom"/>
          </w:tcPr>
          <w:p w:rsidR="00AD47C0" w:rsidRPr="00892DE3" w:rsidRDefault="00AD47C0" w:rsidP="008B155F">
            <w:pPr>
              <w:pStyle w:val="TableofFigures"/>
              <w:ind w:left="0" w:firstLine="0"/>
              <w:jc w:val="right"/>
              <w:rPr>
                <w:rFonts w:cstheme="majorHAnsi"/>
              </w:rPr>
            </w:pPr>
            <w:r w:rsidRPr="00892DE3">
              <w:rPr>
                <w:rFonts w:cstheme="majorHAnsi"/>
              </w:rPr>
              <w:t>(938)</w:t>
            </w:r>
          </w:p>
        </w:tc>
        <w:tc>
          <w:tcPr>
            <w:tcW w:w="6264" w:type="dxa"/>
            <w:tcBorders>
              <w:top w:val="nil"/>
              <w:left w:val="nil"/>
              <w:bottom w:val="single" w:sz="6" w:space="0" w:color="auto"/>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cash flows from investments in non</w:t>
            </w:r>
            <w:r w:rsidRPr="00892DE3">
              <w:rPr>
                <w:rFonts w:cstheme="majorHAnsi"/>
                <w:sz w:val="17"/>
              </w:rPr>
              <w:noBreakHyphen/>
              <w:t>financial assets</w:t>
            </w:r>
            <w:r w:rsidR="008B155F" w:rsidRPr="00892DE3">
              <w:rPr>
                <w:rFonts w:cstheme="majorHAnsi"/>
                <w:sz w:val="17"/>
              </w:rPr>
              <w:t xml:space="preserve"> </w:t>
            </w:r>
            <w:r w:rsidR="008B155F" w:rsidRPr="00892DE3">
              <w:rPr>
                <w:rFonts w:cstheme="majorHAnsi"/>
                <w:sz w:val="17"/>
                <w:vertAlign w:val="superscript"/>
              </w:rPr>
              <w:t>(b)</w:t>
            </w:r>
            <w:r w:rsidRPr="00892DE3">
              <w:rPr>
                <w:rFonts w:cstheme="majorHAnsi"/>
                <w:sz w:val="17"/>
              </w:rPr>
              <w:t xml:space="preserve"> </w:t>
            </w:r>
          </w:p>
        </w:tc>
        <w:tc>
          <w:tcPr>
            <w:tcW w:w="708" w:type="dxa"/>
            <w:tcBorders>
              <w:top w:val="nil"/>
              <w:left w:val="nil"/>
              <w:bottom w:val="single" w:sz="6" w:space="0" w:color="auto"/>
              <w:right w:val="nil"/>
            </w:tcBorders>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892DE3">
              <w:rPr>
                <w:rFonts w:asciiTheme="majorHAnsi" w:hAnsiTheme="majorHAnsi" w:cstheme="majorHAnsi"/>
                <w:sz w:val="17"/>
              </w:rPr>
              <w:t xml:space="preserve"> </w:t>
            </w:r>
          </w:p>
        </w:tc>
        <w:tc>
          <w:tcPr>
            <w:tcW w:w="797"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(1 540)</w:t>
            </w:r>
          </w:p>
        </w:tc>
        <w:tc>
          <w:tcPr>
            <w:tcW w:w="902" w:type="dxa"/>
            <w:tcBorders>
              <w:top w:val="nil"/>
              <w:left w:val="nil"/>
              <w:bottom w:val="single" w:sz="6" w:space="0" w:color="auto"/>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(6 720)</w:t>
            </w:r>
          </w:p>
        </w:tc>
      </w:tr>
      <w:tr w:rsidR="00AD47C0" w:rsidRPr="00892DE3" w:rsidTr="008B155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dxa"/>
            <w:tcBorders>
              <w:top w:val="nil"/>
              <w:bottom w:val="single" w:sz="12" w:space="0" w:color="auto"/>
            </w:tcBorders>
            <w:vAlign w:val="bottom"/>
          </w:tcPr>
          <w:p w:rsidR="00AD47C0" w:rsidRPr="00892DE3" w:rsidRDefault="00AD47C0" w:rsidP="008B155F">
            <w:pPr>
              <w:pStyle w:val="TableofFigures"/>
              <w:ind w:left="0" w:firstLine="0"/>
              <w:jc w:val="right"/>
              <w:rPr>
                <w:rFonts w:cstheme="majorHAnsi"/>
                <w:b w:val="0"/>
              </w:rPr>
            </w:pPr>
            <w:r w:rsidRPr="00892DE3">
              <w:rPr>
                <w:rFonts w:cstheme="majorHAnsi"/>
                <w:b w:val="0"/>
              </w:rPr>
              <w:t>(658)</w:t>
            </w:r>
          </w:p>
        </w:tc>
        <w:tc>
          <w:tcPr>
            <w:tcW w:w="6264" w:type="dxa"/>
            <w:tcBorders>
              <w:top w:val="nil"/>
              <w:bottom w:val="single" w:sz="12" w:space="0" w:color="auto"/>
            </w:tcBorders>
          </w:tcPr>
          <w:p w:rsidR="00AD47C0" w:rsidRPr="00892DE3" w:rsidRDefault="00AD47C0" w:rsidP="009B556F">
            <w:pPr>
              <w:pStyle w:val="Tabletext"/>
              <w:spacing w:line="276" w:lineRule="auto"/>
              <w:ind w:left="227" w:hanging="113"/>
              <w:jc w:val="left"/>
              <w:cnfStyle w:val="010000000000" w:firstRow="0" w:lastRow="1" w:firstColumn="0" w:lastColumn="0" w:oddVBand="0" w:evenVBand="0" w:oddHBand="0" w:evenHBand="0" w:firstRowFirstColumn="0" w:firstRowLastColumn="0" w:lastRowFirstColumn="0" w:lastRowLastColumn="0"/>
              <w:rPr>
                <w:rFonts w:cstheme="majorHAnsi"/>
                <w:b w:val="0"/>
                <w:sz w:val="17"/>
                <w:vertAlign w:val="superscript"/>
              </w:rPr>
            </w:pPr>
            <w:r w:rsidRPr="00892DE3">
              <w:rPr>
                <w:rFonts w:cstheme="majorHAnsi"/>
                <w:b w:val="0"/>
                <w:sz w:val="17"/>
              </w:rPr>
              <w:t>Cash surplus/(deficit)</w:t>
            </w:r>
            <w:r w:rsidR="008B155F" w:rsidRPr="00892DE3">
              <w:rPr>
                <w:rFonts w:cstheme="majorHAnsi"/>
                <w:b w:val="0"/>
                <w:sz w:val="17"/>
              </w:rPr>
              <w:t xml:space="preserve"> </w:t>
            </w:r>
            <w:r w:rsidR="008B155F" w:rsidRPr="00892DE3">
              <w:rPr>
                <w:rFonts w:cstheme="majorHAnsi"/>
                <w:b w:val="0"/>
                <w:sz w:val="17"/>
                <w:vertAlign w:val="superscript"/>
              </w:rPr>
              <w:t>(b)</w:t>
            </w:r>
          </w:p>
        </w:tc>
        <w:tc>
          <w:tcPr>
            <w:tcW w:w="708" w:type="dxa"/>
            <w:tcBorders>
              <w:top w:val="nil"/>
              <w:bottom w:val="single" w:sz="12" w:space="0" w:color="auto"/>
            </w:tcBorders>
          </w:tcPr>
          <w:p w:rsidR="00AD47C0" w:rsidRPr="00892DE3" w:rsidRDefault="00AD47C0" w:rsidP="008B155F">
            <w:pPr>
              <w:pStyle w:val="TableTextCentred0"/>
              <w:spacing w:before="20" w:after="20"/>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17"/>
              </w:rPr>
            </w:pPr>
            <w:r w:rsidRPr="00892DE3">
              <w:rPr>
                <w:rFonts w:asciiTheme="majorHAnsi" w:hAnsiTheme="majorHAnsi" w:cstheme="majorHAnsi"/>
                <w:b w:val="0"/>
                <w:sz w:val="17"/>
              </w:rPr>
              <w:t xml:space="preserve"> </w:t>
            </w:r>
          </w:p>
        </w:tc>
        <w:tc>
          <w:tcPr>
            <w:tcW w:w="797" w:type="dxa"/>
            <w:tcBorders>
              <w:top w:val="single" w:sz="6" w:space="0" w:color="auto"/>
              <w:bottom w:val="single" w:sz="12" w:space="0" w:color="auto"/>
            </w:tcBorders>
            <w:vAlign w:val="bottom"/>
          </w:tcPr>
          <w:p w:rsidR="00AD47C0" w:rsidRPr="00892DE3" w:rsidRDefault="00AD47C0" w:rsidP="008B155F">
            <w:pPr>
              <w:pStyle w:val="TableofFigures"/>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(1 170)</w:t>
            </w:r>
          </w:p>
        </w:tc>
        <w:tc>
          <w:tcPr>
            <w:tcW w:w="902" w:type="dxa"/>
            <w:tcBorders>
              <w:top w:val="nil"/>
              <w:bottom w:val="single" w:sz="12" w:space="0" w:color="auto"/>
            </w:tcBorders>
            <w:vAlign w:val="bottom"/>
          </w:tcPr>
          <w:p w:rsidR="00AD47C0" w:rsidRPr="00892DE3" w:rsidRDefault="00AD47C0" w:rsidP="008B155F">
            <w:pPr>
              <w:pStyle w:val="TableofFigures"/>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(1 518)</w:t>
            </w:r>
          </w:p>
        </w:tc>
      </w:tr>
    </w:tbl>
    <w:p w:rsidR="00AD47C0" w:rsidRPr="00892DE3" w:rsidRDefault="00AD47C0" w:rsidP="008B155F">
      <w:pPr>
        <w:pStyle w:val="Source"/>
      </w:pPr>
      <w:r w:rsidRPr="00892DE3">
        <w:t>The accompanying notes form part of these financial statements.</w:t>
      </w:r>
    </w:p>
    <w:p w:rsidR="00AD47C0" w:rsidRPr="00892DE3" w:rsidRDefault="00AD47C0" w:rsidP="008B155F">
      <w:pPr>
        <w:pStyle w:val="Note"/>
      </w:pPr>
      <w:r w:rsidRPr="00892DE3">
        <w:t>Notes:</w:t>
      </w:r>
    </w:p>
    <w:p w:rsidR="00AD47C0" w:rsidRPr="00892DE3" w:rsidRDefault="00AD47C0" w:rsidP="008B155F">
      <w:pPr>
        <w:pStyle w:val="Note"/>
      </w:pPr>
      <w:r w:rsidRPr="00892DE3">
        <w:t xml:space="preserve">(a) </w:t>
      </w:r>
      <w:r w:rsidRPr="00892DE3">
        <w:tab/>
        <w:t xml:space="preserve">These items are inclusive of goods and services tax. </w:t>
      </w:r>
    </w:p>
    <w:p w:rsidR="00AD47C0" w:rsidRPr="00892DE3" w:rsidRDefault="00AD47C0" w:rsidP="008B155F">
      <w:pPr>
        <w:pStyle w:val="Note"/>
      </w:pPr>
      <w:r w:rsidRPr="00892DE3">
        <w:t>(b)</w:t>
      </w:r>
      <w:r w:rsidRPr="00892DE3">
        <w:tab/>
        <w:t>September 20</w:t>
      </w:r>
      <w:r w:rsidR="004B44AD">
        <w:t>1</w:t>
      </w:r>
      <w:r w:rsidRPr="00892DE3">
        <w:t>5</w:t>
      </w:r>
      <w:r w:rsidRPr="00892DE3">
        <w:noBreakHyphen/>
        <w:t>16 comparative figures have been restated to finalise the allocation of equity balances between contributed capital and accumulated funds related to prior year machinery of government changes.</w:t>
      </w:r>
    </w:p>
    <w:p w:rsidR="00AD47C0" w:rsidRPr="00892DE3" w:rsidRDefault="00AD47C0" w:rsidP="00AD47C0">
      <w:pPr>
        <w:pStyle w:val="TableHeading"/>
      </w:pPr>
      <w:r w:rsidRPr="00892DE3">
        <w:br w:type="page"/>
      </w:r>
      <w:bookmarkStart w:id="281" w:name="_Toc340737086"/>
      <w:r w:rsidRPr="00892DE3">
        <w:t>Table 1.8:</w:t>
      </w:r>
      <w:r w:rsidRPr="00892DE3">
        <w:tab/>
        <w:t>Consolidated statement of changes in equity for the period ending 30 September</w:t>
      </w:r>
      <w:bookmarkEnd w:id="281"/>
      <w:r w:rsidRPr="00892DE3">
        <w:tab/>
        <w:t>($ million)</w:t>
      </w:r>
    </w:p>
    <w:tbl>
      <w:tblPr>
        <w:tblStyle w:val="DTFTable"/>
        <w:tblW w:w="9637" w:type="dxa"/>
        <w:jc w:val="center"/>
        <w:tblInd w:w="43" w:type="dxa"/>
        <w:tblLayout w:type="fixed"/>
        <w:tblCellMar>
          <w:left w:w="43" w:type="dxa"/>
          <w:right w:w="43" w:type="dxa"/>
        </w:tblCellMar>
        <w:tblLook w:val="06E0" w:firstRow="1" w:lastRow="1" w:firstColumn="1" w:lastColumn="0" w:noHBand="1" w:noVBand="1"/>
      </w:tblPr>
      <w:tblGrid>
        <w:gridCol w:w="3528"/>
        <w:gridCol w:w="1050"/>
        <w:gridCol w:w="1234"/>
        <w:gridCol w:w="1134"/>
        <w:gridCol w:w="1173"/>
        <w:gridCol w:w="784"/>
        <w:gridCol w:w="734"/>
      </w:tblGrid>
      <w:tr w:rsidR="00D3365F" w:rsidRPr="00892DE3" w:rsidTr="008B155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uto"/>
              <w:left w:val="single" w:sz="4" w:space="0" w:color="auto"/>
              <w:bottom w:val="single" w:sz="4" w:space="0" w:color="auto"/>
              <w:right w:val="nil"/>
            </w:tcBorders>
            <w:shd w:val="clear" w:color="auto" w:fill="000000"/>
          </w:tcPr>
          <w:p w:rsidR="00AD47C0" w:rsidRPr="00892DE3" w:rsidRDefault="00AD47C0" w:rsidP="00F042B6">
            <w:pPr>
              <w:ind w:left="0" w:firstLine="0"/>
              <w:rPr>
                <w:sz w:val="16"/>
                <w:szCs w:val="16"/>
              </w:rPr>
            </w:pPr>
          </w:p>
        </w:tc>
        <w:tc>
          <w:tcPr>
            <w:tcW w:w="1050" w:type="dxa"/>
            <w:tcBorders>
              <w:top w:val="single" w:sz="4" w:space="0" w:color="auto"/>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Accumulated surplus/ (deficit)</w:t>
            </w:r>
          </w:p>
        </w:tc>
        <w:tc>
          <w:tcPr>
            <w:tcW w:w="1234" w:type="dxa"/>
            <w:tcBorders>
              <w:top w:val="single" w:sz="4" w:space="0" w:color="auto"/>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Non</w:t>
            </w:r>
            <w:r w:rsidRPr="00892DE3">
              <w:rPr>
                <w:sz w:val="16"/>
                <w:szCs w:val="16"/>
              </w:rPr>
              <w:noBreakHyphen/>
              <w:t>controlling interest</w:t>
            </w:r>
          </w:p>
        </w:tc>
        <w:tc>
          <w:tcPr>
            <w:tcW w:w="1134" w:type="dxa"/>
            <w:tcBorders>
              <w:top w:val="single" w:sz="4" w:space="0" w:color="auto"/>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Non</w:t>
            </w:r>
            <w:r w:rsidRPr="00892DE3">
              <w:rPr>
                <w:sz w:val="16"/>
                <w:szCs w:val="16"/>
              </w:rPr>
              <w:noBreakHyphen/>
              <w:t>financial assets revaluation surplus</w:t>
            </w:r>
            <w:r w:rsidR="008B155F" w:rsidRPr="00892DE3">
              <w:rPr>
                <w:sz w:val="16"/>
                <w:szCs w:val="16"/>
              </w:rPr>
              <w:t xml:space="preserve"> </w:t>
            </w:r>
            <w:r w:rsidRPr="00892DE3">
              <w:rPr>
                <w:sz w:val="16"/>
                <w:szCs w:val="16"/>
                <w:vertAlign w:val="superscript"/>
              </w:rPr>
              <w:t>(a)</w:t>
            </w:r>
          </w:p>
        </w:tc>
        <w:tc>
          <w:tcPr>
            <w:tcW w:w="1173" w:type="dxa"/>
            <w:tcBorders>
              <w:top w:val="single" w:sz="4" w:space="0" w:color="auto"/>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Investment in other sector entities revaluation surplus</w:t>
            </w:r>
          </w:p>
        </w:tc>
        <w:tc>
          <w:tcPr>
            <w:tcW w:w="784" w:type="dxa"/>
            <w:tcBorders>
              <w:top w:val="single" w:sz="4" w:space="0" w:color="auto"/>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Other </w:t>
            </w:r>
          </w:p>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reserves</w:t>
            </w:r>
          </w:p>
        </w:tc>
        <w:tc>
          <w:tcPr>
            <w:tcW w:w="734" w:type="dxa"/>
            <w:tcBorders>
              <w:top w:val="single" w:sz="4" w:space="0" w:color="auto"/>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Total</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uto"/>
              <w:left w:val="nil"/>
              <w:bottom w:val="nil"/>
              <w:right w:val="nil"/>
            </w:tcBorders>
          </w:tcPr>
          <w:p w:rsidR="00AD47C0" w:rsidRPr="00892DE3" w:rsidRDefault="00AD47C0" w:rsidP="00F042B6">
            <w:pPr>
              <w:pStyle w:val="Tabletext"/>
              <w:ind w:left="0" w:firstLine="0"/>
              <w:rPr>
                <w:b/>
                <w:szCs w:val="16"/>
              </w:rPr>
            </w:pPr>
            <w:r w:rsidRPr="00892DE3">
              <w:rPr>
                <w:b/>
                <w:szCs w:val="16"/>
              </w:rPr>
              <w:t>2016-17</w:t>
            </w:r>
          </w:p>
        </w:tc>
        <w:tc>
          <w:tcPr>
            <w:tcW w:w="1050"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 xml:space="preserve"> </w:t>
            </w:r>
          </w:p>
        </w:tc>
        <w:tc>
          <w:tcPr>
            <w:tcW w:w="1234"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 xml:space="preserve"> </w:t>
            </w:r>
          </w:p>
        </w:tc>
        <w:tc>
          <w:tcPr>
            <w:tcW w:w="1134"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 xml:space="preserve"> </w:t>
            </w:r>
          </w:p>
        </w:tc>
        <w:tc>
          <w:tcPr>
            <w:tcW w:w="1173"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 xml:space="preserve"> </w:t>
            </w:r>
          </w:p>
        </w:tc>
        <w:tc>
          <w:tcPr>
            <w:tcW w:w="784"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 xml:space="preserve"> </w:t>
            </w:r>
          </w:p>
        </w:tc>
        <w:tc>
          <w:tcPr>
            <w:tcW w:w="734"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 xml:space="preserve"> </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tcPr>
          <w:p w:rsidR="00AD47C0" w:rsidRPr="00892DE3" w:rsidRDefault="00AD47C0" w:rsidP="009B556F">
            <w:pPr>
              <w:pStyle w:val="Tabletext"/>
              <w:spacing w:line="276" w:lineRule="auto"/>
              <w:ind w:left="0" w:firstLine="0"/>
              <w:rPr>
                <w:szCs w:val="16"/>
              </w:rPr>
            </w:pPr>
            <w:r w:rsidRPr="00892DE3">
              <w:rPr>
                <w:szCs w:val="16"/>
              </w:rPr>
              <w:t>Balance at 1 July 2016</w:t>
            </w:r>
          </w:p>
        </w:tc>
        <w:tc>
          <w:tcPr>
            <w:tcW w:w="10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44 454</w:t>
            </w:r>
          </w:p>
        </w:tc>
        <w:tc>
          <w:tcPr>
            <w:tcW w:w="12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 50</w:t>
            </w:r>
          </w:p>
        </w:tc>
        <w:tc>
          <w:tcPr>
            <w:tcW w:w="11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49 613</w:t>
            </w:r>
          </w:p>
        </w:tc>
        <w:tc>
          <w:tcPr>
            <w:tcW w:w="1173"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57 027</w:t>
            </w:r>
          </w:p>
        </w:tc>
        <w:tc>
          <w:tcPr>
            <w:tcW w:w="78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551</w:t>
            </w:r>
          </w:p>
        </w:tc>
        <w:tc>
          <w:tcPr>
            <w:tcW w:w="7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151 695</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tcPr>
          <w:p w:rsidR="00AD47C0" w:rsidRPr="00892DE3" w:rsidRDefault="00AD47C0" w:rsidP="009B556F">
            <w:pPr>
              <w:pStyle w:val="Tabletext"/>
              <w:spacing w:line="276" w:lineRule="auto"/>
              <w:ind w:left="0" w:firstLine="0"/>
              <w:rPr>
                <w:szCs w:val="16"/>
              </w:rPr>
            </w:pPr>
            <w:r w:rsidRPr="00892DE3">
              <w:rPr>
                <w:szCs w:val="16"/>
              </w:rPr>
              <w:t>Net result for the quarter</w:t>
            </w:r>
          </w:p>
        </w:tc>
        <w:tc>
          <w:tcPr>
            <w:tcW w:w="10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370</w:t>
            </w:r>
          </w:p>
        </w:tc>
        <w:tc>
          <w:tcPr>
            <w:tcW w:w="12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11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1173"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78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7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370</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tcPr>
          <w:p w:rsidR="00AD47C0" w:rsidRPr="00892DE3" w:rsidRDefault="00AD47C0" w:rsidP="009B556F">
            <w:pPr>
              <w:pStyle w:val="Tabletext"/>
              <w:spacing w:line="276" w:lineRule="auto"/>
              <w:ind w:left="0" w:firstLine="0"/>
              <w:rPr>
                <w:szCs w:val="16"/>
              </w:rPr>
            </w:pPr>
            <w:r w:rsidRPr="00892DE3">
              <w:rPr>
                <w:szCs w:val="16"/>
              </w:rPr>
              <w:t>Other comprehensive income for the quarter</w:t>
            </w:r>
          </w:p>
        </w:tc>
        <w:tc>
          <w:tcPr>
            <w:tcW w:w="10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359</w:t>
            </w:r>
          </w:p>
        </w:tc>
        <w:tc>
          <w:tcPr>
            <w:tcW w:w="12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11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(93)</w:t>
            </w:r>
          </w:p>
        </w:tc>
        <w:tc>
          <w:tcPr>
            <w:tcW w:w="1173"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78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(29)</w:t>
            </w:r>
          </w:p>
        </w:tc>
        <w:tc>
          <w:tcPr>
            <w:tcW w:w="7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236</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tcPr>
          <w:p w:rsidR="00AD47C0" w:rsidRPr="00892DE3" w:rsidRDefault="00AD47C0" w:rsidP="009B556F">
            <w:pPr>
              <w:pStyle w:val="Tabletext"/>
              <w:spacing w:line="276" w:lineRule="auto"/>
              <w:ind w:left="0" w:firstLine="0"/>
              <w:rPr>
                <w:szCs w:val="16"/>
              </w:rPr>
            </w:pPr>
            <w:r w:rsidRPr="00892DE3">
              <w:rPr>
                <w:szCs w:val="16"/>
              </w:rPr>
              <w:t>Transactions with owners in their capacity as owners</w:t>
            </w:r>
          </w:p>
        </w:tc>
        <w:tc>
          <w:tcPr>
            <w:tcW w:w="10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 </w:t>
            </w:r>
          </w:p>
        </w:tc>
        <w:tc>
          <w:tcPr>
            <w:tcW w:w="12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(50)</w:t>
            </w:r>
          </w:p>
        </w:tc>
        <w:tc>
          <w:tcPr>
            <w:tcW w:w="11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p>
        </w:tc>
        <w:tc>
          <w:tcPr>
            <w:tcW w:w="1173"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p>
        </w:tc>
        <w:tc>
          <w:tcPr>
            <w:tcW w:w="78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p>
        </w:tc>
        <w:tc>
          <w:tcPr>
            <w:tcW w:w="734"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(50)</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6" w:space="0" w:color="auto"/>
              <w:left w:val="nil"/>
              <w:bottom w:val="single" w:sz="12" w:space="0" w:color="auto"/>
              <w:right w:val="nil"/>
            </w:tcBorders>
          </w:tcPr>
          <w:p w:rsidR="00AD47C0" w:rsidRPr="00892DE3" w:rsidRDefault="00AD47C0" w:rsidP="009B556F">
            <w:pPr>
              <w:pStyle w:val="Tabletext"/>
              <w:spacing w:line="276" w:lineRule="auto"/>
              <w:ind w:left="0" w:firstLine="0"/>
              <w:rPr>
                <w:b/>
                <w:szCs w:val="16"/>
              </w:rPr>
            </w:pPr>
            <w:r w:rsidRPr="00892DE3">
              <w:rPr>
                <w:b/>
                <w:szCs w:val="16"/>
              </w:rPr>
              <w:t>Total equity as at 30 September 2016</w:t>
            </w:r>
          </w:p>
        </w:tc>
        <w:tc>
          <w:tcPr>
            <w:tcW w:w="1050"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45 183</w:t>
            </w:r>
          </w:p>
        </w:tc>
        <w:tc>
          <w:tcPr>
            <w:tcW w:w="1234"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w:t>
            </w:r>
          </w:p>
        </w:tc>
        <w:tc>
          <w:tcPr>
            <w:tcW w:w="1134"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49 520</w:t>
            </w:r>
          </w:p>
        </w:tc>
        <w:tc>
          <w:tcPr>
            <w:tcW w:w="1173"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57 027</w:t>
            </w:r>
          </w:p>
        </w:tc>
        <w:tc>
          <w:tcPr>
            <w:tcW w:w="784"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522</w:t>
            </w:r>
          </w:p>
        </w:tc>
        <w:tc>
          <w:tcPr>
            <w:tcW w:w="734"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152 251</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12" w:space="0" w:color="auto"/>
              <w:left w:val="nil"/>
              <w:bottom w:val="single" w:sz="12" w:space="0" w:color="auto"/>
              <w:right w:val="nil"/>
            </w:tcBorders>
          </w:tcPr>
          <w:p w:rsidR="00AD47C0" w:rsidRPr="00892DE3" w:rsidRDefault="00AD47C0" w:rsidP="009B556F">
            <w:pPr>
              <w:pStyle w:val="Tabletext"/>
              <w:spacing w:line="276" w:lineRule="auto"/>
              <w:ind w:left="0" w:firstLine="0"/>
              <w:rPr>
                <w:b/>
                <w:szCs w:val="16"/>
              </w:rPr>
            </w:pPr>
            <w:r w:rsidRPr="00892DE3">
              <w:rPr>
                <w:b/>
                <w:szCs w:val="16"/>
              </w:rPr>
              <w:t>Budget equity as at 30 June 2017</w:t>
            </w:r>
            <w:r w:rsidR="008B155F" w:rsidRPr="00892DE3">
              <w:rPr>
                <w:b/>
                <w:szCs w:val="16"/>
              </w:rPr>
              <w:t xml:space="preserve"> </w:t>
            </w:r>
            <w:r w:rsidRPr="00892DE3">
              <w:rPr>
                <w:b/>
                <w:szCs w:val="16"/>
                <w:vertAlign w:val="superscript"/>
              </w:rPr>
              <w:t>(b)</w:t>
            </w:r>
          </w:p>
        </w:tc>
        <w:tc>
          <w:tcPr>
            <w:tcW w:w="1050" w:type="dxa"/>
            <w:tcBorders>
              <w:top w:val="single" w:sz="12"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47 963</w:t>
            </w:r>
          </w:p>
        </w:tc>
        <w:tc>
          <w:tcPr>
            <w:tcW w:w="1234" w:type="dxa"/>
            <w:tcBorders>
              <w:top w:val="single" w:sz="12"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 xml:space="preserve"> 50</w:t>
            </w:r>
          </w:p>
        </w:tc>
        <w:tc>
          <w:tcPr>
            <w:tcW w:w="1134" w:type="dxa"/>
            <w:tcBorders>
              <w:top w:val="single" w:sz="12"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49 722</w:t>
            </w:r>
          </w:p>
        </w:tc>
        <w:tc>
          <w:tcPr>
            <w:tcW w:w="1173" w:type="dxa"/>
            <w:tcBorders>
              <w:top w:val="single" w:sz="12"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59 733</w:t>
            </w:r>
          </w:p>
        </w:tc>
        <w:tc>
          <w:tcPr>
            <w:tcW w:w="784" w:type="dxa"/>
            <w:tcBorders>
              <w:top w:val="single" w:sz="12"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554</w:t>
            </w:r>
          </w:p>
        </w:tc>
        <w:tc>
          <w:tcPr>
            <w:tcW w:w="734" w:type="dxa"/>
            <w:tcBorders>
              <w:top w:val="single" w:sz="12"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b/>
                <w:sz w:val="16"/>
                <w:szCs w:val="16"/>
              </w:rPr>
              <w:t>158 022</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12" w:space="0" w:color="auto"/>
              <w:left w:val="nil"/>
              <w:bottom w:val="nil"/>
              <w:right w:val="nil"/>
            </w:tcBorders>
          </w:tcPr>
          <w:p w:rsidR="00AD47C0" w:rsidRPr="00892DE3" w:rsidRDefault="00AD47C0" w:rsidP="009B556F">
            <w:pPr>
              <w:pStyle w:val="Tabletext"/>
              <w:spacing w:line="276" w:lineRule="auto"/>
              <w:ind w:left="0" w:firstLine="0"/>
              <w:rPr>
                <w:b/>
                <w:szCs w:val="16"/>
              </w:rPr>
            </w:pPr>
            <w:r w:rsidRPr="00892DE3">
              <w:rPr>
                <w:b/>
                <w:szCs w:val="16"/>
              </w:rPr>
              <w:t>2015-16</w:t>
            </w:r>
          </w:p>
        </w:tc>
        <w:tc>
          <w:tcPr>
            <w:tcW w:w="1050" w:type="dxa"/>
            <w:tcBorders>
              <w:top w:val="single" w:sz="12"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sz w:val="16"/>
                <w:szCs w:val="16"/>
              </w:rPr>
              <w:t xml:space="preserve"> </w:t>
            </w:r>
          </w:p>
        </w:tc>
        <w:tc>
          <w:tcPr>
            <w:tcW w:w="1234" w:type="dxa"/>
            <w:tcBorders>
              <w:top w:val="single" w:sz="12"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sz w:val="16"/>
                <w:szCs w:val="16"/>
              </w:rPr>
              <w:t xml:space="preserve"> </w:t>
            </w:r>
          </w:p>
        </w:tc>
        <w:tc>
          <w:tcPr>
            <w:tcW w:w="1134" w:type="dxa"/>
            <w:tcBorders>
              <w:top w:val="single" w:sz="12"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sz w:val="16"/>
                <w:szCs w:val="16"/>
              </w:rPr>
              <w:t xml:space="preserve"> </w:t>
            </w:r>
          </w:p>
        </w:tc>
        <w:tc>
          <w:tcPr>
            <w:tcW w:w="1173" w:type="dxa"/>
            <w:tcBorders>
              <w:top w:val="single" w:sz="12"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sz w:val="16"/>
                <w:szCs w:val="16"/>
              </w:rPr>
              <w:t xml:space="preserve"> </w:t>
            </w:r>
          </w:p>
        </w:tc>
        <w:tc>
          <w:tcPr>
            <w:tcW w:w="784" w:type="dxa"/>
            <w:tcBorders>
              <w:top w:val="single" w:sz="12"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sz w:val="16"/>
                <w:szCs w:val="16"/>
              </w:rPr>
              <w:t xml:space="preserve"> </w:t>
            </w:r>
          </w:p>
        </w:tc>
        <w:tc>
          <w:tcPr>
            <w:tcW w:w="734" w:type="dxa"/>
            <w:tcBorders>
              <w:top w:val="single" w:sz="12"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892DE3">
              <w:rPr>
                <w:sz w:val="16"/>
                <w:szCs w:val="16"/>
              </w:rPr>
              <w:t xml:space="preserve"> </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nil"/>
              <w:left w:val="nil"/>
              <w:right w:val="nil"/>
            </w:tcBorders>
          </w:tcPr>
          <w:p w:rsidR="00AD47C0" w:rsidRPr="00892DE3" w:rsidRDefault="00AD47C0" w:rsidP="009B556F">
            <w:pPr>
              <w:pStyle w:val="Tabletext"/>
              <w:spacing w:line="276" w:lineRule="auto"/>
              <w:ind w:left="0" w:firstLine="0"/>
              <w:rPr>
                <w:szCs w:val="16"/>
              </w:rPr>
            </w:pPr>
            <w:r w:rsidRPr="00892DE3">
              <w:rPr>
                <w:szCs w:val="16"/>
              </w:rPr>
              <w:t>Balance at 1 July 2015</w:t>
            </w:r>
            <w:r w:rsidR="008B155F" w:rsidRPr="00892DE3">
              <w:rPr>
                <w:szCs w:val="16"/>
              </w:rPr>
              <w:t xml:space="preserve"> </w:t>
            </w:r>
            <w:r w:rsidRPr="00892DE3">
              <w:rPr>
                <w:szCs w:val="16"/>
                <w:vertAlign w:val="superscript"/>
              </w:rPr>
              <w:t>(c)(d)</w:t>
            </w:r>
          </w:p>
        </w:tc>
        <w:tc>
          <w:tcPr>
            <w:tcW w:w="1050"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45 764</w:t>
            </w:r>
          </w:p>
        </w:tc>
        <w:tc>
          <w:tcPr>
            <w:tcW w:w="1234"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 50</w:t>
            </w:r>
          </w:p>
        </w:tc>
        <w:tc>
          <w:tcPr>
            <w:tcW w:w="1134"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43 355</w:t>
            </w:r>
          </w:p>
        </w:tc>
        <w:tc>
          <w:tcPr>
            <w:tcW w:w="1173"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46 494</w:t>
            </w:r>
          </w:p>
        </w:tc>
        <w:tc>
          <w:tcPr>
            <w:tcW w:w="784"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728</w:t>
            </w:r>
          </w:p>
        </w:tc>
        <w:tc>
          <w:tcPr>
            <w:tcW w:w="734"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136 391</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nil"/>
              <w:left w:val="nil"/>
              <w:right w:val="nil"/>
            </w:tcBorders>
          </w:tcPr>
          <w:p w:rsidR="00AD47C0" w:rsidRPr="00892DE3" w:rsidRDefault="00AD47C0" w:rsidP="009B556F">
            <w:pPr>
              <w:pStyle w:val="Tabletext"/>
              <w:spacing w:line="276" w:lineRule="auto"/>
              <w:ind w:left="0" w:firstLine="0"/>
              <w:rPr>
                <w:szCs w:val="16"/>
              </w:rPr>
            </w:pPr>
            <w:r w:rsidRPr="00892DE3">
              <w:rPr>
                <w:szCs w:val="16"/>
              </w:rPr>
              <w:t>Net result for the quarter</w:t>
            </w:r>
          </w:p>
        </w:tc>
        <w:tc>
          <w:tcPr>
            <w:tcW w:w="1050"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353</w:t>
            </w:r>
          </w:p>
        </w:tc>
        <w:tc>
          <w:tcPr>
            <w:tcW w:w="1234"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1134"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1173"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784"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734" w:type="dxa"/>
            <w:tcBorders>
              <w:top w:val="nil"/>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353</w:t>
            </w:r>
          </w:p>
        </w:tc>
      </w:tr>
      <w:tr w:rsidR="00AD47C0" w:rsidRPr="00892DE3" w:rsidTr="008B155F">
        <w:trPr>
          <w:jc w:val="center"/>
        </w:trPr>
        <w:tc>
          <w:tcPr>
            <w:cnfStyle w:val="001000000000" w:firstRow="0" w:lastRow="0" w:firstColumn="1" w:lastColumn="0" w:oddVBand="0" w:evenVBand="0" w:oddHBand="0" w:evenHBand="0" w:firstRowFirstColumn="0" w:firstRowLastColumn="0" w:lastRowFirstColumn="0" w:lastRowLastColumn="0"/>
            <w:tcW w:w="3528" w:type="dxa"/>
            <w:tcBorders>
              <w:left w:val="nil"/>
              <w:right w:val="nil"/>
            </w:tcBorders>
          </w:tcPr>
          <w:p w:rsidR="00AD47C0" w:rsidRPr="00892DE3" w:rsidRDefault="00AD47C0" w:rsidP="009B556F">
            <w:pPr>
              <w:pStyle w:val="Tabletext"/>
              <w:spacing w:line="276" w:lineRule="auto"/>
              <w:ind w:left="0" w:firstLine="0"/>
              <w:rPr>
                <w:szCs w:val="16"/>
                <w:vertAlign w:val="superscript"/>
              </w:rPr>
            </w:pPr>
            <w:r w:rsidRPr="00892DE3">
              <w:rPr>
                <w:szCs w:val="16"/>
              </w:rPr>
              <w:t>Other comprehensive income for the quarter</w:t>
            </w:r>
            <w:r w:rsidR="008B155F" w:rsidRPr="00892DE3">
              <w:rPr>
                <w:szCs w:val="16"/>
              </w:rPr>
              <w:t xml:space="preserve"> </w:t>
            </w:r>
            <w:r w:rsidRPr="00892DE3">
              <w:rPr>
                <w:szCs w:val="16"/>
                <w:vertAlign w:val="superscript"/>
              </w:rPr>
              <w:t>(d)</w:t>
            </w:r>
          </w:p>
        </w:tc>
        <w:tc>
          <w:tcPr>
            <w:tcW w:w="1050" w:type="dxa"/>
            <w:tcBorders>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(1 904)</w:t>
            </w:r>
          </w:p>
        </w:tc>
        <w:tc>
          <w:tcPr>
            <w:tcW w:w="1234" w:type="dxa"/>
            <w:tcBorders>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1134" w:type="dxa"/>
            <w:tcBorders>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32</w:t>
            </w:r>
          </w:p>
        </w:tc>
        <w:tc>
          <w:tcPr>
            <w:tcW w:w="1173" w:type="dxa"/>
            <w:tcBorders>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w:t>
            </w:r>
          </w:p>
        </w:tc>
        <w:tc>
          <w:tcPr>
            <w:tcW w:w="784" w:type="dxa"/>
            <w:tcBorders>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(20)</w:t>
            </w:r>
          </w:p>
        </w:tc>
        <w:tc>
          <w:tcPr>
            <w:tcW w:w="734" w:type="dxa"/>
            <w:tcBorders>
              <w:left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892DE3">
              <w:rPr>
                <w:sz w:val="16"/>
                <w:szCs w:val="16"/>
              </w:rPr>
              <w:t>(1 892)</w:t>
            </w:r>
          </w:p>
        </w:tc>
      </w:tr>
      <w:tr w:rsidR="00AD47C0" w:rsidRPr="00892DE3" w:rsidTr="008B155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6" w:space="0" w:color="auto"/>
              <w:bottom w:val="single" w:sz="12" w:space="0" w:color="auto"/>
            </w:tcBorders>
          </w:tcPr>
          <w:p w:rsidR="00AD47C0" w:rsidRPr="00892DE3" w:rsidRDefault="00AD47C0" w:rsidP="009B556F">
            <w:pPr>
              <w:pStyle w:val="Tabletext"/>
              <w:spacing w:line="276" w:lineRule="auto"/>
              <w:ind w:left="0" w:firstLine="0"/>
              <w:rPr>
                <w:b w:val="0"/>
                <w:szCs w:val="16"/>
                <w:vertAlign w:val="superscript"/>
              </w:rPr>
            </w:pPr>
            <w:r w:rsidRPr="00892DE3">
              <w:rPr>
                <w:b w:val="0"/>
                <w:szCs w:val="16"/>
              </w:rPr>
              <w:t>Total equity as at 30 September 2015</w:t>
            </w:r>
            <w:r w:rsidR="008B155F" w:rsidRPr="00892DE3">
              <w:rPr>
                <w:b w:val="0"/>
                <w:szCs w:val="16"/>
              </w:rPr>
              <w:t xml:space="preserve"> </w:t>
            </w:r>
            <w:r w:rsidRPr="00892DE3">
              <w:rPr>
                <w:b w:val="0"/>
                <w:szCs w:val="16"/>
                <w:vertAlign w:val="superscript"/>
              </w:rPr>
              <w:t>(c)(d)</w:t>
            </w:r>
          </w:p>
        </w:tc>
        <w:tc>
          <w:tcPr>
            <w:tcW w:w="1050"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sidRPr="00892DE3">
              <w:rPr>
                <w:b w:val="0"/>
                <w:sz w:val="16"/>
                <w:szCs w:val="16"/>
              </w:rPr>
              <w:t>44 213</w:t>
            </w:r>
          </w:p>
        </w:tc>
        <w:tc>
          <w:tcPr>
            <w:tcW w:w="1234"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sidRPr="00892DE3">
              <w:rPr>
                <w:b w:val="0"/>
                <w:sz w:val="16"/>
                <w:szCs w:val="16"/>
              </w:rPr>
              <w:t xml:space="preserve"> 50</w:t>
            </w:r>
          </w:p>
        </w:tc>
        <w:tc>
          <w:tcPr>
            <w:tcW w:w="1134"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sidRPr="00892DE3">
              <w:rPr>
                <w:b w:val="0"/>
                <w:sz w:val="16"/>
                <w:szCs w:val="16"/>
              </w:rPr>
              <w:t>43 387</w:t>
            </w:r>
          </w:p>
        </w:tc>
        <w:tc>
          <w:tcPr>
            <w:tcW w:w="1173"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sidRPr="00892DE3">
              <w:rPr>
                <w:b w:val="0"/>
                <w:sz w:val="16"/>
                <w:szCs w:val="16"/>
              </w:rPr>
              <w:t>46 494</w:t>
            </w:r>
          </w:p>
        </w:tc>
        <w:tc>
          <w:tcPr>
            <w:tcW w:w="784"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sidRPr="00892DE3">
              <w:rPr>
                <w:b w:val="0"/>
                <w:sz w:val="16"/>
                <w:szCs w:val="16"/>
              </w:rPr>
              <w:t>708</w:t>
            </w:r>
          </w:p>
        </w:tc>
        <w:tc>
          <w:tcPr>
            <w:tcW w:w="734"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sidRPr="00892DE3">
              <w:rPr>
                <w:b w:val="0"/>
                <w:sz w:val="16"/>
                <w:szCs w:val="16"/>
              </w:rPr>
              <w:t>134 853</w:t>
            </w:r>
          </w:p>
        </w:tc>
      </w:tr>
    </w:tbl>
    <w:p w:rsidR="00AD47C0" w:rsidRPr="00892DE3" w:rsidRDefault="00AD47C0" w:rsidP="008B155F">
      <w:pPr>
        <w:pStyle w:val="Source"/>
      </w:pPr>
      <w:bookmarkStart w:id="282" w:name="_Toc225564588"/>
      <w:bookmarkStart w:id="283" w:name="_Toc324234841"/>
      <w:bookmarkStart w:id="284" w:name="_Toc330906647"/>
      <w:bookmarkStart w:id="285" w:name="_Toc332019436"/>
      <w:bookmarkStart w:id="286" w:name="_Toc350413727"/>
      <w:bookmarkStart w:id="287" w:name="_Toc388277752"/>
      <w:r w:rsidRPr="00892DE3">
        <w:t>The accompanying notes form part of these financial statements.</w:t>
      </w:r>
    </w:p>
    <w:p w:rsidR="00AD47C0" w:rsidRPr="00892DE3" w:rsidRDefault="00AD47C0" w:rsidP="008B155F">
      <w:pPr>
        <w:pStyle w:val="Note"/>
      </w:pPr>
      <w:r w:rsidRPr="00892DE3">
        <w:t>Notes:</w:t>
      </w:r>
    </w:p>
    <w:p w:rsidR="00AD47C0" w:rsidRPr="00892DE3" w:rsidRDefault="00AD47C0" w:rsidP="008B155F">
      <w:pPr>
        <w:pStyle w:val="Note"/>
      </w:pPr>
      <w:r w:rsidRPr="00892DE3">
        <w:t xml:space="preserve">(a) </w:t>
      </w:r>
      <w:r w:rsidRPr="00892DE3">
        <w:tab/>
        <w:t>Non</w:t>
      </w:r>
      <w:r w:rsidRPr="00892DE3">
        <w:noBreakHyphen/>
        <w:t>financial assets revaluation surplus relates to land, buildings, infrastructure, plant and equipment.</w:t>
      </w:r>
    </w:p>
    <w:p w:rsidR="00AD47C0" w:rsidRPr="00892DE3" w:rsidRDefault="00AD47C0" w:rsidP="008B155F">
      <w:pPr>
        <w:pStyle w:val="Note"/>
      </w:pPr>
      <w:r w:rsidRPr="00892DE3">
        <w:t xml:space="preserve">(b) </w:t>
      </w:r>
      <w:r w:rsidRPr="00892DE3">
        <w:tab/>
        <w:t>Balances represent actual opening balances at 1 July 2016  plus 2016</w:t>
      </w:r>
      <w:r w:rsidRPr="00892DE3">
        <w:noBreakHyphen/>
        <w:t>17 budgeted movements.</w:t>
      </w:r>
    </w:p>
    <w:p w:rsidR="00AD47C0" w:rsidRPr="00892DE3" w:rsidRDefault="00AD47C0" w:rsidP="008B155F">
      <w:pPr>
        <w:pStyle w:val="Note"/>
      </w:pPr>
      <w:r w:rsidRPr="00892DE3">
        <w:t xml:space="preserve">(c) </w:t>
      </w:r>
      <w:r w:rsidRPr="00892DE3">
        <w:tab/>
        <w:t>September 2015 comparative figures have been restated to reflect an adjustment to Coliban Water’s deferred tax liability balances in the PNFC sector attributable to a change in valuation policy in 2015-16.</w:t>
      </w:r>
    </w:p>
    <w:p w:rsidR="00AD47C0" w:rsidRPr="00892DE3" w:rsidRDefault="00AD47C0" w:rsidP="008B155F">
      <w:pPr>
        <w:pStyle w:val="Note"/>
      </w:pPr>
      <w:r w:rsidRPr="00892DE3">
        <w:t>(d)</w:t>
      </w:r>
      <w:r w:rsidRPr="00892DE3">
        <w:tab/>
        <w:t>September 2015 comparative figures have been restated to finalise the allocation of equity balances between contributed capital and accumulated funds related to prior year machinery of government changes.</w:t>
      </w:r>
    </w:p>
    <w:p w:rsidR="002C2301" w:rsidRPr="00892DE3" w:rsidRDefault="002C2301">
      <w:pPr>
        <w:keepLines w:val="0"/>
        <w:rPr>
          <w:rFonts w:asciiTheme="majorHAnsi" w:eastAsiaTheme="majorEastAsia" w:hAnsiTheme="majorHAnsi" w:cstheme="majorBidi"/>
          <w:b/>
          <w:bCs/>
          <w:spacing w:val="-2"/>
          <w:sz w:val="28"/>
          <w:szCs w:val="28"/>
        </w:rPr>
      </w:pPr>
      <w:r w:rsidRPr="00892DE3">
        <w:rPr>
          <w:caps/>
        </w:rPr>
        <w:br w:type="page"/>
      </w:r>
    </w:p>
    <w:p w:rsidR="00AD47C0" w:rsidRPr="00892DE3" w:rsidRDefault="00AD47C0" w:rsidP="00B623D8">
      <w:pPr>
        <w:pStyle w:val="Heading1nonTOC"/>
        <w:rPr>
          <w:caps w:val="0"/>
        </w:rPr>
      </w:pPr>
      <w:r w:rsidRPr="00892DE3">
        <w:rPr>
          <w:caps w:val="0"/>
        </w:rPr>
        <w:t xml:space="preserve">Appendix 1(c) – Extract of financial statements from the </w:t>
      </w:r>
      <w:r w:rsidR="00B623D8" w:rsidRPr="00892DE3">
        <w:rPr>
          <w:caps w:val="0"/>
        </w:rPr>
        <w:br/>
      </w:r>
      <w:r w:rsidRPr="00892DE3">
        <w:rPr>
          <w:i/>
          <w:caps w:val="0"/>
        </w:rPr>
        <w:t>2016</w:t>
      </w:r>
      <w:r w:rsidRPr="00892DE3">
        <w:rPr>
          <w:i/>
          <w:caps w:val="0"/>
        </w:rPr>
        <w:noBreakHyphen/>
        <w:t>17 Mid</w:t>
      </w:r>
      <w:r w:rsidRPr="00892DE3">
        <w:rPr>
          <w:i/>
          <w:caps w:val="0"/>
        </w:rPr>
        <w:noBreakHyphen/>
        <w:t>Year Financial Report</w:t>
      </w:r>
      <w:bookmarkEnd w:id="282"/>
      <w:bookmarkEnd w:id="283"/>
      <w:bookmarkEnd w:id="284"/>
      <w:bookmarkEnd w:id="285"/>
      <w:bookmarkEnd w:id="286"/>
      <w:bookmarkEnd w:id="287"/>
      <w:r w:rsidRPr="00892DE3">
        <w:rPr>
          <w:caps w:val="0"/>
        </w:rPr>
        <w:t xml:space="preserve"> </w:t>
      </w:r>
    </w:p>
    <w:p w:rsidR="00AD47C0" w:rsidRPr="00892DE3" w:rsidRDefault="00AD47C0" w:rsidP="00AD47C0">
      <w:pPr>
        <w:pStyle w:val="TableHeading"/>
      </w:pPr>
      <w:r w:rsidRPr="00892DE3">
        <w:t>Table 1.9:</w:t>
      </w:r>
      <w:r w:rsidRPr="00892DE3">
        <w:tab/>
        <w:t xml:space="preserve">Consolidated comprehensive operating statement for the six months ended </w:t>
      </w:r>
      <w:r w:rsidR="00BC4184" w:rsidRPr="00892DE3">
        <w:br/>
      </w:r>
      <w:r w:rsidRPr="00892DE3">
        <w:t>31 December</w:t>
      </w:r>
      <w:r w:rsidRPr="00892DE3">
        <w:tab/>
        <w:t>($ million)</w:t>
      </w:r>
    </w:p>
    <w:tbl>
      <w:tblPr>
        <w:tblStyle w:val="DTFTable"/>
        <w:tblW w:w="9637" w:type="dxa"/>
        <w:tblInd w:w="43" w:type="dxa"/>
        <w:tblLayout w:type="fixed"/>
        <w:tblCellMar>
          <w:left w:w="43" w:type="dxa"/>
          <w:right w:w="43" w:type="dxa"/>
        </w:tblCellMar>
        <w:tblLook w:val="06E0" w:firstRow="1" w:lastRow="1" w:firstColumn="1" w:lastColumn="0" w:noHBand="1" w:noVBand="1"/>
      </w:tblPr>
      <w:tblGrid>
        <w:gridCol w:w="5387"/>
        <w:gridCol w:w="850"/>
        <w:gridCol w:w="851"/>
        <w:gridCol w:w="850"/>
        <w:gridCol w:w="851"/>
        <w:gridCol w:w="848"/>
      </w:tblGrid>
      <w:tr w:rsidR="00AD47C0"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nil"/>
              <w:right w:val="nil"/>
            </w:tcBorders>
            <w:shd w:val="clear" w:color="auto" w:fill="000000"/>
          </w:tcPr>
          <w:p w:rsidR="00AD47C0" w:rsidRPr="00892DE3" w:rsidRDefault="00AD47C0" w:rsidP="00F042B6">
            <w:pPr>
              <w:ind w:left="0" w:firstLine="0"/>
            </w:pPr>
          </w:p>
        </w:tc>
        <w:tc>
          <w:tcPr>
            <w:tcW w:w="850" w:type="dxa"/>
            <w:tcBorders>
              <w:top w:val="single" w:sz="4" w:space="0" w:color="auto"/>
              <w:left w:val="nil"/>
              <w:bottom w:val="nil"/>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701" w:type="dxa"/>
            <w:gridSpan w:val="2"/>
            <w:tcBorders>
              <w:top w:val="single" w:sz="4" w:space="0" w:color="auto"/>
              <w:left w:val="nil"/>
              <w:bottom w:val="nil"/>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State of Victoria</w:t>
            </w:r>
          </w:p>
        </w:tc>
        <w:tc>
          <w:tcPr>
            <w:tcW w:w="1699" w:type="dxa"/>
            <w:gridSpan w:val="2"/>
            <w:tcBorders>
              <w:top w:val="single" w:sz="4" w:space="0" w:color="auto"/>
              <w:left w:val="nil"/>
              <w:bottom w:val="nil"/>
              <w:right w:val="single" w:sz="4" w:space="0" w:color="auto"/>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General</w:t>
            </w:r>
            <w:r w:rsidRPr="00892DE3">
              <w:br/>
              <w:t>government sector</w:t>
            </w:r>
          </w:p>
        </w:tc>
      </w:tr>
      <w:tr w:rsidR="00AD47C0"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Borders>
              <w:top w:val="nil"/>
              <w:left w:val="single" w:sz="4" w:space="0" w:color="auto"/>
              <w:bottom w:val="single" w:sz="4" w:space="0" w:color="auto"/>
              <w:right w:val="nil"/>
            </w:tcBorders>
            <w:shd w:val="clear" w:color="auto" w:fill="000000"/>
          </w:tcPr>
          <w:p w:rsidR="00AD47C0" w:rsidRPr="00892DE3" w:rsidRDefault="00AD47C0" w:rsidP="00F042B6">
            <w:pPr>
              <w:ind w:left="0" w:firstLine="0"/>
            </w:pPr>
            <w:r w:rsidRPr="00892DE3">
              <w:t xml:space="preserve"> </w:t>
            </w:r>
          </w:p>
        </w:tc>
        <w:tc>
          <w:tcPr>
            <w:tcW w:w="850" w:type="dxa"/>
            <w:tcBorders>
              <w:top w:val="nil"/>
              <w:left w:val="nil"/>
              <w:bottom w:val="single" w:sz="4" w:space="0" w:color="auto"/>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51"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2016</w:t>
            </w:r>
          </w:p>
        </w:tc>
        <w:tc>
          <w:tcPr>
            <w:tcW w:w="850"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2015</w:t>
            </w:r>
            <w:r w:rsidRPr="00892DE3">
              <w:rPr>
                <w:vertAlign w:val="superscript"/>
              </w:rPr>
              <w:t>(a)</w:t>
            </w:r>
          </w:p>
        </w:tc>
        <w:tc>
          <w:tcPr>
            <w:tcW w:w="851"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2016</w:t>
            </w:r>
          </w:p>
        </w:tc>
        <w:tc>
          <w:tcPr>
            <w:tcW w:w="848" w:type="dxa"/>
            <w:tcBorders>
              <w:top w:val="nil"/>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2015</w:t>
            </w:r>
            <w:r w:rsidRPr="00892DE3">
              <w:rPr>
                <w:vertAlign w:val="superscript"/>
              </w:rPr>
              <w:t>(a)</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nil"/>
              <w:bottom w:val="nil"/>
              <w:right w:val="nil"/>
            </w:tcBorders>
          </w:tcPr>
          <w:p w:rsidR="00AD47C0" w:rsidRPr="00892DE3" w:rsidRDefault="00AD47C0" w:rsidP="00F042B6">
            <w:pPr>
              <w:pStyle w:val="Tabletext"/>
              <w:rPr>
                <w:b/>
                <w:sz w:val="17"/>
                <w:szCs w:val="20"/>
              </w:rPr>
            </w:pPr>
            <w:r w:rsidRPr="00892DE3">
              <w:rPr>
                <w:b/>
                <w:sz w:val="17"/>
                <w:szCs w:val="20"/>
              </w:rPr>
              <w:t>Revenue from transactions</w:t>
            </w:r>
          </w:p>
        </w:tc>
        <w:tc>
          <w:tcPr>
            <w:tcW w:w="850" w:type="dxa"/>
            <w:tcBorders>
              <w:top w:val="single" w:sz="4" w:space="0" w:color="auto"/>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0"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1"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48" w:type="dxa"/>
            <w:tcBorders>
              <w:top w:val="single" w:sz="4"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Taxation revenue</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2.1</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10 467</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9 443</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10 662</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9 676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Interest revenue</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327</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308</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375</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394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ind w:left="255" w:hanging="255"/>
              <w:rPr>
                <w:sz w:val="17"/>
                <w:szCs w:val="20"/>
              </w:rPr>
            </w:pPr>
            <w:r w:rsidRPr="00892DE3">
              <w:rPr>
                <w:sz w:val="17"/>
                <w:szCs w:val="20"/>
              </w:rPr>
              <w:t xml:space="preserve">Dividends and income tax equivalent and rate equivalent revenue </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2.2</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536</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766</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438</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451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Sales of goods and services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2.3</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7 063</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7 017</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3 416</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3 332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Grant revenue</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2.4</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13 258</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12 258</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13 318</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12 301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Other revenue</w:t>
            </w:r>
          </w:p>
        </w:tc>
        <w:tc>
          <w:tcPr>
            <w:tcW w:w="850" w:type="dxa"/>
            <w:tcBorders>
              <w:top w:val="nil"/>
              <w:left w:val="nil"/>
              <w:bottom w:val="single" w:sz="6"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2.5</w:t>
            </w:r>
          </w:p>
        </w:tc>
        <w:tc>
          <w:tcPr>
            <w:tcW w:w="851"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1 646</w:t>
            </w:r>
          </w:p>
        </w:tc>
        <w:tc>
          <w:tcPr>
            <w:tcW w:w="850"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2 065</w:t>
            </w:r>
          </w:p>
        </w:tc>
        <w:tc>
          <w:tcPr>
            <w:tcW w:w="851"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1 288</w:t>
            </w:r>
          </w:p>
        </w:tc>
        <w:tc>
          <w:tcPr>
            <w:tcW w:w="848"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t>1 726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nil"/>
              <w:right w:val="nil"/>
            </w:tcBorders>
          </w:tcPr>
          <w:p w:rsidR="00AD47C0" w:rsidRPr="00892DE3" w:rsidRDefault="00AD47C0" w:rsidP="00F042B6">
            <w:pPr>
              <w:pStyle w:val="Tabletext"/>
              <w:rPr>
                <w:b/>
                <w:sz w:val="17"/>
                <w:szCs w:val="20"/>
              </w:rPr>
            </w:pPr>
            <w:r w:rsidRPr="00892DE3">
              <w:rPr>
                <w:b/>
                <w:sz w:val="17"/>
                <w:szCs w:val="20"/>
              </w:rPr>
              <w:t>Total revenue from transactions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rPr>
              <w:t>33 325</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rPr>
              <w:t>31 857</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rPr>
              <w:t>29 498</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rPr>
              <w:t>27 880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Expenses from transactions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Employee expenses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10 977</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10 261</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10 436</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9 765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Net superannuation interest expense</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3.2</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349</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441</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349</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441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Other superannuation</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3.2</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1 215</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1 223</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1 148</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1 160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Depreciation</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4.2</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2 406</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2 322</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1 256</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1 200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Interest expense</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5.4</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1 373</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1 356</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1 012</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1 034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Grant expense</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3.3</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3 608</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2 841</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4 924</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4 315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Other operating expenses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3.4</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12 991</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12 267</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8 987</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8 457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tcPr>
          <w:p w:rsidR="00AD47C0" w:rsidRPr="00892DE3" w:rsidRDefault="00AD47C0" w:rsidP="00F042B6">
            <w:pPr>
              <w:pStyle w:val="Tabletext"/>
              <w:rPr>
                <w:b/>
                <w:sz w:val="17"/>
                <w:szCs w:val="20"/>
              </w:rPr>
            </w:pPr>
            <w:r w:rsidRPr="00892DE3">
              <w:rPr>
                <w:b/>
                <w:sz w:val="17"/>
                <w:szCs w:val="20"/>
              </w:rPr>
              <w:t>Total expenses from transactions</w:t>
            </w:r>
          </w:p>
        </w:tc>
        <w:tc>
          <w:tcPr>
            <w:tcW w:w="850" w:type="dxa"/>
            <w:tcBorders>
              <w:top w:val="single" w:sz="6" w:space="0" w:color="auto"/>
              <w:left w:val="nil"/>
              <w:bottom w:val="single" w:sz="6"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3.5, 3.6</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32 919</w:t>
            </w:r>
          </w:p>
        </w:tc>
        <w:tc>
          <w:tcPr>
            <w:tcW w:w="850"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30 711</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28 111</w:t>
            </w:r>
          </w:p>
        </w:tc>
        <w:tc>
          <w:tcPr>
            <w:tcW w:w="848"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26 373</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12" w:space="0" w:color="auto"/>
              <w:right w:val="nil"/>
            </w:tcBorders>
          </w:tcPr>
          <w:p w:rsidR="00AD47C0" w:rsidRPr="00892DE3" w:rsidRDefault="00AD47C0" w:rsidP="00F042B6">
            <w:pPr>
              <w:pStyle w:val="Tabletext"/>
              <w:rPr>
                <w:b/>
                <w:sz w:val="17"/>
                <w:szCs w:val="20"/>
              </w:rPr>
            </w:pPr>
            <w:r w:rsidRPr="00892DE3">
              <w:rPr>
                <w:b/>
                <w:sz w:val="17"/>
                <w:szCs w:val="20"/>
              </w:rPr>
              <w:t>Net result from transactions – net operating balance</w:t>
            </w:r>
          </w:p>
        </w:tc>
        <w:tc>
          <w:tcPr>
            <w:tcW w:w="850" w:type="dxa"/>
            <w:tcBorders>
              <w:top w:val="nil"/>
              <w:left w:val="nil"/>
              <w:bottom w:val="single" w:sz="12"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406</w:t>
            </w:r>
          </w:p>
        </w:tc>
        <w:tc>
          <w:tcPr>
            <w:tcW w:w="850" w:type="dxa"/>
            <w:tcBorders>
              <w:top w:val="nil"/>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1 146</w:t>
            </w:r>
          </w:p>
        </w:tc>
        <w:tc>
          <w:tcPr>
            <w:tcW w:w="851" w:type="dxa"/>
            <w:tcBorders>
              <w:top w:val="nil"/>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1 387</w:t>
            </w:r>
          </w:p>
        </w:tc>
        <w:tc>
          <w:tcPr>
            <w:tcW w:w="848" w:type="dxa"/>
            <w:tcBorders>
              <w:top w:val="nil"/>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1 507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Other economic flows included in net result</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Net gain/(loss) on disposal of non</w:t>
            </w:r>
            <w:r w:rsidRPr="00892DE3">
              <w:rPr>
                <w:sz w:val="17"/>
                <w:szCs w:val="20"/>
              </w:rPr>
              <w:noBreakHyphen/>
              <w:t>financial assets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3</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8</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15</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Net gain/(loss) on financial assets or liabilities at fair value</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2 782</w:t>
            </w:r>
          </w:p>
        </w:tc>
        <w:tc>
          <w:tcPr>
            <w:tcW w:w="850"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(289)</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14</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ind w:left="255" w:hanging="255"/>
              <w:rPr>
                <w:sz w:val="17"/>
                <w:szCs w:val="20"/>
              </w:rPr>
            </w:pPr>
            <w:r w:rsidRPr="00892DE3">
              <w:rPr>
                <w:sz w:val="17"/>
                <w:szCs w:val="20"/>
              </w:rPr>
              <w:t>Share of net profit/(loss) from associates/joint venture entities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26</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28</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(3)</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Other gains/(losses) from other economic flows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9.2</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2 380</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(351)</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(187)</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(260)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tcPr>
          <w:p w:rsidR="00AD47C0" w:rsidRPr="00892DE3" w:rsidRDefault="00AD47C0" w:rsidP="00F042B6">
            <w:pPr>
              <w:pStyle w:val="Tabletext"/>
              <w:rPr>
                <w:b/>
                <w:sz w:val="17"/>
                <w:szCs w:val="20"/>
              </w:rPr>
            </w:pPr>
            <w:r w:rsidRPr="00892DE3">
              <w:rPr>
                <w:b/>
                <w:sz w:val="17"/>
                <w:szCs w:val="20"/>
              </w:rPr>
              <w:t>Total other economic flows included in net result</w:t>
            </w:r>
          </w:p>
        </w:tc>
        <w:tc>
          <w:tcPr>
            <w:tcW w:w="850" w:type="dxa"/>
            <w:tcBorders>
              <w:top w:val="single" w:sz="6" w:space="0" w:color="auto"/>
              <w:left w:val="nil"/>
              <w:bottom w:val="single" w:sz="6"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5 190</w:t>
            </w:r>
          </w:p>
        </w:tc>
        <w:tc>
          <w:tcPr>
            <w:tcW w:w="850"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(604)</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(161)</w:t>
            </w:r>
          </w:p>
        </w:tc>
        <w:tc>
          <w:tcPr>
            <w:tcW w:w="848"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(267)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tcPr>
          <w:p w:rsidR="00AD47C0" w:rsidRPr="00892DE3" w:rsidRDefault="00AD47C0" w:rsidP="00F042B6">
            <w:pPr>
              <w:pStyle w:val="Tabletext"/>
              <w:rPr>
                <w:b/>
                <w:sz w:val="17"/>
                <w:szCs w:val="20"/>
              </w:rPr>
            </w:pPr>
            <w:r w:rsidRPr="00892DE3">
              <w:rPr>
                <w:b/>
                <w:sz w:val="17"/>
                <w:szCs w:val="20"/>
              </w:rPr>
              <w:t>Net result</w:t>
            </w:r>
          </w:p>
        </w:tc>
        <w:tc>
          <w:tcPr>
            <w:tcW w:w="850" w:type="dxa"/>
            <w:tcBorders>
              <w:top w:val="single" w:sz="6" w:space="0" w:color="auto"/>
              <w:left w:val="nil"/>
              <w:bottom w:val="single" w:sz="12"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5 596</w:t>
            </w:r>
          </w:p>
        </w:tc>
        <w:tc>
          <w:tcPr>
            <w:tcW w:w="850"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542</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1 226</w:t>
            </w:r>
          </w:p>
        </w:tc>
        <w:tc>
          <w:tcPr>
            <w:tcW w:w="848"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1 239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9637" w:type="dxa"/>
            <w:gridSpan w:val="6"/>
            <w:tcBorders>
              <w:top w:val="single" w:sz="12" w:space="0" w:color="auto"/>
              <w:left w:val="nil"/>
              <w:right w:val="nil"/>
            </w:tcBorders>
          </w:tcPr>
          <w:p w:rsidR="00AD47C0" w:rsidRPr="00892DE3" w:rsidRDefault="00AD47C0" w:rsidP="00F042B6">
            <w:pPr>
              <w:pStyle w:val="Tabletext"/>
              <w:rPr>
                <w:b/>
                <w:sz w:val="17"/>
                <w:szCs w:val="20"/>
              </w:rPr>
            </w:pPr>
            <w:r w:rsidRPr="00892DE3">
              <w:rPr>
                <w:b/>
                <w:sz w:val="17"/>
                <w:szCs w:val="20"/>
              </w:rPr>
              <w:t>Other economic flows – other comprehensive income</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left w:val="nil"/>
              <w:bottom w:val="nil"/>
              <w:right w:val="nil"/>
            </w:tcBorders>
          </w:tcPr>
          <w:p w:rsidR="00AD47C0" w:rsidRPr="00892DE3" w:rsidRDefault="00AD47C0" w:rsidP="00F042B6">
            <w:pPr>
              <w:pStyle w:val="Tabletext"/>
              <w:rPr>
                <w:b/>
                <w:sz w:val="17"/>
                <w:szCs w:val="20"/>
              </w:rPr>
            </w:pPr>
            <w:r w:rsidRPr="00892DE3">
              <w:rPr>
                <w:b/>
                <w:sz w:val="17"/>
                <w:szCs w:val="20"/>
              </w:rPr>
              <w:t>Items that will not be reclassified to net result</w:t>
            </w:r>
          </w:p>
        </w:tc>
        <w:tc>
          <w:tcPr>
            <w:tcW w:w="850" w:type="dxa"/>
            <w:tcBorders>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0" w:type="dxa"/>
            <w:tcBorders>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Changes in non</w:t>
            </w:r>
            <w:r w:rsidRPr="00892DE3">
              <w:rPr>
                <w:sz w:val="17"/>
                <w:szCs w:val="20"/>
              </w:rPr>
              <w:noBreakHyphen/>
              <w:t>financial assets revaluation surplus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(80)</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(1)</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(89)</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8</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Remeasurement of superannuation defined benefits plans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3.2</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2 979</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(704)</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2 984</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(704)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ind w:left="255" w:hanging="255"/>
              <w:rPr>
                <w:sz w:val="17"/>
                <w:szCs w:val="20"/>
              </w:rPr>
            </w:pPr>
            <w:r w:rsidRPr="00892DE3">
              <w:rPr>
                <w:sz w:val="17"/>
                <w:szCs w:val="20"/>
              </w:rPr>
              <w:t>Net gain/(loss) on equity investments in other sector entities at proportional share of the carrying amount of net assets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99</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(28)</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83</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(25)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Other movements in equity</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b/>
                <w:bCs/>
                <w:color w:val="000000"/>
                <w:szCs w:val="18"/>
                <w:lang w:eastAsia="en-AU"/>
              </w:rPr>
              <w:t xml:space="preserve"> </w:t>
            </w:r>
          </w:p>
        </w:tc>
        <w:tc>
          <w:tcPr>
            <w:tcW w:w="850"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b/>
                <w:bCs/>
                <w:color w:val="000000"/>
                <w:szCs w:val="18"/>
                <w:lang w:eastAsia="en-AU"/>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b/>
                <w:bCs/>
                <w:color w:val="000000"/>
                <w:szCs w:val="18"/>
                <w:lang w:eastAsia="en-AU"/>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b/>
                <w:bCs/>
                <w:color w:val="000000"/>
                <w:szCs w:val="18"/>
                <w:lang w:eastAsia="en-AU"/>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Items that may be reclassified subsequently to net result</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color w:val="000000"/>
                <w:szCs w:val="18"/>
                <w:lang w:eastAsia="en-AU"/>
              </w:rPr>
              <w:t>25</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color w:val="000000"/>
                <w:szCs w:val="18"/>
                <w:lang w:eastAsia="en-AU"/>
              </w:rPr>
              <w:t>(30)</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color w:val="000000"/>
                <w:szCs w:val="18"/>
                <w:lang w:eastAsia="en-AU"/>
              </w:rPr>
              <w:t>18</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color w:val="000000"/>
                <w:szCs w:val="18"/>
                <w:lang w:eastAsia="en-AU"/>
              </w:rPr>
              <w:t>(26)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Net gain/(loss) on financial assets at fair value</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644</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8"/>
                <w:lang w:eastAsia="en-AU"/>
              </w:rPr>
              <w:t>(327)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tcPr>
          <w:p w:rsidR="00AD47C0" w:rsidRPr="00892DE3" w:rsidRDefault="00AD47C0" w:rsidP="00F042B6">
            <w:pPr>
              <w:pStyle w:val="Tabletext"/>
              <w:rPr>
                <w:b/>
                <w:sz w:val="17"/>
                <w:szCs w:val="20"/>
              </w:rPr>
            </w:pPr>
            <w:r w:rsidRPr="00892DE3">
              <w:rPr>
                <w:b/>
                <w:sz w:val="17"/>
                <w:szCs w:val="20"/>
              </w:rPr>
              <w:t>Total other economic flows – other comprehensive income</w:t>
            </w:r>
          </w:p>
        </w:tc>
        <w:tc>
          <w:tcPr>
            <w:tcW w:w="850" w:type="dxa"/>
            <w:tcBorders>
              <w:top w:val="single" w:sz="6" w:space="0" w:color="auto"/>
              <w:left w:val="nil"/>
              <w:bottom w:val="single" w:sz="6"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3 023</w:t>
            </w:r>
          </w:p>
        </w:tc>
        <w:tc>
          <w:tcPr>
            <w:tcW w:w="850"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(763)</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3 640</w:t>
            </w:r>
          </w:p>
        </w:tc>
        <w:tc>
          <w:tcPr>
            <w:tcW w:w="848"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(1 074)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tcPr>
          <w:p w:rsidR="00AD47C0" w:rsidRPr="00892DE3" w:rsidRDefault="00AD47C0" w:rsidP="00F042B6">
            <w:pPr>
              <w:pStyle w:val="Tabletext"/>
              <w:rPr>
                <w:b/>
                <w:sz w:val="17"/>
                <w:szCs w:val="20"/>
              </w:rPr>
            </w:pPr>
            <w:r w:rsidRPr="00892DE3">
              <w:rPr>
                <w:b/>
                <w:sz w:val="17"/>
                <w:szCs w:val="20"/>
              </w:rPr>
              <w:t>Comprehensive result – total change in net worth</w:t>
            </w:r>
          </w:p>
        </w:tc>
        <w:tc>
          <w:tcPr>
            <w:tcW w:w="850" w:type="dxa"/>
            <w:tcBorders>
              <w:top w:val="single" w:sz="6" w:space="0" w:color="auto"/>
              <w:left w:val="nil"/>
              <w:bottom w:val="single" w:sz="12"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8 619</w:t>
            </w:r>
          </w:p>
        </w:tc>
        <w:tc>
          <w:tcPr>
            <w:tcW w:w="850"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(221)</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4 866</w:t>
            </w:r>
          </w:p>
        </w:tc>
        <w:tc>
          <w:tcPr>
            <w:tcW w:w="848"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8"/>
                <w:lang w:eastAsia="en-AU"/>
              </w:rPr>
              <w:t>165</w:t>
            </w:r>
          </w:p>
        </w:tc>
      </w:tr>
      <w:tr w:rsidR="00AD47C0" w:rsidRPr="00892DE3" w:rsidTr="00F042B6">
        <w:trPr>
          <w:trHeight w:hRule="exact" w:val="120"/>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 xml:space="preserve"> </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KEY FISCAL AGGREGATES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Net operating balance</w:t>
            </w:r>
            <w:r w:rsidR="00BC4184" w:rsidRPr="00892DE3">
              <w:rPr>
                <w:b/>
                <w:sz w:val="17"/>
                <w:szCs w:val="20"/>
              </w:rPr>
              <w:t xml:space="preserve"> </w:t>
            </w:r>
            <w:r w:rsidRPr="00892DE3">
              <w:rPr>
                <w:b/>
                <w:sz w:val="17"/>
                <w:szCs w:val="20"/>
                <w:vertAlign w:val="superscript"/>
              </w:rPr>
              <w:t>(a)</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406</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1 146</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1 387</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1 507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Less: Net acquisition of non</w:t>
            </w:r>
            <w:r w:rsidRPr="00892DE3">
              <w:rPr>
                <w:sz w:val="17"/>
                <w:szCs w:val="20"/>
              </w:rPr>
              <w:noBreakHyphen/>
              <w:t>financial assets from transactions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9.1</w:t>
            </w:r>
          </w:p>
        </w:tc>
        <w:tc>
          <w:tcPr>
            <w:tcW w:w="851"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1 254</w:t>
            </w:r>
          </w:p>
        </w:tc>
        <w:tc>
          <w:tcPr>
            <w:tcW w:w="850"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749</w:t>
            </w:r>
          </w:p>
        </w:tc>
        <w:tc>
          <w:tcPr>
            <w:tcW w:w="851"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171</w:t>
            </w:r>
          </w:p>
        </w:tc>
        <w:tc>
          <w:tcPr>
            <w:tcW w:w="848"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362</w:t>
            </w:r>
          </w:p>
        </w:tc>
      </w:tr>
      <w:tr w:rsidR="00AD47C0" w:rsidRPr="00892DE3" w:rsidTr="00F042B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rsidR="00AD47C0" w:rsidRPr="00892DE3" w:rsidRDefault="00AD47C0" w:rsidP="00F042B6">
            <w:pPr>
              <w:pStyle w:val="Tabletext"/>
              <w:rPr>
                <w:b w:val="0"/>
                <w:sz w:val="17"/>
                <w:szCs w:val="20"/>
              </w:rPr>
            </w:pPr>
            <w:r w:rsidRPr="00892DE3">
              <w:rPr>
                <w:b w:val="0"/>
                <w:sz w:val="17"/>
                <w:szCs w:val="20"/>
              </w:rPr>
              <w:t>Net lending/(borrowing)</w:t>
            </w:r>
            <w:r w:rsidR="00BC4184" w:rsidRPr="00892DE3">
              <w:rPr>
                <w:b w:val="0"/>
                <w:sz w:val="17"/>
                <w:szCs w:val="20"/>
              </w:rPr>
              <w:t xml:space="preserve"> </w:t>
            </w:r>
            <w:r w:rsidRPr="00892DE3">
              <w:rPr>
                <w:b w:val="0"/>
                <w:sz w:val="17"/>
                <w:szCs w:val="20"/>
                <w:vertAlign w:val="superscript"/>
              </w:rPr>
              <w:t>(a)</w:t>
            </w:r>
          </w:p>
        </w:tc>
        <w:tc>
          <w:tcPr>
            <w:tcW w:w="850" w:type="dxa"/>
            <w:tcBorders>
              <w:top w:val="single" w:sz="6" w:space="0" w:color="auto"/>
              <w:bottom w:val="single" w:sz="12" w:space="0" w:color="auto"/>
            </w:tcBorders>
          </w:tcPr>
          <w:p w:rsidR="00AD47C0" w:rsidRPr="00892DE3" w:rsidRDefault="00AD47C0" w:rsidP="00F042B6">
            <w:pPr>
              <w:pStyle w:val="TableTextCentred0"/>
              <w:cnfStyle w:val="010000000000" w:firstRow="0" w:lastRow="1"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bCs/>
                <w:color w:val="000000"/>
                <w:szCs w:val="16"/>
                <w:lang w:eastAsia="en-AU"/>
              </w:rPr>
              <w:t>(848)</w:t>
            </w:r>
          </w:p>
        </w:tc>
        <w:tc>
          <w:tcPr>
            <w:tcW w:w="850"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bCs/>
                <w:color w:val="000000"/>
                <w:szCs w:val="16"/>
                <w:lang w:eastAsia="en-AU"/>
              </w:rPr>
              <w:t>397</w:t>
            </w:r>
          </w:p>
        </w:tc>
        <w:tc>
          <w:tcPr>
            <w:tcW w:w="851"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bCs/>
                <w:color w:val="000000"/>
                <w:szCs w:val="16"/>
                <w:lang w:eastAsia="en-AU"/>
              </w:rPr>
              <w:t>1 216</w:t>
            </w:r>
          </w:p>
        </w:tc>
        <w:tc>
          <w:tcPr>
            <w:tcW w:w="848" w:type="dxa"/>
            <w:tcBorders>
              <w:top w:val="single" w:sz="6" w:space="0" w:color="auto"/>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bCs/>
                <w:color w:val="000000"/>
                <w:szCs w:val="16"/>
                <w:lang w:eastAsia="en-AU"/>
              </w:rPr>
              <w:t>1 144</w:t>
            </w:r>
          </w:p>
        </w:tc>
      </w:tr>
    </w:tbl>
    <w:p w:rsidR="00AD47C0" w:rsidRPr="00892DE3" w:rsidRDefault="00AD47C0" w:rsidP="00AD47C0">
      <w:pPr>
        <w:pStyle w:val="Source"/>
        <w:spacing w:after="40"/>
      </w:pPr>
      <w:r w:rsidRPr="00892DE3">
        <w:t>The accompanying notes form part of these financial statements.</w:t>
      </w:r>
    </w:p>
    <w:p w:rsidR="00AD47C0" w:rsidRPr="00892DE3" w:rsidRDefault="00AD47C0" w:rsidP="00AD47C0">
      <w:pPr>
        <w:pStyle w:val="Notes"/>
      </w:pPr>
      <w:r w:rsidRPr="00892DE3">
        <w:t>Note:</w:t>
      </w:r>
    </w:p>
    <w:p w:rsidR="00BC4184" w:rsidRPr="00892DE3" w:rsidRDefault="00AD47C0" w:rsidP="00BC4184">
      <w:pPr>
        <w:pStyle w:val="Notes"/>
      </w:pPr>
      <w:r w:rsidRPr="00892DE3">
        <w:t>(a)</w:t>
      </w:r>
      <w:r w:rsidRPr="00892DE3">
        <w:tab/>
        <w:t>Certain December 2015 comparative figures have been restated to reflect more current information, mainly including adjustments outlined in the 2015-16 Financial Report.</w:t>
      </w:r>
    </w:p>
    <w:p w:rsidR="00AD47C0" w:rsidRPr="00892DE3" w:rsidRDefault="00AD47C0" w:rsidP="00BC4184">
      <w:pPr>
        <w:pStyle w:val="TableHeading"/>
      </w:pPr>
      <w:r w:rsidRPr="00892DE3">
        <w:t>Table 1.10:</w:t>
      </w:r>
      <w:r w:rsidRPr="00892DE3">
        <w:tab/>
        <w:t xml:space="preserve">Consolidated balance sheet as at 31 December </w:t>
      </w:r>
      <w:r w:rsidRPr="00892DE3">
        <w:tab/>
        <w:t>($ million)</w:t>
      </w:r>
    </w:p>
    <w:tbl>
      <w:tblPr>
        <w:tblStyle w:val="DTFTable"/>
        <w:tblW w:w="9637" w:type="dxa"/>
        <w:tblInd w:w="43" w:type="dxa"/>
        <w:tblLayout w:type="fixed"/>
        <w:tblCellMar>
          <w:left w:w="43" w:type="dxa"/>
          <w:right w:w="43" w:type="dxa"/>
        </w:tblCellMar>
        <w:tblLook w:val="06E0" w:firstRow="1" w:lastRow="1" w:firstColumn="1" w:lastColumn="0" w:noHBand="1" w:noVBand="1"/>
      </w:tblPr>
      <w:tblGrid>
        <w:gridCol w:w="5387"/>
        <w:gridCol w:w="850"/>
        <w:gridCol w:w="851"/>
        <w:gridCol w:w="850"/>
        <w:gridCol w:w="851"/>
        <w:gridCol w:w="848"/>
      </w:tblGrid>
      <w:tr w:rsidR="00AD47C0"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nil"/>
              <w:right w:val="nil"/>
            </w:tcBorders>
            <w:shd w:val="clear" w:color="auto" w:fill="000000"/>
          </w:tcPr>
          <w:p w:rsidR="00AD47C0" w:rsidRPr="00892DE3" w:rsidRDefault="00AD47C0" w:rsidP="00F042B6">
            <w:pPr>
              <w:ind w:left="0" w:firstLine="0"/>
            </w:pPr>
          </w:p>
        </w:tc>
        <w:tc>
          <w:tcPr>
            <w:tcW w:w="850" w:type="dxa"/>
            <w:tcBorders>
              <w:top w:val="single" w:sz="4" w:space="0" w:color="auto"/>
              <w:left w:val="nil"/>
              <w:bottom w:val="nil"/>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p>
        </w:tc>
        <w:tc>
          <w:tcPr>
            <w:tcW w:w="1701" w:type="dxa"/>
            <w:gridSpan w:val="2"/>
            <w:tcBorders>
              <w:top w:val="single" w:sz="4" w:space="0" w:color="auto"/>
              <w:left w:val="nil"/>
              <w:bottom w:val="nil"/>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State of Victoria</w:t>
            </w:r>
          </w:p>
        </w:tc>
        <w:tc>
          <w:tcPr>
            <w:tcW w:w="1699" w:type="dxa"/>
            <w:gridSpan w:val="2"/>
            <w:tcBorders>
              <w:top w:val="single" w:sz="4" w:space="0" w:color="auto"/>
              <w:left w:val="nil"/>
              <w:bottom w:val="nil"/>
              <w:right w:val="single" w:sz="4" w:space="0" w:color="auto"/>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General</w:t>
            </w:r>
            <w:r w:rsidRPr="00892DE3">
              <w:br/>
              <w:t>government sector</w:t>
            </w:r>
          </w:p>
        </w:tc>
      </w:tr>
      <w:tr w:rsidR="00AD47C0"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6" w:space="0" w:color="auto"/>
              <w:right w:val="nil"/>
            </w:tcBorders>
            <w:shd w:val="solid" w:color="000000" w:fill="auto"/>
          </w:tcPr>
          <w:p w:rsidR="00AD47C0" w:rsidRPr="00892DE3" w:rsidRDefault="00AD47C0" w:rsidP="00F042B6">
            <w:pPr>
              <w:ind w:left="0" w:firstLine="0"/>
            </w:pPr>
            <w:r w:rsidRPr="00892DE3">
              <w:t xml:space="preserve"> </w:t>
            </w:r>
          </w:p>
        </w:tc>
        <w:tc>
          <w:tcPr>
            <w:tcW w:w="850" w:type="dxa"/>
            <w:tcBorders>
              <w:top w:val="single" w:sz="4" w:space="0" w:color="auto"/>
              <w:left w:val="nil"/>
              <w:bottom w:val="single" w:sz="6" w:space="0" w:color="auto"/>
              <w:right w:val="nil"/>
            </w:tcBorders>
            <w:shd w:val="solid" w:color="000000" w:fill="auto"/>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br/>
              <w:t>Notes</w:t>
            </w:r>
          </w:p>
        </w:tc>
        <w:tc>
          <w:tcPr>
            <w:tcW w:w="851" w:type="dxa"/>
            <w:tcBorders>
              <w:top w:val="single" w:sz="4" w:space="0" w:color="auto"/>
              <w:left w:val="nil"/>
              <w:bottom w:val="single" w:sz="6" w:space="0" w:color="auto"/>
              <w:right w:val="nil"/>
            </w:tcBorders>
            <w:shd w:val="solid" w:color="000000" w:fill="auto"/>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Dec</w:t>
            </w:r>
            <w:r w:rsidRPr="00892DE3">
              <w:br/>
              <w:t>2016</w:t>
            </w:r>
          </w:p>
        </w:tc>
        <w:tc>
          <w:tcPr>
            <w:tcW w:w="850" w:type="dxa"/>
            <w:tcBorders>
              <w:top w:val="single" w:sz="4" w:space="0" w:color="auto"/>
              <w:left w:val="nil"/>
              <w:bottom w:val="single" w:sz="6" w:space="0" w:color="auto"/>
              <w:right w:val="nil"/>
            </w:tcBorders>
            <w:shd w:val="solid" w:color="000000" w:fill="auto"/>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Jun </w:t>
            </w:r>
            <w:r w:rsidRPr="00892DE3">
              <w:br/>
              <w:t>2016</w:t>
            </w:r>
          </w:p>
        </w:tc>
        <w:tc>
          <w:tcPr>
            <w:tcW w:w="851" w:type="dxa"/>
            <w:tcBorders>
              <w:top w:val="single" w:sz="4" w:space="0" w:color="auto"/>
              <w:left w:val="nil"/>
              <w:bottom w:val="single" w:sz="6" w:space="0" w:color="auto"/>
              <w:right w:val="nil"/>
            </w:tcBorders>
            <w:shd w:val="solid" w:color="000000" w:fill="auto"/>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Dec </w:t>
            </w:r>
            <w:r w:rsidRPr="00892DE3">
              <w:br/>
              <w:t>2016</w:t>
            </w:r>
          </w:p>
        </w:tc>
        <w:tc>
          <w:tcPr>
            <w:tcW w:w="848" w:type="dxa"/>
            <w:tcBorders>
              <w:top w:val="single" w:sz="4" w:space="0" w:color="auto"/>
              <w:left w:val="nil"/>
              <w:bottom w:val="single" w:sz="6" w:space="0" w:color="auto"/>
              <w:right w:val="single" w:sz="4" w:space="0" w:color="auto"/>
            </w:tcBorders>
            <w:shd w:val="solid" w:color="000000" w:fill="auto"/>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Jun </w:t>
            </w:r>
            <w:r w:rsidRPr="00892DE3">
              <w:br/>
              <w:t>2016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Assets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b/>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Financial assets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b/>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Cash and deposits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5.2</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6 567</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6 676</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4 319</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4 772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Advances paid</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5.3</w:t>
            </w:r>
          </w:p>
        </w:tc>
        <w:tc>
          <w:tcPr>
            <w:tcW w:w="851"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201</w:t>
            </w:r>
          </w:p>
        </w:tc>
        <w:tc>
          <w:tcPr>
            <w:tcW w:w="850"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153</w:t>
            </w:r>
          </w:p>
        </w:tc>
        <w:tc>
          <w:tcPr>
            <w:tcW w:w="851"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14 156</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4 582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Receivables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6.2</w:t>
            </w:r>
          </w:p>
        </w:tc>
        <w:tc>
          <w:tcPr>
            <w:tcW w:w="851"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7 901</w:t>
            </w:r>
          </w:p>
        </w:tc>
        <w:tc>
          <w:tcPr>
            <w:tcW w:w="850"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7 793</w:t>
            </w:r>
          </w:p>
        </w:tc>
        <w:tc>
          <w:tcPr>
            <w:tcW w:w="851"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5 469</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5 566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Investments, loans and placements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5.3</w:t>
            </w:r>
          </w:p>
        </w:tc>
        <w:tc>
          <w:tcPr>
            <w:tcW w:w="851"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42 477</w:t>
            </w:r>
          </w:p>
        </w:tc>
        <w:tc>
          <w:tcPr>
            <w:tcW w:w="850"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35 534</w:t>
            </w:r>
          </w:p>
        </w:tc>
        <w:tc>
          <w:tcPr>
            <w:tcW w:w="851" w:type="dxa"/>
            <w:tcBorders>
              <w:top w:val="nil"/>
              <w:left w:val="nil"/>
              <w:bottom w:val="nil"/>
              <w:right w:val="nil"/>
            </w:tcBorders>
            <w:shd w:val="solid" w:color="FFFFFF" w:fill="auto"/>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5 516</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2 853</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Investments accounted for using the equity method</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4.6</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1 915</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1 918</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44</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tcPr>
          <w:p w:rsidR="00AD47C0" w:rsidRPr="00892DE3" w:rsidRDefault="00AD47C0" w:rsidP="00F042B6">
            <w:pPr>
              <w:pStyle w:val="Tabletext"/>
              <w:rPr>
                <w:sz w:val="17"/>
                <w:szCs w:val="20"/>
              </w:rPr>
            </w:pPr>
            <w:r w:rsidRPr="00892DE3">
              <w:rPr>
                <w:sz w:val="17"/>
                <w:szCs w:val="20"/>
              </w:rPr>
              <w:t>Investments in other sector entities</w:t>
            </w:r>
          </w:p>
        </w:tc>
        <w:tc>
          <w:tcPr>
            <w:tcW w:w="850" w:type="dxa"/>
            <w:tcBorders>
              <w:top w:val="nil"/>
              <w:left w:val="nil"/>
              <w:bottom w:val="single" w:sz="6"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rFonts w:eastAsiaTheme="minorEastAsia" w:cs="Calibri"/>
                <w:color w:val="00000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88 196</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94 710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tcPr>
          <w:p w:rsidR="00AD47C0" w:rsidRPr="00892DE3" w:rsidRDefault="00AD47C0" w:rsidP="00F042B6">
            <w:pPr>
              <w:pStyle w:val="Tabletext"/>
              <w:rPr>
                <w:b/>
                <w:sz w:val="17"/>
                <w:szCs w:val="20"/>
              </w:rPr>
            </w:pPr>
            <w:r w:rsidRPr="00892DE3">
              <w:rPr>
                <w:b/>
                <w:sz w:val="17"/>
                <w:szCs w:val="20"/>
              </w:rPr>
              <w:t>Total financial assets</w:t>
            </w:r>
          </w:p>
        </w:tc>
        <w:tc>
          <w:tcPr>
            <w:tcW w:w="850" w:type="dxa"/>
            <w:tcBorders>
              <w:top w:val="single" w:sz="6" w:space="0" w:color="auto"/>
              <w:left w:val="nil"/>
              <w:bottom w:val="single" w:sz="12"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rFonts w:eastAsiaTheme="minorEastAsia" w:cs="Calibri"/>
                <w:bCs/>
                <w:color w:val="000000"/>
              </w:rPr>
              <w:t xml:space="preserve"> </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59 062</w:t>
            </w:r>
          </w:p>
        </w:tc>
        <w:tc>
          <w:tcPr>
            <w:tcW w:w="850"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52 074</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117 701</w:t>
            </w:r>
          </w:p>
        </w:tc>
        <w:tc>
          <w:tcPr>
            <w:tcW w:w="848"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112 531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Non</w:t>
            </w:r>
            <w:r w:rsidRPr="00892DE3">
              <w:rPr>
                <w:b/>
                <w:sz w:val="17"/>
                <w:szCs w:val="20"/>
              </w:rPr>
              <w:noBreakHyphen/>
              <w:t>financial assets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rFonts w:eastAsiaTheme="minorEastAsia" w:cs="Calibri"/>
                <w:bCs/>
                <w:color w:val="00000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Inventories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6.1</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656</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709</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186</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188</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Non</w:t>
            </w:r>
            <w:r w:rsidRPr="00892DE3">
              <w:rPr>
                <w:sz w:val="17"/>
                <w:szCs w:val="20"/>
              </w:rPr>
              <w:noBreakHyphen/>
              <w:t>financial assets held for sale</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4.5</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190</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200</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183</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188</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vertAlign w:val="superscript"/>
              </w:rPr>
            </w:pPr>
            <w:r w:rsidRPr="00892DE3">
              <w:rPr>
                <w:sz w:val="17"/>
                <w:szCs w:val="20"/>
              </w:rPr>
              <w:t>Land, buildings, infrastructure, plant and equipment</w:t>
            </w:r>
            <w:r w:rsidRPr="00892DE3">
              <w:rPr>
                <w:sz w:val="17"/>
                <w:szCs w:val="20"/>
                <w:vertAlign w:val="superscript"/>
              </w:rPr>
              <w:t>(a)</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4.1</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227 504</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226 557</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114 148</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114 254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Other non</w:t>
            </w:r>
            <w:r w:rsidRPr="00892DE3">
              <w:rPr>
                <w:sz w:val="17"/>
                <w:szCs w:val="20"/>
              </w:rPr>
              <w:noBreakHyphen/>
              <w:t>financial assets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4.4</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2 638</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2 363</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1 432</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1 081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tcPr>
          <w:p w:rsidR="00AD47C0" w:rsidRPr="00892DE3" w:rsidRDefault="00AD47C0" w:rsidP="00F042B6">
            <w:pPr>
              <w:pStyle w:val="Tabletext"/>
              <w:rPr>
                <w:b/>
                <w:sz w:val="17"/>
                <w:szCs w:val="20"/>
                <w:vertAlign w:val="superscript"/>
              </w:rPr>
            </w:pPr>
            <w:r w:rsidRPr="00892DE3">
              <w:rPr>
                <w:b/>
                <w:sz w:val="17"/>
                <w:szCs w:val="20"/>
              </w:rPr>
              <w:t>Total non</w:t>
            </w:r>
            <w:r w:rsidRPr="00892DE3">
              <w:rPr>
                <w:b/>
                <w:sz w:val="17"/>
                <w:szCs w:val="20"/>
              </w:rPr>
              <w:noBreakHyphen/>
              <w:t>financial assets</w:t>
            </w:r>
          </w:p>
        </w:tc>
        <w:tc>
          <w:tcPr>
            <w:tcW w:w="850" w:type="dxa"/>
            <w:tcBorders>
              <w:top w:val="single" w:sz="6" w:space="0" w:color="auto"/>
              <w:left w:val="nil"/>
              <w:bottom w:val="single" w:sz="6"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rFonts w:eastAsiaTheme="minorEastAsia" w:cs="Calibri"/>
                <w:bCs/>
                <w:color w:val="000000"/>
              </w:rPr>
              <w:t xml:space="preserve"> </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230 986</w:t>
            </w:r>
          </w:p>
        </w:tc>
        <w:tc>
          <w:tcPr>
            <w:tcW w:w="850"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229 829</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115 949</w:t>
            </w:r>
          </w:p>
        </w:tc>
        <w:tc>
          <w:tcPr>
            <w:tcW w:w="848"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115 711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vertAlign w:val="superscript"/>
              </w:rPr>
            </w:pPr>
            <w:r w:rsidRPr="00892DE3">
              <w:rPr>
                <w:b/>
                <w:sz w:val="17"/>
                <w:szCs w:val="20"/>
              </w:rPr>
              <w:t>Total assets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3.6</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290 048</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281 903</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233 649</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228 242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Liabilities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Deposits held and advances received</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1 718</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2 628</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10 393</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706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Payables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6.3</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18 288</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7 937</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5 084</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5 773</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Borrowings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5.1</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48 307</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53 959</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27 986</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33 811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Employee benefits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3.1</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6 725</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6 647</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6 244</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6 137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Superannuation</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6.4</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26 625</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29 354</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26 566</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29 291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tcPr>
          <w:p w:rsidR="00AD47C0" w:rsidRPr="00892DE3" w:rsidRDefault="00AD47C0" w:rsidP="00F042B6">
            <w:pPr>
              <w:pStyle w:val="Tabletext"/>
              <w:rPr>
                <w:sz w:val="17"/>
                <w:szCs w:val="20"/>
              </w:rPr>
            </w:pPr>
            <w:r w:rsidRPr="00892DE3">
              <w:rPr>
                <w:sz w:val="17"/>
                <w:szCs w:val="20"/>
              </w:rPr>
              <w:t>Other provisions</w:t>
            </w:r>
          </w:p>
        </w:tc>
        <w:tc>
          <w:tcPr>
            <w:tcW w:w="850" w:type="dxa"/>
            <w:tcBorders>
              <w:top w:val="nil"/>
              <w:left w:val="nil"/>
              <w:bottom w:val="single" w:sz="6"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6.5</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27 533</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29 085</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866</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829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tcPr>
          <w:p w:rsidR="00AD47C0" w:rsidRPr="00892DE3" w:rsidRDefault="00AD47C0" w:rsidP="00F042B6">
            <w:pPr>
              <w:pStyle w:val="Tabletext"/>
              <w:rPr>
                <w:b/>
                <w:sz w:val="17"/>
                <w:szCs w:val="20"/>
              </w:rPr>
            </w:pPr>
            <w:r w:rsidRPr="00892DE3">
              <w:rPr>
                <w:b/>
                <w:sz w:val="17"/>
                <w:szCs w:val="20"/>
              </w:rPr>
              <w:t>Total liabilities</w:t>
            </w:r>
          </w:p>
        </w:tc>
        <w:tc>
          <w:tcPr>
            <w:tcW w:w="850" w:type="dxa"/>
            <w:tcBorders>
              <w:top w:val="single" w:sz="6" w:space="0" w:color="auto"/>
              <w:left w:val="nil"/>
              <w:bottom w:val="single" w:sz="6"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rFonts w:eastAsiaTheme="minorEastAsia" w:cs="Calibri"/>
                <w:bCs/>
                <w:color w:val="000000"/>
              </w:rPr>
              <w:t xml:space="preserve"> </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129 196</w:t>
            </w:r>
          </w:p>
        </w:tc>
        <w:tc>
          <w:tcPr>
            <w:tcW w:w="850"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129 611</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77 139</w:t>
            </w:r>
          </w:p>
        </w:tc>
        <w:tc>
          <w:tcPr>
            <w:tcW w:w="848" w:type="dxa"/>
            <w:tcBorders>
              <w:top w:val="single" w:sz="6" w:space="0" w:color="auto"/>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76 547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tcPr>
          <w:p w:rsidR="00AD47C0" w:rsidRPr="00892DE3" w:rsidRDefault="00AD47C0" w:rsidP="00F042B6">
            <w:pPr>
              <w:pStyle w:val="Tabletext"/>
              <w:rPr>
                <w:b/>
                <w:sz w:val="17"/>
                <w:szCs w:val="20"/>
              </w:rPr>
            </w:pPr>
            <w:r w:rsidRPr="00892DE3">
              <w:rPr>
                <w:b/>
                <w:sz w:val="17"/>
                <w:szCs w:val="20"/>
              </w:rPr>
              <w:t>Net assets</w:t>
            </w:r>
          </w:p>
        </w:tc>
        <w:tc>
          <w:tcPr>
            <w:tcW w:w="850" w:type="dxa"/>
            <w:tcBorders>
              <w:top w:val="single" w:sz="6" w:space="0" w:color="auto"/>
              <w:left w:val="nil"/>
              <w:bottom w:val="single" w:sz="12"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rFonts w:eastAsiaTheme="minorEastAsia" w:cs="Calibri"/>
                <w:bCs/>
                <w:color w:val="000000"/>
              </w:rPr>
              <w:t xml:space="preserve"> </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160 852</w:t>
            </w:r>
          </w:p>
        </w:tc>
        <w:tc>
          <w:tcPr>
            <w:tcW w:w="850"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152 291</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156 511</w:t>
            </w:r>
          </w:p>
        </w:tc>
        <w:tc>
          <w:tcPr>
            <w:tcW w:w="848"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151 695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vertAlign w:val="superscript"/>
              </w:rPr>
            </w:pPr>
            <w:r w:rsidRPr="00892DE3">
              <w:rPr>
                <w:sz w:val="17"/>
                <w:szCs w:val="20"/>
              </w:rPr>
              <w:t>Accumulated surplus/(deficit)</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rFonts w:eastAsiaTheme="minorEastAsia" w:cs="Calibri"/>
                <w:color w:val="00000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72 737</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56 234</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48 714</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44 454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Reserves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rFonts w:eastAsiaTheme="minorEastAsia" w:cs="Calibri"/>
                <w:color w:val="00000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88 115</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96 008</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107 797</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107 191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tcPr>
          <w:p w:rsidR="00AD47C0" w:rsidRPr="00892DE3" w:rsidRDefault="00AD47C0" w:rsidP="00F042B6">
            <w:pPr>
              <w:pStyle w:val="Tabletext"/>
              <w:rPr>
                <w:sz w:val="17"/>
                <w:szCs w:val="20"/>
              </w:rPr>
            </w:pPr>
            <w:r w:rsidRPr="00892DE3">
              <w:rPr>
                <w:sz w:val="17"/>
                <w:szCs w:val="20"/>
              </w:rPr>
              <w:t>Non</w:t>
            </w:r>
            <w:r w:rsidRPr="00892DE3">
              <w:rPr>
                <w:sz w:val="17"/>
                <w:szCs w:val="20"/>
              </w:rPr>
              <w:noBreakHyphen/>
              <w:t>controlling interest</w:t>
            </w:r>
          </w:p>
        </w:tc>
        <w:tc>
          <w:tcPr>
            <w:tcW w:w="850" w:type="dxa"/>
            <w:tcBorders>
              <w:top w:val="nil"/>
              <w:left w:val="nil"/>
              <w:bottom w:val="single" w:sz="6"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rFonts w:eastAsiaTheme="minorEastAsia" w:cs="Calibri"/>
                <w:color w:val="00000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50</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50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tcPr>
          <w:p w:rsidR="00AD47C0" w:rsidRPr="00892DE3" w:rsidRDefault="00AD47C0" w:rsidP="00F042B6">
            <w:pPr>
              <w:pStyle w:val="Tabletext"/>
              <w:rPr>
                <w:b/>
                <w:sz w:val="17"/>
                <w:szCs w:val="20"/>
              </w:rPr>
            </w:pPr>
            <w:r w:rsidRPr="00892DE3">
              <w:rPr>
                <w:b/>
                <w:sz w:val="17"/>
                <w:szCs w:val="20"/>
              </w:rPr>
              <w:t>Net worth</w:t>
            </w:r>
            <w:r w:rsidR="00BC4184" w:rsidRPr="00892DE3">
              <w:rPr>
                <w:b/>
                <w:sz w:val="17"/>
                <w:szCs w:val="20"/>
              </w:rPr>
              <w:t xml:space="preserve"> </w:t>
            </w:r>
            <w:r w:rsidRPr="00892DE3">
              <w:rPr>
                <w:b/>
                <w:sz w:val="17"/>
                <w:szCs w:val="20"/>
                <w:vertAlign w:val="superscript"/>
              </w:rPr>
              <w:t>(a)</w:t>
            </w:r>
          </w:p>
        </w:tc>
        <w:tc>
          <w:tcPr>
            <w:tcW w:w="850" w:type="dxa"/>
            <w:tcBorders>
              <w:top w:val="single" w:sz="6" w:space="0" w:color="auto"/>
              <w:left w:val="nil"/>
              <w:bottom w:val="single" w:sz="12" w:space="0" w:color="auto"/>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rFonts w:eastAsiaTheme="minorEastAsia" w:cs="Calibri"/>
                <w:bCs/>
                <w:color w:val="000000"/>
              </w:rPr>
              <w:t xml:space="preserve"> </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160 852</w:t>
            </w:r>
          </w:p>
        </w:tc>
        <w:tc>
          <w:tcPr>
            <w:tcW w:w="850"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152 291</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156 511</w:t>
            </w:r>
          </w:p>
        </w:tc>
        <w:tc>
          <w:tcPr>
            <w:tcW w:w="848" w:type="dxa"/>
            <w:tcBorders>
              <w:top w:val="single" w:sz="6" w:space="0" w:color="auto"/>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151 695</w:t>
            </w:r>
          </w:p>
        </w:tc>
      </w:tr>
      <w:tr w:rsidR="00AD47C0" w:rsidRPr="00892DE3" w:rsidTr="00F042B6">
        <w:trPr>
          <w:trHeight w:hRule="exact" w:val="120"/>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 xml:space="preserve"> </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rFonts w:eastAsiaTheme="minorEastAsia" w:cs="Calibri"/>
                <w:color w:val="00000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FISCAL AGGREGATES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rFonts w:eastAsiaTheme="minorEastAsia" w:cs="Calibri"/>
                <w:bCs/>
                <w:color w:val="00000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 xml:space="preserve">Net financial worth </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rFonts w:eastAsiaTheme="minorEastAsia" w:cs="Calibri"/>
                <w:color w:val="00000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(70 135)</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(77 538)</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40 562</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35 984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sz w:val="17"/>
                <w:szCs w:val="20"/>
              </w:rPr>
            </w:pPr>
            <w:r w:rsidRPr="00892DE3">
              <w:rPr>
                <w:sz w:val="17"/>
                <w:szCs w:val="20"/>
              </w:rPr>
              <w:t>Net financial liabilities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rFonts w:eastAsiaTheme="minorEastAsia" w:cs="Calibri"/>
                <w:color w:val="00000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70 135</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77 538</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47 634</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szCs w:val="16"/>
                <w:lang w:eastAsia="en-AU"/>
              </w:rPr>
              <w:t>58 727</w:t>
            </w:r>
          </w:p>
        </w:tc>
      </w:tr>
      <w:tr w:rsidR="00AD47C0" w:rsidRPr="00892DE3" w:rsidTr="00F042B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nil"/>
              <w:bottom w:val="single" w:sz="12" w:space="0" w:color="auto"/>
            </w:tcBorders>
          </w:tcPr>
          <w:p w:rsidR="00AD47C0" w:rsidRPr="00892DE3" w:rsidRDefault="00AD47C0" w:rsidP="00F042B6">
            <w:pPr>
              <w:pStyle w:val="Tabletext"/>
              <w:rPr>
                <w:sz w:val="17"/>
                <w:szCs w:val="20"/>
              </w:rPr>
            </w:pPr>
            <w:r w:rsidRPr="00892DE3">
              <w:rPr>
                <w:sz w:val="17"/>
                <w:szCs w:val="20"/>
              </w:rPr>
              <w:t>Net debt</w:t>
            </w:r>
          </w:p>
        </w:tc>
        <w:tc>
          <w:tcPr>
            <w:tcW w:w="850" w:type="dxa"/>
            <w:tcBorders>
              <w:top w:val="nil"/>
              <w:bottom w:val="single" w:sz="12" w:space="0" w:color="auto"/>
            </w:tcBorders>
          </w:tcPr>
          <w:p w:rsidR="00AD47C0" w:rsidRPr="00892DE3" w:rsidRDefault="00AD47C0" w:rsidP="00F042B6">
            <w:pPr>
              <w:pStyle w:val="TableTextCentred0"/>
              <w:cnfStyle w:val="010000000000" w:firstRow="0" w:lastRow="1" w:firstColumn="0" w:lastColumn="0" w:oddVBand="0" w:evenVBand="0" w:oddHBand="0" w:evenHBand="0" w:firstRowFirstColumn="0" w:firstRowLastColumn="0" w:lastRowFirstColumn="0" w:lastRowLastColumn="0"/>
              <w:rPr>
                <w:b w:val="0"/>
                <w:sz w:val="17"/>
                <w:szCs w:val="20"/>
              </w:rPr>
            </w:pPr>
            <w:r w:rsidRPr="00892DE3">
              <w:rPr>
                <w:rFonts w:eastAsiaTheme="minorEastAsia" w:cs="Calibri"/>
                <w:color w:val="000000"/>
              </w:rPr>
              <w:t xml:space="preserve"> </w:t>
            </w:r>
          </w:p>
        </w:tc>
        <w:tc>
          <w:tcPr>
            <w:tcW w:w="851" w:type="dxa"/>
            <w:tcBorders>
              <w:top w:val="nil"/>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color w:val="000000"/>
                <w:szCs w:val="16"/>
                <w:lang w:eastAsia="en-AU"/>
              </w:rPr>
              <w:t>780</w:t>
            </w:r>
          </w:p>
        </w:tc>
        <w:tc>
          <w:tcPr>
            <w:tcW w:w="850" w:type="dxa"/>
            <w:tcBorders>
              <w:top w:val="nil"/>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color w:val="000000"/>
                <w:szCs w:val="16"/>
                <w:lang w:eastAsia="en-AU"/>
              </w:rPr>
              <w:t>14 224</w:t>
            </w:r>
          </w:p>
        </w:tc>
        <w:tc>
          <w:tcPr>
            <w:tcW w:w="851" w:type="dxa"/>
            <w:tcBorders>
              <w:top w:val="nil"/>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color w:val="000000"/>
                <w:szCs w:val="16"/>
                <w:lang w:eastAsia="en-AU"/>
              </w:rPr>
              <w:t>14 387</w:t>
            </w:r>
          </w:p>
        </w:tc>
        <w:tc>
          <w:tcPr>
            <w:tcW w:w="848" w:type="dxa"/>
            <w:tcBorders>
              <w:top w:val="nil"/>
              <w:bottom w:val="single" w:sz="12" w:space="0" w:color="auto"/>
            </w:tcBorders>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color w:val="000000"/>
                <w:szCs w:val="16"/>
                <w:lang w:eastAsia="en-AU"/>
              </w:rPr>
              <w:t>22 309</w:t>
            </w:r>
          </w:p>
        </w:tc>
      </w:tr>
    </w:tbl>
    <w:p w:rsidR="00AD47C0" w:rsidRPr="00892DE3" w:rsidRDefault="00AD47C0" w:rsidP="00AD47C0">
      <w:pPr>
        <w:pStyle w:val="Source"/>
      </w:pPr>
      <w:r w:rsidRPr="00892DE3">
        <w:t>The accompanying notes form part of these financial statements.</w:t>
      </w:r>
    </w:p>
    <w:p w:rsidR="00AD47C0" w:rsidRPr="00892DE3" w:rsidRDefault="00AD47C0" w:rsidP="00AD47C0">
      <w:r w:rsidRPr="00892DE3">
        <w:br w:type="page"/>
      </w:r>
    </w:p>
    <w:p w:rsidR="00AD47C0" w:rsidRPr="00892DE3" w:rsidRDefault="00AD47C0" w:rsidP="00AD47C0">
      <w:pPr>
        <w:pStyle w:val="TableHeading"/>
      </w:pPr>
      <w:r w:rsidRPr="00892DE3">
        <w:t>Table 1.11:</w:t>
      </w:r>
      <w:r w:rsidRPr="00892DE3">
        <w:tab/>
        <w:t xml:space="preserve">Consolidated cash flow statement for the six months ended 31 December </w:t>
      </w:r>
      <w:r w:rsidRPr="00892DE3">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387"/>
        <w:gridCol w:w="850"/>
        <w:gridCol w:w="851"/>
        <w:gridCol w:w="850"/>
        <w:gridCol w:w="851"/>
        <w:gridCol w:w="848"/>
      </w:tblGrid>
      <w:tr w:rsidR="00AD47C0" w:rsidRPr="00892DE3" w:rsidTr="00F042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single" w:sz="6" w:space="0" w:color="auto"/>
              <w:bottom w:val="nil"/>
              <w:right w:val="nil"/>
            </w:tcBorders>
            <w:shd w:val="clear" w:color="000000" w:fill="000000"/>
          </w:tcPr>
          <w:p w:rsidR="00AD47C0" w:rsidRPr="00892DE3" w:rsidRDefault="00AD47C0" w:rsidP="00F042B6">
            <w:pPr>
              <w:spacing w:after="0"/>
              <w:ind w:left="0" w:firstLine="0"/>
            </w:pPr>
          </w:p>
        </w:tc>
        <w:tc>
          <w:tcPr>
            <w:tcW w:w="850" w:type="dxa"/>
            <w:tcBorders>
              <w:top w:val="single" w:sz="6" w:space="0" w:color="auto"/>
              <w:left w:val="nil"/>
              <w:bottom w:val="nil"/>
              <w:right w:val="nil"/>
            </w:tcBorders>
            <w:shd w:val="clear" w:color="000000" w:fill="000000"/>
          </w:tcPr>
          <w:p w:rsidR="00AD47C0" w:rsidRPr="00892DE3" w:rsidRDefault="00AD47C0" w:rsidP="00F042B6">
            <w:pPr>
              <w:spacing w:after="0"/>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701" w:type="dxa"/>
            <w:gridSpan w:val="2"/>
            <w:tcBorders>
              <w:top w:val="single" w:sz="6" w:space="0" w:color="auto"/>
              <w:left w:val="nil"/>
              <w:bottom w:val="nil"/>
              <w:right w:val="nil"/>
            </w:tcBorders>
            <w:shd w:val="clear" w:color="000000" w:fill="000000"/>
          </w:tcPr>
          <w:p w:rsidR="00AD47C0" w:rsidRPr="00892DE3" w:rsidRDefault="00AD47C0" w:rsidP="00F042B6">
            <w:pPr>
              <w:spacing w:after="0"/>
              <w:jc w:val="center"/>
              <w:cnfStyle w:val="100000000000" w:firstRow="1" w:lastRow="0" w:firstColumn="0" w:lastColumn="0" w:oddVBand="0" w:evenVBand="0" w:oddHBand="0" w:evenHBand="0" w:firstRowFirstColumn="0" w:firstRowLastColumn="0" w:lastRowFirstColumn="0" w:lastRowLastColumn="0"/>
            </w:pPr>
            <w:r w:rsidRPr="00892DE3">
              <w:t>State of Victoria</w:t>
            </w:r>
          </w:p>
        </w:tc>
        <w:tc>
          <w:tcPr>
            <w:tcW w:w="1699" w:type="dxa"/>
            <w:gridSpan w:val="2"/>
            <w:tcBorders>
              <w:top w:val="single" w:sz="6" w:space="0" w:color="auto"/>
              <w:left w:val="nil"/>
              <w:bottom w:val="nil"/>
              <w:right w:val="single" w:sz="6" w:space="0" w:color="auto"/>
            </w:tcBorders>
            <w:shd w:val="clear" w:color="000000" w:fill="000000"/>
          </w:tcPr>
          <w:p w:rsidR="00AD47C0" w:rsidRPr="00892DE3" w:rsidRDefault="00AD47C0" w:rsidP="00F042B6">
            <w:pPr>
              <w:spacing w:after="0"/>
              <w:jc w:val="center"/>
              <w:cnfStyle w:val="100000000000" w:firstRow="1" w:lastRow="0" w:firstColumn="0" w:lastColumn="0" w:oddVBand="0" w:evenVBand="0" w:oddHBand="0" w:evenHBand="0" w:firstRowFirstColumn="0" w:firstRowLastColumn="0" w:lastRowFirstColumn="0" w:lastRowLastColumn="0"/>
            </w:pPr>
            <w:r w:rsidRPr="00892DE3">
              <w:t>General</w:t>
            </w:r>
            <w:r w:rsidRPr="00892DE3">
              <w:br/>
              <w:t>government sector</w:t>
            </w:r>
          </w:p>
        </w:tc>
      </w:tr>
      <w:tr w:rsidR="00AD47C0" w:rsidRPr="00892DE3" w:rsidTr="00F042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87" w:type="dxa"/>
            <w:tcBorders>
              <w:top w:val="nil"/>
              <w:left w:val="single" w:sz="6" w:space="0" w:color="auto"/>
              <w:bottom w:val="single" w:sz="6" w:space="0" w:color="auto"/>
              <w:right w:val="nil"/>
            </w:tcBorders>
            <w:shd w:val="clear" w:color="000000" w:fill="000000"/>
          </w:tcPr>
          <w:p w:rsidR="00AD47C0" w:rsidRPr="00892DE3" w:rsidRDefault="00AD47C0" w:rsidP="00F042B6">
            <w:pPr>
              <w:spacing w:after="0"/>
              <w:ind w:left="0" w:firstLine="0"/>
            </w:pPr>
            <w:r w:rsidRPr="00892DE3">
              <w:t xml:space="preserve"> </w:t>
            </w:r>
          </w:p>
        </w:tc>
        <w:tc>
          <w:tcPr>
            <w:tcW w:w="850" w:type="dxa"/>
            <w:tcBorders>
              <w:top w:val="nil"/>
              <w:left w:val="nil"/>
              <w:bottom w:val="single" w:sz="6" w:space="0" w:color="auto"/>
              <w:right w:val="nil"/>
            </w:tcBorders>
            <w:shd w:val="clear" w:color="000000" w:fill="000000"/>
          </w:tcPr>
          <w:p w:rsidR="00AD47C0" w:rsidRPr="00892DE3" w:rsidRDefault="00AD47C0" w:rsidP="00F042B6">
            <w:pPr>
              <w:spacing w:after="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51" w:type="dxa"/>
            <w:tcBorders>
              <w:top w:val="nil"/>
              <w:left w:val="nil"/>
              <w:bottom w:val="single" w:sz="6" w:space="0" w:color="auto"/>
              <w:right w:val="nil"/>
            </w:tcBorders>
            <w:shd w:val="clear" w:color="000000" w:fill="000000"/>
          </w:tcPr>
          <w:p w:rsidR="00AD47C0" w:rsidRPr="00892DE3" w:rsidRDefault="00AD47C0" w:rsidP="00F042B6">
            <w:pPr>
              <w:spacing w:after="0"/>
              <w:cnfStyle w:val="100000000000" w:firstRow="1" w:lastRow="0" w:firstColumn="0" w:lastColumn="0" w:oddVBand="0" w:evenVBand="0" w:oddHBand="0" w:evenHBand="0" w:firstRowFirstColumn="0" w:firstRowLastColumn="0" w:lastRowFirstColumn="0" w:lastRowLastColumn="0"/>
            </w:pPr>
            <w:r w:rsidRPr="00892DE3">
              <w:t>2016</w:t>
            </w:r>
          </w:p>
        </w:tc>
        <w:tc>
          <w:tcPr>
            <w:tcW w:w="850" w:type="dxa"/>
            <w:tcBorders>
              <w:top w:val="nil"/>
              <w:left w:val="nil"/>
              <w:bottom w:val="single" w:sz="6" w:space="0" w:color="auto"/>
              <w:right w:val="nil"/>
            </w:tcBorders>
            <w:shd w:val="clear" w:color="000000" w:fill="000000"/>
          </w:tcPr>
          <w:p w:rsidR="00AD47C0" w:rsidRPr="00892DE3" w:rsidRDefault="00AD47C0" w:rsidP="00F042B6">
            <w:pPr>
              <w:spacing w:after="0"/>
              <w:cnfStyle w:val="100000000000" w:firstRow="1" w:lastRow="0" w:firstColumn="0" w:lastColumn="0" w:oddVBand="0" w:evenVBand="0" w:oddHBand="0" w:evenHBand="0" w:firstRowFirstColumn="0" w:firstRowLastColumn="0" w:lastRowFirstColumn="0" w:lastRowLastColumn="0"/>
            </w:pPr>
            <w:r w:rsidRPr="00892DE3">
              <w:t xml:space="preserve">2015 </w:t>
            </w:r>
            <w:r w:rsidRPr="00892DE3">
              <w:rPr>
                <w:vertAlign w:val="superscript"/>
              </w:rPr>
              <w:t>(a)</w:t>
            </w:r>
          </w:p>
        </w:tc>
        <w:tc>
          <w:tcPr>
            <w:tcW w:w="851" w:type="dxa"/>
            <w:tcBorders>
              <w:top w:val="nil"/>
              <w:left w:val="nil"/>
              <w:bottom w:val="single" w:sz="6" w:space="0" w:color="auto"/>
              <w:right w:val="nil"/>
            </w:tcBorders>
            <w:shd w:val="clear" w:color="000000" w:fill="000000"/>
          </w:tcPr>
          <w:p w:rsidR="00AD47C0" w:rsidRPr="00892DE3" w:rsidRDefault="00AD47C0" w:rsidP="00F042B6">
            <w:pPr>
              <w:spacing w:after="0"/>
              <w:cnfStyle w:val="100000000000" w:firstRow="1" w:lastRow="0" w:firstColumn="0" w:lastColumn="0" w:oddVBand="0" w:evenVBand="0" w:oddHBand="0" w:evenHBand="0" w:firstRowFirstColumn="0" w:firstRowLastColumn="0" w:lastRowFirstColumn="0" w:lastRowLastColumn="0"/>
            </w:pPr>
            <w:r w:rsidRPr="00892DE3">
              <w:t>2016</w:t>
            </w:r>
          </w:p>
        </w:tc>
        <w:tc>
          <w:tcPr>
            <w:tcW w:w="848" w:type="dxa"/>
            <w:tcBorders>
              <w:top w:val="nil"/>
              <w:left w:val="nil"/>
              <w:bottom w:val="single" w:sz="6" w:space="0" w:color="auto"/>
              <w:right w:val="single" w:sz="6" w:space="0" w:color="auto"/>
            </w:tcBorders>
            <w:shd w:val="clear" w:color="000000" w:fill="000000"/>
          </w:tcPr>
          <w:p w:rsidR="00AD47C0" w:rsidRPr="00892DE3" w:rsidRDefault="00AD47C0" w:rsidP="00F042B6">
            <w:pPr>
              <w:spacing w:after="0"/>
              <w:cnfStyle w:val="100000000000" w:firstRow="1" w:lastRow="0" w:firstColumn="0" w:lastColumn="0" w:oddVBand="0" w:evenVBand="0" w:oddHBand="0" w:evenHBand="0" w:firstRowFirstColumn="0" w:firstRowLastColumn="0" w:lastRowFirstColumn="0" w:lastRowLastColumn="0"/>
            </w:pPr>
            <w:r w:rsidRPr="00892DE3">
              <w:t xml:space="preserve">2015 </w:t>
            </w:r>
            <w:r w:rsidRPr="00892DE3">
              <w:rPr>
                <w:vertAlign w:val="superscript"/>
              </w:rPr>
              <w:t>(a)</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nil"/>
              <w:right w:val="nil"/>
            </w:tcBorders>
          </w:tcPr>
          <w:p w:rsidR="00AD47C0" w:rsidRPr="00892DE3" w:rsidRDefault="00AD47C0" w:rsidP="00F042B6">
            <w:pPr>
              <w:pStyle w:val="Tabletext"/>
              <w:spacing w:after="0"/>
              <w:rPr>
                <w:b/>
                <w:sz w:val="17"/>
                <w:szCs w:val="20"/>
              </w:rPr>
            </w:pPr>
            <w:r w:rsidRPr="00892DE3">
              <w:rPr>
                <w:b/>
                <w:sz w:val="17"/>
                <w:szCs w:val="20"/>
              </w:rPr>
              <w:t>Cash flows from operating activities</w:t>
            </w:r>
          </w:p>
        </w:tc>
        <w:tc>
          <w:tcPr>
            <w:tcW w:w="850" w:type="dxa"/>
            <w:tcBorders>
              <w:top w:val="single" w:sz="6" w:space="0" w:color="auto"/>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0"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1"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48"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b/>
                <w:sz w:val="17"/>
                <w:szCs w:val="20"/>
              </w:rPr>
            </w:pPr>
            <w:r w:rsidRPr="00892DE3">
              <w:rPr>
                <w:b/>
                <w:sz w:val="17"/>
                <w:szCs w:val="20"/>
              </w:rPr>
              <w:t>Receipts</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Taxes received</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10 688</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9 702</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10 883</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9 935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Grants</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13 288</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12 251</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13 320</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12 300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Sales of goods and services</w:t>
            </w:r>
            <w:r w:rsidR="00BC4184" w:rsidRPr="00892DE3">
              <w:rPr>
                <w:sz w:val="17"/>
                <w:szCs w:val="20"/>
              </w:rPr>
              <w:t xml:space="preserve"> </w:t>
            </w:r>
            <w:r w:rsidRPr="00892DE3">
              <w:rPr>
                <w:sz w:val="17"/>
                <w:szCs w:val="20"/>
                <w:vertAlign w:val="superscript"/>
              </w:rPr>
              <w:t>(b)</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17 833</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8 557</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3 781</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3 527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Interest received</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240</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264</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377</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372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ind w:left="256" w:hanging="256"/>
              <w:rPr>
                <w:sz w:val="17"/>
                <w:szCs w:val="20"/>
              </w:rPr>
            </w:pPr>
            <w:r w:rsidRPr="00892DE3">
              <w:rPr>
                <w:sz w:val="17"/>
                <w:szCs w:val="20"/>
              </w:rPr>
              <w:t>Dividends and income tax equivalent and rate equivalent receipts</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536</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766</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523</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605</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Other receipts</w:t>
            </w:r>
          </w:p>
        </w:tc>
        <w:tc>
          <w:tcPr>
            <w:tcW w:w="850" w:type="dxa"/>
            <w:tcBorders>
              <w:top w:val="nil"/>
              <w:left w:val="nil"/>
              <w:bottom w:val="single" w:sz="6" w:space="0" w:color="auto"/>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1 306</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1 173</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833</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939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nil"/>
              <w:right w:val="nil"/>
            </w:tcBorders>
          </w:tcPr>
          <w:p w:rsidR="00AD47C0" w:rsidRPr="00892DE3" w:rsidRDefault="00AD47C0" w:rsidP="00F042B6">
            <w:pPr>
              <w:pStyle w:val="Tabletext"/>
              <w:spacing w:after="0"/>
              <w:rPr>
                <w:b/>
                <w:sz w:val="17"/>
                <w:szCs w:val="20"/>
              </w:rPr>
            </w:pPr>
            <w:r w:rsidRPr="00892DE3">
              <w:rPr>
                <w:b/>
                <w:sz w:val="17"/>
                <w:szCs w:val="20"/>
              </w:rPr>
              <w:t>Total receipts</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43 891</w:t>
            </w:r>
          </w:p>
        </w:tc>
        <w:tc>
          <w:tcPr>
            <w:tcW w:w="850"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32 712</w:t>
            </w:r>
          </w:p>
        </w:tc>
        <w:tc>
          <w:tcPr>
            <w:tcW w:w="851"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29 715</w:t>
            </w:r>
          </w:p>
        </w:tc>
        <w:tc>
          <w:tcPr>
            <w:tcW w:w="848"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27 677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b/>
                <w:sz w:val="17"/>
                <w:szCs w:val="20"/>
              </w:rPr>
            </w:pPr>
            <w:r w:rsidRPr="00892DE3">
              <w:rPr>
                <w:b/>
                <w:sz w:val="17"/>
                <w:szCs w:val="20"/>
              </w:rPr>
              <w:t>Payments</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Payments for employees</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(10 855)</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(10 135)</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(10 286)</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(9 622)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Superannuation</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(1 313)</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(1 595)</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(1 237)</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(1 530)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Interest paid</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(1 416)</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(1 365)</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(1 022)</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(1 031)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 xml:space="preserve">Grants and subsidies </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(3 243)</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(2 875)</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(5 087)</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(4 336)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Goods and services</w:t>
            </w:r>
            <w:r w:rsidR="00BC4184" w:rsidRPr="00892DE3">
              <w:rPr>
                <w:sz w:val="17"/>
                <w:szCs w:val="20"/>
              </w:rPr>
              <w:t xml:space="preserve"> </w:t>
            </w:r>
            <w:r w:rsidRPr="00892DE3">
              <w:rPr>
                <w:sz w:val="17"/>
                <w:szCs w:val="20"/>
                <w:vertAlign w:val="superscript"/>
              </w:rPr>
              <w:t>(b)</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(12 318)</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(12 648)</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(9 480)</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(8 966)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tcPr>
          <w:p w:rsidR="00AD47C0" w:rsidRPr="00892DE3" w:rsidRDefault="00AD47C0" w:rsidP="00F042B6">
            <w:pPr>
              <w:pStyle w:val="Tabletext"/>
              <w:spacing w:after="0"/>
              <w:rPr>
                <w:sz w:val="17"/>
                <w:szCs w:val="20"/>
              </w:rPr>
            </w:pPr>
            <w:r w:rsidRPr="00892DE3">
              <w:rPr>
                <w:sz w:val="17"/>
                <w:szCs w:val="20"/>
              </w:rPr>
              <w:t>Other payments</w:t>
            </w:r>
          </w:p>
        </w:tc>
        <w:tc>
          <w:tcPr>
            <w:tcW w:w="850" w:type="dxa"/>
            <w:tcBorders>
              <w:top w:val="nil"/>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(404)</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(371)</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(373)</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(371)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tcPr>
          <w:p w:rsidR="00AD47C0" w:rsidRPr="00892DE3" w:rsidRDefault="00AD47C0" w:rsidP="00F042B6">
            <w:pPr>
              <w:pStyle w:val="Tabletext"/>
              <w:spacing w:after="0"/>
              <w:rPr>
                <w:b/>
                <w:sz w:val="17"/>
                <w:szCs w:val="20"/>
              </w:rPr>
            </w:pPr>
            <w:r w:rsidRPr="00892DE3">
              <w:rPr>
                <w:b/>
                <w:sz w:val="17"/>
                <w:szCs w:val="20"/>
              </w:rPr>
              <w:t>Total payments</w:t>
            </w:r>
          </w:p>
        </w:tc>
        <w:tc>
          <w:tcPr>
            <w:tcW w:w="850" w:type="dxa"/>
            <w:tcBorders>
              <w:top w:val="single" w:sz="6" w:space="0" w:color="auto"/>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(29 549)</w:t>
            </w:r>
          </w:p>
        </w:tc>
        <w:tc>
          <w:tcPr>
            <w:tcW w:w="850"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(28 988)</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(27 485)</w:t>
            </w:r>
          </w:p>
        </w:tc>
        <w:tc>
          <w:tcPr>
            <w:tcW w:w="848"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(25 856)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nil"/>
              <w:right w:val="nil"/>
            </w:tcBorders>
          </w:tcPr>
          <w:p w:rsidR="00AD47C0" w:rsidRPr="00892DE3" w:rsidRDefault="00AD47C0" w:rsidP="00F042B6">
            <w:pPr>
              <w:pStyle w:val="Tabletext"/>
              <w:spacing w:after="0"/>
              <w:rPr>
                <w:b/>
                <w:sz w:val="17"/>
                <w:szCs w:val="20"/>
              </w:rPr>
            </w:pPr>
            <w:r w:rsidRPr="00892DE3">
              <w:rPr>
                <w:b/>
                <w:sz w:val="17"/>
                <w:szCs w:val="20"/>
              </w:rPr>
              <w:t>Net cash flows from operating activities</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5.2</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14 342</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3 724</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2 230</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1 821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b/>
                <w:sz w:val="17"/>
                <w:szCs w:val="20"/>
              </w:rPr>
            </w:pPr>
            <w:r w:rsidRPr="00892DE3">
              <w:rPr>
                <w:b/>
                <w:sz w:val="17"/>
                <w:szCs w:val="20"/>
              </w:rPr>
              <w:t>Cash flows from investing activities</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color w:val="000000"/>
                <w:lang w:eastAsia="en-AU"/>
              </w:rPr>
              <w:t xml:space="preserve"> </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color w:val="000000"/>
                <w:lang w:eastAsia="en-AU"/>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color w:val="000000"/>
                <w:lang w:eastAsia="en-AU"/>
              </w:rPr>
              <w:t xml:space="preserve"> </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color w:val="000000"/>
                <w:lang w:eastAsia="en-AU"/>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Purchases of non</w:t>
            </w:r>
            <w:r w:rsidRPr="00892DE3">
              <w:rPr>
                <w:sz w:val="17"/>
                <w:szCs w:val="20"/>
              </w:rPr>
              <w:noBreakHyphen/>
              <w:t>financial assets</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3.5, 3.6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(3 938)</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(3 185)</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(3 121)</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(2 037)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tcPr>
          <w:p w:rsidR="00AD47C0" w:rsidRPr="00892DE3" w:rsidRDefault="00AD47C0" w:rsidP="00F042B6">
            <w:pPr>
              <w:pStyle w:val="Tabletext"/>
              <w:spacing w:after="0"/>
              <w:rPr>
                <w:sz w:val="17"/>
                <w:szCs w:val="20"/>
              </w:rPr>
            </w:pPr>
            <w:r w:rsidRPr="00892DE3">
              <w:rPr>
                <w:sz w:val="17"/>
                <w:szCs w:val="20"/>
              </w:rPr>
              <w:t>Sales of non</w:t>
            </w:r>
            <w:r w:rsidRPr="00892DE3">
              <w:rPr>
                <w:sz w:val="17"/>
                <w:szCs w:val="20"/>
              </w:rPr>
              <w:noBreakHyphen/>
              <w:t>financial assets</w:t>
            </w:r>
          </w:p>
        </w:tc>
        <w:tc>
          <w:tcPr>
            <w:tcW w:w="850" w:type="dxa"/>
            <w:tcBorders>
              <w:top w:val="nil"/>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116</w:t>
            </w:r>
          </w:p>
        </w:tc>
        <w:tc>
          <w:tcPr>
            <w:tcW w:w="850"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220</w:t>
            </w: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65</w:t>
            </w:r>
          </w:p>
        </w:tc>
        <w:tc>
          <w:tcPr>
            <w:tcW w:w="848"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73</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right w:val="nil"/>
            </w:tcBorders>
          </w:tcPr>
          <w:p w:rsidR="00AD47C0" w:rsidRPr="00892DE3" w:rsidRDefault="00AD47C0" w:rsidP="00F042B6">
            <w:pPr>
              <w:pStyle w:val="Tabletext"/>
              <w:spacing w:after="0"/>
              <w:rPr>
                <w:b/>
                <w:sz w:val="17"/>
                <w:szCs w:val="20"/>
              </w:rPr>
            </w:pPr>
            <w:r w:rsidRPr="00892DE3">
              <w:rPr>
                <w:b/>
                <w:sz w:val="17"/>
                <w:szCs w:val="20"/>
              </w:rPr>
              <w:t>Cash flows from investments in non</w:t>
            </w:r>
            <w:r w:rsidRPr="00892DE3">
              <w:rPr>
                <w:b/>
                <w:sz w:val="17"/>
                <w:szCs w:val="20"/>
              </w:rPr>
              <w:noBreakHyphen/>
              <w:t>financial assets</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(3 821)</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(2 965)</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(3 056)</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(1 964)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shd w:val="clear" w:color="FFFF00" w:fill="auto"/>
          </w:tcPr>
          <w:p w:rsidR="00AD47C0" w:rsidRPr="00892DE3" w:rsidRDefault="00AD47C0" w:rsidP="00F042B6">
            <w:pPr>
              <w:pStyle w:val="Tabletext"/>
              <w:spacing w:after="0"/>
              <w:rPr>
                <w:b/>
                <w:sz w:val="17"/>
                <w:szCs w:val="20"/>
              </w:rPr>
            </w:pPr>
            <w:r w:rsidRPr="00892DE3">
              <w:rPr>
                <w:b/>
                <w:sz w:val="17"/>
                <w:szCs w:val="20"/>
              </w:rPr>
              <w:t>Cash flows from investments in financial assets for policy purposes</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right w:val="nil"/>
            </w:tcBorders>
            <w:shd w:val="clear" w:color="FFFF00" w:fill="auto"/>
          </w:tcPr>
          <w:p w:rsidR="00AD47C0" w:rsidRPr="00892DE3" w:rsidRDefault="00AD47C0" w:rsidP="00F042B6">
            <w:pPr>
              <w:pStyle w:val="Tabletext"/>
              <w:spacing w:after="0"/>
              <w:rPr>
                <w:sz w:val="17"/>
                <w:szCs w:val="20"/>
              </w:rPr>
            </w:pPr>
            <w:r w:rsidRPr="00892DE3">
              <w:rPr>
                <w:sz w:val="17"/>
                <w:szCs w:val="20"/>
              </w:rPr>
              <w:t>Cash inflows</w:t>
            </w:r>
          </w:p>
        </w:tc>
        <w:tc>
          <w:tcPr>
            <w:tcW w:w="850" w:type="dxa"/>
            <w:tcBorders>
              <w:top w:val="nil"/>
              <w:left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106</w:t>
            </w:r>
          </w:p>
        </w:tc>
        <w:tc>
          <w:tcPr>
            <w:tcW w:w="850" w:type="dxa"/>
            <w:tcBorders>
              <w:top w:val="nil"/>
              <w:left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97</w:t>
            </w:r>
          </w:p>
        </w:tc>
        <w:tc>
          <w:tcPr>
            <w:tcW w:w="851" w:type="dxa"/>
            <w:tcBorders>
              <w:top w:val="nil"/>
              <w:left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8 968</w:t>
            </w:r>
          </w:p>
        </w:tc>
        <w:tc>
          <w:tcPr>
            <w:tcW w:w="848" w:type="dxa"/>
            <w:tcBorders>
              <w:top w:val="nil"/>
              <w:left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52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shd w:val="clear" w:color="FFFF00" w:fill="auto"/>
          </w:tcPr>
          <w:p w:rsidR="00AD47C0" w:rsidRPr="00892DE3" w:rsidRDefault="00AD47C0" w:rsidP="00F042B6">
            <w:pPr>
              <w:pStyle w:val="Tabletext"/>
              <w:spacing w:after="0"/>
              <w:rPr>
                <w:sz w:val="17"/>
                <w:szCs w:val="20"/>
              </w:rPr>
            </w:pPr>
            <w:r w:rsidRPr="00892DE3">
              <w:rPr>
                <w:sz w:val="17"/>
                <w:szCs w:val="20"/>
              </w:rPr>
              <w:t>Cash outflows</w:t>
            </w:r>
          </w:p>
        </w:tc>
        <w:tc>
          <w:tcPr>
            <w:tcW w:w="850" w:type="dxa"/>
            <w:tcBorders>
              <w:top w:val="nil"/>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(111)</w:t>
            </w:r>
          </w:p>
        </w:tc>
        <w:tc>
          <w:tcPr>
            <w:tcW w:w="850"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(90)</w:t>
            </w: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(9 817)</w:t>
            </w:r>
          </w:p>
        </w:tc>
        <w:tc>
          <w:tcPr>
            <w:tcW w:w="848"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(241)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shd w:val="solid" w:color="FFFFFF" w:fill="auto"/>
          </w:tcPr>
          <w:p w:rsidR="00AD47C0" w:rsidRPr="00892DE3" w:rsidRDefault="00AD47C0" w:rsidP="00F042B6">
            <w:pPr>
              <w:pStyle w:val="Tabletext"/>
              <w:spacing w:after="0"/>
              <w:ind w:left="256" w:hanging="256"/>
              <w:rPr>
                <w:sz w:val="17"/>
                <w:szCs w:val="20"/>
              </w:rPr>
            </w:pPr>
            <w:r w:rsidRPr="00892DE3">
              <w:rPr>
                <w:sz w:val="17"/>
                <w:szCs w:val="20"/>
              </w:rPr>
              <w:t>Net cash flows from investments in financial assets for policy purposes</w:t>
            </w:r>
            <w:r w:rsidR="00BC4184" w:rsidRPr="00892DE3">
              <w:rPr>
                <w:sz w:val="17"/>
                <w:szCs w:val="20"/>
              </w:rPr>
              <w:t xml:space="preserve"> </w:t>
            </w:r>
            <w:r w:rsidRPr="00892DE3">
              <w:rPr>
                <w:sz w:val="17"/>
                <w:szCs w:val="20"/>
                <w:vertAlign w:val="superscript"/>
              </w:rPr>
              <w:t>(c)</w:t>
            </w:r>
          </w:p>
        </w:tc>
        <w:tc>
          <w:tcPr>
            <w:tcW w:w="850" w:type="dxa"/>
            <w:tcBorders>
              <w:top w:val="single" w:sz="6" w:space="0" w:color="auto"/>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b/>
                <w:bCs/>
                <w:color w:val="000000"/>
                <w:lang w:eastAsia="en-AU"/>
              </w:rPr>
              <w:t>(5)</w:t>
            </w:r>
          </w:p>
        </w:tc>
        <w:tc>
          <w:tcPr>
            <w:tcW w:w="850"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b/>
                <w:bCs/>
                <w:color w:val="000000"/>
                <w:lang w:eastAsia="en-AU"/>
              </w:rPr>
              <w:t>7</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b/>
                <w:bCs/>
                <w:color w:val="000000"/>
                <w:lang w:eastAsia="en-AU"/>
              </w:rPr>
              <w:t>(850)</w:t>
            </w:r>
          </w:p>
        </w:tc>
        <w:tc>
          <w:tcPr>
            <w:tcW w:w="848"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b/>
                <w:bCs/>
                <w:color w:val="000000"/>
                <w:lang w:eastAsia="en-AU"/>
              </w:rPr>
              <w:t>(190)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shd w:val="solid" w:color="FFFFFF" w:fill="auto"/>
          </w:tcPr>
          <w:p w:rsidR="00AD47C0" w:rsidRPr="00892DE3" w:rsidRDefault="00AD47C0" w:rsidP="00F042B6">
            <w:pPr>
              <w:pStyle w:val="Tabletext"/>
              <w:tabs>
                <w:tab w:val="left" w:pos="1800"/>
              </w:tabs>
              <w:spacing w:after="0"/>
              <w:rPr>
                <w:b/>
                <w:sz w:val="17"/>
                <w:szCs w:val="20"/>
              </w:rPr>
            </w:pPr>
            <w:r w:rsidRPr="00892DE3">
              <w:rPr>
                <w:b/>
                <w:sz w:val="17"/>
                <w:szCs w:val="20"/>
              </w:rPr>
              <w:t>Sub</w:t>
            </w:r>
            <w:r w:rsidRPr="00892DE3">
              <w:rPr>
                <w:b/>
                <w:sz w:val="17"/>
                <w:szCs w:val="20"/>
              </w:rPr>
              <w:noBreakHyphen/>
              <w:t>total</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(3 826)</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(2 958)</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(3 906)</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(2 153)</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tcPr>
          <w:p w:rsidR="00AD47C0" w:rsidRPr="00892DE3" w:rsidRDefault="00AD47C0" w:rsidP="00F042B6">
            <w:pPr>
              <w:pStyle w:val="Tabletext"/>
              <w:spacing w:after="0"/>
              <w:ind w:left="256" w:hanging="256"/>
              <w:rPr>
                <w:sz w:val="17"/>
                <w:szCs w:val="20"/>
              </w:rPr>
            </w:pPr>
            <w:r w:rsidRPr="00892DE3">
              <w:rPr>
                <w:sz w:val="17"/>
                <w:szCs w:val="20"/>
              </w:rPr>
              <w:t>Net cash flows from investments in financial assets for liquidity management purposes</w:t>
            </w:r>
          </w:p>
        </w:tc>
        <w:tc>
          <w:tcPr>
            <w:tcW w:w="850" w:type="dxa"/>
            <w:tcBorders>
              <w:top w:val="nil"/>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(5 624)</w:t>
            </w:r>
          </w:p>
        </w:tc>
        <w:tc>
          <w:tcPr>
            <w:tcW w:w="850"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(1 447)</w:t>
            </w: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(2 638)</w:t>
            </w:r>
          </w:p>
        </w:tc>
        <w:tc>
          <w:tcPr>
            <w:tcW w:w="848"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(33)</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nil"/>
              <w:right w:val="nil"/>
            </w:tcBorders>
          </w:tcPr>
          <w:p w:rsidR="00AD47C0" w:rsidRPr="00892DE3" w:rsidRDefault="00AD47C0" w:rsidP="00F042B6">
            <w:pPr>
              <w:pStyle w:val="Tabletext"/>
              <w:spacing w:after="0"/>
              <w:rPr>
                <w:b/>
                <w:sz w:val="17"/>
                <w:szCs w:val="20"/>
              </w:rPr>
            </w:pPr>
            <w:r w:rsidRPr="00892DE3">
              <w:rPr>
                <w:b/>
                <w:sz w:val="17"/>
                <w:szCs w:val="20"/>
              </w:rPr>
              <w:t>Net cash flows from investing activities</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(9 450)</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(4 405)</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(6 544)</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(2 187)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right w:val="nil"/>
            </w:tcBorders>
          </w:tcPr>
          <w:p w:rsidR="00AD47C0" w:rsidRPr="00892DE3" w:rsidRDefault="00AD47C0" w:rsidP="00F042B6">
            <w:pPr>
              <w:pStyle w:val="Tabletext"/>
              <w:spacing w:after="0"/>
              <w:rPr>
                <w:b/>
                <w:sz w:val="17"/>
                <w:szCs w:val="20"/>
              </w:rPr>
            </w:pPr>
            <w:r w:rsidRPr="00892DE3">
              <w:rPr>
                <w:b/>
                <w:sz w:val="17"/>
                <w:szCs w:val="20"/>
              </w:rPr>
              <w:t>Cash flows from financing activities</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shd w:val="clear" w:color="auto" w:fill="auto"/>
          </w:tcPr>
          <w:p w:rsidR="00AD47C0" w:rsidRPr="00892DE3" w:rsidRDefault="00AD47C0" w:rsidP="00F042B6">
            <w:pPr>
              <w:pStyle w:val="Tabletext"/>
              <w:spacing w:after="0"/>
              <w:rPr>
                <w:sz w:val="17"/>
                <w:szCs w:val="20"/>
              </w:rPr>
            </w:pPr>
            <w:r w:rsidRPr="00892DE3">
              <w:rPr>
                <w:sz w:val="17"/>
                <w:szCs w:val="20"/>
              </w:rPr>
              <w:t>Advances received</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22</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39</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9 579</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shd w:val="clear" w:color="auto" w:fill="auto"/>
          </w:tcPr>
          <w:p w:rsidR="00AD47C0" w:rsidRPr="00892DE3" w:rsidRDefault="00AD47C0" w:rsidP="00F042B6">
            <w:pPr>
              <w:pStyle w:val="Tabletext"/>
              <w:spacing w:after="0"/>
              <w:rPr>
                <w:sz w:val="17"/>
                <w:szCs w:val="20"/>
              </w:rPr>
            </w:pPr>
            <w:r w:rsidRPr="00892DE3">
              <w:rPr>
                <w:sz w:val="17"/>
                <w:szCs w:val="20"/>
              </w:rPr>
              <w:t>Advances repaid</w:t>
            </w:r>
          </w:p>
        </w:tc>
        <w:tc>
          <w:tcPr>
            <w:tcW w:w="850" w:type="dxa"/>
            <w:tcBorders>
              <w:top w:val="nil"/>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w:t>
            </w:r>
          </w:p>
        </w:tc>
        <w:tc>
          <w:tcPr>
            <w:tcW w:w="850"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w:t>
            </w: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w:t>
            </w:r>
          </w:p>
        </w:tc>
        <w:tc>
          <w:tcPr>
            <w:tcW w:w="848"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shd w:val="clear" w:color="auto" w:fill="auto"/>
          </w:tcPr>
          <w:p w:rsidR="00AD47C0" w:rsidRPr="00892DE3" w:rsidRDefault="00AD47C0" w:rsidP="00F042B6">
            <w:pPr>
              <w:pStyle w:val="Tabletext"/>
              <w:spacing w:after="0"/>
              <w:rPr>
                <w:sz w:val="17"/>
                <w:szCs w:val="20"/>
              </w:rPr>
            </w:pPr>
            <w:r w:rsidRPr="00892DE3">
              <w:rPr>
                <w:sz w:val="17"/>
                <w:szCs w:val="20"/>
              </w:rPr>
              <w:t>Advances received (net)</w:t>
            </w:r>
            <w:r w:rsidR="00BC4184" w:rsidRPr="00892DE3">
              <w:rPr>
                <w:sz w:val="17"/>
                <w:szCs w:val="20"/>
              </w:rPr>
              <w:t xml:space="preserve"> </w:t>
            </w:r>
            <w:r w:rsidRPr="00892DE3">
              <w:rPr>
                <w:sz w:val="17"/>
                <w:szCs w:val="20"/>
                <w:vertAlign w:val="superscript"/>
              </w:rPr>
              <w:t>(c)</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22</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38</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9 579</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shd w:val="clear" w:color="auto" w:fill="auto"/>
          </w:tcPr>
          <w:p w:rsidR="00AD47C0" w:rsidRPr="00892DE3" w:rsidRDefault="00AD47C0" w:rsidP="00F042B6">
            <w:pPr>
              <w:pStyle w:val="Tabletext"/>
              <w:spacing w:after="0"/>
              <w:rPr>
                <w:sz w:val="17"/>
                <w:szCs w:val="20"/>
              </w:rPr>
            </w:pPr>
            <w:r w:rsidRPr="00892DE3">
              <w:rPr>
                <w:sz w:val="17"/>
                <w:szCs w:val="20"/>
              </w:rPr>
              <w:t>Borrowings received</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80</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281</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32</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359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shd w:val="clear" w:color="auto" w:fill="auto"/>
          </w:tcPr>
          <w:p w:rsidR="00AD47C0" w:rsidRPr="00892DE3" w:rsidRDefault="00AD47C0" w:rsidP="00F042B6">
            <w:pPr>
              <w:pStyle w:val="Tabletext"/>
              <w:spacing w:after="0"/>
              <w:rPr>
                <w:sz w:val="17"/>
                <w:szCs w:val="20"/>
              </w:rPr>
            </w:pPr>
            <w:r w:rsidRPr="00892DE3">
              <w:rPr>
                <w:sz w:val="17"/>
                <w:szCs w:val="20"/>
              </w:rPr>
              <w:t>Borrowings repaid</w:t>
            </w:r>
          </w:p>
        </w:tc>
        <w:tc>
          <w:tcPr>
            <w:tcW w:w="850" w:type="dxa"/>
            <w:tcBorders>
              <w:top w:val="nil"/>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(4 172)</w:t>
            </w:r>
          </w:p>
        </w:tc>
        <w:tc>
          <w:tcPr>
            <w:tcW w:w="850"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(308)</w:t>
            </w: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(5 858)</w:t>
            </w:r>
          </w:p>
        </w:tc>
        <w:tc>
          <w:tcPr>
            <w:tcW w:w="848"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(131)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shd w:val="clear" w:color="auto" w:fill="auto"/>
          </w:tcPr>
          <w:p w:rsidR="00AD47C0" w:rsidRPr="00892DE3" w:rsidRDefault="00AD47C0" w:rsidP="00F042B6">
            <w:pPr>
              <w:pStyle w:val="Tabletext"/>
              <w:spacing w:after="0"/>
              <w:rPr>
                <w:sz w:val="17"/>
                <w:szCs w:val="20"/>
              </w:rPr>
            </w:pPr>
            <w:r w:rsidRPr="00892DE3">
              <w:rPr>
                <w:sz w:val="17"/>
                <w:szCs w:val="20"/>
              </w:rPr>
              <w:t>Net borrowings</w:t>
            </w:r>
            <w:r w:rsidR="00BC4184" w:rsidRPr="00892DE3">
              <w:rPr>
                <w:sz w:val="17"/>
                <w:szCs w:val="20"/>
              </w:rPr>
              <w:t xml:space="preserve"> </w:t>
            </w:r>
            <w:r w:rsidRPr="00892DE3">
              <w:rPr>
                <w:sz w:val="17"/>
                <w:szCs w:val="20"/>
                <w:vertAlign w:val="superscript"/>
              </w:rPr>
              <w:t>(c)</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(4 092)</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(27)</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(5 827)</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229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shd w:val="clear" w:color="auto" w:fill="auto"/>
          </w:tcPr>
          <w:p w:rsidR="00AD47C0" w:rsidRPr="00892DE3" w:rsidRDefault="00AD47C0" w:rsidP="00F042B6">
            <w:pPr>
              <w:pStyle w:val="Tabletext"/>
              <w:spacing w:after="0"/>
              <w:rPr>
                <w:sz w:val="17"/>
                <w:szCs w:val="20"/>
              </w:rPr>
            </w:pPr>
            <w:r w:rsidRPr="00892DE3">
              <w:rPr>
                <w:sz w:val="17"/>
                <w:szCs w:val="20"/>
              </w:rPr>
              <w:t>Deposits received</w:t>
            </w:r>
          </w:p>
        </w:tc>
        <w:tc>
          <w:tcPr>
            <w:tcW w:w="850" w:type="dxa"/>
            <w:tcBorders>
              <w:top w:val="nil"/>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1 716</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429</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1 615</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162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shd w:val="clear" w:color="auto" w:fill="auto"/>
          </w:tcPr>
          <w:p w:rsidR="00AD47C0" w:rsidRPr="00892DE3" w:rsidRDefault="00AD47C0" w:rsidP="00F042B6">
            <w:pPr>
              <w:pStyle w:val="Tabletext"/>
              <w:spacing w:after="0"/>
              <w:rPr>
                <w:sz w:val="17"/>
                <w:szCs w:val="20"/>
              </w:rPr>
            </w:pPr>
            <w:r w:rsidRPr="00892DE3">
              <w:rPr>
                <w:sz w:val="17"/>
                <w:szCs w:val="20"/>
              </w:rPr>
              <w:t>Deposits paid</w:t>
            </w:r>
          </w:p>
        </w:tc>
        <w:tc>
          <w:tcPr>
            <w:tcW w:w="850" w:type="dxa"/>
            <w:tcBorders>
              <w:top w:val="nil"/>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(2 648)</w:t>
            </w:r>
          </w:p>
        </w:tc>
        <w:tc>
          <w:tcPr>
            <w:tcW w:w="850"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(323)</w:t>
            </w: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(1 506)</w:t>
            </w:r>
          </w:p>
        </w:tc>
        <w:tc>
          <w:tcPr>
            <w:tcW w:w="848"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(194)</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shd w:val="clear" w:color="auto" w:fill="auto"/>
          </w:tcPr>
          <w:p w:rsidR="00AD47C0" w:rsidRPr="00892DE3" w:rsidRDefault="00AD47C0" w:rsidP="00F042B6">
            <w:pPr>
              <w:pStyle w:val="Tabletext"/>
              <w:spacing w:after="0"/>
              <w:rPr>
                <w:sz w:val="17"/>
                <w:szCs w:val="20"/>
              </w:rPr>
            </w:pPr>
            <w:r w:rsidRPr="00892DE3">
              <w:rPr>
                <w:sz w:val="17"/>
                <w:szCs w:val="20"/>
              </w:rPr>
              <w:t>Deposits received (net)</w:t>
            </w:r>
            <w:r w:rsidR="00BC4184" w:rsidRPr="00892DE3">
              <w:rPr>
                <w:sz w:val="17"/>
                <w:szCs w:val="20"/>
              </w:rPr>
              <w:t xml:space="preserve"> </w:t>
            </w:r>
            <w:r w:rsidRPr="00892DE3">
              <w:rPr>
                <w:sz w:val="17"/>
                <w:szCs w:val="20"/>
                <w:vertAlign w:val="superscript"/>
              </w:rPr>
              <w:t>(c)</w:t>
            </w:r>
          </w:p>
        </w:tc>
        <w:tc>
          <w:tcPr>
            <w:tcW w:w="850" w:type="dxa"/>
            <w:tcBorders>
              <w:top w:val="single" w:sz="6" w:space="0" w:color="auto"/>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(932)</w:t>
            </w:r>
          </w:p>
        </w:tc>
        <w:tc>
          <w:tcPr>
            <w:tcW w:w="850"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107</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109</w:t>
            </w:r>
          </w:p>
        </w:tc>
        <w:tc>
          <w:tcPr>
            <w:tcW w:w="848"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shd w:val="solid" w:color="FFFFFF" w:fill="auto"/>
          </w:tcPr>
          <w:p w:rsidR="00AD47C0" w:rsidRPr="00892DE3" w:rsidRDefault="00AD47C0" w:rsidP="00F042B6">
            <w:pPr>
              <w:pStyle w:val="Tabletext"/>
              <w:spacing w:after="0"/>
              <w:rPr>
                <w:b/>
                <w:sz w:val="17"/>
                <w:szCs w:val="20"/>
              </w:rPr>
            </w:pPr>
            <w:r w:rsidRPr="00892DE3">
              <w:rPr>
                <w:b/>
                <w:sz w:val="17"/>
                <w:szCs w:val="20"/>
              </w:rPr>
              <w:t>Net cash flows from financing activities</w:t>
            </w:r>
          </w:p>
        </w:tc>
        <w:tc>
          <w:tcPr>
            <w:tcW w:w="850" w:type="dxa"/>
            <w:tcBorders>
              <w:top w:val="single" w:sz="6" w:space="0" w:color="auto"/>
              <w:left w:val="nil"/>
              <w:bottom w:val="single" w:sz="6"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(5 001)</w:t>
            </w:r>
          </w:p>
        </w:tc>
        <w:tc>
          <w:tcPr>
            <w:tcW w:w="850"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117</w:t>
            </w:r>
          </w:p>
        </w:tc>
        <w:tc>
          <w:tcPr>
            <w:tcW w:w="851"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3 860</w:t>
            </w:r>
          </w:p>
        </w:tc>
        <w:tc>
          <w:tcPr>
            <w:tcW w:w="848" w:type="dxa"/>
            <w:tcBorders>
              <w:top w:val="single" w:sz="6" w:space="0" w:color="auto"/>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196</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right w:val="nil"/>
            </w:tcBorders>
            <w:shd w:val="solid" w:color="FFFFFF" w:fill="auto"/>
          </w:tcPr>
          <w:p w:rsidR="00AD47C0" w:rsidRPr="00892DE3" w:rsidRDefault="00AD47C0" w:rsidP="00F042B6">
            <w:pPr>
              <w:pStyle w:val="Tabletext"/>
              <w:spacing w:after="0"/>
              <w:rPr>
                <w:b/>
                <w:sz w:val="17"/>
                <w:szCs w:val="20"/>
              </w:rPr>
            </w:pPr>
            <w:r w:rsidRPr="00892DE3">
              <w:rPr>
                <w:b/>
                <w:sz w:val="17"/>
                <w:szCs w:val="20"/>
              </w:rPr>
              <w:t>Net increase/(decrease) in cash and cash equivalents</w:t>
            </w:r>
          </w:p>
        </w:tc>
        <w:tc>
          <w:tcPr>
            <w:tcW w:w="850" w:type="dxa"/>
            <w:tcBorders>
              <w:top w:val="single" w:sz="6" w:space="0" w:color="auto"/>
              <w:left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(109)</w:t>
            </w:r>
          </w:p>
        </w:tc>
        <w:tc>
          <w:tcPr>
            <w:tcW w:w="850" w:type="dxa"/>
            <w:tcBorders>
              <w:top w:val="single" w:sz="6" w:space="0" w:color="auto"/>
              <w:left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(564)</w:t>
            </w:r>
          </w:p>
        </w:tc>
        <w:tc>
          <w:tcPr>
            <w:tcW w:w="851" w:type="dxa"/>
            <w:tcBorders>
              <w:top w:val="single" w:sz="6" w:space="0" w:color="auto"/>
              <w:left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(453)</w:t>
            </w:r>
          </w:p>
        </w:tc>
        <w:tc>
          <w:tcPr>
            <w:tcW w:w="848" w:type="dxa"/>
            <w:tcBorders>
              <w:top w:val="single" w:sz="6" w:space="0" w:color="auto"/>
              <w:left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(169)</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left w:val="nil"/>
              <w:bottom w:val="nil"/>
              <w:right w:val="nil"/>
            </w:tcBorders>
            <w:shd w:val="solid" w:color="FFFFFF" w:fill="auto"/>
          </w:tcPr>
          <w:p w:rsidR="00AD47C0" w:rsidRPr="00892DE3" w:rsidRDefault="00AD47C0" w:rsidP="00F042B6">
            <w:pPr>
              <w:pStyle w:val="Tabletext"/>
              <w:spacing w:after="0"/>
              <w:rPr>
                <w:sz w:val="17"/>
                <w:szCs w:val="20"/>
              </w:rPr>
            </w:pPr>
            <w:r w:rsidRPr="00892DE3">
              <w:rPr>
                <w:sz w:val="17"/>
                <w:szCs w:val="20"/>
              </w:rPr>
              <w:t xml:space="preserve">Cash and cash equivalents at beginning of reporting period </w:t>
            </w:r>
          </w:p>
        </w:tc>
        <w:tc>
          <w:tcPr>
            <w:tcW w:w="850" w:type="dxa"/>
            <w:tcBorders>
              <w:left w:val="nil"/>
              <w:bottom w:val="nil"/>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left w:val="nil"/>
              <w:bottom w:val="nil"/>
              <w:right w:val="nil"/>
            </w:tcBorders>
            <w:shd w:val="solid" w:color="FFFFFF" w:fill="auto"/>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6 676</w:t>
            </w:r>
          </w:p>
        </w:tc>
        <w:tc>
          <w:tcPr>
            <w:tcW w:w="850" w:type="dxa"/>
            <w:tcBorders>
              <w:left w:val="nil"/>
              <w:bottom w:val="nil"/>
              <w:right w:val="nil"/>
            </w:tcBorders>
            <w:shd w:val="solid" w:color="FFFFFF" w:fill="auto"/>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6 510</w:t>
            </w:r>
          </w:p>
        </w:tc>
        <w:tc>
          <w:tcPr>
            <w:tcW w:w="851" w:type="dxa"/>
            <w:tcBorders>
              <w:left w:val="nil"/>
              <w:bottom w:val="nil"/>
              <w:right w:val="nil"/>
            </w:tcBorders>
            <w:shd w:val="solid" w:color="FFFFFF" w:fill="auto"/>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4 772</w:t>
            </w:r>
          </w:p>
        </w:tc>
        <w:tc>
          <w:tcPr>
            <w:tcW w:w="848" w:type="dxa"/>
            <w:tcBorders>
              <w:left w:val="nil"/>
              <w:bottom w:val="nil"/>
              <w:right w:val="nil"/>
            </w:tcBorders>
            <w:shd w:val="solid" w:color="FFFFFF" w:fill="auto"/>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4 282</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shd w:val="solid" w:color="FFFFFF" w:fill="auto"/>
          </w:tcPr>
          <w:p w:rsidR="00AD47C0" w:rsidRPr="00892DE3" w:rsidRDefault="00AD47C0" w:rsidP="00F042B6">
            <w:pPr>
              <w:pStyle w:val="Tabletext"/>
              <w:spacing w:after="0"/>
              <w:rPr>
                <w:b/>
                <w:sz w:val="17"/>
                <w:szCs w:val="20"/>
              </w:rPr>
            </w:pPr>
            <w:r w:rsidRPr="00892DE3">
              <w:rPr>
                <w:b/>
                <w:sz w:val="17"/>
                <w:szCs w:val="20"/>
              </w:rPr>
              <w:t xml:space="preserve">Cash and cash equivalents at end of reporting period </w:t>
            </w:r>
          </w:p>
        </w:tc>
        <w:tc>
          <w:tcPr>
            <w:tcW w:w="850" w:type="dxa"/>
            <w:tcBorders>
              <w:top w:val="single" w:sz="6" w:space="0" w:color="auto"/>
              <w:left w:val="nil"/>
              <w:bottom w:val="single" w:sz="12" w:space="0" w:color="auto"/>
              <w:right w:val="nil"/>
            </w:tcBorders>
            <w:shd w:val="solid" w:color="FFFFFF" w:fill="auto"/>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5.2</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6 567</w:t>
            </w:r>
          </w:p>
        </w:tc>
        <w:tc>
          <w:tcPr>
            <w:tcW w:w="850" w:type="dxa"/>
            <w:tcBorders>
              <w:top w:val="single" w:sz="6" w:space="0" w:color="auto"/>
              <w:left w:val="nil"/>
              <w:bottom w:val="single" w:sz="12"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5 946</w:t>
            </w:r>
          </w:p>
        </w:tc>
        <w:tc>
          <w:tcPr>
            <w:tcW w:w="851" w:type="dxa"/>
            <w:tcBorders>
              <w:top w:val="single" w:sz="6" w:space="0" w:color="auto"/>
              <w:left w:val="nil"/>
              <w:bottom w:val="single" w:sz="12"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4 319</w:t>
            </w:r>
          </w:p>
        </w:tc>
        <w:tc>
          <w:tcPr>
            <w:tcW w:w="848" w:type="dxa"/>
            <w:tcBorders>
              <w:top w:val="single" w:sz="6" w:space="0" w:color="auto"/>
              <w:left w:val="nil"/>
              <w:bottom w:val="single" w:sz="12"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lang w:eastAsia="en-AU"/>
              </w:rPr>
              <w:t>4 112</w:t>
            </w:r>
          </w:p>
        </w:tc>
      </w:tr>
      <w:tr w:rsidR="00AD47C0" w:rsidRPr="00892DE3" w:rsidTr="00F042B6">
        <w:trPr>
          <w:trHeight w:hRule="exact" w:val="120"/>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b/>
                <w:sz w:val="17"/>
                <w:szCs w:val="20"/>
              </w:rPr>
            </w:pPr>
            <w:r w:rsidRPr="00892DE3">
              <w:rPr>
                <w:b/>
                <w:sz w:val="17"/>
                <w:szCs w:val="20"/>
              </w:rPr>
              <w:t>FISCAL AGGREGATES</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spacing w:after="0"/>
              <w:rPr>
                <w:sz w:val="17"/>
                <w:szCs w:val="20"/>
              </w:rPr>
            </w:pPr>
            <w:r w:rsidRPr="00892DE3">
              <w:rPr>
                <w:sz w:val="17"/>
                <w:szCs w:val="20"/>
              </w:rPr>
              <w:t>Net cash flows from operating activities</w:t>
            </w:r>
          </w:p>
        </w:tc>
        <w:tc>
          <w:tcPr>
            <w:tcW w:w="850"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14 342</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3 724</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2 230</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1 821</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tcPr>
          <w:p w:rsidR="00AD47C0" w:rsidRPr="00892DE3" w:rsidRDefault="00AD47C0" w:rsidP="00F042B6">
            <w:pPr>
              <w:pStyle w:val="Tabletext"/>
              <w:spacing w:after="0"/>
              <w:rPr>
                <w:sz w:val="17"/>
                <w:szCs w:val="20"/>
              </w:rPr>
            </w:pPr>
            <w:r w:rsidRPr="00892DE3">
              <w:rPr>
                <w:sz w:val="17"/>
                <w:szCs w:val="20"/>
              </w:rPr>
              <w:t>Net cash flows from investments in non</w:t>
            </w:r>
            <w:r w:rsidRPr="00892DE3">
              <w:rPr>
                <w:sz w:val="17"/>
                <w:szCs w:val="20"/>
              </w:rPr>
              <w:noBreakHyphen/>
              <w:t>financial assets</w:t>
            </w:r>
          </w:p>
        </w:tc>
        <w:tc>
          <w:tcPr>
            <w:tcW w:w="850" w:type="dxa"/>
            <w:tcBorders>
              <w:top w:val="nil"/>
              <w:left w:val="nil"/>
              <w:bottom w:val="single" w:sz="6" w:space="0" w:color="auto"/>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(3 821)</w:t>
            </w:r>
          </w:p>
        </w:tc>
        <w:tc>
          <w:tcPr>
            <w:tcW w:w="850"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(2 965)</w:t>
            </w:r>
          </w:p>
        </w:tc>
        <w:tc>
          <w:tcPr>
            <w:tcW w:w="851"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(3 056)</w:t>
            </w:r>
          </w:p>
        </w:tc>
        <w:tc>
          <w:tcPr>
            <w:tcW w:w="848" w:type="dxa"/>
            <w:tcBorders>
              <w:top w:val="nil"/>
              <w:left w:val="nil"/>
              <w:bottom w:val="single" w:sz="6" w:space="0" w:color="auto"/>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(1 964)</w:t>
            </w:r>
          </w:p>
        </w:tc>
      </w:tr>
      <w:tr w:rsidR="00AD47C0" w:rsidRPr="00892DE3" w:rsidTr="00F042B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000000"/>
            </w:tcBorders>
            <w:shd w:val="clear" w:color="auto" w:fill="auto"/>
          </w:tcPr>
          <w:p w:rsidR="00AD47C0" w:rsidRPr="00892DE3" w:rsidRDefault="00AD47C0" w:rsidP="00F042B6">
            <w:pPr>
              <w:pStyle w:val="Tabletext"/>
              <w:spacing w:after="0"/>
              <w:rPr>
                <w:b w:val="0"/>
                <w:sz w:val="17"/>
                <w:szCs w:val="20"/>
              </w:rPr>
            </w:pPr>
            <w:r w:rsidRPr="00892DE3">
              <w:rPr>
                <w:b w:val="0"/>
                <w:sz w:val="17"/>
                <w:szCs w:val="20"/>
              </w:rPr>
              <w:t>Cash surplus/(deficit)</w:t>
            </w:r>
          </w:p>
        </w:tc>
        <w:tc>
          <w:tcPr>
            <w:tcW w:w="850" w:type="dxa"/>
            <w:tcBorders>
              <w:top w:val="single" w:sz="6" w:space="0" w:color="auto"/>
              <w:bottom w:val="single" w:sz="12" w:space="0" w:color="000000"/>
            </w:tcBorders>
            <w:shd w:val="clear" w:color="auto" w:fill="auto"/>
          </w:tcPr>
          <w:p w:rsidR="00AD47C0" w:rsidRPr="00892DE3" w:rsidRDefault="00AD47C0" w:rsidP="00F042B6">
            <w:pPr>
              <w:pStyle w:val="TableTextCentred0"/>
              <w:spacing w:after="0"/>
              <w:cnfStyle w:val="010000000000" w:firstRow="0" w:lastRow="1" w:firstColumn="0" w:lastColumn="0" w:oddVBand="0" w:evenVBand="0" w:oddHBand="0" w:evenHBand="0" w:firstRowFirstColumn="0" w:firstRowLastColumn="0" w:lastRowFirstColumn="0" w:lastRowLastColumn="0"/>
              <w:rPr>
                <w:b w:val="0"/>
                <w:sz w:val="17"/>
                <w:szCs w:val="20"/>
              </w:rPr>
            </w:pPr>
            <w:r w:rsidRPr="00892DE3">
              <w:rPr>
                <w:b w:val="0"/>
                <w:sz w:val="17"/>
                <w:szCs w:val="20"/>
              </w:rPr>
              <w:t xml:space="preserve"> </w:t>
            </w:r>
          </w:p>
        </w:tc>
        <w:tc>
          <w:tcPr>
            <w:tcW w:w="851" w:type="dxa"/>
            <w:tcBorders>
              <w:top w:val="single" w:sz="6" w:space="0" w:color="auto"/>
              <w:bottom w:val="single" w:sz="12" w:space="0" w:color="000000"/>
            </w:tcBorders>
            <w:shd w:val="clear" w:color="auto" w:fill="auto"/>
          </w:tcPr>
          <w:p w:rsidR="00AD47C0" w:rsidRPr="00892DE3" w:rsidRDefault="00AD47C0" w:rsidP="00F042B6">
            <w:pPr>
              <w:pStyle w:val="TableofFigures"/>
              <w:spacing w:after="0"/>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bCs/>
                <w:color w:val="000000"/>
                <w:lang w:eastAsia="en-AU"/>
              </w:rPr>
              <w:t>10 521</w:t>
            </w:r>
          </w:p>
        </w:tc>
        <w:tc>
          <w:tcPr>
            <w:tcW w:w="850" w:type="dxa"/>
            <w:tcBorders>
              <w:top w:val="single" w:sz="6" w:space="0" w:color="auto"/>
              <w:bottom w:val="single" w:sz="12" w:space="0" w:color="000000"/>
            </w:tcBorders>
            <w:shd w:val="clear" w:color="auto" w:fill="auto"/>
          </w:tcPr>
          <w:p w:rsidR="00AD47C0" w:rsidRPr="00892DE3" w:rsidRDefault="00AD47C0" w:rsidP="00F042B6">
            <w:pPr>
              <w:pStyle w:val="TableofFigures"/>
              <w:spacing w:after="0"/>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bCs/>
                <w:color w:val="000000"/>
                <w:lang w:eastAsia="en-AU"/>
              </w:rPr>
              <w:t>759</w:t>
            </w:r>
          </w:p>
        </w:tc>
        <w:tc>
          <w:tcPr>
            <w:tcW w:w="851" w:type="dxa"/>
            <w:tcBorders>
              <w:top w:val="single" w:sz="6" w:space="0" w:color="auto"/>
              <w:bottom w:val="single" w:sz="12" w:space="0" w:color="000000"/>
            </w:tcBorders>
            <w:shd w:val="clear" w:color="auto" w:fill="auto"/>
          </w:tcPr>
          <w:p w:rsidR="00AD47C0" w:rsidRPr="00892DE3" w:rsidRDefault="00AD47C0" w:rsidP="00F042B6">
            <w:pPr>
              <w:pStyle w:val="TableofFigures"/>
              <w:spacing w:after="0"/>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bCs/>
                <w:color w:val="000000"/>
                <w:lang w:eastAsia="en-AU"/>
              </w:rPr>
              <w:t>(825)</w:t>
            </w:r>
          </w:p>
        </w:tc>
        <w:tc>
          <w:tcPr>
            <w:tcW w:w="848" w:type="dxa"/>
            <w:tcBorders>
              <w:top w:val="single" w:sz="6" w:space="0" w:color="auto"/>
              <w:bottom w:val="single" w:sz="12" w:space="0" w:color="000000"/>
            </w:tcBorders>
            <w:shd w:val="clear" w:color="auto" w:fill="auto"/>
          </w:tcPr>
          <w:p w:rsidR="00AD47C0" w:rsidRPr="00892DE3" w:rsidRDefault="00AD47C0" w:rsidP="00F042B6">
            <w:pPr>
              <w:pStyle w:val="TableofFigures"/>
              <w:spacing w:after="0"/>
              <w:cnfStyle w:val="010000000000" w:firstRow="0" w:lastRow="1" w:firstColumn="0" w:lastColumn="0" w:oddVBand="0" w:evenVBand="0" w:oddHBand="0" w:evenHBand="0" w:firstRowFirstColumn="0" w:firstRowLastColumn="0" w:lastRowFirstColumn="0" w:lastRowLastColumn="0"/>
              <w:rPr>
                <w:b w:val="0"/>
                <w:szCs w:val="20"/>
              </w:rPr>
            </w:pPr>
            <w:r w:rsidRPr="00892DE3">
              <w:rPr>
                <w:rFonts w:eastAsiaTheme="minorEastAsia" w:cs="Calibri"/>
                <w:bCs/>
                <w:color w:val="000000"/>
                <w:lang w:eastAsia="en-AU"/>
              </w:rPr>
              <w:t>(142)</w:t>
            </w:r>
          </w:p>
        </w:tc>
      </w:tr>
    </w:tbl>
    <w:p w:rsidR="00AD47C0" w:rsidRPr="00892DE3" w:rsidRDefault="00AD47C0" w:rsidP="00AD47C0">
      <w:pPr>
        <w:pStyle w:val="Source"/>
      </w:pPr>
      <w:r w:rsidRPr="00892DE3">
        <w:t>The accompanying notes form part of these financial statements.</w:t>
      </w:r>
    </w:p>
    <w:p w:rsidR="00AD47C0" w:rsidRPr="00892DE3" w:rsidRDefault="00AD47C0" w:rsidP="00AD47C0">
      <w:pPr>
        <w:pStyle w:val="Note"/>
      </w:pPr>
      <w:r w:rsidRPr="00892DE3">
        <w:t>Notes:</w:t>
      </w:r>
    </w:p>
    <w:p w:rsidR="00AD47C0" w:rsidRPr="00892DE3" w:rsidRDefault="00AD47C0" w:rsidP="00AD47C0">
      <w:pPr>
        <w:pStyle w:val="Note"/>
      </w:pPr>
      <w:r w:rsidRPr="00892DE3">
        <w:t>(a)</w:t>
      </w:r>
      <w:r w:rsidRPr="00892DE3">
        <w:tab/>
        <w:t>These items are inclusive of goods and services tax.</w:t>
      </w:r>
    </w:p>
    <w:p w:rsidR="00AD47C0" w:rsidRPr="00892DE3" w:rsidRDefault="00AD47C0" w:rsidP="00AD47C0">
      <w:pPr>
        <w:pStyle w:val="Note"/>
        <w:rPr>
          <w:i w:val="0"/>
        </w:rPr>
      </w:pPr>
      <w:r w:rsidRPr="00892DE3">
        <w:t>(b)</w:t>
      </w:r>
      <w:r w:rsidRPr="00892DE3">
        <w:tab/>
        <w:t xml:space="preserve">Certain December 2015 comparative figures have been restated to reflect more current information, mainly including adjustments outlined in the </w:t>
      </w:r>
      <w:r w:rsidRPr="00892DE3">
        <w:rPr>
          <w:i w:val="0"/>
        </w:rPr>
        <w:t>2015-16 Financial Report.</w:t>
      </w:r>
    </w:p>
    <w:p w:rsidR="00AD47C0" w:rsidRPr="00892DE3" w:rsidRDefault="00AD47C0" w:rsidP="00AD47C0">
      <w:pPr>
        <w:pStyle w:val="Note"/>
      </w:pPr>
      <w:r w:rsidRPr="00892DE3">
        <w:t>(c)</w:t>
      </w:r>
      <w:r w:rsidRPr="00892DE3">
        <w:tab/>
        <w:t>In accordance with AASB 107, Treasury Corporation of Victoria is not required to gross up their cash flow information for whole of government consolidation purposes. The net cash movements for Treasury Corporation of Victoria have been added to cash inflows or outflows for both six months ended 31 December 2016 and 31 December 2015.</w:t>
      </w:r>
    </w:p>
    <w:p w:rsidR="00AD47C0" w:rsidRPr="00892DE3" w:rsidRDefault="00AD47C0" w:rsidP="00AD47C0">
      <w:pPr>
        <w:pStyle w:val="TableHeading"/>
      </w:pPr>
      <w:r w:rsidRPr="00892DE3">
        <w:t>Table 1.12:</w:t>
      </w:r>
      <w:r w:rsidRPr="00892DE3">
        <w:tab/>
        <w:t>Statement of changes in equity for the six months ended 31 December</w:t>
      </w:r>
      <w:r w:rsidRPr="00892DE3">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663"/>
        <w:gridCol w:w="1559"/>
        <w:gridCol w:w="1415"/>
      </w:tblGrid>
      <w:tr w:rsidR="00AD47C0" w:rsidRPr="00892DE3" w:rsidTr="00BC41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left w:val="single" w:sz="6" w:space="0" w:color="auto"/>
              <w:bottom w:val="single" w:sz="6" w:space="0" w:color="auto"/>
              <w:right w:val="nil"/>
            </w:tcBorders>
            <w:shd w:val="clear" w:color="000000" w:fill="000000"/>
          </w:tcPr>
          <w:p w:rsidR="00AD47C0" w:rsidRPr="00892DE3" w:rsidRDefault="00AD47C0" w:rsidP="00F042B6">
            <w:pPr>
              <w:ind w:left="0" w:firstLine="0"/>
            </w:pPr>
            <w:r w:rsidRPr="00892DE3">
              <w:t>State of Victoria</w:t>
            </w:r>
          </w:p>
        </w:tc>
        <w:tc>
          <w:tcPr>
            <w:tcW w:w="1559" w:type="dxa"/>
            <w:tcBorders>
              <w:top w:val="single" w:sz="6" w:space="0" w:color="auto"/>
              <w:left w:val="nil"/>
              <w:bottom w:val="single" w:sz="6" w:space="0" w:color="auto"/>
              <w:right w:val="nil"/>
            </w:tcBorders>
            <w:shd w:val="clear" w:color="000000"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Accumulated surplus/(deficit) </w:t>
            </w:r>
            <w:r w:rsidRPr="00892DE3">
              <w:rPr>
                <w:vertAlign w:val="superscript"/>
              </w:rPr>
              <w:t xml:space="preserve">(a) </w:t>
            </w:r>
          </w:p>
        </w:tc>
        <w:tc>
          <w:tcPr>
            <w:tcW w:w="1415" w:type="dxa"/>
            <w:tcBorders>
              <w:top w:val="single" w:sz="6" w:space="0" w:color="auto"/>
              <w:left w:val="nil"/>
              <w:bottom w:val="single" w:sz="6" w:space="0" w:color="auto"/>
              <w:right w:val="single" w:sz="6" w:space="0" w:color="auto"/>
            </w:tcBorders>
            <w:shd w:val="clear" w:color="000000"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t xml:space="preserve">controlling </w:t>
            </w:r>
            <w:r w:rsidRPr="00892DE3">
              <w:br/>
              <w:t>interest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left w:val="nil"/>
              <w:bottom w:val="nil"/>
              <w:right w:val="nil"/>
            </w:tcBorders>
          </w:tcPr>
          <w:p w:rsidR="00AD47C0" w:rsidRPr="00892DE3" w:rsidRDefault="00AD47C0" w:rsidP="00F042B6">
            <w:pPr>
              <w:pStyle w:val="Tabletext"/>
              <w:ind w:left="0" w:firstLine="0"/>
              <w:rPr>
                <w:b/>
                <w:sz w:val="17"/>
              </w:rPr>
            </w:pPr>
            <w:r w:rsidRPr="00892DE3">
              <w:rPr>
                <w:b/>
                <w:sz w:val="17"/>
              </w:rPr>
              <w:t>2016</w:t>
            </w:r>
          </w:p>
        </w:tc>
        <w:tc>
          <w:tcPr>
            <w:tcW w:w="1559" w:type="dxa"/>
            <w:tcBorders>
              <w:top w:val="single" w:sz="6"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415" w:type="dxa"/>
            <w:tcBorders>
              <w:top w:val="single" w:sz="6"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
              <w:ind w:left="0" w:firstLine="0"/>
              <w:rPr>
                <w:sz w:val="17"/>
              </w:rPr>
            </w:pPr>
            <w:r w:rsidRPr="00892DE3">
              <w:rPr>
                <w:sz w:val="17"/>
              </w:rPr>
              <w:t>Balance at 1 July 2016</w:t>
            </w:r>
          </w:p>
        </w:tc>
        <w:tc>
          <w:tcPr>
            <w:tcW w:w="1559"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56 234</w:t>
            </w:r>
          </w:p>
        </w:tc>
        <w:tc>
          <w:tcPr>
            <w:tcW w:w="1415"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50</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
              <w:ind w:left="0" w:firstLine="0"/>
              <w:rPr>
                <w:sz w:val="17"/>
              </w:rPr>
            </w:pPr>
            <w:r w:rsidRPr="00892DE3">
              <w:rPr>
                <w:sz w:val="17"/>
              </w:rPr>
              <w:t>Net result for the six months</w:t>
            </w:r>
          </w:p>
        </w:tc>
        <w:tc>
          <w:tcPr>
            <w:tcW w:w="1559"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5 596</w:t>
            </w:r>
          </w:p>
        </w:tc>
        <w:tc>
          <w:tcPr>
            <w:tcW w:w="1415"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
              <w:ind w:left="0" w:firstLine="0"/>
              <w:rPr>
                <w:sz w:val="17"/>
              </w:rPr>
            </w:pPr>
            <w:r w:rsidRPr="00892DE3">
              <w:rPr>
                <w:sz w:val="17"/>
              </w:rPr>
              <w:t>Other comprehensive income for the year</w:t>
            </w:r>
          </w:p>
        </w:tc>
        <w:tc>
          <w:tcPr>
            <w:tcW w:w="1559"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3 031</w:t>
            </w:r>
          </w:p>
        </w:tc>
        <w:tc>
          <w:tcPr>
            <w:tcW w:w="1415"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
              <w:ind w:left="0" w:firstLine="0"/>
              <w:rPr>
                <w:sz w:val="17"/>
              </w:rPr>
            </w:pPr>
            <w:r w:rsidRPr="00892DE3">
              <w:rPr>
                <w:sz w:val="17"/>
              </w:rPr>
              <w:t>Transfer to accumulated surplus</w:t>
            </w:r>
          </w:p>
        </w:tc>
        <w:tc>
          <w:tcPr>
            <w:tcW w:w="1559"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7 876</w:t>
            </w:r>
          </w:p>
        </w:tc>
        <w:tc>
          <w:tcPr>
            <w:tcW w:w="1415"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single" w:sz="6" w:space="0" w:color="auto"/>
              <w:right w:val="nil"/>
            </w:tcBorders>
          </w:tcPr>
          <w:p w:rsidR="00AD47C0" w:rsidRPr="00892DE3" w:rsidRDefault="00AD47C0" w:rsidP="00F042B6">
            <w:pPr>
              <w:pStyle w:val="Tabletext"/>
              <w:ind w:left="0" w:firstLine="0"/>
              <w:rPr>
                <w:sz w:val="17"/>
              </w:rPr>
            </w:pPr>
            <w:r w:rsidRPr="00892DE3">
              <w:rPr>
                <w:sz w:val="17"/>
              </w:rPr>
              <w:t>Transactions with owners in their capacity as owners</w:t>
            </w:r>
          </w:p>
        </w:tc>
        <w:tc>
          <w:tcPr>
            <w:tcW w:w="1559"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w:t>
            </w:r>
          </w:p>
        </w:tc>
        <w:tc>
          <w:tcPr>
            <w:tcW w:w="1415"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(50)</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single" w:sz="12" w:space="0" w:color="auto"/>
              <w:right w:val="nil"/>
            </w:tcBorders>
          </w:tcPr>
          <w:p w:rsidR="00AD47C0" w:rsidRPr="00892DE3" w:rsidRDefault="00AD47C0" w:rsidP="00F042B6">
            <w:pPr>
              <w:pStyle w:val="Tabletext"/>
              <w:ind w:left="0" w:firstLine="0"/>
              <w:rPr>
                <w:b/>
                <w:sz w:val="17"/>
              </w:rPr>
            </w:pPr>
            <w:r w:rsidRPr="00892DE3">
              <w:rPr>
                <w:b/>
                <w:sz w:val="17"/>
              </w:rPr>
              <w:t>Total equity as at 31 December 2016</w:t>
            </w:r>
          </w:p>
        </w:tc>
        <w:tc>
          <w:tcPr>
            <w:tcW w:w="1559" w:type="dxa"/>
            <w:tcBorders>
              <w:top w:val="nil"/>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rFonts w:eastAsiaTheme="minorEastAsia" w:cs="Calibri"/>
                <w:b/>
                <w:bCs/>
                <w:color w:val="000000"/>
                <w:lang w:eastAsia="en-AU"/>
              </w:rPr>
              <w:t>72 737</w:t>
            </w:r>
          </w:p>
        </w:tc>
        <w:tc>
          <w:tcPr>
            <w:tcW w:w="1415" w:type="dxa"/>
            <w:tcBorders>
              <w:top w:val="nil"/>
              <w:left w:val="nil"/>
              <w:bottom w:val="single" w:sz="12"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rFonts w:eastAsiaTheme="minorEastAsia" w:cs="Calibri"/>
                <w:b/>
                <w:bCs/>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
              <w:ind w:left="0" w:firstLine="0"/>
              <w:rPr>
                <w:b/>
                <w:sz w:val="17"/>
              </w:rPr>
            </w:pPr>
            <w:r w:rsidRPr="00892DE3">
              <w:rPr>
                <w:b/>
                <w:sz w:val="17"/>
              </w:rPr>
              <w:t>2015</w:t>
            </w:r>
          </w:p>
        </w:tc>
        <w:tc>
          <w:tcPr>
            <w:tcW w:w="1559"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rFonts w:eastAsiaTheme="minorEastAsia" w:cs="Calibri"/>
                <w:b/>
                <w:bCs/>
                <w:color w:val="000000"/>
                <w:lang w:eastAsia="en-AU"/>
              </w:rPr>
              <w:t xml:space="preserve"> </w:t>
            </w:r>
          </w:p>
        </w:tc>
        <w:tc>
          <w:tcPr>
            <w:tcW w:w="1415"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rFonts w:eastAsiaTheme="minorEastAsia" w:cs="Calibri"/>
                <w:b/>
                <w:bCs/>
                <w:color w:val="000000"/>
                <w:lang w:eastAsia="en-AU"/>
              </w:rPr>
              <w:t xml:space="preserve"> </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
              <w:ind w:left="0" w:firstLine="0"/>
              <w:rPr>
                <w:sz w:val="17"/>
              </w:rPr>
            </w:pPr>
            <w:r w:rsidRPr="00892DE3">
              <w:rPr>
                <w:sz w:val="17"/>
              </w:rPr>
              <w:t>Balance at 1 July 2015</w:t>
            </w:r>
            <w:r w:rsidR="00BC4184" w:rsidRPr="00892DE3">
              <w:rPr>
                <w:sz w:val="17"/>
              </w:rPr>
              <w:t xml:space="preserve"> </w:t>
            </w:r>
            <w:r w:rsidRPr="00892DE3">
              <w:rPr>
                <w:sz w:val="17"/>
                <w:vertAlign w:val="superscript"/>
              </w:rPr>
              <w:t>(a)</w:t>
            </w:r>
          </w:p>
        </w:tc>
        <w:tc>
          <w:tcPr>
            <w:tcW w:w="1559"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61 285</w:t>
            </w:r>
          </w:p>
        </w:tc>
        <w:tc>
          <w:tcPr>
            <w:tcW w:w="1415"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50</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
              <w:ind w:left="0" w:firstLine="0"/>
              <w:rPr>
                <w:sz w:val="17"/>
              </w:rPr>
            </w:pPr>
            <w:r w:rsidRPr="00892DE3">
              <w:rPr>
                <w:sz w:val="17"/>
              </w:rPr>
              <w:t>Net result for the six months</w:t>
            </w:r>
          </w:p>
        </w:tc>
        <w:tc>
          <w:tcPr>
            <w:tcW w:w="1559"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542</w:t>
            </w:r>
          </w:p>
        </w:tc>
        <w:tc>
          <w:tcPr>
            <w:tcW w:w="1415"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
              <w:ind w:left="0" w:firstLine="0"/>
              <w:rPr>
                <w:sz w:val="17"/>
              </w:rPr>
            </w:pPr>
            <w:r w:rsidRPr="00892DE3">
              <w:rPr>
                <w:sz w:val="17"/>
              </w:rPr>
              <w:t>Other comprehensive income for the year</w:t>
            </w:r>
          </w:p>
        </w:tc>
        <w:tc>
          <w:tcPr>
            <w:tcW w:w="1559"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(697)</w:t>
            </w:r>
          </w:p>
        </w:tc>
        <w:tc>
          <w:tcPr>
            <w:tcW w:w="1415"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
              <w:ind w:left="0" w:firstLine="0"/>
              <w:rPr>
                <w:sz w:val="17"/>
              </w:rPr>
            </w:pPr>
            <w:r w:rsidRPr="00892DE3">
              <w:rPr>
                <w:sz w:val="17"/>
              </w:rPr>
              <w:t>Transfer to accumulated surplus</w:t>
            </w:r>
          </w:p>
        </w:tc>
        <w:tc>
          <w:tcPr>
            <w:tcW w:w="1559"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(22)</w:t>
            </w:r>
          </w:p>
        </w:tc>
        <w:tc>
          <w:tcPr>
            <w:tcW w:w="1415"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single" w:sz="6" w:space="0" w:color="auto"/>
              <w:right w:val="nil"/>
            </w:tcBorders>
          </w:tcPr>
          <w:p w:rsidR="00AD47C0" w:rsidRPr="00892DE3" w:rsidRDefault="00AD47C0" w:rsidP="00F042B6">
            <w:pPr>
              <w:pStyle w:val="Tabletext"/>
              <w:ind w:left="0" w:firstLine="0"/>
              <w:rPr>
                <w:sz w:val="17"/>
              </w:rPr>
            </w:pPr>
            <w:r w:rsidRPr="00892DE3">
              <w:rPr>
                <w:sz w:val="17"/>
              </w:rPr>
              <w:t>Transactions with owners in their capacity as owners</w:t>
            </w:r>
          </w:p>
        </w:tc>
        <w:tc>
          <w:tcPr>
            <w:tcW w:w="1559"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w:t>
            </w:r>
          </w:p>
        </w:tc>
        <w:tc>
          <w:tcPr>
            <w:tcW w:w="1415" w:type="dxa"/>
            <w:tcBorders>
              <w:top w:val="nil"/>
              <w:left w:val="nil"/>
              <w:bottom w:val="single" w:sz="6" w:space="0" w:color="auto"/>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pPr>
            <w:r w:rsidRPr="00892DE3">
              <w:rPr>
                <w:rFonts w:eastAsiaTheme="minorEastAsia" w:cs="Calibri"/>
                <w:color w:val="000000"/>
                <w:lang w:eastAsia="en-AU"/>
              </w:rPr>
              <w:t>..</w:t>
            </w:r>
          </w:p>
        </w:tc>
      </w:tr>
      <w:tr w:rsidR="00AD47C0" w:rsidRPr="00892DE3" w:rsidTr="00BC418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12" w:space="0" w:color="000000"/>
            </w:tcBorders>
            <w:shd w:val="clear" w:color="auto" w:fill="auto"/>
          </w:tcPr>
          <w:p w:rsidR="00AD47C0" w:rsidRPr="00892DE3" w:rsidRDefault="00AD47C0" w:rsidP="00F042B6">
            <w:pPr>
              <w:pStyle w:val="Tabletext"/>
              <w:ind w:left="0" w:firstLine="0"/>
              <w:rPr>
                <w:sz w:val="17"/>
              </w:rPr>
            </w:pPr>
            <w:r w:rsidRPr="00892DE3">
              <w:rPr>
                <w:sz w:val="17"/>
              </w:rPr>
              <w:t>Total equity as at 31 December 2015</w:t>
            </w:r>
          </w:p>
        </w:tc>
        <w:tc>
          <w:tcPr>
            <w:tcW w:w="1559" w:type="dxa"/>
            <w:tcBorders>
              <w:top w:val="single" w:sz="6" w:space="0" w:color="auto"/>
              <w:bottom w:val="single" w:sz="12" w:space="0" w:color="000000"/>
            </w:tcBorders>
            <w:shd w:val="clear" w:color="auto" w:fill="auto"/>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sidRPr="00892DE3">
              <w:rPr>
                <w:rFonts w:eastAsiaTheme="minorEastAsia" w:cs="Calibri"/>
                <w:bCs/>
                <w:color w:val="000000"/>
                <w:lang w:eastAsia="en-AU"/>
              </w:rPr>
              <w:t>61 108</w:t>
            </w:r>
          </w:p>
        </w:tc>
        <w:tc>
          <w:tcPr>
            <w:tcW w:w="1415" w:type="dxa"/>
            <w:tcBorders>
              <w:top w:val="single" w:sz="6" w:space="0" w:color="auto"/>
              <w:bottom w:val="single" w:sz="12" w:space="0" w:color="000000"/>
            </w:tcBorders>
            <w:shd w:val="clear" w:color="auto" w:fill="auto"/>
          </w:tcPr>
          <w:p w:rsidR="00AD47C0" w:rsidRPr="00892DE3" w:rsidRDefault="00AD47C0"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sidRPr="00892DE3">
              <w:rPr>
                <w:rFonts w:eastAsiaTheme="minorEastAsia" w:cs="Calibri"/>
                <w:bCs/>
                <w:color w:val="000000"/>
                <w:lang w:eastAsia="en-AU"/>
              </w:rPr>
              <w:t>50</w:t>
            </w:r>
          </w:p>
        </w:tc>
      </w:tr>
    </w:tbl>
    <w:p w:rsidR="00AD47C0" w:rsidRPr="00892DE3" w:rsidRDefault="00AD47C0" w:rsidP="00AD47C0">
      <w:pPr>
        <w:pStyle w:val="Source"/>
      </w:pPr>
      <w:r w:rsidRPr="00892DE3">
        <w:t>The accompanying notes form part of these financial statements.</w:t>
      </w:r>
    </w:p>
    <w:p w:rsidR="00AD47C0" w:rsidRPr="00892DE3" w:rsidRDefault="00AD47C0" w:rsidP="00AD47C0">
      <w:pPr>
        <w:pStyle w:val="Note"/>
      </w:pPr>
      <w:r w:rsidRPr="00892DE3">
        <w:t>Note:</w:t>
      </w:r>
    </w:p>
    <w:p w:rsidR="00AD47C0" w:rsidRPr="00892DE3" w:rsidRDefault="00AD47C0" w:rsidP="00AD47C0">
      <w:pPr>
        <w:pStyle w:val="Note"/>
      </w:pPr>
      <w:r w:rsidRPr="00892DE3">
        <w:t>(a)</w:t>
      </w:r>
      <w:r w:rsidRPr="00892DE3">
        <w:tab/>
        <w:t xml:space="preserve">Certain December 2015 comparative figures have been restated to reflect more current information, mainly including adjustments outlined in the </w:t>
      </w:r>
      <w:r w:rsidRPr="00892DE3">
        <w:rPr>
          <w:i w:val="0"/>
        </w:rPr>
        <w:t>2015-16 Financial Report.</w:t>
      </w:r>
    </w:p>
    <w:p w:rsidR="00AD47C0" w:rsidRPr="00892DE3" w:rsidRDefault="00AD47C0" w:rsidP="00B623D8"/>
    <w:p w:rsidR="00B623D8" w:rsidRPr="00892DE3" w:rsidRDefault="00B623D8" w:rsidP="00B623D8"/>
    <w:p w:rsidR="00AD47C0" w:rsidRPr="00892DE3" w:rsidRDefault="00AD47C0" w:rsidP="00AD47C0">
      <w:pPr>
        <w:pStyle w:val="TableUnits"/>
      </w:pPr>
      <w:r w:rsidRPr="00892DE3">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663"/>
        <w:gridCol w:w="1559"/>
        <w:gridCol w:w="1415"/>
      </w:tblGrid>
      <w:tr w:rsidR="00AD47C0" w:rsidRPr="00892DE3" w:rsidTr="00BC41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left w:val="single" w:sz="6" w:space="0" w:color="auto"/>
              <w:bottom w:val="single" w:sz="6" w:space="0" w:color="auto"/>
              <w:right w:val="nil"/>
            </w:tcBorders>
            <w:shd w:val="clear" w:color="000000" w:fill="000000"/>
          </w:tcPr>
          <w:p w:rsidR="00597628" w:rsidRPr="00892DE3" w:rsidRDefault="00597628" w:rsidP="00F042B6">
            <w:pPr>
              <w:ind w:left="0" w:firstLine="0"/>
            </w:pPr>
          </w:p>
          <w:p w:rsidR="00597628" w:rsidRPr="00892DE3" w:rsidRDefault="00597628" w:rsidP="00F042B6">
            <w:pPr>
              <w:ind w:left="0" w:firstLine="0"/>
            </w:pPr>
          </w:p>
          <w:p w:rsidR="00AD47C0" w:rsidRPr="00892DE3" w:rsidRDefault="00AD47C0" w:rsidP="00F042B6">
            <w:pPr>
              <w:ind w:left="0" w:firstLine="0"/>
            </w:pPr>
            <w:r w:rsidRPr="00892DE3">
              <w:t>General government sector</w:t>
            </w:r>
          </w:p>
        </w:tc>
        <w:tc>
          <w:tcPr>
            <w:tcW w:w="1559" w:type="dxa"/>
            <w:tcBorders>
              <w:top w:val="single" w:sz="6" w:space="0" w:color="auto"/>
              <w:left w:val="nil"/>
              <w:bottom w:val="single" w:sz="6" w:space="0" w:color="auto"/>
              <w:right w:val="nil"/>
            </w:tcBorders>
            <w:shd w:val="clear" w:color="000000"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Accumulated surplus/(deficit) </w:t>
            </w:r>
            <w:r w:rsidRPr="00892DE3">
              <w:rPr>
                <w:vertAlign w:val="superscript"/>
              </w:rPr>
              <w:t>(a)</w:t>
            </w:r>
          </w:p>
        </w:tc>
        <w:tc>
          <w:tcPr>
            <w:tcW w:w="1415" w:type="dxa"/>
            <w:tcBorders>
              <w:top w:val="single" w:sz="6" w:space="0" w:color="auto"/>
              <w:left w:val="nil"/>
              <w:bottom w:val="single" w:sz="6" w:space="0" w:color="auto"/>
              <w:right w:val="single" w:sz="6" w:space="0" w:color="auto"/>
            </w:tcBorders>
            <w:shd w:val="clear" w:color="000000"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t>controlling interest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left w:val="nil"/>
              <w:bottom w:val="nil"/>
              <w:right w:val="nil"/>
            </w:tcBorders>
          </w:tcPr>
          <w:p w:rsidR="00AD47C0" w:rsidRPr="00892DE3" w:rsidRDefault="00AD47C0" w:rsidP="00F042B6">
            <w:pPr>
              <w:pStyle w:val="TableText0"/>
              <w:spacing w:before="20" w:after="20"/>
              <w:ind w:left="0" w:firstLine="0"/>
              <w:rPr>
                <w:rFonts w:asciiTheme="majorHAnsi" w:hAnsiTheme="majorHAnsi"/>
                <w:b/>
              </w:rPr>
            </w:pPr>
            <w:r w:rsidRPr="00892DE3">
              <w:rPr>
                <w:rFonts w:asciiTheme="majorHAnsi" w:hAnsiTheme="majorHAnsi"/>
                <w:b/>
              </w:rPr>
              <w:t>2016</w:t>
            </w:r>
          </w:p>
        </w:tc>
        <w:tc>
          <w:tcPr>
            <w:tcW w:w="1559" w:type="dxa"/>
            <w:tcBorders>
              <w:top w:val="single" w:sz="6" w:space="0" w:color="auto"/>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892DE3">
              <w:rPr>
                <w:rFonts w:asciiTheme="majorHAnsi" w:hAnsiTheme="majorHAnsi"/>
                <w:b/>
              </w:rPr>
              <w:t xml:space="preserve">     </w:t>
            </w:r>
          </w:p>
        </w:tc>
        <w:tc>
          <w:tcPr>
            <w:tcW w:w="1415" w:type="dxa"/>
            <w:tcBorders>
              <w:top w:val="single" w:sz="6" w:space="0" w:color="auto"/>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892DE3">
              <w:rPr>
                <w:rFonts w:asciiTheme="majorHAnsi" w:hAnsiTheme="majorHAnsi"/>
                <w:b/>
              </w:rPr>
              <w:t xml:space="preserve"> </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0"/>
              <w:spacing w:before="20" w:after="20"/>
              <w:ind w:left="0" w:firstLine="0"/>
              <w:rPr>
                <w:rFonts w:asciiTheme="majorHAnsi" w:hAnsiTheme="majorHAnsi"/>
              </w:rPr>
            </w:pPr>
            <w:r w:rsidRPr="00892DE3">
              <w:rPr>
                <w:rFonts w:asciiTheme="majorHAnsi" w:hAnsiTheme="majorHAnsi"/>
              </w:rPr>
              <w:t>Balance at 1 July 2016</w:t>
            </w:r>
          </w:p>
        </w:tc>
        <w:tc>
          <w:tcPr>
            <w:tcW w:w="1559"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44 454</w:t>
            </w:r>
          </w:p>
        </w:tc>
        <w:tc>
          <w:tcPr>
            <w:tcW w:w="1415"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50</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0"/>
              <w:spacing w:before="20" w:after="20"/>
              <w:ind w:left="0" w:firstLine="0"/>
              <w:rPr>
                <w:rFonts w:asciiTheme="majorHAnsi" w:hAnsiTheme="majorHAnsi"/>
              </w:rPr>
            </w:pPr>
            <w:r w:rsidRPr="00892DE3">
              <w:rPr>
                <w:rFonts w:asciiTheme="majorHAnsi" w:hAnsiTheme="majorHAnsi"/>
              </w:rPr>
              <w:t>Net result for the six months</w:t>
            </w:r>
          </w:p>
        </w:tc>
        <w:tc>
          <w:tcPr>
            <w:tcW w:w="1559"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1 226</w:t>
            </w:r>
          </w:p>
        </w:tc>
        <w:tc>
          <w:tcPr>
            <w:tcW w:w="1415"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0"/>
              <w:spacing w:before="20" w:after="20"/>
              <w:ind w:left="0" w:firstLine="0"/>
              <w:rPr>
                <w:rFonts w:asciiTheme="majorHAnsi" w:hAnsiTheme="majorHAnsi"/>
              </w:rPr>
            </w:pPr>
            <w:r w:rsidRPr="00892DE3">
              <w:rPr>
                <w:rFonts w:asciiTheme="majorHAnsi" w:hAnsiTheme="majorHAnsi"/>
              </w:rPr>
              <w:t>Other comprehensive income for the year</w:t>
            </w:r>
          </w:p>
        </w:tc>
        <w:tc>
          <w:tcPr>
            <w:tcW w:w="1559"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3 035</w:t>
            </w:r>
          </w:p>
        </w:tc>
        <w:tc>
          <w:tcPr>
            <w:tcW w:w="1415"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0"/>
              <w:spacing w:before="20" w:after="20"/>
              <w:ind w:left="0" w:firstLine="0"/>
              <w:rPr>
                <w:rFonts w:asciiTheme="majorHAnsi" w:hAnsiTheme="majorHAnsi"/>
              </w:rPr>
            </w:pPr>
            <w:r w:rsidRPr="00892DE3">
              <w:rPr>
                <w:rFonts w:asciiTheme="majorHAnsi" w:hAnsiTheme="majorHAnsi"/>
              </w:rPr>
              <w:t>Transfer to accumulated surplus</w:t>
            </w:r>
          </w:p>
        </w:tc>
        <w:tc>
          <w:tcPr>
            <w:tcW w:w="1559"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w:t>
            </w:r>
          </w:p>
        </w:tc>
        <w:tc>
          <w:tcPr>
            <w:tcW w:w="1415"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 xml:space="preserve">.. </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0"/>
              <w:spacing w:before="20" w:after="20"/>
              <w:ind w:left="0" w:firstLine="0"/>
              <w:rPr>
                <w:rFonts w:asciiTheme="majorHAnsi" w:hAnsiTheme="majorHAnsi"/>
              </w:rPr>
            </w:pPr>
            <w:r w:rsidRPr="00892DE3">
              <w:rPr>
                <w:rFonts w:asciiTheme="majorHAnsi" w:hAnsiTheme="majorHAnsi"/>
              </w:rPr>
              <w:t>Transactions with owners in their capacity as owners</w:t>
            </w:r>
          </w:p>
        </w:tc>
        <w:tc>
          <w:tcPr>
            <w:tcW w:w="1559"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w:t>
            </w:r>
          </w:p>
        </w:tc>
        <w:tc>
          <w:tcPr>
            <w:tcW w:w="1415"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(50)</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left w:val="nil"/>
              <w:bottom w:val="single" w:sz="12" w:space="0" w:color="auto"/>
              <w:right w:val="nil"/>
            </w:tcBorders>
          </w:tcPr>
          <w:p w:rsidR="00AD47C0" w:rsidRPr="00892DE3" w:rsidRDefault="00AD47C0" w:rsidP="00F042B6">
            <w:pPr>
              <w:pStyle w:val="TableText0"/>
              <w:spacing w:before="20" w:after="20"/>
              <w:ind w:left="0" w:firstLine="0"/>
              <w:rPr>
                <w:rFonts w:asciiTheme="majorHAnsi" w:hAnsiTheme="majorHAnsi"/>
                <w:b/>
              </w:rPr>
            </w:pPr>
            <w:r w:rsidRPr="00892DE3">
              <w:rPr>
                <w:rFonts w:asciiTheme="majorHAnsi" w:hAnsiTheme="majorHAnsi"/>
                <w:b/>
              </w:rPr>
              <w:t>Total equity as at 31 December 2016</w:t>
            </w:r>
          </w:p>
        </w:tc>
        <w:tc>
          <w:tcPr>
            <w:tcW w:w="1559" w:type="dxa"/>
            <w:tcBorders>
              <w:top w:val="single" w:sz="6" w:space="0" w:color="auto"/>
              <w:left w:val="nil"/>
              <w:bottom w:val="single" w:sz="12" w:space="0" w:color="auto"/>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b/>
                <w:bCs/>
                <w:color w:val="000000"/>
                <w:lang w:eastAsia="en-AU"/>
              </w:rPr>
            </w:pPr>
            <w:r w:rsidRPr="00892DE3">
              <w:rPr>
                <w:rFonts w:asciiTheme="majorHAnsi" w:eastAsiaTheme="minorEastAsia" w:hAnsiTheme="majorHAnsi" w:cs="Calibri"/>
                <w:b/>
                <w:bCs/>
                <w:color w:val="000000"/>
                <w:lang w:eastAsia="en-AU"/>
              </w:rPr>
              <w:t>48 714</w:t>
            </w:r>
          </w:p>
        </w:tc>
        <w:tc>
          <w:tcPr>
            <w:tcW w:w="1415" w:type="dxa"/>
            <w:tcBorders>
              <w:top w:val="single" w:sz="6" w:space="0" w:color="auto"/>
              <w:left w:val="nil"/>
              <w:bottom w:val="single" w:sz="12" w:space="0" w:color="auto"/>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b/>
                <w:bCs/>
                <w:color w:val="000000"/>
                <w:lang w:eastAsia="en-AU"/>
              </w:rPr>
            </w:pPr>
            <w:r w:rsidRPr="00892DE3">
              <w:rPr>
                <w:rFonts w:asciiTheme="majorHAnsi" w:eastAsiaTheme="minorEastAsia" w:hAnsiTheme="majorHAnsi" w:cs="Calibri"/>
                <w:b/>
                <w:bCs/>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0"/>
              <w:spacing w:before="20" w:after="20"/>
              <w:ind w:left="0" w:firstLine="0"/>
              <w:rPr>
                <w:rFonts w:asciiTheme="majorHAnsi" w:hAnsiTheme="majorHAnsi"/>
                <w:b/>
              </w:rPr>
            </w:pPr>
            <w:r w:rsidRPr="00892DE3">
              <w:rPr>
                <w:rFonts w:asciiTheme="majorHAnsi" w:hAnsiTheme="majorHAnsi"/>
                <w:b/>
              </w:rPr>
              <w:t>2015</w:t>
            </w:r>
          </w:p>
        </w:tc>
        <w:tc>
          <w:tcPr>
            <w:tcW w:w="1559"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892DE3">
              <w:rPr>
                <w:rFonts w:eastAsiaTheme="minorEastAsia" w:cs="Calibri"/>
                <w:b/>
                <w:bCs/>
                <w:color w:val="0000FF"/>
                <w:lang w:eastAsia="en-AU"/>
              </w:rPr>
              <w:t xml:space="preserve"> </w:t>
            </w:r>
          </w:p>
        </w:tc>
        <w:tc>
          <w:tcPr>
            <w:tcW w:w="1415"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892DE3">
              <w:rPr>
                <w:rFonts w:eastAsiaTheme="minorEastAsia" w:cs="Calibri"/>
                <w:b/>
                <w:bCs/>
                <w:color w:val="0000FF"/>
                <w:lang w:eastAsia="en-AU"/>
              </w:rPr>
              <w:t xml:space="preserve"> </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0"/>
              <w:spacing w:before="20" w:after="20"/>
              <w:ind w:left="0" w:firstLine="0"/>
              <w:rPr>
                <w:rFonts w:asciiTheme="majorHAnsi" w:hAnsiTheme="majorHAnsi"/>
              </w:rPr>
            </w:pPr>
            <w:r w:rsidRPr="00892DE3">
              <w:rPr>
                <w:rFonts w:asciiTheme="majorHAnsi" w:hAnsiTheme="majorHAnsi"/>
              </w:rPr>
              <w:t>Balance at 1 July 2015</w:t>
            </w:r>
          </w:p>
        </w:tc>
        <w:tc>
          <w:tcPr>
            <w:tcW w:w="1559"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45 764</w:t>
            </w:r>
          </w:p>
        </w:tc>
        <w:tc>
          <w:tcPr>
            <w:tcW w:w="1415"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50</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right w:val="nil"/>
            </w:tcBorders>
          </w:tcPr>
          <w:p w:rsidR="00AD47C0" w:rsidRPr="00892DE3" w:rsidRDefault="00AD47C0" w:rsidP="00F042B6">
            <w:pPr>
              <w:pStyle w:val="TableText0"/>
              <w:spacing w:before="20" w:after="20"/>
              <w:ind w:left="0" w:firstLine="0"/>
              <w:rPr>
                <w:rFonts w:asciiTheme="majorHAnsi" w:hAnsiTheme="majorHAnsi"/>
              </w:rPr>
            </w:pPr>
            <w:r w:rsidRPr="00892DE3">
              <w:rPr>
                <w:rFonts w:asciiTheme="majorHAnsi" w:hAnsiTheme="majorHAnsi"/>
              </w:rPr>
              <w:t>Net result for the six months</w:t>
            </w:r>
          </w:p>
        </w:tc>
        <w:tc>
          <w:tcPr>
            <w:tcW w:w="1559" w:type="dxa"/>
            <w:tcBorders>
              <w:top w:val="nil"/>
              <w:left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1 239</w:t>
            </w:r>
          </w:p>
        </w:tc>
        <w:tc>
          <w:tcPr>
            <w:tcW w:w="1415" w:type="dxa"/>
            <w:tcBorders>
              <w:top w:val="nil"/>
              <w:left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D47C0" w:rsidRPr="00892DE3" w:rsidRDefault="00AD47C0" w:rsidP="00F042B6">
            <w:pPr>
              <w:pStyle w:val="TableText0"/>
              <w:spacing w:before="20" w:after="20"/>
              <w:ind w:left="0" w:firstLine="0"/>
              <w:rPr>
                <w:rFonts w:asciiTheme="majorHAnsi" w:hAnsiTheme="majorHAnsi"/>
              </w:rPr>
            </w:pPr>
            <w:r w:rsidRPr="00892DE3">
              <w:rPr>
                <w:rFonts w:asciiTheme="majorHAnsi" w:hAnsiTheme="majorHAnsi"/>
              </w:rPr>
              <w:t xml:space="preserve">Other comprehensive income for the year </w:t>
            </w:r>
          </w:p>
        </w:tc>
        <w:tc>
          <w:tcPr>
            <w:tcW w:w="1559"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(678)</w:t>
            </w:r>
          </w:p>
        </w:tc>
        <w:tc>
          <w:tcPr>
            <w:tcW w:w="1415" w:type="dxa"/>
            <w:tcBorders>
              <w:top w:val="nil"/>
              <w:left w:val="nil"/>
              <w:bottom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right w:val="nil"/>
            </w:tcBorders>
          </w:tcPr>
          <w:p w:rsidR="00AD47C0" w:rsidRPr="00892DE3" w:rsidRDefault="00AD47C0" w:rsidP="00F042B6">
            <w:pPr>
              <w:pStyle w:val="TableText0"/>
              <w:spacing w:before="20" w:after="20"/>
              <w:ind w:left="0" w:firstLine="0"/>
              <w:rPr>
                <w:rFonts w:asciiTheme="majorHAnsi" w:hAnsiTheme="majorHAnsi"/>
              </w:rPr>
            </w:pPr>
            <w:r w:rsidRPr="00892DE3">
              <w:rPr>
                <w:rFonts w:asciiTheme="majorHAnsi" w:hAnsiTheme="majorHAnsi"/>
              </w:rPr>
              <w:t>Transfer to accumulated surplus</w:t>
            </w:r>
          </w:p>
        </w:tc>
        <w:tc>
          <w:tcPr>
            <w:tcW w:w="1559" w:type="dxa"/>
            <w:tcBorders>
              <w:top w:val="nil"/>
              <w:left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(22)</w:t>
            </w:r>
          </w:p>
        </w:tc>
        <w:tc>
          <w:tcPr>
            <w:tcW w:w="1415" w:type="dxa"/>
            <w:tcBorders>
              <w:top w:val="nil"/>
              <w:left w:val="nil"/>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left w:val="nil"/>
              <w:bottom w:val="single" w:sz="6" w:space="0" w:color="auto"/>
              <w:right w:val="nil"/>
            </w:tcBorders>
          </w:tcPr>
          <w:p w:rsidR="00AD47C0" w:rsidRPr="00892DE3" w:rsidRDefault="00AD47C0" w:rsidP="00F042B6">
            <w:pPr>
              <w:pStyle w:val="TableText0"/>
              <w:spacing w:before="20" w:after="20"/>
              <w:ind w:left="0" w:firstLine="0"/>
              <w:rPr>
                <w:rFonts w:asciiTheme="majorHAnsi" w:hAnsiTheme="majorHAnsi"/>
              </w:rPr>
            </w:pPr>
            <w:r w:rsidRPr="00892DE3">
              <w:rPr>
                <w:rFonts w:asciiTheme="majorHAnsi" w:hAnsiTheme="majorHAnsi"/>
              </w:rPr>
              <w:t>Transactions with owners in their capacity as owners</w:t>
            </w:r>
          </w:p>
        </w:tc>
        <w:tc>
          <w:tcPr>
            <w:tcW w:w="1559" w:type="dxa"/>
            <w:tcBorders>
              <w:left w:val="nil"/>
              <w:bottom w:val="single" w:sz="6" w:space="0" w:color="auto"/>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w:t>
            </w:r>
          </w:p>
        </w:tc>
        <w:tc>
          <w:tcPr>
            <w:tcW w:w="1415" w:type="dxa"/>
            <w:tcBorders>
              <w:left w:val="nil"/>
              <w:bottom w:val="single" w:sz="6" w:space="0" w:color="auto"/>
              <w:right w:val="nil"/>
            </w:tcBorders>
          </w:tcPr>
          <w:p w:rsidR="00AD47C0" w:rsidRPr="00892DE3" w:rsidRDefault="00AD47C0" w:rsidP="00F042B6">
            <w:pPr>
              <w:pStyle w:val="TableText0"/>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color w:val="000000"/>
                <w:lang w:eastAsia="en-AU"/>
              </w:rPr>
            </w:pPr>
            <w:r w:rsidRPr="00892DE3">
              <w:rPr>
                <w:rFonts w:asciiTheme="majorHAnsi" w:eastAsiaTheme="minorEastAsia" w:hAnsiTheme="majorHAnsi" w:cs="Calibri"/>
                <w:color w:val="000000"/>
                <w:lang w:eastAsia="en-AU"/>
              </w:rPr>
              <w:t>..</w:t>
            </w:r>
          </w:p>
        </w:tc>
      </w:tr>
      <w:tr w:rsidR="00AD47C0" w:rsidRPr="00892DE3" w:rsidTr="00BC418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12" w:space="0" w:color="000000"/>
            </w:tcBorders>
            <w:shd w:val="clear" w:color="auto" w:fill="auto"/>
          </w:tcPr>
          <w:p w:rsidR="00AD47C0" w:rsidRPr="00892DE3" w:rsidRDefault="00AD47C0" w:rsidP="00F042B6">
            <w:pPr>
              <w:pStyle w:val="TableText0"/>
              <w:spacing w:before="20" w:after="20"/>
              <w:ind w:left="0" w:firstLine="0"/>
              <w:rPr>
                <w:rFonts w:asciiTheme="majorHAnsi" w:hAnsiTheme="majorHAnsi"/>
                <w:b w:val="0"/>
              </w:rPr>
            </w:pPr>
            <w:r w:rsidRPr="00892DE3">
              <w:rPr>
                <w:rFonts w:asciiTheme="majorHAnsi" w:hAnsiTheme="majorHAnsi"/>
                <w:b w:val="0"/>
              </w:rPr>
              <w:t>Total equity as at 31 December 2015</w:t>
            </w:r>
          </w:p>
        </w:tc>
        <w:tc>
          <w:tcPr>
            <w:tcW w:w="1559" w:type="dxa"/>
            <w:tcBorders>
              <w:top w:val="single" w:sz="6" w:space="0" w:color="auto"/>
              <w:bottom w:val="single" w:sz="12" w:space="0" w:color="000000"/>
            </w:tcBorders>
            <w:shd w:val="clear" w:color="auto" w:fill="auto"/>
          </w:tcPr>
          <w:p w:rsidR="00AD47C0" w:rsidRPr="00892DE3" w:rsidRDefault="00AD47C0" w:rsidP="00F042B6">
            <w:pPr>
              <w:pStyle w:val="TableText0"/>
              <w:spacing w:before="20" w:after="20"/>
              <w:cnfStyle w:val="010000000000" w:firstRow="0" w:lastRow="1" w:firstColumn="0" w:lastColumn="0" w:oddVBand="0" w:evenVBand="0" w:oddHBand="0" w:evenHBand="0" w:firstRowFirstColumn="0" w:firstRowLastColumn="0" w:lastRowFirstColumn="0" w:lastRowLastColumn="0"/>
              <w:rPr>
                <w:rFonts w:asciiTheme="majorHAnsi" w:eastAsiaTheme="minorEastAsia" w:hAnsiTheme="majorHAnsi" w:cs="Calibri"/>
                <w:bCs/>
                <w:color w:val="000000"/>
                <w:lang w:eastAsia="en-AU"/>
              </w:rPr>
            </w:pPr>
            <w:r w:rsidRPr="00892DE3">
              <w:rPr>
                <w:rFonts w:asciiTheme="majorHAnsi" w:eastAsiaTheme="minorEastAsia" w:hAnsiTheme="majorHAnsi" w:cs="Calibri"/>
                <w:bCs/>
                <w:color w:val="000000"/>
                <w:lang w:eastAsia="en-AU"/>
              </w:rPr>
              <w:t>46 304</w:t>
            </w:r>
          </w:p>
        </w:tc>
        <w:tc>
          <w:tcPr>
            <w:tcW w:w="1415" w:type="dxa"/>
            <w:tcBorders>
              <w:top w:val="single" w:sz="6" w:space="0" w:color="auto"/>
              <w:bottom w:val="single" w:sz="12" w:space="0" w:color="000000"/>
            </w:tcBorders>
            <w:shd w:val="clear" w:color="auto" w:fill="auto"/>
          </w:tcPr>
          <w:p w:rsidR="00AD47C0" w:rsidRPr="00892DE3" w:rsidRDefault="00AD47C0" w:rsidP="00F042B6">
            <w:pPr>
              <w:pStyle w:val="TableText0"/>
              <w:spacing w:before="20" w:after="20"/>
              <w:cnfStyle w:val="010000000000" w:firstRow="0" w:lastRow="1" w:firstColumn="0" w:lastColumn="0" w:oddVBand="0" w:evenVBand="0" w:oddHBand="0" w:evenHBand="0" w:firstRowFirstColumn="0" w:firstRowLastColumn="0" w:lastRowFirstColumn="0" w:lastRowLastColumn="0"/>
              <w:rPr>
                <w:rFonts w:asciiTheme="majorHAnsi" w:eastAsiaTheme="minorEastAsia" w:hAnsiTheme="majorHAnsi" w:cs="Calibri"/>
                <w:bCs/>
                <w:color w:val="000000"/>
                <w:lang w:eastAsia="en-AU"/>
              </w:rPr>
            </w:pPr>
            <w:r w:rsidRPr="00892DE3">
              <w:rPr>
                <w:rFonts w:asciiTheme="majorHAnsi" w:eastAsiaTheme="minorEastAsia" w:hAnsiTheme="majorHAnsi" w:cs="Calibri"/>
                <w:bCs/>
                <w:color w:val="000000"/>
                <w:lang w:eastAsia="en-AU"/>
              </w:rPr>
              <w:t>50</w:t>
            </w:r>
          </w:p>
        </w:tc>
      </w:tr>
    </w:tbl>
    <w:p w:rsidR="00AD47C0" w:rsidRPr="00892DE3" w:rsidRDefault="00AD47C0" w:rsidP="00AD47C0">
      <w:pPr>
        <w:pStyle w:val="Source"/>
      </w:pPr>
      <w:r w:rsidRPr="00892DE3">
        <w:t>The accompanying notes form part of these financial statements.</w:t>
      </w:r>
    </w:p>
    <w:p w:rsidR="00AD47C0" w:rsidRPr="00892DE3" w:rsidRDefault="00AD47C0" w:rsidP="00AD47C0">
      <w:pPr>
        <w:pStyle w:val="Note"/>
      </w:pPr>
      <w:r w:rsidRPr="00892DE3">
        <w:t>Note:</w:t>
      </w:r>
    </w:p>
    <w:p w:rsidR="00AD47C0" w:rsidRPr="00892DE3" w:rsidRDefault="00AD47C0" w:rsidP="00AD47C0">
      <w:pPr>
        <w:pStyle w:val="Note"/>
      </w:pPr>
      <w:r w:rsidRPr="00892DE3">
        <w:t>(a)</w:t>
      </w:r>
      <w:r w:rsidRPr="00892DE3">
        <w:tab/>
        <w:t xml:space="preserve">Certain December 2015 comparative figures have been restated to reflect more current information, mainly including adjustments outlined in the </w:t>
      </w:r>
      <w:r w:rsidRPr="00892DE3">
        <w:rPr>
          <w:i w:val="0"/>
        </w:rPr>
        <w:t>2015-16 Financial Report.</w:t>
      </w:r>
    </w:p>
    <w:p w:rsidR="00AD47C0" w:rsidRPr="00892DE3" w:rsidRDefault="00AD47C0" w:rsidP="00AD47C0">
      <w:pPr>
        <w:pStyle w:val="Note"/>
      </w:pPr>
    </w:p>
    <w:p w:rsidR="00AA329A" w:rsidRPr="00892DE3" w:rsidRDefault="00AA329A">
      <w:pPr>
        <w:keepLines w:val="0"/>
        <w:rPr>
          <w:rFonts w:asciiTheme="majorHAnsi" w:hAnsiTheme="majorHAnsi"/>
          <w:b/>
          <w:szCs w:val="20"/>
        </w:rPr>
      </w:pPr>
      <w:r w:rsidRPr="00892DE3">
        <w:br w:type="page"/>
      </w:r>
    </w:p>
    <w:p w:rsidR="00AD47C0" w:rsidRPr="00892DE3" w:rsidRDefault="00AD47C0" w:rsidP="00AA329A">
      <w:pPr>
        <w:pStyle w:val="TableHeading"/>
      </w:pPr>
    </w:p>
    <w:tbl>
      <w:tblPr>
        <w:tblStyle w:val="DTFTable"/>
        <w:tblW w:w="9637" w:type="dxa"/>
        <w:tblInd w:w="43" w:type="dxa"/>
        <w:tblLayout w:type="fixed"/>
        <w:tblCellMar>
          <w:left w:w="43" w:type="dxa"/>
          <w:right w:w="43" w:type="dxa"/>
        </w:tblCellMar>
        <w:tblLook w:val="0660" w:firstRow="1" w:lastRow="1" w:firstColumn="0" w:lastColumn="0" w:noHBand="1" w:noVBand="1"/>
      </w:tblPr>
      <w:tblGrid>
        <w:gridCol w:w="3212"/>
        <w:gridCol w:w="2742"/>
        <w:gridCol w:w="3683"/>
      </w:tblGrid>
      <w:tr w:rsidR="00AD47C0" w:rsidRPr="00892DE3" w:rsidTr="00B623D8">
        <w:trPr>
          <w:cnfStyle w:val="100000000000" w:firstRow="1" w:lastRow="0" w:firstColumn="0" w:lastColumn="0" w:oddVBand="0" w:evenVBand="0" w:oddHBand="0" w:evenHBand="0" w:firstRowFirstColumn="0" w:firstRowLastColumn="0" w:lastRowFirstColumn="0" w:lastRowLastColumn="0"/>
          <w:tblHeader/>
        </w:trPr>
        <w:tc>
          <w:tcPr>
            <w:tcW w:w="3212" w:type="dxa"/>
            <w:tcBorders>
              <w:top w:val="single" w:sz="4" w:space="0" w:color="auto"/>
              <w:left w:val="single" w:sz="4" w:space="0" w:color="auto"/>
              <w:bottom w:val="single" w:sz="4" w:space="0" w:color="auto"/>
              <w:right w:val="nil"/>
            </w:tcBorders>
            <w:shd w:val="clear" w:color="auto" w:fill="000000"/>
          </w:tcPr>
          <w:p w:rsidR="00AD47C0" w:rsidRPr="00892DE3" w:rsidRDefault="00AD47C0" w:rsidP="00F042B6">
            <w:r w:rsidRPr="00892DE3">
              <w:t>Non</w:t>
            </w:r>
            <w:r w:rsidRPr="00892DE3">
              <w:noBreakHyphen/>
              <w:t xml:space="preserve">financial assets </w:t>
            </w:r>
            <w:r w:rsidRPr="00892DE3">
              <w:br/>
              <w:t xml:space="preserve">revaluation surplus </w:t>
            </w:r>
            <w:r w:rsidRPr="00892DE3">
              <w:rPr>
                <w:vertAlign w:val="superscript"/>
              </w:rPr>
              <w:t xml:space="preserve">(a) </w:t>
            </w:r>
          </w:p>
        </w:tc>
        <w:tc>
          <w:tcPr>
            <w:tcW w:w="2742" w:type="dxa"/>
            <w:tcBorders>
              <w:top w:val="single" w:sz="4" w:space="0" w:color="auto"/>
              <w:left w:val="nil"/>
              <w:bottom w:val="single" w:sz="4" w:space="0" w:color="auto"/>
              <w:right w:val="nil"/>
            </w:tcBorders>
            <w:shd w:val="clear" w:color="auto" w:fill="000000"/>
          </w:tcPr>
          <w:p w:rsidR="00AD47C0" w:rsidRPr="00892DE3" w:rsidRDefault="00AD47C0" w:rsidP="00F042B6">
            <w:r w:rsidRPr="00892DE3">
              <w:t xml:space="preserve">Other </w:t>
            </w:r>
            <w:r w:rsidRPr="00892DE3">
              <w:br/>
              <w:t xml:space="preserve">reserves </w:t>
            </w:r>
          </w:p>
        </w:tc>
        <w:tc>
          <w:tcPr>
            <w:tcW w:w="3683" w:type="dxa"/>
            <w:tcBorders>
              <w:top w:val="single" w:sz="4" w:space="0" w:color="auto"/>
              <w:left w:val="nil"/>
              <w:bottom w:val="single" w:sz="4" w:space="0" w:color="auto"/>
              <w:right w:val="single" w:sz="4" w:space="0" w:color="auto"/>
            </w:tcBorders>
            <w:shd w:val="clear" w:color="auto" w:fill="000000"/>
          </w:tcPr>
          <w:p w:rsidR="00AD47C0" w:rsidRPr="00892DE3" w:rsidRDefault="00AD47C0" w:rsidP="00F042B6">
            <w:r w:rsidRPr="00892DE3">
              <w:t xml:space="preserve">Total </w:t>
            </w:r>
            <w:r w:rsidRPr="00892DE3">
              <w:rPr>
                <w:vertAlign w:val="superscript"/>
              </w:rPr>
              <w:t>(a)</w:t>
            </w:r>
          </w:p>
        </w:tc>
      </w:tr>
      <w:tr w:rsidR="00AD47C0" w:rsidRPr="00892DE3" w:rsidTr="00B623D8">
        <w:trPr>
          <w:cantSplit w:val="0"/>
        </w:trPr>
        <w:tc>
          <w:tcPr>
            <w:tcW w:w="3212" w:type="dxa"/>
            <w:tcBorders>
              <w:top w:val="single" w:sz="4" w:space="0" w:color="auto"/>
              <w:left w:val="nil"/>
              <w:bottom w:val="nil"/>
              <w:right w:val="nil"/>
            </w:tcBorders>
          </w:tcPr>
          <w:p w:rsidR="00AD47C0" w:rsidRPr="00892DE3" w:rsidRDefault="00AD47C0" w:rsidP="00F042B6">
            <w:pPr>
              <w:pStyle w:val="TableofFigures"/>
            </w:pPr>
            <w:r w:rsidRPr="00892DE3">
              <w:t xml:space="preserve"> </w:t>
            </w:r>
          </w:p>
        </w:tc>
        <w:tc>
          <w:tcPr>
            <w:tcW w:w="2742" w:type="dxa"/>
            <w:tcBorders>
              <w:top w:val="single" w:sz="4" w:space="0" w:color="auto"/>
              <w:left w:val="nil"/>
              <w:bottom w:val="nil"/>
              <w:right w:val="nil"/>
            </w:tcBorders>
          </w:tcPr>
          <w:p w:rsidR="00AD47C0" w:rsidRPr="00892DE3" w:rsidRDefault="00AD47C0" w:rsidP="00F042B6">
            <w:pPr>
              <w:pStyle w:val="TableofFigures"/>
            </w:pPr>
            <w:r w:rsidRPr="00892DE3">
              <w:t xml:space="preserve"> </w:t>
            </w:r>
          </w:p>
        </w:tc>
        <w:tc>
          <w:tcPr>
            <w:tcW w:w="3683" w:type="dxa"/>
            <w:tcBorders>
              <w:top w:val="single" w:sz="4" w:space="0" w:color="auto"/>
              <w:left w:val="nil"/>
              <w:bottom w:val="nil"/>
              <w:right w:val="nil"/>
            </w:tcBorders>
          </w:tcPr>
          <w:p w:rsidR="00AD47C0" w:rsidRPr="00892DE3" w:rsidRDefault="00AD47C0" w:rsidP="00F042B6">
            <w:pPr>
              <w:pStyle w:val="TableofFigures"/>
            </w:pPr>
            <w:r w:rsidRPr="00892DE3">
              <w:t xml:space="preserve"> </w:t>
            </w:r>
          </w:p>
        </w:tc>
      </w:tr>
      <w:tr w:rsidR="00AD47C0" w:rsidRPr="00892DE3" w:rsidTr="00B623D8">
        <w:trPr>
          <w:cantSplit w:val="0"/>
        </w:trPr>
        <w:tc>
          <w:tcPr>
            <w:tcW w:w="321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94 965</w:t>
            </w:r>
          </w:p>
        </w:tc>
        <w:tc>
          <w:tcPr>
            <w:tcW w:w="274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1 042</w:t>
            </w:r>
          </w:p>
        </w:tc>
        <w:tc>
          <w:tcPr>
            <w:tcW w:w="3683"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152 291</w:t>
            </w:r>
          </w:p>
        </w:tc>
      </w:tr>
      <w:tr w:rsidR="00AD47C0" w:rsidRPr="00892DE3" w:rsidTr="00B623D8">
        <w:trPr>
          <w:cantSplit w:val="0"/>
        </w:trPr>
        <w:tc>
          <w:tcPr>
            <w:tcW w:w="3212"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274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3683"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5 596</w:t>
            </w:r>
          </w:p>
        </w:tc>
      </w:tr>
      <w:tr w:rsidR="00AD47C0" w:rsidRPr="00892DE3" w:rsidTr="00B623D8">
        <w:trPr>
          <w:cantSplit w:val="0"/>
        </w:trPr>
        <w:tc>
          <w:tcPr>
            <w:tcW w:w="3212"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(89)</w:t>
            </w:r>
          </w:p>
        </w:tc>
        <w:tc>
          <w:tcPr>
            <w:tcW w:w="2742"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71</w:t>
            </w:r>
          </w:p>
        </w:tc>
        <w:tc>
          <w:tcPr>
            <w:tcW w:w="3683"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3 014</w:t>
            </w:r>
          </w:p>
        </w:tc>
      </w:tr>
      <w:tr w:rsidR="00AD47C0" w:rsidRPr="00892DE3" w:rsidTr="00B623D8">
        <w:trPr>
          <w:cantSplit w:val="0"/>
        </w:trPr>
        <w:tc>
          <w:tcPr>
            <w:tcW w:w="3212" w:type="dxa"/>
            <w:tcBorders>
              <w:left w:val="nil"/>
              <w:right w:val="nil"/>
            </w:tcBorders>
          </w:tcPr>
          <w:p w:rsidR="00AD47C0" w:rsidRPr="00892DE3" w:rsidRDefault="00AD47C0" w:rsidP="00F042B6">
            <w:pPr>
              <w:pStyle w:val="TableofFigures"/>
            </w:pPr>
            <w:r w:rsidRPr="00892DE3">
              <w:rPr>
                <w:rFonts w:eastAsiaTheme="minorEastAsia" w:cs="Calibri"/>
                <w:color w:val="000000"/>
                <w:lang w:eastAsia="en-AU"/>
              </w:rPr>
              <w:t>(7 876)</w:t>
            </w:r>
          </w:p>
        </w:tc>
        <w:tc>
          <w:tcPr>
            <w:tcW w:w="2742"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3683"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r>
      <w:tr w:rsidR="00AD47C0" w:rsidRPr="00892DE3" w:rsidTr="00B623D8">
        <w:trPr>
          <w:cantSplit w:val="0"/>
        </w:trPr>
        <w:tc>
          <w:tcPr>
            <w:tcW w:w="3212" w:type="dxa"/>
            <w:tcBorders>
              <w:left w:val="nil"/>
              <w:bottom w:val="single" w:sz="6" w:space="0" w:color="auto"/>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2742" w:type="dxa"/>
            <w:tcBorders>
              <w:left w:val="nil"/>
              <w:bottom w:val="single" w:sz="6" w:space="0" w:color="auto"/>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3683" w:type="dxa"/>
            <w:tcBorders>
              <w:left w:val="nil"/>
              <w:bottom w:val="single" w:sz="6" w:space="0" w:color="auto"/>
              <w:right w:val="nil"/>
            </w:tcBorders>
          </w:tcPr>
          <w:p w:rsidR="00AD47C0" w:rsidRPr="00892DE3" w:rsidRDefault="00AD47C0" w:rsidP="00F042B6">
            <w:pPr>
              <w:pStyle w:val="TableofFigures"/>
            </w:pPr>
            <w:r w:rsidRPr="00892DE3">
              <w:rPr>
                <w:rFonts w:eastAsiaTheme="minorEastAsia" w:cs="Calibri"/>
                <w:color w:val="000000"/>
                <w:lang w:eastAsia="en-AU"/>
              </w:rPr>
              <w:t>(50)</w:t>
            </w:r>
          </w:p>
        </w:tc>
      </w:tr>
      <w:tr w:rsidR="00AD47C0" w:rsidRPr="00892DE3" w:rsidTr="00B623D8">
        <w:trPr>
          <w:cantSplit w:val="0"/>
        </w:trPr>
        <w:tc>
          <w:tcPr>
            <w:tcW w:w="3212" w:type="dxa"/>
            <w:tcBorders>
              <w:top w:val="nil"/>
              <w:left w:val="nil"/>
              <w:bottom w:val="single" w:sz="12" w:space="0" w:color="auto"/>
              <w:right w:val="nil"/>
            </w:tcBorders>
          </w:tcPr>
          <w:p w:rsidR="00AD47C0" w:rsidRPr="00892DE3" w:rsidRDefault="00AD47C0" w:rsidP="00F042B6">
            <w:pPr>
              <w:pStyle w:val="TableofFigures"/>
              <w:rPr>
                <w:b/>
              </w:rPr>
            </w:pPr>
            <w:r w:rsidRPr="00892DE3">
              <w:rPr>
                <w:rFonts w:eastAsiaTheme="minorEastAsia" w:cs="Calibri"/>
                <w:b/>
                <w:bCs/>
                <w:color w:val="000000"/>
                <w:lang w:eastAsia="en-AU"/>
              </w:rPr>
              <w:t>87 001</w:t>
            </w:r>
          </w:p>
        </w:tc>
        <w:tc>
          <w:tcPr>
            <w:tcW w:w="2742" w:type="dxa"/>
            <w:tcBorders>
              <w:top w:val="nil"/>
              <w:left w:val="nil"/>
              <w:bottom w:val="single" w:sz="12" w:space="0" w:color="auto"/>
              <w:right w:val="nil"/>
            </w:tcBorders>
          </w:tcPr>
          <w:p w:rsidR="00AD47C0" w:rsidRPr="00892DE3" w:rsidRDefault="00AD47C0" w:rsidP="00F042B6">
            <w:pPr>
              <w:pStyle w:val="TableofFigures"/>
              <w:rPr>
                <w:b/>
              </w:rPr>
            </w:pPr>
            <w:r w:rsidRPr="00892DE3">
              <w:rPr>
                <w:rFonts w:eastAsiaTheme="minorEastAsia" w:cs="Calibri"/>
                <w:b/>
                <w:bCs/>
                <w:color w:val="000000"/>
                <w:lang w:eastAsia="en-AU"/>
              </w:rPr>
              <w:t>1 114</w:t>
            </w:r>
          </w:p>
        </w:tc>
        <w:tc>
          <w:tcPr>
            <w:tcW w:w="3683" w:type="dxa"/>
            <w:tcBorders>
              <w:top w:val="nil"/>
              <w:left w:val="nil"/>
              <w:bottom w:val="single" w:sz="12" w:space="0" w:color="auto"/>
              <w:right w:val="nil"/>
            </w:tcBorders>
          </w:tcPr>
          <w:p w:rsidR="00AD47C0" w:rsidRPr="00892DE3" w:rsidRDefault="00AD47C0" w:rsidP="00F042B6">
            <w:pPr>
              <w:pStyle w:val="TableofFigures"/>
              <w:rPr>
                <w:b/>
              </w:rPr>
            </w:pPr>
            <w:r w:rsidRPr="00892DE3">
              <w:rPr>
                <w:rFonts w:eastAsiaTheme="minorEastAsia" w:cs="Calibri"/>
                <w:b/>
                <w:bCs/>
                <w:color w:val="000000"/>
                <w:lang w:eastAsia="en-AU"/>
              </w:rPr>
              <w:t>160 852</w:t>
            </w:r>
          </w:p>
        </w:tc>
      </w:tr>
      <w:tr w:rsidR="00AD47C0" w:rsidRPr="00892DE3" w:rsidTr="00B623D8">
        <w:trPr>
          <w:cantSplit w:val="0"/>
        </w:trPr>
        <w:tc>
          <w:tcPr>
            <w:tcW w:w="3212" w:type="dxa"/>
            <w:tcBorders>
              <w:top w:val="nil"/>
              <w:left w:val="nil"/>
              <w:bottom w:val="nil"/>
              <w:right w:val="nil"/>
            </w:tcBorders>
          </w:tcPr>
          <w:p w:rsidR="00AD47C0" w:rsidRPr="00892DE3" w:rsidRDefault="00AD47C0" w:rsidP="00F042B6">
            <w:pPr>
              <w:pStyle w:val="TableofFigures"/>
            </w:pPr>
            <w:r w:rsidRPr="00892DE3">
              <w:rPr>
                <w:rFonts w:eastAsiaTheme="minorEastAsia" w:cs="Calibri"/>
                <w:b/>
                <w:bCs/>
                <w:color w:val="000000"/>
                <w:lang w:eastAsia="en-AU"/>
              </w:rPr>
              <w:t xml:space="preserve"> </w:t>
            </w:r>
          </w:p>
        </w:tc>
        <w:tc>
          <w:tcPr>
            <w:tcW w:w="2742" w:type="dxa"/>
            <w:tcBorders>
              <w:top w:val="nil"/>
              <w:left w:val="nil"/>
              <w:bottom w:val="nil"/>
              <w:right w:val="nil"/>
            </w:tcBorders>
          </w:tcPr>
          <w:p w:rsidR="00AD47C0" w:rsidRPr="00892DE3" w:rsidRDefault="00AD47C0" w:rsidP="00F042B6">
            <w:pPr>
              <w:pStyle w:val="TableofFigures"/>
            </w:pPr>
            <w:r w:rsidRPr="00892DE3">
              <w:rPr>
                <w:rFonts w:eastAsiaTheme="minorEastAsia" w:cs="Calibri"/>
                <w:b/>
                <w:bCs/>
                <w:color w:val="000000"/>
                <w:lang w:eastAsia="en-AU"/>
              </w:rPr>
              <w:t xml:space="preserve"> </w:t>
            </w:r>
          </w:p>
        </w:tc>
        <w:tc>
          <w:tcPr>
            <w:tcW w:w="3683" w:type="dxa"/>
            <w:tcBorders>
              <w:top w:val="nil"/>
              <w:left w:val="nil"/>
              <w:bottom w:val="nil"/>
              <w:right w:val="nil"/>
            </w:tcBorders>
          </w:tcPr>
          <w:p w:rsidR="00AD47C0" w:rsidRPr="00892DE3" w:rsidRDefault="00AD47C0" w:rsidP="00F042B6">
            <w:pPr>
              <w:pStyle w:val="TableofFigures"/>
            </w:pPr>
            <w:r w:rsidRPr="00892DE3">
              <w:rPr>
                <w:rFonts w:eastAsiaTheme="minorEastAsia" w:cs="Calibri"/>
                <w:b/>
                <w:bCs/>
                <w:color w:val="000000"/>
                <w:lang w:eastAsia="en-AU"/>
              </w:rPr>
              <w:t xml:space="preserve"> </w:t>
            </w:r>
          </w:p>
        </w:tc>
      </w:tr>
      <w:tr w:rsidR="00AD47C0" w:rsidRPr="00892DE3" w:rsidTr="00B623D8">
        <w:trPr>
          <w:cantSplit w:val="0"/>
        </w:trPr>
        <w:tc>
          <w:tcPr>
            <w:tcW w:w="321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77 429</w:t>
            </w:r>
          </w:p>
        </w:tc>
        <w:tc>
          <w:tcPr>
            <w:tcW w:w="274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1 201</w:t>
            </w:r>
          </w:p>
        </w:tc>
        <w:tc>
          <w:tcPr>
            <w:tcW w:w="3683"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139 966</w:t>
            </w:r>
          </w:p>
        </w:tc>
      </w:tr>
      <w:tr w:rsidR="00AD47C0" w:rsidRPr="00892DE3" w:rsidTr="00B623D8">
        <w:trPr>
          <w:cantSplit w:val="0"/>
        </w:trPr>
        <w:tc>
          <w:tcPr>
            <w:tcW w:w="321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274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3683"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542</w:t>
            </w:r>
          </w:p>
        </w:tc>
      </w:tr>
      <w:tr w:rsidR="00AD47C0" w:rsidRPr="00892DE3" w:rsidTr="00B623D8">
        <w:trPr>
          <w:cantSplit w:val="0"/>
        </w:trPr>
        <w:tc>
          <w:tcPr>
            <w:tcW w:w="321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(1)</w:t>
            </w:r>
          </w:p>
        </w:tc>
        <w:tc>
          <w:tcPr>
            <w:tcW w:w="274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(65)</w:t>
            </w:r>
          </w:p>
        </w:tc>
        <w:tc>
          <w:tcPr>
            <w:tcW w:w="3683"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(763)</w:t>
            </w:r>
          </w:p>
        </w:tc>
      </w:tr>
      <w:tr w:rsidR="00AD47C0" w:rsidRPr="00892DE3" w:rsidTr="00B623D8">
        <w:trPr>
          <w:cantSplit w:val="0"/>
        </w:trPr>
        <w:tc>
          <w:tcPr>
            <w:tcW w:w="321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22</w:t>
            </w:r>
          </w:p>
        </w:tc>
        <w:tc>
          <w:tcPr>
            <w:tcW w:w="274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3683"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r>
      <w:tr w:rsidR="00AD47C0" w:rsidRPr="00892DE3" w:rsidTr="00B623D8">
        <w:trPr>
          <w:cantSplit w:val="0"/>
        </w:trPr>
        <w:tc>
          <w:tcPr>
            <w:tcW w:w="321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2742"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3683"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r>
      <w:tr w:rsidR="00AD47C0" w:rsidRPr="00892DE3" w:rsidTr="00B623D8">
        <w:trPr>
          <w:cnfStyle w:val="010000000000" w:firstRow="0" w:lastRow="1" w:firstColumn="0" w:lastColumn="0" w:oddVBand="0" w:evenVBand="0" w:oddHBand="0" w:evenHBand="0" w:firstRowFirstColumn="0" w:firstRowLastColumn="0" w:lastRowFirstColumn="0" w:lastRowLastColumn="0"/>
          <w:cantSplit w:val="0"/>
        </w:trPr>
        <w:tc>
          <w:tcPr>
            <w:tcW w:w="3212" w:type="dxa"/>
            <w:tcBorders>
              <w:top w:val="single" w:sz="6" w:space="0" w:color="auto"/>
              <w:bottom w:val="single" w:sz="12" w:space="0" w:color="auto"/>
            </w:tcBorders>
          </w:tcPr>
          <w:p w:rsidR="00AD47C0" w:rsidRPr="00892DE3" w:rsidRDefault="00AD47C0" w:rsidP="00F042B6">
            <w:pPr>
              <w:pStyle w:val="TableofFigures"/>
              <w:rPr>
                <w:b w:val="0"/>
              </w:rPr>
            </w:pPr>
            <w:r w:rsidRPr="00892DE3">
              <w:rPr>
                <w:rFonts w:eastAsiaTheme="minorEastAsia" w:cs="Calibri"/>
                <w:bCs/>
                <w:color w:val="000000"/>
                <w:lang w:eastAsia="en-AU"/>
              </w:rPr>
              <w:t>77 451</w:t>
            </w:r>
          </w:p>
        </w:tc>
        <w:tc>
          <w:tcPr>
            <w:tcW w:w="2742" w:type="dxa"/>
            <w:tcBorders>
              <w:top w:val="single" w:sz="6" w:space="0" w:color="auto"/>
              <w:bottom w:val="single" w:sz="12" w:space="0" w:color="auto"/>
            </w:tcBorders>
          </w:tcPr>
          <w:p w:rsidR="00AD47C0" w:rsidRPr="00892DE3" w:rsidRDefault="00AD47C0" w:rsidP="00F042B6">
            <w:pPr>
              <w:pStyle w:val="TableofFigures"/>
              <w:rPr>
                <w:b w:val="0"/>
              </w:rPr>
            </w:pPr>
            <w:r w:rsidRPr="00892DE3">
              <w:rPr>
                <w:rFonts w:eastAsiaTheme="minorEastAsia" w:cs="Calibri"/>
                <w:bCs/>
                <w:color w:val="000000"/>
                <w:lang w:eastAsia="en-AU"/>
              </w:rPr>
              <w:t>1 135</w:t>
            </w:r>
          </w:p>
        </w:tc>
        <w:tc>
          <w:tcPr>
            <w:tcW w:w="3683" w:type="dxa"/>
            <w:tcBorders>
              <w:top w:val="single" w:sz="6" w:space="0" w:color="auto"/>
              <w:bottom w:val="single" w:sz="12" w:space="0" w:color="auto"/>
            </w:tcBorders>
          </w:tcPr>
          <w:p w:rsidR="00AD47C0" w:rsidRPr="00892DE3" w:rsidRDefault="00AD47C0" w:rsidP="00F042B6">
            <w:pPr>
              <w:pStyle w:val="TableofFigures"/>
              <w:rPr>
                <w:b w:val="0"/>
              </w:rPr>
            </w:pPr>
            <w:r w:rsidRPr="00892DE3">
              <w:rPr>
                <w:rFonts w:eastAsiaTheme="minorEastAsia" w:cs="Calibri"/>
                <w:bCs/>
                <w:color w:val="000000"/>
                <w:lang w:eastAsia="en-AU"/>
              </w:rPr>
              <w:t>139 745</w:t>
            </w:r>
          </w:p>
        </w:tc>
      </w:tr>
    </w:tbl>
    <w:p w:rsidR="00AD47C0" w:rsidRPr="00892DE3" w:rsidRDefault="00AD47C0" w:rsidP="00B623D8">
      <w:pPr>
        <w:pStyle w:val="Source"/>
      </w:pPr>
    </w:p>
    <w:p w:rsidR="00AD47C0" w:rsidRPr="00892DE3" w:rsidRDefault="00AD47C0" w:rsidP="00AD47C0">
      <w:pPr>
        <w:pStyle w:val="Notes"/>
      </w:pPr>
    </w:p>
    <w:p w:rsidR="00AD47C0" w:rsidRPr="00892DE3" w:rsidRDefault="00AD47C0" w:rsidP="00B623D8">
      <w:pPr>
        <w:pStyle w:val="Note"/>
      </w:pPr>
      <w:r w:rsidRPr="00892DE3">
        <w:br/>
      </w:r>
    </w:p>
    <w:p w:rsidR="00AD47C0" w:rsidRPr="00892DE3" w:rsidRDefault="00AD47C0" w:rsidP="00B623D8"/>
    <w:p w:rsidR="00B623D8" w:rsidRPr="00892DE3" w:rsidRDefault="00B623D8" w:rsidP="00B623D8"/>
    <w:p w:rsidR="00AD47C0" w:rsidRPr="00892DE3" w:rsidRDefault="00AD47C0" w:rsidP="00B623D8">
      <w:pPr>
        <w:pStyle w:val="TableUnits"/>
      </w:pPr>
    </w:p>
    <w:tbl>
      <w:tblPr>
        <w:tblStyle w:val="DTFTable"/>
        <w:tblW w:w="9637" w:type="dxa"/>
        <w:tblInd w:w="45" w:type="dxa"/>
        <w:tblLayout w:type="fixed"/>
        <w:tblCellMar>
          <w:left w:w="45" w:type="dxa"/>
          <w:right w:w="45" w:type="dxa"/>
        </w:tblCellMar>
        <w:tblLook w:val="0660" w:firstRow="1" w:lastRow="1" w:firstColumn="0" w:lastColumn="0" w:noHBand="1" w:noVBand="1"/>
      </w:tblPr>
      <w:tblGrid>
        <w:gridCol w:w="3217"/>
        <w:gridCol w:w="2737"/>
        <w:gridCol w:w="1984"/>
        <w:gridCol w:w="1699"/>
      </w:tblGrid>
      <w:tr w:rsidR="00AD47C0" w:rsidRPr="00892DE3" w:rsidTr="00B623D8">
        <w:trPr>
          <w:cnfStyle w:val="100000000000" w:firstRow="1" w:lastRow="0" w:firstColumn="0" w:lastColumn="0" w:oddVBand="0" w:evenVBand="0" w:oddHBand="0" w:evenHBand="0" w:firstRowFirstColumn="0" w:firstRowLastColumn="0" w:lastRowFirstColumn="0" w:lastRowLastColumn="0"/>
          <w:cantSplit/>
          <w:tblHeader/>
        </w:trPr>
        <w:tc>
          <w:tcPr>
            <w:tcW w:w="3217" w:type="dxa"/>
            <w:tcBorders>
              <w:top w:val="single" w:sz="6" w:space="0" w:color="auto"/>
              <w:left w:val="single" w:sz="6" w:space="0" w:color="auto"/>
              <w:bottom w:val="single" w:sz="6" w:space="0" w:color="auto"/>
              <w:right w:val="nil"/>
            </w:tcBorders>
            <w:shd w:val="clear" w:color="000000" w:fill="000000"/>
          </w:tcPr>
          <w:p w:rsidR="00AD47C0" w:rsidRPr="00892DE3" w:rsidRDefault="00AD47C0" w:rsidP="00F042B6">
            <w:r w:rsidRPr="00892DE3">
              <w:t>Non</w:t>
            </w:r>
            <w:r w:rsidRPr="00892DE3">
              <w:noBreakHyphen/>
              <w:t xml:space="preserve">financial assets </w:t>
            </w:r>
            <w:r w:rsidRPr="00892DE3">
              <w:br/>
              <w:t xml:space="preserve">revaluation surplus </w:t>
            </w:r>
            <w:r w:rsidRPr="00892DE3">
              <w:rPr>
                <w:vertAlign w:val="superscript"/>
              </w:rPr>
              <w:t xml:space="preserve">(a) </w:t>
            </w:r>
          </w:p>
        </w:tc>
        <w:tc>
          <w:tcPr>
            <w:tcW w:w="2737" w:type="dxa"/>
            <w:tcBorders>
              <w:top w:val="single" w:sz="6" w:space="0" w:color="auto"/>
              <w:left w:val="nil"/>
              <w:bottom w:val="single" w:sz="6" w:space="0" w:color="auto"/>
              <w:right w:val="nil"/>
            </w:tcBorders>
            <w:shd w:val="clear" w:color="000000" w:fill="000000"/>
          </w:tcPr>
          <w:p w:rsidR="00AD47C0" w:rsidRPr="00892DE3" w:rsidRDefault="00AD47C0" w:rsidP="00F042B6">
            <w:r w:rsidRPr="00892DE3">
              <w:t xml:space="preserve">Investment in other </w:t>
            </w:r>
            <w:r w:rsidRPr="00892DE3">
              <w:br/>
              <w:t xml:space="preserve">sector entities </w:t>
            </w:r>
            <w:r w:rsidRPr="00892DE3">
              <w:br/>
              <w:t>revaluation surplus</w:t>
            </w:r>
          </w:p>
        </w:tc>
        <w:tc>
          <w:tcPr>
            <w:tcW w:w="1984" w:type="dxa"/>
            <w:tcBorders>
              <w:top w:val="single" w:sz="6" w:space="0" w:color="auto"/>
              <w:left w:val="nil"/>
              <w:bottom w:val="single" w:sz="6" w:space="0" w:color="auto"/>
              <w:right w:val="nil"/>
            </w:tcBorders>
            <w:shd w:val="clear" w:color="000000" w:fill="000000"/>
          </w:tcPr>
          <w:p w:rsidR="00AD47C0" w:rsidRPr="00892DE3" w:rsidRDefault="00AD47C0" w:rsidP="00F042B6">
            <w:r w:rsidRPr="00892DE3">
              <w:t>Other reserves</w:t>
            </w:r>
          </w:p>
        </w:tc>
        <w:tc>
          <w:tcPr>
            <w:tcW w:w="1699" w:type="dxa"/>
            <w:tcBorders>
              <w:top w:val="single" w:sz="6" w:space="0" w:color="auto"/>
              <w:left w:val="nil"/>
              <w:bottom w:val="single" w:sz="6" w:space="0" w:color="auto"/>
              <w:right w:val="single" w:sz="6" w:space="0" w:color="auto"/>
            </w:tcBorders>
            <w:shd w:val="clear" w:color="000000" w:fill="000000"/>
          </w:tcPr>
          <w:p w:rsidR="00AD47C0" w:rsidRPr="00892DE3" w:rsidRDefault="00AD47C0" w:rsidP="00F042B6">
            <w:r w:rsidRPr="00892DE3">
              <w:t xml:space="preserve">Total </w:t>
            </w:r>
            <w:r w:rsidRPr="00892DE3">
              <w:rPr>
                <w:vertAlign w:val="superscript"/>
              </w:rPr>
              <w:t>(a)</w:t>
            </w:r>
          </w:p>
        </w:tc>
      </w:tr>
      <w:tr w:rsidR="00AD47C0" w:rsidRPr="00892DE3" w:rsidTr="00B623D8">
        <w:tc>
          <w:tcPr>
            <w:tcW w:w="3217" w:type="dxa"/>
            <w:tcBorders>
              <w:top w:val="single" w:sz="6" w:space="0" w:color="auto"/>
              <w:left w:val="nil"/>
              <w:bottom w:val="nil"/>
              <w:right w:val="nil"/>
            </w:tcBorders>
          </w:tcPr>
          <w:p w:rsidR="00AD47C0" w:rsidRPr="00892DE3" w:rsidRDefault="00AD47C0" w:rsidP="00F042B6">
            <w:pPr>
              <w:pStyle w:val="TableofFigures"/>
            </w:pPr>
            <w:r w:rsidRPr="00892DE3">
              <w:t xml:space="preserve"> </w:t>
            </w:r>
          </w:p>
        </w:tc>
        <w:tc>
          <w:tcPr>
            <w:tcW w:w="2737" w:type="dxa"/>
            <w:tcBorders>
              <w:top w:val="single" w:sz="6" w:space="0" w:color="auto"/>
              <w:left w:val="nil"/>
              <w:bottom w:val="nil"/>
              <w:right w:val="nil"/>
            </w:tcBorders>
          </w:tcPr>
          <w:p w:rsidR="00AD47C0" w:rsidRPr="00892DE3" w:rsidRDefault="00AD47C0" w:rsidP="00F042B6">
            <w:pPr>
              <w:pStyle w:val="TableofFigures"/>
            </w:pPr>
            <w:r w:rsidRPr="00892DE3">
              <w:t xml:space="preserve"> </w:t>
            </w:r>
          </w:p>
        </w:tc>
        <w:tc>
          <w:tcPr>
            <w:tcW w:w="1984" w:type="dxa"/>
            <w:tcBorders>
              <w:top w:val="single" w:sz="6" w:space="0" w:color="auto"/>
              <w:left w:val="nil"/>
              <w:bottom w:val="nil"/>
              <w:right w:val="nil"/>
            </w:tcBorders>
          </w:tcPr>
          <w:p w:rsidR="00AD47C0" w:rsidRPr="00892DE3" w:rsidRDefault="00AD47C0" w:rsidP="00F042B6">
            <w:pPr>
              <w:pStyle w:val="TableofFigures"/>
            </w:pPr>
            <w:r w:rsidRPr="00892DE3">
              <w:t xml:space="preserve"> </w:t>
            </w:r>
          </w:p>
        </w:tc>
        <w:tc>
          <w:tcPr>
            <w:tcW w:w="1699" w:type="dxa"/>
            <w:tcBorders>
              <w:top w:val="single" w:sz="6" w:space="0" w:color="auto"/>
              <w:left w:val="nil"/>
              <w:bottom w:val="nil"/>
              <w:right w:val="nil"/>
            </w:tcBorders>
          </w:tcPr>
          <w:p w:rsidR="00AD47C0" w:rsidRPr="00892DE3" w:rsidRDefault="00AD47C0" w:rsidP="00F042B6">
            <w:pPr>
              <w:pStyle w:val="TableofFigures"/>
            </w:pPr>
            <w:r w:rsidRPr="00892DE3">
              <w:t xml:space="preserve"> </w:t>
            </w:r>
          </w:p>
        </w:tc>
      </w:tr>
      <w:tr w:rsidR="00AD47C0" w:rsidRPr="00892DE3" w:rsidTr="00B623D8">
        <w:tc>
          <w:tcPr>
            <w:tcW w:w="321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49 613</w:t>
            </w:r>
          </w:p>
        </w:tc>
        <w:tc>
          <w:tcPr>
            <w:tcW w:w="273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57 027</w:t>
            </w:r>
          </w:p>
        </w:tc>
        <w:tc>
          <w:tcPr>
            <w:tcW w:w="1984"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551</w:t>
            </w:r>
          </w:p>
        </w:tc>
        <w:tc>
          <w:tcPr>
            <w:tcW w:w="1699"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151 695</w:t>
            </w:r>
          </w:p>
        </w:tc>
      </w:tr>
      <w:tr w:rsidR="00AD47C0" w:rsidRPr="00892DE3" w:rsidTr="00B623D8">
        <w:tc>
          <w:tcPr>
            <w:tcW w:w="321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273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984"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699"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1 226</w:t>
            </w:r>
          </w:p>
        </w:tc>
      </w:tr>
      <w:tr w:rsidR="00AD47C0" w:rsidRPr="00892DE3" w:rsidTr="00B623D8">
        <w:tc>
          <w:tcPr>
            <w:tcW w:w="321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(89)</w:t>
            </w:r>
          </w:p>
        </w:tc>
        <w:tc>
          <w:tcPr>
            <w:tcW w:w="273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644</w:t>
            </w:r>
          </w:p>
        </w:tc>
        <w:tc>
          <w:tcPr>
            <w:tcW w:w="1984"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50</w:t>
            </w:r>
          </w:p>
        </w:tc>
        <w:tc>
          <w:tcPr>
            <w:tcW w:w="1699"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3 640</w:t>
            </w:r>
          </w:p>
        </w:tc>
      </w:tr>
      <w:tr w:rsidR="00AD47C0" w:rsidRPr="00892DE3" w:rsidTr="00B623D8">
        <w:tc>
          <w:tcPr>
            <w:tcW w:w="321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273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984"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 xml:space="preserve">.. </w:t>
            </w:r>
          </w:p>
        </w:tc>
        <w:tc>
          <w:tcPr>
            <w:tcW w:w="1699"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r>
      <w:tr w:rsidR="00AD47C0" w:rsidRPr="00892DE3" w:rsidTr="00B623D8">
        <w:tc>
          <w:tcPr>
            <w:tcW w:w="321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273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984"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699"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(50)</w:t>
            </w:r>
          </w:p>
        </w:tc>
      </w:tr>
      <w:tr w:rsidR="00AD47C0" w:rsidRPr="00892DE3" w:rsidTr="00B623D8">
        <w:tc>
          <w:tcPr>
            <w:tcW w:w="3217" w:type="dxa"/>
            <w:tcBorders>
              <w:top w:val="single" w:sz="6" w:space="0" w:color="auto"/>
              <w:left w:val="nil"/>
              <w:bottom w:val="single" w:sz="12" w:space="0" w:color="auto"/>
              <w:right w:val="nil"/>
            </w:tcBorders>
          </w:tcPr>
          <w:p w:rsidR="00AD47C0" w:rsidRPr="00892DE3" w:rsidRDefault="00AD47C0" w:rsidP="00F042B6">
            <w:pPr>
              <w:pStyle w:val="TableofFigures"/>
              <w:rPr>
                <w:b/>
              </w:rPr>
            </w:pPr>
            <w:r w:rsidRPr="00892DE3">
              <w:rPr>
                <w:rFonts w:eastAsiaTheme="minorEastAsia" w:cs="Calibri"/>
                <w:b/>
                <w:bCs/>
                <w:color w:val="000000"/>
                <w:lang w:eastAsia="en-AU"/>
              </w:rPr>
              <w:t>49 524</w:t>
            </w:r>
          </w:p>
        </w:tc>
        <w:tc>
          <w:tcPr>
            <w:tcW w:w="2737" w:type="dxa"/>
            <w:tcBorders>
              <w:top w:val="single" w:sz="6" w:space="0" w:color="auto"/>
              <w:left w:val="nil"/>
              <w:bottom w:val="single" w:sz="12" w:space="0" w:color="auto"/>
              <w:right w:val="nil"/>
            </w:tcBorders>
          </w:tcPr>
          <w:p w:rsidR="00AD47C0" w:rsidRPr="00892DE3" w:rsidRDefault="00AD47C0" w:rsidP="00F042B6">
            <w:pPr>
              <w:pStyle w:val="TableofFigures"/>
              <w:rPr>
                <w:b/>
              </w:rPr>
            </w:pPr>
            <w:r w:rsidRPr="00892DE3">
              <w:rPr>
                <w:rFonts w:eastAsiaTheme="minorEastAsia" w:cs="Calibri"/>
                <w:b/>
                <w:bCs/>
                <w:color w:val="000000"/>
                <w:lang w:eastAsia="en-AU"/>
              </w:rPr>
              <w:t>57 671</w:t>
            </w:r>
          </w:p>
        </w:tc>
        <w:tc>
          <w:tcPr>
            <w:tcW w:w="1984" w:type="dxa"/>
            <w:tcBorders>
              <w:top w:val="single" w:sz="6" w:space="0" w:color="auto"/>
              <w:left w:val="nil"/>
              <w:bottom w:val="single" w:sz="12" w:space="0" w:color="auto"/>
              <w:right w:val="nil"/>
            </w:tcBorders>
          </w:tcPr>
          <w:p w:rsidR="00AD47C0" w:rsidRPr="00892DE3" w:rsidRDefault="00AD47C0" w:rsidP="00F042B6">
            <w:pPr>
              <w:pStyle w:val="TableofFigures"/>
              <w:rPr>
                <w:b/>
              </w:rPr>
            </w:pPr>
            <w:r w:rsidRPr="00892DE3">
              <w:rPr>
                <w:rFonts w:eastAsiaTheme="minorEastAsia" w:cs="Calibri"/>
                <w:b/>
                <w:bCs/>
                <w:color w:val="000000"/>
                <w:lang w:eastAsia="en-AU"/>
              </w:rPr>
              <w:t>602</w:t>
            </w:r>
          </w:p>
        </w:tc>
        <w:tc>
          <w:tcPr>
            <w:tcW w:w="1699" w:type="dxa"/>
            <w:tcBorders>
              <w:top w:val="single" w:sz="6" w:space="0" w:color="auto"/>
              <w:left w:val="nil"/>
              <w:bottom w:val="single" w:sz="12" w:space="0" w:color="auto"/>
              <w:right w:val="nil"/>
            </w:tcBorders>
          </w:tcPr>
          <w:p w:rsidR="00AD47C0" w:rsidRPr="00892DE3" w:rsidRDefault="00AD47C0" w:rsidP="00F042B6">
            <w:pPr>
              <w:pStyle w:val="TableofFigures"/>
              <w:rPr>
                <w:b/>
              </w:rPr>
            </w:pPr>
            <w:r w:rsidRPr="00892DE3">
              <w:rPr>
                <w:rFonts w:eastAsiaTheme="minorEastAsia" w:cs="Calibri"/>
                <w:b/>
                <w:bCs/>
                <w:color w:val="000000"/>
                <w:lang w:eastAsia="en-AU"/>
              </w:rPr>
              <w:t>156 511</w:t>
            </w:r>
          </w:p>
        </w:tc>
      </w:tr>
      <w:tr w:rsidR="00AD47C0" w:rsidRPr="00892DE3" w:rsidTr="00B623D8">
        <w:tc>
          <w:tcPr>
            <w:tcW w:w="3217" w:type="dxa"/>
            <w:tcBorders>
              <w:top w:val="nil"/>
              <w:left w:val="nil"/>
              <w:bottom w:val="nil"/>
              <w:right w:val="nil"/>
            </w:tcBorders>
          </w:tcPr>
          <w:p w:rsidR="00AD47C0" w:rsidRPr="00892DE3" w:rsidRDefault="00AD47C0" w:rsidP="00F042B6">
            <w:pPr>
              <w:pStyle w:val="TableofFigures"/>
            </w:pPr>
            <w:r w:rsidRPr="00892DE3">
              <w:rPr>
                <w:rFonts w:eastAsiaTheme="minorEastAsia" w:cs="Calibri"/>
                <w:b/>
                <w:bCs/>
                <w:color w:val="0000FF"/>
                <w:lang w:eastAsia="en-AU"/>
              </w:rPr>
              <w:t xml:space="preserve"> </w:t>
            </w:r>
          </w:p>
        </w:tc>
        <w:tc>
          <w:tcPr>
            <w:tcW w:w="2737" w:type="dxa"/>
            <w:tcBorders>
              <w:top w:val="nil"/>
              <w:left w:val="nil"/>
              <w:bottom w:val="nil"/>
              <w:right w:val="nil"/>
            </w:tcBorders>
          </w:tcPr>
          <w:p w:rsidR="00AD47C0" w:rsidRPr="00892DE3" w:rsidRDefault="00AD47C0" w:rsidP="00F042B6">
            <w:pPr>
              <w:pStyle w:val="TableofFigures"/>
            </w:pPr>
            <w:r w:rsidRPr="00892DE3">
              <w:rPr>
                <w:rFonts w:eastAsiaTheme="minorEastAsia" w:cs="Calibri"/>
                <w:b/>
                <w:bCs/>
                <w:color w:val="0000FF"/>
                <w:lang w:eastAsia="en-AU"/>
              </w:rPr>
              <w:t xml:space="preserve"> </w:t>
            </w:r>
          </w:p>
        </w:tc>
        <w:tc>
          <w:tcPr>
            <w:tcW w:w="1984" w:type="dxa"/>
            <w:tcBorders>
              <w:top w:val="nil"/>
              <w:left w:val="nil"/>
              <w:bottom w:val="nil"/>
              <w:right w:val="nil"/>
            </w:tcBorders>
          </w:tcPr>
          <w:p w:rsidR="00AD47C0" w:rsidRPr="00892DE3" w:rsidRDefault="00AD47C0" w:rsidP="00F042B6">
            <w:pPr>
              <w:pStyle w:val="TableofFigures"/>
            </w:pPr>
            <w:r w:rsidRPr="00892DE3">
              <w:rPr>
                <w:rFonts w:eastAsiaTheme="minorEastAsia" w:cs="Calibri"/>
                <w:b/>
                <w:bCs/>
                <w:color w:val="0000FF"/>
                <w:lang w:eastAsia="en-AU"/>
              </w:rPr>
              <w:t xml:space="preserve"> </w:t>
            </w:r>
          </w:p>
        </w:tc>
        <w:tc>
          <w:tcPr>
            <w:tcW w:w="1699" w:type="dxa"/>
            <w:tcBorders>
              <w:top w:val="nil"/>
              <w:left w:val="nil"/>
              <w:bottom w:val="nil"/>
              <w:right w:val="nil"/>
            </w:tcBorders>
          </w:tcPr>
          <w:p w:rsidR="00AD47C0" w:rsidRPr="00892DE3" w:rsidRDefault="00AD47C0" w:rsidP="00F042B6">
            <w:pPr>
              <w:pStyle w:val="TableofFigures"/>
            </w:pPr>
            <w:r w:rsidRPr="00892DE3">
              <w:rPr>
                <w:rFonts w:eastAsiaTheme="minorEastAsia" w:cs="Calibri"/>
                <w:b/>
                <w:bCs/>
                <w:color w:val="0000FF"/>
                <w:lang w:eastAsia="en-AU"/>
              </w:rPr>
              <w:t xml:space="preserve"> </w:t>
            </w:r>
          </w:p>
        </w:tc>
      </w:tr>
      <w:tr w:rsidR="00AD47C0" w:rsidRPr="00892DE3" w:rsidTr="00B623D8">
        <w:tc>
          <w:tcPr>
            <w:tcW w:w="321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43 355</w:t>
            </w:r>
          </w:p>
        </w:tc>
        <w:tc>
          <w:tcPr>
            <w:tcW w:w="273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46 494</w:t>
            </w:r>
          </w:p>
        </w:tc>
        <w:tc>
          <w:tcPr>
            <w:tcW w:w="1984"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728</w:t>
            </w:r>
          </w:p>
        </w:tc>
        <w:tc>
          <w:tcPr>
            <w:tcW w:w="1699"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136 391</w:t>
            </w:r>
          </w:p>
        </w:tc>
      </w:tr>
      <w:tr w:rsidR="00AD47C0" w:rsidRPr="00892DE3" w:rsidTr="00B623D8">
        <w:tc>
          <w:tcPr>
            <w:tcW w:w="321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2737"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984"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699" w:type="dxa"/>
            <w:tcBorders>
              <w:top w:val="nil"/>
              <w:left w:val="nil"/>
              <w:bottom w:val="nil"/>
              <w:right w:val="nil"/>
            </w:tcBorders>
          </w:tcPr>
          <w:p w:rsidR="00AD47C0" w:rsidRPr="00892DE3" w:rsidRDefault="00AD47C0" w:rsidP="00F042B6">
            <w:pPr>
              <w:pStyle w:val="TableofFigures"/>
            </w:pPr>
            <w:r w:rsidRPr="00892DE3">
              <w:rPr>
                <w:rFonts w:eastAsiaTheme="minorEastAsia" w:cs="Calibri"/>
                <w:color w:val="000000"/>
                <w:lang w:eastAsia="en-AU"/>
              </w:rPr>
              <w:t>1 239</w:t>
            </w:r>
          </w:p>
        </w:tc>
      </w:tr>
      <w:tr w:rsidR="00AD47C0" w:rsidRPr="00892DE3" w:rsidTr="00B623D8">
        <w:tc>
          <w:tcPr>
            <w:tcW w:w="3217"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8</w:t>
            </w:r>
          </w:p>
        </w:tc>
        <w:tc>
          <w:tcPr>
            <w:tcW w:w="2737"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(327)</w:t>
            </w:r>
          </w:p>
        </w:tc>
        <w:tc>
          <w:tcPr>
            <w:tcW w:w="1984"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(77)</w:t>
            </w:r>
          </w:p>
        </w:tc>
        <w:tc>
          <w:tcPr>
            <w:tcW w:w="1699"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(1 074)</w:t>
            </w:r>
          </w:p>
        </w:tc>
      </w:tr>
      <w:tr w:rsidR="00AD47C0" w:rsidRPr="00892DE3" w:rsidTr="00B623D8">
        <w:tc>
          <w:tcPr>
            <w:tcW w:w="3217"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22</w:t>
            </w:r>
          </w:p>
        </w:tc>
        <w:tc>
          <w:tcPr>
            <w:tcW w:w="2737"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984"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699" w:type="dxa"/>
            <w:tcBorders>
              <w:top w:val="nil"/>
              <w:left w:val="nil"/>
              <w:right w:val="nil"/>
            </w:tcBorders>
          </w:tcPr>
          <w:p w:rsidR="00AD47C0" w:rsidRPr="00892DE3" w:rsidRDefault="00AD47C0" w:rsidP="00F042B6">
            <w:pPr>
              <w:pStyle w:val="TableofFigures"/>
            </w:pPr>
            <w:r w:rsidRPr="00892DE3">
              <w:rPr>
                <w:rFonts w:eastAsiaTheme="minorEastAsia" w:cs="Calibri"/>
                <w:color w:val="000000"/>
                <w:lang w:eastAsia="en-AU"/>
              </w:rPr>
              <w:t>..</w:t>
            </w:r>
          </w:p>
        </w:tc>
      </w:tr>
      <w:tr w:rsidR="00AD47C0" w:rsidRPr="00892DE3" w:rsidTr="00B623D8">
        <w:tc>
          <w:tcPr>
            <w:tcW w:w="3217" w:type="dxa"/>
            <w:tcBorders>
              <w:left w:val="nil"/>
              <w:bottom w:val="single" w:sz="6" w:space="0" w:color="auto"/>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2737" w:type="dxa"/>
            <w:tcBorders>
              <w:left w:val="nil"/>
              <w:bottom w:val="single" w:sz="6" w:space="0" w:color="auto"/>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984" w:type="dxa"/>
            <w:tcBorders>
              <w:left w:val="nil"/>
              <w:bottom w:val="single" w:sz="6" w:space="0" w:color="auto"/>
              <w:right w:val="nil"/>
            </w:tcBorders>
          </w:tcPr>
          <w:p w:rsidR="00AD47C0" w:rsidRPr="00892DE3" w:rsidRDefault="00AD47C0" w:rsidP="00F042B6">
            <w:pPr>
              <w:pStyle w:val="TableofFigures"/>
            </w:pPr>
            <w:r w:rsidRPr="00892DE3">
              <w:rPr>
                <w:rFonts w:eastAsiaTheme="minorEastAsia" w:cs="Calibri"/>
                <w:color w:val="000000"/>
                <w:lang w:eastAsia="en-AU"/>
              </w:rPr>
              <w:t>..</w:t>
            </w:r>
          </w:p>
        </w:tc>
        <w:tc>
          <w:tcPr>
            <w:tcW w:w="1699" w:type="dxa"/>
            <w:tcBorders>
              <w:left w:val="nil"/>
              <w:bottom w:val="single" w:sz="6" w:space="0" w:color="auto"/>
              <w:right w:val="nil"/>
            </w:tcBorders>
          </w:tcPr>
          <w:p w:rsidR="00AD47C0" w:rsidRPr="00892DE3" w:rsidRDefault="00AD47C0" w:rsidP="00F042B6">
            <w:pPr>
              <w:pStyle w:val="TableofFigures"/>
            </w:pPr>
            <w:r w:rsidRPr="00892DE3">
              <w:rPr>
                <w:rFonts w:eastAsiaTheme="minorEastAsia" w:cs="Calibri"/>
                <w:color w:val="000000"/>
                <w:lang w:eastAsia="en-AU"/>
              </w:rPr>
              <w:t>..</w:t>
            </w:r>
          </w:p>
        </w:tc>
      </w:tr>
      <w:tr w:rsidR="00AD47C0" w:rsidRPr="00892DE3" w:rsidTr="00B623D8">
        <w:trPr>
          <w:cnfStyle w:val="010000000000" w:firstRow="0" w:lastRow="1" w:firstColumn="0" w:lastColumn="0" w:oddVBand="0" w:evenVBand="0" w:oddHBand="0" w:evenHBand="0" w:firstRowFirstColumn="0" w:firstRowLastColumn="0" w:lastRowFirstColumn="0" w:lastRowLastColumn="0"/>
        </w:trPr>
        <w:tc>
          <w:tcPr>
            <w:tcW w:w="3217" w:type="dxa"/>
            <w:tcBorders>
              <w:top w:val="single" w:sz="6" w:space="0" w:color="auto"/>
              <w:bottom w:val="single" w:sz="12" w:space="0" w:color="000000"/>
            </w:tcBorders>
            <w:shd w:val="clear" w:color="auto" w:fill="auto"/>
          </w:tcPr>
          <w:p w:rsidR="00AD47C0" w:rsidRPr="00892DE3" w:rsidRDefault="00AD47C0" w:rsidP="00F042B6">
            <w:pPr>
              <w:pStyle w:val="TableofFigures"/>
              <w:rPr>
                <w:b w:val="0"/>
              </w:rPr>
            </w:pPr>
            <w:r w:rsidRPr="00892DE3">
              <w:rPr>
                <w:rFonts w:eastAsiaTheme="minorEastAsia" w:cs="Calibri"/>
                <w:bCs/>
                <w:color w:val="000000"/>
                <w:lang w:eastAsia="en-AU"/>
              </w:rPr>
              <w:t>43 385</w:t>
            </w:r>
          </w:p>
        </w:tc>
        <w:tc>
          <w:tcPr>
            <w:tcW w:w="2737" w:type="dxa"/>
            <w:tcBorders>
              <w:top w:val="single" w:sz="6" w:space="0" w:color="auto"/>
              <w:bottom w:val="single" w:sz="12" w:space="0" w:color="000000"/>
            </w:tcBorders>
            <w:shd w:val="clear" w:color="auto" w:fill="auto"/>
          </w:tcPr>
          <w:p w:rsidR="00AD47C0" w:rsidRPr="00892DE3" w:rsidRDefault="00AD47C0" w:rsidP="00F042B6">
            <w:pPr>
              <w:pStyle w:val="TableofFigures"/>
              <w:rPr>
                <w:b w:val="0"/>
              </w:rPr>
            </w:pPr>
            <w:r w:rsidRPr="00892DE3">
              <w:rPr>
                <w:rFonts w:eastAsiaTheme="minorEastAsia" w:cs="Calibri"/>
                <w:bCs/>
                <w:color w:val="000000"/>
                <w:lang w:eastAsia="en-AU"/>
              </w:rPr>
              <w:t>46 167</w:t>
            </w:r>
          </w:p>
        </w:tc>
        <w:tc>
          <w:tcPr>
            <w:tcW w:w="1984" w:type="dxa"/>
            <w:tcBorders>
              <w:top w:val="single" w:sz="6" w:space="0" w:color="auto"/>
              <w:bottom w:val="single" w:sz="12" w:space="0" w:color="000000"/>
            </w:tcBorders>
            <w:shd w:val="clear" w:color="auto" w:fill="auto"/>
          </w:tcPr>
          <w:p w:rsidR="00AD47C0" w:rsidRPr="00892DE3" w:rsidRDefault="00AD47C0" w:rsidP="00F042B6">
            <w:pPr>
              <w:pStyle w:val="TableofFigures"/>
              <w:rPr>
                <w:b w:val="0"/>
              </w:rPr>
            </w:pPr>
            <w:r w:rsidRPr="00892DE3">
              <w:rPr>
                <w:rFonts w:eastAsiaTheme="minorEastAsia" w:cs="Calibri"/>
                <w:bCs/>
                <w:color w:val="000000"/>
                <w:lang w:eastAsia="en-AU"/>
              </w:rPr>
              <w:t>651</w:t>
            </w:r>
          </w:p>
        </w:tc>
        <w:tc>
          <w:tcPr>
            <w:tcW w:w="1699" w:type="dxa"/>
            <w:tcBorders>
              <w:top w:val="single" w:sz="6" w:space="0" w:color="auto"/>
              <w:bottom w:val="single" w:sz="12" w:space="0" w:color="000000"/>
            </w:tcBorders>
            <w:shd w:val="clear" w:color="auto" w:fill="auto"/>
          </w:tcPr>
          <w:p w:rsidR="00AD47C0" w:rsidRPr="00892DE3" w:rsidRDefault="00AD47C0" w:rsidP="00F042B6">
            <w:pPr>
              <w:pStyle w:val="TableofFigures"/>
              <w:rPr>
                <w:b w:val="0"/>
              </w:rPr>
            </w:pPr>
            <w:r w:rsidRPr="00892DE3">
              <w:rPr>
                <w:rFonts w:eastAsiaTheme="minorEastAsia" w:cs="Calibri"/>
                <w:bCs/>
                <w:color w:val="000000"/>
                <w:lang w:eastAsia="en-AU"/>
              </w:rPr>
              <w:t>136 557</w:t>
            </w:r>
          </w:p>
        </w:tc>
      </w:tr>
    </w:tbl>
    <w:p w:rsidR="00AD47C0" w:rsidRPr="00892DE3" w:rsidRDefault="00AD47C0" w:rsidP="00AD47C0"/>
    <w:p w:rsidR="00AD47C0" w:rsidRPr="00892DE3" w:rsidRDefault="00AD47C0" w:rsidP="00B623D8">
      <w:pPr>
        <w:pStyle w:val="Heading1nonTOC"/>
        <w:rPr>
          <w:caps w:val="0"/>
        </w:rPr>
      </w:pPr>
      <w:bookmarkStart w:id="288" w:name="_Toc324234842"/>
      <w:bookmarkStart w:id="289" w:name="_Toc330906648"/>
      <w:bookmarkStart w:id="290" w:name="_Toc332019437"/>
      <w:bookmarkStart w:id="291" w:name="_Toc350413728"/>
      <w:bookmarkStart w:id="292" w:name="_Toc388277753"/>
      <w:r w:rsidRPr="00892DE3">
        <w:br w:type="page"/>
      </w:r>
      <w:r w:rsidRPr="00892DE3">
        <w:rPr>
          <w:caps w:val="0"/>
        </w:rPr>
        <w:t>Appendix 1(d) – Analysis of disclosures made in Victorian financial publications</w:t>
      </w:r>
      <w:bookmarkEnd w:id="288"/>
      <w:bookmarkEnd w:id="289"/>
      <w:bookmarkEnd w:id="290"/>
      <w:bookmarkEnd w:id="291"/>
      <w:bookmarkEnd w:id="292"/>
    </w:p>
    <w:p w:rsidR="00AD47C0" w:rsidRPr="00892DE3" w:rsidRDefault="00AD47C0" w:rsidP="00AD47C0">
      <w:r w:rsidRPr="00892DE3">
        <w:t>Refer to footnotes for additional information about individual disclosures.</w:t>
      </w:r>
    </w:p>
    <w:p w:rsidR="00AD47C0" w:rsidRPr="00892DE3" w:rsidRDefault="00AD47C0" w:rsidP="00B623D8">
      <w:pPr>
        <w:pStyle w:val="Heading2nonTOC"/>
      </w:pPr>
      <w:r w:rsidRPr="00892DE3">
        <w:t>Glossary</w:t>
      </w:r>
    </w:p>
    <w:p w:rsidR="00AD47C0" w:rsidRPr="00892DE3" w:rsidRDefault="00AD47C0" w:rsidP="00AD47C0">
      <w:r w:rsidRPr="00892DE3">
        <w:t>E – Estimated; A – Actual; F – Fictitious (for Model Report)</w:t>
      </w:r>
    </w:p>
    <w:p w:rsidR="00AD47C0" w:rsidRPr="00892DE3" w:rsidRDefault="00AD47C0" w:rsidP="00AD47C0">
      <w:pPr>
        <w:pStyle w:val="Notes"/>
      </w:pPr>
    </w:p>
    <w:tbl>
      <w:tblPr>
        <w:tblStyle w:val="DTFTable"/>
        <w:tblW w:w="9637" w:type="dxa"/>
        <w:tblInd w:w="43" w:type="dxa"/>
        <w:tblLayout w:type="fixed"/>
        <w:tblCellMar>
          <w:left w:w="43" w:type="dxa"/>
          <w:right w:w="43" w:type="dxa"/>
        </w:tblCellMar>
        <w:tblLook w:val="06A0" w:firstRow="1" w:lastRow="0" w:firstColumn="1" w:lastColumn="0" w:noHBand="1" w:noVBand="1"/>
      </w:tblPr>
      <w:tblGrid>
        <w:gridCol w:w="2780"/>
        <w:gridCol w:w="104"/>
        <w:gridCol w:w="940"/>
        <w:gridCol w:w="754"/>
        <w:gridCol w:w="837"/>
        <w:gridCol w:w="837"/>
        <w:gridCol w:w="837"/>
        <w:gridCol w:w="705"/>
        <w:gridCol w:w="846"/>
        <w:gridCol w:w="997"/>
      </w:tblGrid>
      <w:tr w:rsidR="00AD47C0" w:rsidRPr="00892DE3" w:rsidTr="00B623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0" w:type="dxa"/>
            <w:shd w:val="clear" w:color="auto" w:fill="000000"/>
          </w:tcPr>
          <w:p w:rsidR="00AD47C0" w:rsidRPr="00892DE3" w:rsidRDefault="00AD47C0" w:rsidP="008852ED">
            <w:pPr>
              <w:spacing w:after="0"/>
              <w:ind w:left="0" w:firstLine="0"/>
              <w:rPr>
                <w:rFonts w:asciiTheme="minorHAnsi" w:hAnsiTheme="minorHAnsi" w:cstheme="minorHAnsi"/>
                <w:sz w:val="16"/>
                <w:szCs w:val="16"/>
              </w:rPr>
            </w:pPr>
            <w:r w:rsidRPr="00892DE3">
              <w:rPr>
                <w:rFonts w:asciiTheme="minorHAnsi" w:hAnsiTheme="minorHAnsi" w:cstheme="minorHAnsi"/>
                <w:sz w:val="16"/>
                <w:szCs w:val="16"/>
              </w:rPr>
              <w:br/>
            </w:r>
            <w:r w:rsidRPr="00892DE3">
              <w:rPr>
                <w:rFonts w:asciiTheme="minorHAnsi" w:hAnsiTheme="minorHAnsi" w:cstheme="minorHAnsi"/>
                <w:sz w:val="16"/>
                <w:szCs w:val="16"/>
              </w:rPr>
              <w:br/>
            </w:r>
            <w:r w:rsidRPr="00892DE3">
              <w:rPr>
                <w:rFonts w:asciiTheme="minorHAnsi" w:hAnsiTheme="minorHAnsi" w:cstheme="minorHAnsi"/>
                <w:sz w:val="16"/>
                <w:szCs w:val="16"/>
              </w:rPr>
              <w:br/>
            </w:r>
            <w:r w:rsidRPr="00892DE3">
              <w:rPr>
                <w:rFonts w:asciiTheme="minorHAnsi" w:hAnsiTheme="minorHAnsi" w:cstheme="minorHAnsi"/>
                <w:sz w:val="16"/>
                <w:szCs w:val="16"/>
              </w:rPr>
              <w:br/>
            </w:r>
          </w:p>
        </w:tc>
        <w:tc>
          <w:tcPr>
            <w:tcW w:w="1044" w:type="dxa"/>
            <w:gridSpan w:val="2"/>
            <w:shd w:val="clear" w:color="auto" w:fill="000000"/>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 xml:space="preserve">Model Report for Victorian Government Departments </w:t>
            </w:r>
            <w:r w:rsidRPr="00892DE3">
              <w:rPr>
                <w:rFonts w:asciiTheme="minorHAnsi" w:hAnsiTheme="minorHAnsi" w:cstheme="minorHAnsi"/>
                <w:sz w:val="16"/>
                <w:szCs w:val="16"/>
              </w:rPr>
              <w:br/>
              <w:t>2016-17</w:t>
            </w:r>
          </w:p>
        </w:tc>
        <w:tc>
          <w:tcPr>
            <w:tcW w:w="754"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 xml:space="preserve">2016-17 Budget Paper </w:t>
            </w:r>
            <w:r w:rsidRPr="00892DE3">
              <w:rPr>
                <w:rFonts w:asciiTheme="minorHAnsi" w:hAnsiTheme="minorHAnsi" w:cstheme="minorHAnsi"/>
                <w:sz w:val="16"/>
                <w:szCs w:val="16"/>
              </w:rPr>
              <w:br/>
              <w:t xml:space="preserve">No. 5 </w:t>
            </w:r>
            <w:r w:rsidRPr="00892DE3">
              <w:rPr>
                <w:rFonts w:asciiTheme="minorHAnsi" w:hAnsiTheme="minorHAnsi" w:cstheme="minorHAnsi"/>
                <w:sz w:val="16"/>
                <w:szCs w:val="16"/>
                <w:vertAlign w:val="superscript"/>
              </w:rPr>
              <w:t>(a)</w:t>
            </w:r>
          </w:p>
        </w:tc>
        <w:tc>
          <w:tcPr>
            <w:tcW w:w="837"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2015-16</w:t>
            </w:r>
          </w:p>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 xml:space="preserve">Quarterly Financial Report </w:t>
            </w:r>
            <w:r w:rsidRPr="00892DE3">
              <w:rPr>
                <w:rFonts w:asciiTheme="minorHAnsi" w:hAnsiTheme="minorHAnsi" w:cstheme="minorHAnsi"/>
                <w:sz w:val="16"/>
                <w:szCs w:val="16"/>
              </w:rPr>
              <w:br/>
              <w:t>No. 3</w:t>
            </w:r>
          </w:p>
        </w:tc>
        <w:tc>
          <w:tcPr>
            <w:tcW w:w="837"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2015-16 Financial Report</w:t>
            </w:r>
            <w:r w:rsidRPr="00892DE3">
              <w:rPr>
                <w:rFonts w:asciiTheme="minorHAnsi" w:hAnsiTheme="minorHAnsi" w:cstheme="minorHAnsi"/>
                <w:sz w:val="16"/>
                <w:szCs w:val="16"/>
                <w:vertAlign w:val="superscript"/>
              </w:rPr>
              <w:t xml:space="preserve"> (b)</w:t>
            </w:r>
          </w:p>
        </w:tc>
        <w:tc>
          <w:tcPr>
            <w:tcW w:w="837"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 xml:space="preserve">2016-17 Quarterly Financial Report </w:t>
            </w:r>
            <w:r w:rsidRPr="00892DE3">
              <w:rPr>
                <w:rFonts w:asciiTheme="minorHAnsi" w:hAnsiTheme="minorHAnsi" w:cstheme="minorHAnsi"/>
                <w:sz w:val="16"/>
                <w:szCs w:val="16"/>
              </w:rPr>
              <w:br/>
              <w:t>No. 1</w:t>
            </w:r>
          </w:p>
        </w:tc>
        <w:tc>
          <w:tcPr>
            <w:tcW w:w="705"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2016-17 Budget Update</w:t>
            </w:r>
          </w:p>
        </w:tc>
        <w:tc>
          <w:tcPr>
            <w:tcW w:w="846"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2016-17</w:t>
            </w:r>
            <w:r w:rsidRPr="00892DE3">
              <w:rPr>
                <w:rFonts w:asciiTheme="minorHAnsi" w:hAnsiTheme="minorHAnsi" w:cstheme="minorHAnsi"/>
                <w:sz w:val="16"/>
                <w:szCs w:val="16"/>
              </w:rPr>
              <w:br/>
              <w:t>Mid</w:t>
            </w:r>
            <w:r w:rsidRPr="00892DE3">
              <w:rPr>
                <w:rFonts w:asciiTheme="minorHAnsi" w:hAnsiTheme="minorHAnsi" w:cstheme="minorHAnsi"/>
                <w:sz w:val="16"/>
                <w:szCs w:val="16"/>
              </w:rPr>
              <w:noBreakHyphen/>
              <w:t>Year Financial Report</w:t>
            </w:r>
            <w:r w:rsidRPr="00892DE3">
              <w:rPr>
                <w:rFonts w:asciiTheme="minorHAnsi" w:hAnsiTheme="minorHAnsi" w:cstheme="minorHAnsi"/>
                <w:sz w:val="16"/>
                <w:szCs w:val="16"/>
                <w:vertAlign w:val="superscript"/>
              </w:rPr>
              <w:t xml:space="preserve"> (c)</w:t>
            </w:r>
          </w:p>
        </w:tc>
        <w:tc>
          <w:tcPr>
            <w:tcW w:w="997"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 xml:space="preserve">November 2014 </w:t>
            </w:r>
            <w:r w:rsidRPr="00892DE3">
              <w:rPr>
                <w:rFonts w:asciiTheme="minorHAnsi" w:hAnsiTheme="minorHAnsi" w:cstheme="minorHAnsi"/>
                <w:sz w:val="16"/>
                <w:szCs w:val="16"/>
              </w:rPr>
              <w:br/>
              <w:t>Pre</w:t>
            </w:r>
            <w:r w:rsidRPr="00892DE3">
              <w:rPr>
                <w:rFonts w:asciiTheme="minorHAnsi" w:hAnsiTheme="minorHAnsi" w:cstheme="minorHAnsi"/>
                <w:sz w:val="16"/>
                <w:szCs w:val="16"/>
              </w:rPr>
              <w:noBreakHyphen/>
              <w:t>Election Budget Update</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9637" w:type="dxa"/>
            <w:gridSpan w:val="10"/>
            <w:tcBorders>
              <w:bottom w:val="nil"/>
            </w:tcBorders>
          </w:tcPr>
          <w:p w:rsidR="00AD47C0" w:rsidRPr="00892DE3" w:rsidRDefault="00AD47C0" w:rsidP="008852ED">
            <w:pPr>
              <w:pStyle w:val="Tabletext"/>
              <w:spacing w:after="0"/>
              <w:rPr>
                <w:rFonts w:asciiTheme="minorHAnsi" w:hAnsiTheme="minorHAnsi" w:cstheme="minorHAnsi"/>
                <w:b/>
                <w:szCs w:val="16"/>
              </w:rPr>
            </w:pPr>
            <w:r w:rsidRPr="00892DE3">
              <w:rPr>
                <w:rFonts w:asciiTheme="minorHAnsi" w:hAnsiTheme="minorHAnsi" w:cstheme="minorHAnsi"/>
                <w:b/>
                <w:szCs w:val="16"/>
              </w:rPr>
              <w:t>Financial statements</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Comprehensive operating statement (COS) </w:t>
            </w:r>
          </w:p>
        </w:tc>
        <w:tc>
          <w:tcPr>
            <w:tcW w:w="1044" w:type="dxa"/>
            <w:gridSpan w:val="2"/>
            <w:tcBorders>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F</w:t>
            </w:r>
          </w:p>
        </w:tc>
        <w:tc>
          <w:tcPr>
            <w:tcW w:w="754" w:type="dxa"/>
            <w:tcBorders>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c>
          <w:tcPr>
            <w:tcW w:w="837" w:type="dxa"/>
            <w:tcBorders>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837" w:type="dxa"/>
            <w:tcBorders>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837" w:type="dxa"/>
            <w:tcBorders>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705" w:type="dxa"/>
            <w:tcBorders>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c>
          <w:tcPr>
            <w:tcW w:w="846" w:type="dxa"/>
            <w:tcBorders>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997" w:type="dxa"/>
            <w:tcBorders>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Balance sheet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F</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Statement of changes in equity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F</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6" w:space="0" w:color="auto"/>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Cash flow statement</w:t>
            </w:r>
          </w:p>
        </w:tc>
        <w:tc>
          <w:tcPr>
            <w:tcW w:w="1044" w:type="dxa"/>
            <w:gridSpan w:val="2"/>
            <w:tcBorders>
              <w:top w:val="single" w:sz="4" w:space="0" w:color="BFBFBF" w:themeColor="background1" w:themeShade="BF"/>
              <w:bottom w:val="single" w:sz="6"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F</w:t>
            </w:r>
          </w:p>
        </w:tc>
        <w:tc>
          <w:tcPr>
            <w:tcW w:w="754" w:type="dxa"/>
            <w:tcBorders>
              <w:top w:val="single" w:sz="4" w:space="0" w:color="BFBFBF" w:themeColor="background1" w:themeShade="BF"/>
              <w:bottom w:val="single" w:sz="6"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c>
          <w:tcPr>
            <w:tcW w:w="837" w:type="dxa"/>
            <w:tcBorders>
              <w:top w:val="single" w:sz="4" w:space="0" w:color="BFBFBF" w:themeColor="background1" w:themeShade="BF"/>
              <w:bottom w:val="single" w:sz="6"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837" w:type="dxa"/>
            <w:tcBorders>
              <w:top w:val="single" w:sz="4" w:space="0" w:color="BFBFBF" w:themeColor="background1" w:themeShade="BF"/>
              <w:bottom w:val="single" w:sz="6"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837" w:type="dxa"/>
            <w:tcBorders>
              <w:top w:val="single" w:sz="4" w:space="0" w:color="BFBFBF" w:themeColor="background1" w:themeShade="BF"/>
              <w:bottom w:val="single" w:sz="6"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705" w:type="dxa"/>
            <w:tcBorders>
              <w:top w:val="single" w:sz="4" w:space="0" w:color="BFBFBF" w:themeColor="background1" w:themeShade="BF"/>
              <w:bottom w:val="single" w:sz="6"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c>
          <w:tcPr>
            <w:tcW w:w="846" w:type="dxa"/>
            <w:tcBorders>
              <w:top w:val="single" w:sz="4" w:space="0" w:color="BFBFBF" w:themeColor="background1" w:themeShade="BF"/>
              <w:bottom w:val="single" w:sz="6"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A</w:t>
            </w:r>
          </w:p>
        </w:tc>
        <w:tc>
          <w:tcPr>
            <w:tcW w:w="997" w:type="dxa"/>
            <w:tcBorders>
              <w:top w:val="single" w:sz="4" w:space="0" w:color="BFBFBF" w:themeColor="background1" w:themeShade="BF"/>
              <w:bottom w:val="single" w:sz="6"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E</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9637" w:type="dxa"/>
            <w:gridSpan w:val="10"/>
            <w:tcBorders>
              <w:top w:val="single" w:sz="6" w:space="0" w:color="auto"/>
              <w:bottom w:val="nil"/>
            </w:tcBorders>
          </w:tcPr>
          <w:p w:rsidR="00AD47C0" w:rsidRPr="00892DE3" w:rsidRDefault="00AD47C0" w:rsidP="008852ED">
            <w:pPr>
              <w:pStyle w:val="Tabletext"/>
              <w:spacing w:after="0"/>
              <w:rPr>
                <w:rFonts w:asciiTheme="minorHAnsi" w:hAnsiTheme="minorHAnsi" w:cstheme="minorHAnsi"/>
                <w:b/>
                <w:szCs w:val="16"/>
              </w:rPr>
            </w:pPr>
            <w:r w:rsidRPr="00892DE3">
              <w:rPr>
                <w:rFonts w:asciiTheme="minorHAnsi" w:hAnsiTheme="minorHAnsi" w:cstheme="minorHAnsi"/>
                <w:b/>
                <w:szCs w:val="16"/>
              </w:rPr>
              <w:t>Notes to the financial statements</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nil"/>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Statement of significant accounting policies/statement of significant accounting policies and forecast assumptions</w:t>
            </w:r>
          </w:p>
        </w:tc>
        <w:tc>
          <w:tcPr>
            <w:tcW w:w="1044" w:type="dxa"/>
            <w:gridSpan w:val="2"/>
            <w:tcBorders>
              <w:top w:val="nil"/>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w:t>
            </w:r>
          </w:p>
        </w:tc>
        <w:tc>
          <w:tcPr>
            <w:tcW w:w="754" w:type="dxa"/>
            <w:tcBorders>
              <w:top w:val="nil"/>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w:t>
            </w:r>
          </w:p>
        </w:tc>
        <w:tc>
          <w:tcPr>
            <w:tcW w:w="837" w:type="dxa"/>
            <w:tcBorders>
              <w:top w:val="nil"/>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w:t>
            </w:r>
          </w:p>
        </w:tc>
        <w:tc>
          <w:tcPr>
            <w:tcW w:w="837" w:type="dxa"/>
            <w:tcBorders>
              <w:top w:val="nil"/>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w:t>
            </w:r>
          </w:p>
        </w:tc>
        <w:tc>
          <w:tcPr>
            <w:tcW w:w="837" w:type="dxa"/>
            <w:tcBorders>
              <w:top w:val="nil"/>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w:t>
            </w:r>
          </w:p>
        </w:tc>
        <w:tc>
          <w:tcPr>
            <w:tcW w:w="705" w:type="dxa"/>
            <w:tcBorders>
              <w:top w:val="nil"/>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w:t>
            </w:r>
          </w:p>
        </w:tc>
        <w:tc>
          <w:tcPr>
            <w:tcW w:w="846" w:type="dxa"/>
            <w:tcBorders>
              <w:top w:val="nil"/>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w:t>
            </w:r>
          </w:p>
        </w:tc>
        <w:tc>
          <w:tcPr>
            <w:tcW w:w="997" w:type="dxa"/>
            <w:tcBorders>
              <w:top w:val="nil"/>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Disaggregated information</w:t>
            </w:r>
            <w:r w:rsidR="00B623D8" w:rsidRPr="00892DE3">
              <w:rPr>
                <w:rFonts w:asciiTheme="minorHAnsi" w:hAnsiTheme="minorHAnsi" w:cstheme="minorHAnsi"/>
                <w:szCs w:val="16"/>
              </w:rPr>
              <w:t xml:space="preserve"> </w:t>
            </w:r>
            <w:r w:rsidRPr="00892DE3">
              <w:rPr>
                <w:rFonts w:asciiTheme="minorHAnsi" w:hAnsiTheme="minorHAnsi" w:cstheme="minorHAnsi"/>
                <w:szCs w:val="16"/>
                <w:vertAlign w:val="superscript"/>
              </w:rPr>
              <w:t>(d)</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9.1</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9.1</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Departmental (controlled) outputs</w:t>
            </w:r>
            <w:r w:rsidR="00B623D8" w:rsidRPr="00892DE3">
              <w:rPr>
                <w:rFonts w:asciiTheme="minorHAnsi" w:hAnsiTheme="minorHAnsi" w:cstheme="minorHAnsi"/>
                <w:szCs w:val="16"/>
              </w:rPr>
              <w:t xml:space="preserve"> </w:t>
            </w:r>
            <w:r w:rsidRPr="00892DE3">
              <w:rPr>
                <w:rFonts w:asciiTheme="minorHAnsi" w:hAnsiTheme="minorHAnsi" w:cstheme="minorHAnsi"/>
                <w:szCs w:val="16"/>
                <w:vertAlign w:val="superscript"/>
              </w:rPr>
              <w:t>(e)</w:t>
            </w:r>
          </w:p>
        </w:tc>
        <w:tc>
          <w:tcPr>
            <w:tcW w:w="940"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Administered (non</w:t>
            </w:r>
            <w:r w:rsidRPr="00892DE3">
              <w:rPr>
                <w:rFonts w:asciiTheme="minorHAnsi" w:hAnsiTheme="minorHAnsi" w:cstheme="minorHAnsi"/>
                <w:szCs w:val="16"/>
              </w:rPr>
              <w:noBreakHyphen/>
              <w:t>controlled) items</w:t>
            </w:r>
            <w:r w:rsidR="00B623D8" w:rsidRPr="00892DE3">
              <w:rPr>
                <w:rFonts w:asciiTheme="minorHAnsi" w:hAnsiTheme="minorHAnsi" w:cstheme="minorHAnsi"/>
                <w:szCs w:val="16"/>
              </w:rPr>
              <w:t xml:space="preserve"> </w:t>
            </w:r>
            <w:r w:rsidRPr="00892DE3">
              <w:rPr>
                <w:rFonts w:asciiTheme="minorHAnsi" w:hAnsiTheme="minorHAnsi" w:cstheme="minorHAnsi"/>
                <w:szCs w:val="16"/>
                <w:vertAlign w:val="superscript"/>
              </w:rPr>
              <w:t xml:space="preserve">(e) </w:t>
            </w:r>
          </w:p>
        </w:tc>
        <w:tc>
          <w:tcPr>
            <w:tcW w:w="940"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Income from transactions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Taxation</w:t>
            </w:r>
            <w:r w:rsidR="00B623D8" w:rsidRPr="00892DE3">
              <w:rPr>
                <w:rFonts w:asciiTheme="minorHAnsi" w:hAnsiTheme="minorHAnsi" w:cstheme="minorHAnsi"/>
                <w:szCs w:val="16"/>
              </w:rPr>
              <w:t xml:space="preserve"> </w:t>
            </w:r>
            <w:r w:rsidRPr="00892DE3">
              <w:rPr>
                <w:rFonts w:asciiTheme="minorHAnsi" w:hAnsiTheme="minorHAnsi" w:cstheme="minorHAnsi"/>
                <w:szCs w:val="16"/>
                <w:vertAlign w:val="superscript"/>
              </w:rPr>
              <w:t>(d)</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2.1</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2.1</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2.1</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Interest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Fines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Dividends and income tax equivalent and rate equivalent income</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2.4.5</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2.2</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2.2</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Grants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2.5</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Sale of goods and services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2.3</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2.3</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Fair value of assets received free of charge or for nominal consideration</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2.4.4</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Other income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2.4.5</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2.5</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2.6</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Expenses from transactions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Superannuation</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3.1.1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3.3</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3.2</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Depreciation</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5.1.1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8</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8</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4.1.2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4.2</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8</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4.2</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8</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Interest expense</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7.1.2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5.5</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5.4</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Grants and other transfers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3.1.2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10</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10</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3.3</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10</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Other operating expenses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3.1.4</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11</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11</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3.4</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Other economic flows included in net result</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Del="0040207E"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Net gain/(loss) from non</w:t>
            </w:r>
            <w:r w:rsidRPr="00892DE3">
              <w:rPr>
                <w:rFonts w:asciiTheme="minorHAnsi" w:hAnsiTheme="minorHAnsi" w:cstheme="minorHAnsi"/>
                <w:szCs w:val="16"/>
              </w:rPr>
              <w:noBreakHyphen/>
              <w:t>financial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4.1.3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Other gains/(losses) from other economic flows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10</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Del="0040207E"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7.1</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13</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9.2</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13</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keepNext/>
              <w:spacing w:after="0"/>
              <w:rPr>
                <w:rFonts w:asciiTheme="minorHAnsi" w:hAnsiTheme="minorHAnsi" w:cstheme="minorHAnsi"/>
                <w:szCs w:val="16"/>
              </w:rPr>
            </w:pPr>
            <w:r w:rsidRPr="00892DE3">
              <w:rPr>
                <w:rFonts w:asciiTheme="minorHAnsi" w:hAnsiTheme="minorHAnsi" w:cstheme="minorHAnsi"/>
                <w:szCs w:val="16"/>
              </w:rPr>
              <w:t>Total expenses from transactions by departments</w:t>
            </w:r>
            <w:r w:rsidRPr="00892DE3">
              <w:rPr>
                <w:rFonts w:asciiTheme="minorHAnsi" w:hAnsiTheme="minorHAnsi" w:cstheme="minorHAnsi"/>
                <w:szCs w:val="16"/>
                <w:vertAlign w:val="superscript"/>
              </w:rPr>
              <w:t xml:space="preserve"> (d)</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9(b)</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3.5</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3.4</w:t>
            </w:r>
            <w:r w:rsidRPr="00892DE3">
              <w:rPr>
                <w:rFonts w:asciiTheme="minorHAnsi" w:hAnsiTheme="minorHAnsi" w:cstheme="minorHAnsi"/>
                <w:sz w:val="16"/>
                <w:szCs w:val="16"/>
                <w:vertAlign w:val="superscript"/>
              </w:rPr>
              <w:t>(b)</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3.5</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12</w:t>
            </w:r>
            <w:r w:rsidRPr="00892DE3">
              <w:rPr>
                <w:rFonts w:asciiTheme="minorHAnsi" w:hAnsiTheme="minorHAnsi" w:cstheme="minorHAnsi"/>
                <w:sz w:val="16"/>
                <w:szCs w:val="16"/>
                <w:vertAlign w:val="superscript"/>
              </w:rPr>
              <w:t>(b)</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keepNext/>
              <w:spacing w:after="0"/>
              <w:rPr>
                <w:rFonts w:asciiTheme="minorHAnsi" w:hAnsiTheme="minorHAnsi" w:cstheme="minorHAnsi"/>
                <w:szCs w:val="16"/>
              </w:rPr>
            </w:pPr>
            <w:r w:rsidRPr="00892DE3">
              <w:rPr>
                <w:rFonts w:asciiTheme="minorHAnsi" w:hAnsiTheme="minorHAnsi" w:cstheme="minorHAnsi"/>
                <w:szCs w:val="16"/>
              </w:rPr>
              <w:t xml:space="preserve">Total expenses by government purpose classification/function </w:t>
            </w:r>
            <w:r w:rsidRPr="00892DE3">
              <w:rPr>
                <w:rFonts w:asciiTheme="minorHAnsi" w:hAnsiTheme="minorHAnsi" w:cstheme="minorHAnsi"/>
                <w:szCs w:val="16"/>
                <w:vertAlign w:val="superscript"/>
              </w:rPr>
              <w:t>(d)</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9(a)</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3.4</w:t>
            </w:r>
            <w:r w:rsidRPr="00892DE3">
              <w:rPr>
                <w:rFonts w:asciiTheme="minorHAnsi" w:hAnsiTheme="minorHAnsi" w:cstheme="minorHAnsi"/>
                <w:sz w:val="16"/>
                <w:szCs w:val="16"/>
                <w:vertAlign w:val="superscript"/>
              </w:rPr>
              <w:t>(a)</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12</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3.6</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12</w:t>
            </w:r>
            <w:r w:rsidRPr="00892DE3">
              <w:rPr>
                <w:rFonts w:asciiTheme="minorHAnsi" w:hAnsiTheme="minorHAnsi" w:cstheme="minorHAnsi"/>
                <w:sz w:val="16"/>
                <w:szCs w:val="16"/>
                <w:vertAlign w:val="superscript"/>
              </w:rPr>
              <w:t>(a)</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keepNext/>
              <w:spacing w:after="0"/>
              <w:rPr>
                <w:rFonts w:asciiTheme="minorHAnsi" w:hAnsiTheme="minorHAnsi" w:cstheme="minorHAnsi"/>
                <w:szCs w:val="16"/>
              </w:rPr>
            </w:pPr>
            <w:r w:rsidRPr="00892DE3">
              <w:rPr>
                <w:rFonts w:asciiTheme="minorHAnsi" w:hAnsiTheme="minorHAnsi" w:cstheme="minorHAnsi"/>
                <w:szCs w:val="16"/>
              </w:rPr>
              <w:t>Revision of accounting estimates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6</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Correction of errors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6</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Restructuring of administrative arrangements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Discontinued operations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Receivables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5.1</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6.2</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Investments and other financial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5.6</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16</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5.3</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16</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Investments accounted for using the equity method</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5.5</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4.6</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Interests in subsidiary and unconsolidated structured entities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746E4E"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5.5</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Non</w:t>
            </w:r>
            <w:r w:rsidRPr="00892DE3">
              <w:rPr>
                <w:rFonts w:asciiTheme="minorHAnsi" w:hAnsiTheme="minorHAnsi" w:cstheme="minorHAnsi"/>
                <w:szCs w:val="16"/>
              </w:rPr>
              <w:noBreakHyphen/>
              <w:t>financial physical assets classified as held for sale including disposal group and directly associated liabilities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3</w:t>
            </w:r>
            <w:r w:rsidRPr="00892DE3">
              <w:rPr>
                <w:rFonts w:asciiTheme="minorHAnsi" w:hAnsiTheme="minorHAnsi" w:cstheme="minorHAnsi"/>
                <w:sz w:val="16"/>
                <w:szCs w:val="16"/>
              </w:rPr>
              <w:t>.6</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4.5</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Inventories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6.1</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Property, plant and equipment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17</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4.1</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4.1</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17</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4.1</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17</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Reconciliation of movements in property, plant and equipment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5.1.3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18</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 xml:space="preserve"> 4.1.4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18</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4.1</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18</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Biological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4.7</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19</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4.4</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Investment properties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4.7</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19</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4.4</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Intangible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5.4</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4.7</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19</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4.4</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Other non</w:t>
            </w:r>
            <w:r w:rsidRPr="00892DE3">
              <w:rPr>
                <w:rFonts w:asciiTheme="minorHAnsi" w:hAnsiTheme="minorHAnsi" w:cstheme="minorHAnsi"/>
                <w:szCs w:val="16"/>
              </w:rPr>
              <w:noBreakHyphen/>
              <w:t>financial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6.4</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19</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4.7</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19</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4.4</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Payables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21</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15</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5.2</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21</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6.3</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20</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Borrowings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5.1</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22</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5.1</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21</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Provisions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6.5</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6.5</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Employee benefits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3.1.1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3.1</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3.2</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23</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3.1</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22</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Reconciliation of net gain/(loss) on equity investments in other sector entities at proportional share of net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6.1</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14</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14</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Net acquisition of non</w:t>
            </w:r>
            <w:r w:rsidRPr="00892DE3">
              <w:rPr>
                <w:rFonts w:asciiTheme="minorHAnsi" w:hAnsiTheme="minorHAnsi" w:cstheme="minorHAnsi"/>
                <w:szCs w:val="16"/>
              </w:rPr>
              <w:noBreakHyphen/>
              <w:t>financial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15</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11</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3.6</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15</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15</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Assets received as collateral</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746E4E" w:rsidP="00746E4E">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8.1.3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Assets pledged as security</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7.6</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De</w:t>
            </w:r>
            <w:r w:rsidRPr="00892DE3">
              <w:rPr>
                <w:rFonts w:asciiTheme="minorHAnsi" w:hAnsiTheme="minorHAnsi" w:cstheme="minorHAnsi"/>
                <w:szCs w:val="16"/>
              </w:rPr>
              <w:noBreakHyphen/>
              <w:t>recognition of financial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746E4E"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6.1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Superannuation</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3.1.3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6.5</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6.4</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Assets classified by government purpose classification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5.1.3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20</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4.8</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20</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3.6</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19</w:t>
            </w:r>
            <w:r w:rsidRPr="00892DE3">
              <w:rPr>
                <w:rFonts w:asciiTheme="minorHAnsi" w:hAnsiTheme="minorHAnsi" w:cstheme="minorHAnsi"/>
                <w:sz w:val="16"/>
                <w:szCs w:val="16"/>
                <w:vertAlign w:val="superscript"/>
              </w:rPr>
              <w:t>(a)</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Other asset and liability disclosures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Leases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Purchase of non</w:t>
            </w:r>
            <w:r w:rsidRPr="00892DE3">
              <w:rPr>
                <w:rFonts w:asciiTheme="minorHAnsi" w:hAnsiTheme="minorHAnsi" w:cstheme="minorHAnsi"/>
                <w:szCs w:val="16"/>
              </w:rPr>
              <w:noBreakHyphen/>
              <w:t>financial assets by department</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20</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3.5</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20</w:t>
            </w:r>
            <w:r w:rsidRPr="00892DE3">
              <w:rPr>
                <w:rFonts w:asciiTheme="minorHAnsi" w:hAnsiTheme="minorHAnsi" w:cstheme="minorHAnsi"/>
                <w:sz w:val="16"/>
                <w:szCs w:val="16"/>
                <w:vertAlign w:val="superscript"/>
              </w:rPr>
              <w:t>(b)</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19</w:t>
            </w:r>
            <w:r w:rsidRPr="00892DE3">
              <w:rPr>
                <w:rFonts w:asciiTheme="minorHAnsi" w:hAnsiTheme="minorHAnsi" w:cstheme="minorHAnsi"/>
                <w:sz w:val="16"/>
                <w:szCs w:val="16"/>
                <w:vertAlign w:val="superscript"/>
              </w:rPr>
              <w:t>(b)</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Commitments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7.5</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5.7</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5.5</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Contingent assets and liabilities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8.2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7.2</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Financial instruments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8.1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26</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7.1</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26</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7.1</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25</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Cash flow information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7.3</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18</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5.3</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7.3</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5.2</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keepNext/>
              <w:spacing w:after="0"/>
              <w:rPr>
                <w:rFonts w:asciiTheme="minorHAnsi" w:hAnsiTheme="minorHAnsi" w:cstheme="minorHAnsi"/>
                <w:szCs w:val="16"/>
              </w:rPr>
            </w:pPr>
            <w:r w:rsidRPr="00892DE3">
              <w:rPr>
                <w:rFonts w:asciiTheme="minorHAnsi" w:hAnsiTheme="minorHAnsi" w:cstheme="minorHAnsi"/>
                <w:szCs w:val="16"/>
              </w:rPr>
              <w:t>Reserves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9.9</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29</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23</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Reconciliations t</w:t>
            </w:r>
            <w:r w:rsidR="00B623D8" w:rsidRPr="00892DE3">
              <w:rPr>
                <w:rFonts w:asciiTheme="minorHAnsi" w:hAnsiTheme="minorHAnsi" w:cstheme="minorHAnsi"/>
                <w:szCs w:val="16"/>
              </w:rPr>
              <w:t>o Government Finance Statistics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25</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9.4</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25</w:t>
            </w: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24</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Summary of compliance with annual parliamentary and special appropriations/Public Account disclosure</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2.2</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18</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8.2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8</w:t>
            </w: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Ex gratia payments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Annotated income agreements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2.5</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Trust account balances/Funds under management</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7.4</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9.2</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Responsible persons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7</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Remuneration of executives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8</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Remuneration of auditors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10</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Subsequent events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9.1</w:t>
            </w:r>
            <w:r w:rsidR="00746E4E">
              <w:rPr>
                <w:rFonts w:asciiTheme="minorHAnsi" w:hAnsiTheme="minorHAnsi" w:cstheme="minorHAnsi"/>
                <w:sz w:val="16"/>
                <w:szCs w:val="16"/>
              </w:rPr>
              <w:t>1</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9.5</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Glossary of terms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9.1</w:t>
            </w:r>
            <w:r w:rsidR="00746E4E">
              <w:rPr>
                <w:rFonts w:asciiTheme="minorHAnsi" w:hAnsiTheme="minorHAnsi" w:cstheme="minorHAnsi"/>
                <w:sz w:val="16"/>
                <w:szCs w:val="16"/>
              </w:rPr>
              <w:t>4</w:t>
            </w:r>
          </w:p>
        </w:tc>
        <w:tc>
          <w:tcPr>
            <w:tcW w:w="754"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9.8</w:t>
            </w:r>
          </w:p>
        </w:tc>
        <w:tc>
          <w:tcPr>
            <w:tcW w:w="83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7.5</w:t>
            </w:r>
          </w:p>
        </w:tc>
        <w:tc>
          <w:tcPr>
            <w:tcW w:w="705"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12" w:space="0" w:color="auto"/>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Controlled entities</w:t>
            </w:r>
            <w:r w:rsidRPr="00892DE3">
              <w:rPr>
                <w:rFonts w:asciiTheme="minorHAnsi" w:hAnsiTheme="minorHAnsi" w:cstheme="minorHAnsi"/>
                <w:szCs w:val="16"/>
                <w:vertAlign w:val="superscript"/>
              </w:rPr>
              <w:t xml:space="preserve"> (d)</w:t>
            </w:r>
          </w:p>
        </w:tc>
        <w:tc>
          <w:tcPr>
            <w:tcW w:w="1044" w:type="dxa"/>
            <w:gridSpan w:val="2"/>
            <w:tcBorders>
              <w:top w:val="single" w:sz="4" w:space="0" w:color="BFBFBF" w:themeColor="background1" w:themeShade="BF"/>
              <w:bottom w:val="single" w:sz="12"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12"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27</w:t>
            </w:r>
          </w:p>
        </w:tc>
        <w:tc>
          <w:tcPr>
            <w:tcW w:w="837" w:type="dxa"/>
            <w:tcBorders>
              <w:top w:val="single" w:sz="4" w:space="0" w:color="BFBFBF" w:themeColor="background1" w:themeShade="BF"/>
              <w:bottom w:val="single" w:sz="12"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12"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9.7</w:t>
            </w:r>
          </w:p>
        </w:tc>
        <w:tc>
          <w:tcPr>
            <w:tcW w:w="837" w:type="dxa"/>
            <w:tcBorders>
              <w:top w:val="single" w:sz="4" w:space="0" w:color="BFBFBF" w:themeColor="background1" w:themeShade="BF"/>
              <w:bottom w:val="single" w:sz="12"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7.4</w:t>
            </w:r>
          </w:p>
        </w:tc>
        <w:tc>
          <w:tcPr>
            <w:tcW w:w="705" w:type="dxa"/>
            <w:tcBorders>
              <w:top w:val="single" w:sz="4" w:space="0" w:color="BFBFBF" w:themeColor="background1" w:themeShade="BF"/>
              <w:bottom w:val="single" w:sz="12"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27</w:t>
            </w:r>
          </w:p>
        </w:tc>
        <w:tc>
          <w:tcPr>
            <w:tcW w:w="846" w:type="dxa"/>
            <w:tcBorders>
              <w:top w:val="single" w:sz="4" w:space="0" w:color="BFBFBF" w:themeColor="background1" w:themeShade="BF"/>
              <w:bottom w:val="single" w:sz="12"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9.3</w:t>
            </w:r>
          </w:p>
        </w:tc>
        <w:tc>
          <w:tcPr>
            <w:tcW w:w="997" w:type="dxa"/>
            <w:tcBorders>
              <w:top w:val="single" w:sz="4" w:space="0" w:color="BFBFBF" w:themeColor="background1" w:themeShade="BF"/>
              <w:bottom w:val="single" w:sz="12"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26</w:t>
            </w:r>
          </w:p>
        </w:tc>
      </w:tr>
    </w:tbl>
    <w:p w:rsidR="00AD47C0" w:rsidRPr="00892DE3" w:rsidRDefault="00AD47C0" w:rsidP="00AD47C0">
      <w:pPr>
        <w:pStyle w:val="Note"/>
      </w:pPr>
      <w:r w:rsidRPr="00892DE3">
        <w:t>Notes:</w:t>
      </w:r>
    </w:p>
    <w:p w:rsidR="00AD47C0" w:rsidRPr="00892DE3" w:rsidRDefault="00AD47C0" w:rsidP="00AD47C0">
      <w:pPr>
        <w:pStyle w:val="Note"/>
      </w:pPr>
      <w:r w:rsidRPr="00892DE3">
        <w:t>(a)</w:t>
      </w:r>
      <w:r w:rsidRPr="00892DE3">
        <w:tab/>
        <w:t>Incorporates general government sector Quarterly Financial Report No. 3.</w:t>
      </w:r>
    </w:p>
    <w:p w:rsidR="00AD47C0" w:rsidRPr="00892DE3" w:rsidRDefault="00AD47C0" w:rsidP="00AD47C0">
      <w:pPr>
        <w:pStyle w:val="Note"/>
      </w:pPr>
      <w:r w:rsidRPr="00892DE3">
        <w:t>(b)</w:t>
      </w:r>
      <w:r w:rsidRPr="00892DE3">
        <w:tab/>
        <w:t>Incorporates general government sector Quarterly Financial Report No. 4.</w:t>
      </w:r>
    </w:p>
    <w:p w:rsidR="00AD47C0" w:rsidRPr="00892DE3" w:rsidRDefault="00AD47C0" w:rsidP="00AD47C0">
      <w:pPr>
        <w:pStyle w:val="Note"/>
      </w:pPr>
      <w:r w:rsidRPr="00892DE3">
        <w:t>(c)</w:t>
      </w:r>
      <w:r w:rsidRPr="00892DE3">
        <w:tab/>
        <w:t>Incorporates general government sector Quarterly Financial Report No. 2.</w:t>
      </w:r>
    </w:p>
    <w:p w:rsidR="00AD47C0" w:rsidRPr="00892DE3" w:rsidRDefault="00AD47C0" w:rsidP="00AD47C0">
      <w:pPr>
        <w:pStyle w:val="Note"/>
      </w:pPr>
      <w:r w:rsidRPr="00892DE3">
        <w:t>(d)</w:t>
      </w:r>
      <w:r w:rsidRPr="00892DE3">
        <w:tab/>
        <w:t>Notes specific to government sector reporting.</w:t>
      </w:r>
    </w:p>
    <w:p w:rsidR="00AD47C0" w:rsidRPr="00892DE3" w:rsidRDefault="00AD47C0" w:rsidP="00AD47C0">
      <w:pPr>
        <w:pStyle w:val="Note"/>
      </w:pPr>
      <w:r w:rsidRPr="00892DE3">
        <w:t>(e)</w:t>
      </w:r>
      <w:r w:rsidRPr="00892DE3">
        <w:tab/>
        <w:t>Notes specific to the Model Report for departmental reporting.</w:t>
      </w:r>
    </w:p>
    <w:p w:rsidR="00AD47C0" w:rsidRPr="00892DE3" w:rsidRDefault="00AD47C0" w:rsidP="00AD47C0"/>
    <w:p w:rsidR="00AD47C0" w:rsidRPr="00892DE3" w:rsidRDefault="00AD47C0" w:rsidP="00AD47C0"/>
    <w:p w:rsidR="00AD47C0" w:rsidRPr="00892DE3" w:rsidRDefault="00AD47C0" w:rsidP="00AD47C0">
      <w:pPr>
        <w:pStyle w:val="ChapterHeading0"/>
        <w:sectPr w:rsidR="00AD47C0" w:rsidRPr="00892DE3" w:rsidSect="002C2301">
          <w:headerReference w:type="even" r:id="rId178"/>
          <w:headerReference w:type="default" r:id="rId179"/>
          <w:footerReference w:type="first" r:id="rId180"/>
          <w:pgSz w:w="11906" w:h="16838" w:code="9"/>
          <w:pgMar w:top="1134" w:right="1134" w:bottom="1134" w:left="1134" w:header="624" w:footer="567" w:gutter="0"/>
          <w:cols w:space="708"/>
          <w:titlePg/>
          <w:docGrid w:linePitch="360"/>
        </w:sectPr>
      </w:pPr>
    </w:p>
    <w:p w:rsidR="00C82275" w:rsidRPr="00892DE3" w:rsidRDefault="00C82275" w:rsidP="00C82275">
      <w:bookmarkStart w:id="293" w:name="_Toc324234843"/>
      <w:bookmarkStart w:id="294" w:name="_Toc330906649"/>
      <w:bookmarkStart w:id="295" w:name="_Toc332019438"/>
      <w:bookmarkStart w:id="296" w:name="_Toc350413729"/>
      <w:bookmarkStart w:id="297" w:name="_Toc388277754"/>
    </w:p>
    <w:p w:rsidR="00C82275" w:rsidRPr="00892DE3" w:rsidRDefault="00C82275" w:rsidP="00C82275">
      <w:pPr>
        <w:pStyle w:val="Reference"/>
      </w:pPr>
      <w:r w:rsidRPr="00892DE3">
        <w:t>Recommendation 47, PAEC Report 118</w:t>
      </w:r>
    </w:p>
    <w:p w:rsidR="00C82275" w:rsidRPr="00892DE3" w:rsidRDefault="00C82275" w:rsidP="00C82275">
      <w:pPr>
        <w:pStyle w:val="Reference"/>
      </w:pPr>
    </w:p>
    <w:p w:rsidR="00C82275" w:rsidRPr="00892DE3" w:rsidRDefault="00C82275" w:rsidP="00C82275">
      <w:pPr>
        <w:pStyle w:val="Reference"/>
      </w:pPr>
    </w:p>
    <w:p w:rsidR="00C82275" w:rsidRPr="00892DE3" w:rsidRDefault="00C82275" w:rsidP="00301267">
      <w:pPr>
        <w:pStyle w:val="AppendixHeading"/>
        <w:spacing w:after="240"/>
      </w:pPr>
      <w:r w:rsidRPr="00892DE3">
        <w:br w:type="column"/>
      </w:r>
      <w:bookmarkStart w:id="298" w:name="_Toc481591390"/>
      <w:bookmarkStart w:id="299" w:name="_Toc481592337"/>
      <w:r w:rsidRPr="00892DE3">
        <w:t>Appendix 2:</w:t>
      </w:r>
      <w:r w:rsidRPr="00892DE3">
        <w:tab/>
        <w:t xml:space="preserve">Budgetary reporting: </w:t>
      </w:r>
      <w:r w:rsidRPr="00892DE3">
        <w:br/>
        <w:t>explanation of material variances between budget and actual outcomes</w:t>
      </w:r>
      <w:bookmarkEnd w:id="298"/>
      <w:bookmarkEnd w:id="299"/>
    </w:p>
    <w:p w:rsidR="0093711E" w:rsidRPr="0093711E" w:rsidRDefault="00C82275" w:rsidP="0093711E">
      <w:pPr>
        <w:spacing w:after="240" w:line="276" w:lineRule="auto"/>
        <w:rPr>
          <w:rFonts w:ascii="Arial" w:hAnsi="Arial" w:cs="Arial"/>
        </w:rPr>
      </w:pPr>
      <w:r w:rsidRPr="0093711E">
        <w:rPr>
          <w:rFonts w:ascii="Arial" w:hAnsi="Arial" w:cs="Arial"/>
        </w:rPr>
        <w:t>The requirements for budgetary reporting are detailed in AASB 1055 Budgetary Reporting. The standard applies to the general government sector and the not</w:t>
      </w:r>
      <w:r w:rsidRPr="0093711E">
        <w:rPr>
          <w:rFonts w:ascii="Arial" w:hAnsi="Arial" w:cs="Arial"/>
        </w:rPr>
        <w:noBreakHyphen/>
        <w:t>for</w:t>
      </w:r>
      <w:r w:rsidRPr="0093711E">
        <w:rPr>
          <w:rFonts w:ascii="Arial" w:hAnsi="Arial" w:cs="Arial"/>
        </w:rPr>
        <w:noBreakHyphen/>
        <w:t>profit entities within the general government sector for year ending 30 June 2016 and requires:</w:t>
      </w:r>
    </w:p>
    <w:p w:rsidR="00C82275" w:rsidRPr="0093711E" w:rsidRDefault="00C82275" w:rsidP="0093711E">
      <w:pPr>
        <w:pStyle w:val="ListBullet"/>
        <w:spacing w:line="276" w:lineRule="auto"/>
        <w:rPr>
          <w:rFonts w:ascii="Arial" w:hAnsi="Arial" w:cs="Arial"/>
        </w:rPr>
      </w:pPr>
      <w:r w:rsidRPr="0093711E">
        <w:rPr>
          <w:rFonts w:ascii="Arial" w:hAnsi="Arial" w:cs="Arial"/>
        </w:rPr>
        <w:t>where the entity’s budgeted financial statements (i.e. comprehensive operating statement, balance sheet, cash flow statement or statement of changes in equity) for controlled items are presented to the Parliament and are separately identified as relating to the entity, the entity should disclose for the reporting period:</w:t>
      </w:r>
    </w:p>
    <w:p w:rsidR="00C82275" w:rsidRPr="0093711E" w:rsidRDefault="00C82275" w:rsidP="0093711E">
      <w:pPr>
        <w:pStyle w:val="ListBullet2"/>
        <w:spacing w:line="276" w:lineRule="auto"/>
        <w:contextualSpacing w:val="0"/>
        <w:rPr>
          <w:rFonts w:ascii="Arial" w:hAnsi="Arial" w:cs="Arial"/>
        </w:rPr>
      </w:pPr>
      <w:r w:rsidRPr="0093711E">
        <w:rPr>
          <w:rFonts w:ascii="Arial" w:hAnsi="Arial" w:cs="Arial"/>
        </w:rPr>
        <w:t>the original budgeted financial statement presented to Parliament, presented and classified on a basis that is consistent with the presentation and classification adopted in the corresponding financial statements prepared in accordance with Australian Accounting Standards; and</w:t>
      </w:r>
    </w:p>
    <w:p w:rsidR="00C82275" w:rsidRPr="0093711E" w:rsidRDefault="00C82275" w:rsidP="0093711E">
      <w:pPr>
        <w:pStyle w:val="ListBullet2"/>
        <w:spacing w:after="240" w:line="276" w:lineRule="auto"/>
        <w:contextualSpacing w:val="0"/>
        <w:rPr>
          <w:rFonts w:ascii="Arial" w:hAnsi="Arial" w:cs="Arial"/>
        </w:rPr>
      </w:pPr>
      <w:r w:rsidRPr="0093711E">
        <w:rPr>
          <w:rFonts w:ascii="Arial" w:hAnsi="Arial" w:cs="Arial"/>
        </w:rPr>
        <w:t>explanations of major variances between the actual amounts presented in the financial statements and the corresponding original budget amounts.</w:t>
      </w:r>
    </w:p>
    <w:p w:rsidR="00C82275" w:rsidRPr="0093711E" w:rsidRDefault="00C82275" w:rsidP="0093711E">
      <w:pPr>
        <w:pStyle w:val="ListBullet"/>
        <w:spacing w:line="276" w:lineRule="auto"/>
        <w:contextualSpacing w:val="0"/>
        <w:rPr>
          <w:rFonts w:ascii="Arial" w:hAnsi="Arial" w:cs="Arial"/>
        </w:rPr>
      </w:pPr>
      <w:r w:rsidRPr="0093711E">
        <w:rPr>
          <w:rFonts w:ascii="Arial" w:hAnsi="Arial" w:cs="Arial"/>
        </w:rPr>
        <w:t>where the entity’s budgeted financial information for major classes of administered income and expense, or major classes of administered assets and liabilities, is presented to Parliament and is separately identified as relating to that entity, the entity should disclose for the reporting period:</w:t>
      </w:r>
    </w:p>
    <w:p w:rsidR="00C82275" w:rsidRPr="0093711E" w:rsidRDefault="00C82275" w:rsidP="0093711E">
      <w:pPr>
        <w:pStyle w:val="ListBullet2"/>
        <w:spacing w:line="276" w:lineRule="auto"/>
        <w:contextualSpacing w:val="0"/>
        <w:rPr>
          <w:rFonts w:ascii="Arial" w:hAnsi="Arial" w:cs="Arial"/>
        </w:rPr>
      </w:pPr>
      <w:r w:rsidRPr="0093711E">
        <w:rPr>
          <w:rFonts w:ascii="Arial" w:hAnsi="Arial" w:cs="Arial"/>
        </w:rPr>
        <w:t xml:space="preserve">the original budgeted financial information presented to parliament, presented and classified on a basis that is consistent with the presentation and classification adopted to comply with AASB 1050 Administered Items; and </w:t>
      </w:r>
    </w:p>
    <w:p w:rsidR="00C82275" w:rsidRPr="0093711E" w:rsidRDefault="00C82275" w:rsidP="0093711E">
      <w:pPr>
        <w:pStyle w:val="ListBullet2"/>
        <w:spacing w:line="276" w:lineRule="auto"/>
        <w:contextualSpacing w:val="0"/>
        <w:rPr>
          <w:rFonts w:ascii="Arial" w:hAnsi="Arial" w:cs="Arial"/>
        </w:rPr>
      </w:pPr>
      <w:r w:rsidRPr="0093711E">
        <w:rPr>
          <w:rFonts w:ascii="Arial" w:hAnsi="Arial" w:cs="Arial"/>
        </w:rPr>
        <w:t>explanations of major variances between the actual disclosed amounts in the financial statements in accordance with AASB 1050 and the corresponding original budget amounts.</w:t>
      </w:r>
    </w:p>
    <w:p w:rsidR="00C82275" w:rsidRPr="00892DE3" w:rsidRDefault="00C82275" w:rsidP="0093711E">
      <w:pPr>
        <w:spacing w:line="276" w:lineRule="auto"/>
      </w:pPr>
      <w:r w:rsidRPr="0093711E">
        <w:rPr>
          <w:rFonts w:ascii="Arial" w:hAnsi="Arial" w:cs="Arial"/>
        </w:rPr>
        <w:t>Comparative budgetary information in respect of the previous period need not be disclosed</w:t>
      </w:r>
      <w:r w:rsidRPr="00892DE3">
        <w:t>.</w:t>
      </w:r>
    </w:p>
    <w:p w:rsidR="00C82275" w:rsidRPr="00892DE3" w:rsidRDefault="00C82275" w:rsidP="0093711E">
      <w:pPr>
        <w:pStyle w:val="Heading2nonTOC"/>
        <w:spacing w:line="276" w:lineRule="auto"/>
      </w:pPr>
      <w:r w:rsidRPr="00892DE3">
        <w:t>Additional guidance</w:t>
      </w:r>
    </w:p>
    <w:p w:rsidR="00C82275" w:rsidRPr="0093711E" w:rsidRDefault="00C82275" w:rsidP="0052741D">
      <w:pPr>
        <w:pStyle w:val="ListNumber"/>
        <w:numPr>
          <w:ilvl w:val="0"/>
          <w:numId w:val="49"/>
        </w:numPr>
        <w:spacing w:after="240" w:line="276" w:lineRule="auto"/>
      </w:pPr>
      <w:r w:rsidRPr="0093711E">
        <w:t>This standard is expected to have little impact for a majority of departments and entities, as the budgeted financial statements presented to Parliament are portfolio budgetary information that is not separately identifiable for individual reporting entities.</w:t>
      </w:r>
    </w:p>
    <w:p w:rsidR="00C82275" w:rsidRPr="0093711E" w:rsidRDefault="00C82275" w:rsidP="0093711E">
      <w:pPr>
        <w:pStyle w:val="ListNumber"/>
        <w:spacing w:line="276" w:lineRule="auto"/>
      </w:pPr>
      <w:r w:rsidRPr="0093711E">
        <w:t>The explanations of major variances required to be disclosed are those relevant to an assessment of the discharge of accountability and to an analysis of performance of an entity, not merely focusing on the numerical differences between original budget and actual amounts. They include high</w:t>
      </w:r>
      <w:r w:rsidRPr="0093711E">
        <w:noBreakHyphen/>
        <w:t xml:space="preserve">level explanations of the causes of major variances rather than merely the nature of the variances. Furthermore, if revised budgets are presented to Parliament, even when there are no major numerical differences between the original budget and actual amounts, an entity might need to have regard to those revised budgets and include explanations for major numerical differences between them and actual amounts. </w:t>
      </w:r>
    </w:p>
    <w:p w:rsidR="00C82275" w:rsidRPr="0093711E" w:rsidRDefault="00C82275" w:rsidP="0093711E">
      <w:pPr>
        <w:pStyle w:val="NormalBlue"/>
        <w:spacing w:line="276" w:lineRule="auto"/>
        <w:rPr>
          <w:color w:val="0072CE" w:themeColor="accent4"/>
          <w:sz w:val="18"/>
        </w:rPr>
      </w:pPr>
      <w:r w:rsidRPr="0093711E">
        <w:rPr>
          <w:color w:val="0072CE" w:themeColor="accent4"/>
          <w:sz w:val="18"/>
        </w:rPr>
        <w:t>[Where applicable, entities are required to include the information illustrated in this Appendix in a note to the financial statements.]</w:t>
      </w:r>
    </w:p>
    <w:p w:rsidR="00C82275" w:rsidRPr="0093711E" w:rsidRDefault="00C82275" w:rsidP="00C82275">
      <w:pPr>
        <w:spacing w:line="240" w:lineRule="atLeast"/>
        <w:rPr>
          <w:color w:val="0072CE" w:themeColor="accent4"/>
        </w:rPr>
      </w:pPr>
    </w:p>
    <w:p w:rsidR="00C82275" w:rsidRPr="00892DE3" w:rsidRDefault="00C82275" w:rsidP="00C82275">
      <w:pPr>
        <w:spacing w:line="240" w:lineRule="atLeast"/>
        <w:sectPr w:rsidR="00C82275" w:rsidRPr="00892DE3" w:rsidSect="00B33736">
          <w:headerReference w:type="even" r:id="rId181"/>
          <w:headerReference w:type="default" r:id="rId182"/>
          <w:footerReference w:type="first" r:id="rId183"/>
          <w:pgSz w:w="11906" w:h="16838" w:code="9"/>
          <w:pgMar w:top="1134" w:right="1134" w:bottom="1134" w:left="1134" w:header="624" w:footer="567" w:gutter="0"/>
          <w:cols w:num="2" w:space="360" w:equalWidth="0">
            <w:col w:w="1170" w:space="360"/>
            <w:col w:w="8108"/>
          </w:cols>
          <w:titlePg/>
          <w:docGrid w:linePitch="245"/>
        </w:sectPr>
      </w:pPr>
    </w:p>
    <w:p w:rsidR="00C82275" w:rsidRPr="00892DE3" w:rsidRDefault="00C82275" w:rsidP="00C82275">
      <w:pPr>
        <w:pStyle w:val="TableHeading"/>
      </w:pPr>
      <w:r w:rsidRPr="00892DE3">
        <w:t>Comprehensive operating statement for the financial year ended 30 June 20152016</w:t>
      </w:r>
      <w:r w:rsidRPr="00892DE3">
        <w:tab/>
        <w:t>($ thousand)</w:t>
      </w:r>
    </w:p>
    <w:tbl>
      <w:tblPr>
        <w:tblStyle w:val="ModelReportFinancialTable"/>
        <w:tblW w:w="0" w:type="auto"/>
        <w:tblLayout w:type="fixed"/>
        <w:tblLook w:val="06A0" w:firstRow="1" w:lastRow="0" w:firstColumn="1" w:lastColumn="0" w:noHBand="1" w:noVBand="1"/>
      </w:tblPr>
      <w:tblGrid>
        <w:gridCol w:w="1388"/>
        <w:gridCol w:w="5035"/>
        <w:gridCol w:w="836"/>
        <w:gridCol w:w="831"/>
        <w:gridCol w:w="831"/>
        <w:gridCol w:w="831"/>
      </w:tblGrid>
      <w:tr w:rsidR="00C82275" w:rsidRPr="00892DE3" w:rsidTr="00C82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8" w:type="dxa"/>
            <w:shd w:val="clear" w:color="auto" w:fill="auto"/>
          </w:tcPr>
          <w:p w:rsidR="00C82275" w:rsidRPr="00892DE3" w:rsidRDefault="00C82275" w:rsidP="00C82275">
            <w:pPr>
              <w:rPr>
                <w:i w:val="0"/>
              </w:rPr>
            </w:pPr>
            <w:r w:rsidRPr="00892DE3">
              <w:t>Source reference</w:t>
            </w:r>
            <w:r w:rsidRPr="00892DE3">
              <w:rPr>
                <w:i w:val="0"/>
              </w:rPr>
              <w:br/>
            </w:r>
            <w:r w:rsidRPr="00892DE3">
              <w:rPr>
                <w:i w:val="0"/>
              </w:rPr>
              <w:br/>
              <w:t>AASB 1055.6</w:t>
            </w:r>
          </w:p>
        </w:tc>
        <w:tc>
          <w:tcPr>
            <w:tcW w:w="5035" w:type="dxa"/>
          </w:tcPr>
          <w:p w:rsidR="00C82275" w:rsidRPr="00892DE3" w:rsidRDefault="00C82275" w:rsidP="00C82275">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836" w:type="dxa"/>
          </w:tcPr>
          <w:p w:rsidR="00C82275" w:rsidRPr="00892DE3" w:rsidRDefault="00C82275" w:rsidP="00C82275">
            <w:pPr>
              <w:ind w:left="170" w:hanging="17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31"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Original Budget 2016</w:t>
            </w:r>
          </w:p>
        </w:tc>
        <w:tc>
          <w:tcPr>
            <w:tcW w:w="831"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Actual 2016</w:t>
            </w:r>
          </w:p>
        </w:tc>
        <w:tc>
          <w:tcPr>
            <w:tcW w:w="831"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Variance</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Continuing operations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rPr>
          <w:trHeight w:val="57"/>
        </w:trPr>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Income from transactions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Output appropriations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a</w:t>
            </w: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85 535</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63 682</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(21 853)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Special appropriations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b</w:t>
            </w: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8 128</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11 396</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3 268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3 864</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2 897</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(210)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 of goods and services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1 839</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1 346</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(493)</w:t>
            </w:r>
          </w:p>
        </w:tc>
      </w:tr>
      <w:tr w:rsidR="00C82275" w:rsidRPr="00892DE3" w:rsidTr="00C82275">
        <w:trPr>
          <w:trHeight w:val="260"/>
        </w:trPr>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Grants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306</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140</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(166)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Fair value of assets and services received free of charge or for nominal consideration</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1 589</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1 708</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119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income</w:t>
            </w:r>
          </w:p>
        </w:tc>
        <w:tc>
          <w:tcPr>
            <w:tcW w:w="836"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c</w:t>
            </w:r>
          </w:p>
        </w:tc>
        <w:tc>
          <w:tcPr>
            <w:tcW w:w="831"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6 213</w:t>
            </w:r>
          </w:p>
        </w:tc>
        <w:tc>
          <w:tcPr>
            <w:tcW w:w="831"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5 091</w:t>
            </w:r>
          </w:p>
        </w:tc>
        <w:tc>
          <w:tcPr>
            <w:tcW w:w="831"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1 122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top w:val="single" w:sz="4" w:space="0" w:color="auto"/>
              <w:bottom w:val="nil"/>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income from transactions</w:t>
            </w:r>
          </w:p>
        </w:tc>
        <w:tc>
          <w:tcPr>
            <w:tcW w:w="836" w:type="dxa"/>
            <w:tcBorders>
              <w:top w:val="single" w:sz="4" w:space="0" w:color="auto"/>
              <w:bottom w:val="nil"/>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4" w:space="0" w:color="auto"/>
              <w:bottom w:val="nil"/>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107 474</w:t>
            </w:r>
          </w:p>
        </w:tc>
        <w:tc>
          <w:tcPr>
            <w:tcW w:w="831" w:type="dxa"/>
            <w:tcBorders>
              <w:top w:val="single" w:sz="4" w:space="0" w:color="auto"/>
              <w:bottom w:val="nil"/>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86 260</w:t>
            </w:r>
          </w:p>
        </w:tc>
        <w:tc>
          <w:tcPr>
            <w:tcW w:w="831" w:type="dxa"/>
            <w:tcBorders>
              <w:top w:val="single" w:sz="4" w:space="0" w:color="auto"/>
              <w:bottom w:val="nil"/>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(18 213)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top w:val="nil"/>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Expenses from transactions</w:t>
            </w:r>
          </w:p>
        </w:tc>
        <w:tc>
          <w:tcPr>
            <w:tcW w:w="836" w:type="dxa"/>
            <w:tcBorders>
              <w:top w:val="nil"/>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tcBorders>
              <w:top w:val="nil"/>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31" w:type="dxa"/>
            <w:tcBorders>
              <w:top w:val="nil"/>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31" w:type="dxa"/>
            <w:tcBorders>
              <w:top w:val="nil"/>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Employee expenses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d</w:t>
            </w: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(13 767)</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(10 970)</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(11 203)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Depreciation </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e</w:t>
            </w: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(15 099)</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(12 157)</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5 942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expense</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(2 366)</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(2 336)</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Grant expenses </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f</w:t>
            </w: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(32 883)</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(43 040)</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9 843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Capital asset charge</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(1 309)</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( 720)</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589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Other operating expenses </w:t>
            </w:r>
          </w:p>
        </w:tc>
        <w:tc>
          <w:tcPr>
            <w:tcW w:w="836"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g</w:t>
            </w:r>
          </w:p>
        </w:tc>
        <w:tc>
          <w:tcPr>
            <w:tcW w:w="831"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(15 828)</w:t>
            </w:r>
          </w:p>
        </w:tc>
        <w:tc>
          <w:tcPr>
            <w:tcW w:w="831"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(8 197)</w:t>
            </w:r>
          </w:p>
        </w:tc>
        <w:tc>
          <w:tcPr>
            <w:tcW w:w="831"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(6 369)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expenses from transactions</w:t>
            </w:r>
          </w:p>
        </w:tc>
        <w:tc>
          <w:tcPr>
            <w:tcW w:w="836"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(81 252)</w:t>
            </w:r>
          </w:p>
        </w:tc>
        <w:tc>
          <w:tcPr>
            <w:tcW w:w="831"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(77 421)</w:t>
            </w:r>
          </w:p>
        </w:tc>
        <w:tc>
          <w:tcPr>
            <w:tcW w:w="831"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(1 168)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top w:val="single" w:sz="4" w:space="0" w:color="auto"/>
              <w:bottom w:val="single" w:sz="12"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transactions (net operating balance)</w:t>
            </w:r>
          </w:p>
        </w:tc>
        <w:tc>
          <w:tcPr>
            <w:tcW w:w="836" w:type="dxa"/>
            <w:tcBorders>
              <w:top w:val="single" w:sz="4" w:space="0" w:color="auto"/>
              <w:bottom w:val="single" w:sz="12"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4" w:space="0" w:color="auto"/>
              <w:bottom w:val="single" w:sz="12"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26 223</w:t>
            </w:r>
          </w:p>
        </w:tc>
        <w:tc>
          <w:tcPr>
            <w:tcW w:w="831" w:type="dxa"/>
            <w:tcBorders>
              <w:top w:val="single" w:sz="4"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8 839</w:t>
            </w:r>
          </w:p>
        </w:tc>
        <w:tc>
          <w:tcPr>
            <w:tcW w:w="831" w:type="dxa"/>
            <w:tcBorders>
              <w:top w:val="single" w:sz="4" w:space="0" w:color="auto"/>
              <w:bottom w:val="single" w:sz="12"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(19 381)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top w:val="single" w:sz="12"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Other economic flows included in net result</w:t>
            </w:r>
          </w:p>
        </w:tc>
        <w:tc>
          <w:tcPr>
            <w:tcW w:w="836" w:type="dxa"/>
            <w:tcBorders>
              <w:top w:val="single" w:sz="12"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12"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31" w:type="dxa"/>
            <w:tcBorders>
              <w:top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31" w:type="dxa"/>
            <w:tcBorders>
              <w:top w:val="single" w:sz="12"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non</w:t>
            </w:r>
            <w:r w:rsidRPr="00892DE3">
              <w:noBreakHyphen/>
              <w:t>financial assets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(5 161)</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1 805</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6 966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financial instruments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(5 891)</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(3 971)</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1 920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profits/(losses) of associates and joint entities, excluding dividends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1 286</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1 397</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111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gains/(losses) from other economic flows</w:t>
            </w:r>
          </w:p>
        </w:tc>
        <w:tc>
          <w:tcPr>
            <w:tcW w:w="836"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(2 895)</w:t>
            </w:r>
          </w:p>
        </w:tc>
        <w:tc>
          <w:tcPr>
            <w:tcW w:w="831"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(2 047)</w:t>
            </w:r>
          </w:p>
        </w:tc>
        <w:tc>
          <w:tcPr>
            <w:tcW w:w="83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848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economic flows included in net result</w:t>
            </w:r>
          </w:p>
        </w:tc>
        <w:tc>
          <w:tcPr>
            <w:tcW w:w="836"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(12 661)</w:t>
            </w:r>
          </w:p>
        </w:tc>
        <w:tc>
          <w:tcPr>
            <w:tcW w:w="831"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(2 816)</w:t>
            </w:r>
          </w:p>
        </w:tc>
        <w:tc>
          <w:tcPr>
            <w:tcW w:w="831"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9 845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continuing operations</w:t>
            </w:r>
          </w:p>
        </w:tc>
        <w:tc>
          <w:tcPr>
            <w:tcW w:w="836"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13 562</w:t>
            </w:r>
          </w:p>
        </w:tc>
        <w:tc>
          <w:tcPr>
            <w:tcW w:w="831"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6 023</w:t>
            </w:r>
          </w:p>
        </w:tc>
        <w:tc>
          <w:tcPr>
            <w:tcW w:w="831"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(7 539)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discontinued operations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1 229</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3 856</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2 627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w:t>
            </w:r>
          </w:p>
        </w:tc>
        <w:tc>
          <w:tcPr>
            <w:tcW w:w="836"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14 790</w:t>
            </w:r>
          </w:p>
        </w:tc>
        <w:tc>
          <w:tcPr>
            <w:tcW w:w="831"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9 879</w:t>
            </w:r>
          </w:p>
        </w:tc>
        <w:tc>
          <w:tcPr>
            <w:tcW w:w="83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(4 911)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Other economic flows – other comprehensive income</w:t>
            </w:r>
          </w:p>
        </w:tc>
        <w:tc>
          <w:tcPr>
            <w:tcW w:w="836"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31"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31"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Items that will not be reclassified to net result</w:t>
            </w:r>
          </w:p>
        </w:tc>
        <w:tc>
          <w:tcPr>
            <w:tcW w:w="836"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Changes in physical asset revaluation surplus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7 403</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2 825</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(4 578)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movement in revaluation surplus of associates and joint ventures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260</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280</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Items that may be reclassified subsequently to net result</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Changes to financial assets available</w:t>
            </w:r>
            <w:r w:rsidRPr="00892DE3">
              <w:noBreakHyphen/>
              <w:t>for</w:t>
            </w:r>
            <w:r w:rsidRPr="00892DE3">
              <w:noBreakHyphen/>
              <w:t>sale revaluation surplus</w:t>
            </w:r>
          </w:p>
        </w:tc>
        <w:tc>
          <w:tcPr>
            <w:tcW w:w="836"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(1 250)</w:t>
            </w:r>
          </w:p>
        </w:tc>
        <w:tc>
          <w:tcPr>
            <w:tcW w:w="831"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996</w:t>
            </w:r>
          </w:p>
        </w:tc>
        <w:tc>
          <w:tcPr>
            <w:tcW w:w="83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2 246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tcBorders>
              <w:bottom w:val="nil"/>
            </w:tcBorders>
            <w:shd w:val="clear" w:color="auto" w:fill="auto"/>
          </w:tcPr>
          <w:p w:rsidR="00C82275" w:rsidRPr="00892DE3" w:rsidRDefault="00C82275" w:rsidP="00C82275">
            <w:pPr>
              <w:rPr>
                <w:b/>
              </w:rPr>
            </w:pPr>
          </w:p>
        </w:tc>
        <w:tc>
          <w:tcPr>
            <w:tcW w:w="5035"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economic flows – other comprehensive income</w:t>
            </w:r>
          </w:p>
        </w:tc>
        <w:tc>
          <w:tcPr>
            <w:tcW w:w="836"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6 413</w:t>
            </w:r>
          </w:p>
        </w:tc>
        <w:tc>
          <w:tcPr>
            <w:tcW w:w="831"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4 101</w:t>
            </w:r>
          </w:p>
        </w:tc>
        <w:tc>
          <w:tcPr>
            <w:tcW w:w="831"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(2 312)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tcBorders>
              <w:bottom w:val="nil"/>
            </w:tcBorders>
            <w:shd w:val="clear" w:color="auto" w:fill="auto"/>
          </w:tcPr>
          <w:p w:rsidR="00C82275" w:rsidRPr="00892DE3" w:rsidRDefault="00C82275" w:rsidP="00C82275">
            <w:pPr>
              <w:rPr>
                <w:b/>
              </w:rPr>
            </w:pPr>
          </w:p>
        </w:tc>
        <w:tc>
          <w:tcPr>
            <w:tcW w:w="5035" w:type="dxa"/>
            <w:tcBorders>
              <w:top w:val="single" w:sz="6" w:space="0" w:color="auto"/>
              <w:bottom w:val="single" w:sz="12"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Comprehensive result</w:t>
            </w:r>
          </w:p>
        </w:tc>
        <w:tc>
          <w:tcPr>
            <w:tcW w:w="836" w:type="dxa"/>
            <w:tcBorders>
              <w:top w:val="single" w:sz="6" w:space="0" w:color="auto"/>
              <w:bottom w:val="single" w:sz="12"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bottom w:val="single" w:sz="12"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21 203</w:t>
            </w:r>
          </w:p>
        </w:tc>
        <w:tc>
          <w:tcPr>
            <w:tcW w:w="831" w:type="dxa"/>
            <w:tcBorders>
              <w:top w:val="single" w:sz="6"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13 980</w:t>
            </w:r>
          </w:p>
        </w:tc>
        <w:tc>
          <w:tcPr>
            <w:tcW w:w="831" w:type="dxa"/>
            <w:tcBorders>
              <w:top w:val="single" w:sz="6" w:space="0" w:color="auto"/>
              <w:bottom w:val="single" w:sz="12"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(7 223)</w:t>
            </w:r>
          </w:p>
        </w:tc>
      </w:tr>
    </w:tbl>
    <w:p w:rsidR="00C82275" w:rsidRPr="00892DE3" w:rsidRDefault="00C82275" w:rsidP="00C82275">
      <w:r w:rsidRPr="00892DE3">
        <w:t>The following are brief explanations for major variances that are assessed to be relevant for the entity’s performance analysis, and the discharge of accountability.</w:t>
      </w:r>
    </w:p>
    <w:p w:rsidR="00C82275" w:rsidRPr="00892DE3" w:rsidRDefault="00C82275" w:rsidP="00C82275">
      <w:pPr>
        <w:keepLines w:val="0"/>
        <w:spacing w:before="60"/>
        <w:ind w:left="567" w:hanging="567"/>
        <w:rPr>
          <w:i/>
        </w:rPr>
      </w:pPr>
      <w:r w:rsidRPr="00892DE3">
        <w:rPr>
          <w:i/>
        </w:rPr>
        <w:t>Notes:</w:t>
      </w:r>
    </w:p>
    <w:p w:rsidR="00C82275" w:rsidRPr="00892DE3" w:rsidRDefault="00C82275" w:rsidP="00C82275">
      <w:pPr>
        <w:pStyle w:val="List"/>
        <w:spacing w:before="60"/>
      </w:pPr>
      <w:r w:rsidRPr="00892DE3">
        <w:t>(a)</w:t>
      </w:r>
      <w:r w:rsidRPr="00892DE3">
        <w:tab/>
        <w:t>Output appropriations were lower than the original budget primarily due to a number of machinery of government changes resulting in an adjustment to the 2015-16 appropriations.</w:t>
      </w:r>
    </w:p>
    <w:p w:rsidR="00C82275" w:rsidRPr="00892DE3" w:rsidRDefault="00C82275" w:rsidP="00C82275">
      <w:pPr>
        <w:pStyle w:val="List"/>
        <w:spacing w:before="60"/>
      </w:pPr>
      <w:r w:rsidRPr="00892DE3">
        <w:t>(b)</w:t>
      </w:r>
      <w:r w:rsidRPr="00892DE3">
        <w:tab/>
        <w:t>Special appropriations were higher than the original budget due to the approved financing of a particular project.</w:t>
      </w:r>
    </w:p>
    <w:p w:rsidR="00C82275" w:rsidRPr="00892DE3" w:rsidRDefault="00C82275" w:rsidP="00C82275">
      <w:pPr>
        <w:pStyle w:val="List"/>
        <w:spacing w:before="60"/>
      </w:pPr>
      <w:r w:rsidRPr="00892DE3">
        <w:t>(c)</w:t>
      </w:r>
      <w:r w:rsidRPr="00892DE3">
        <w:tab/>
        <w:t>Other income was higher than the original budget primarily due to higher rental income received from investment properties.</w:t>
      </w:r>
    </w:p>
    <w:p w:rsidR="00C82275" w:rsidRPr="00892DE3" w:rsidRDefault="00C82275" w:rsidP="00C82275">
      <w:pPr>
        <w:pStyle w:val="List"/>
        <w:spacing w:before="60"/>
      </w:pPr>
      <w:r w:rsidRPr="00892DE3">
        <w:t>(d)</w:t>
      </w:r>
      <w:r w:rsidRPr="00892DE3">
        <w:tab/>
        <w:t>Employee expenses were greater than the original budget largely due an increase to the long service leave (LSL) expense. The LSL expense increased because of an increase in the number of staff achieving long</w:t>
      </w:r>
      <w:r w:rsidRPr="00892DE3">
        <w:noBreakHyphen/>
        <w:t>term tenure and the increased EBA wage rates.</w:t>
      </w:r>
    </w:p>
    <w:p w:rsidR="00C82275" w:rsidRPr="00892DE3" w:rsidRDefault="00C82275" w:rsidP="00C82275">
      <w:pPr>
        <w:pStyle w:val="List"/>
        <w:spacing w:before="60"/>
      </w:pPr>
      <w:r w:rsidRPr="00892DE3">
        <w:t>(e)</w:t>
      </w:r>
      <w:r w:rsidRPr="00892DE3">
        <w:tab/>
        <w:t>Depreciation was lower than the original budget due to leasehold improvements assets being classified as work</w:t>
      </w:r>
      <w:r w:rsidRPr="00892DE3">
        <w:noBreakHyphen/>
        <w:t>in</w:t>
      </w:r>
      <w:r w:rsidRPr="00892DE3">
        <w:noBreakHyphen/>
        <w:t>progress and not being depreciated in the current year.</w:t>
      </w:r>
    </w:p>
    <w:p w:rsidR="00C82275" w:rsidRPr="00892DE3" w:rsidRDefault="00C82275" w:rsidP="00C82275">
      <w:pPr>
        <w:pStyle w:val="List"/>
        <w:spacing w:before="60"/>
      </w:pPr>
      <w:r w:rsidRPr="00892DE3">
        <w:t>(f)</w:t>
      </w:r>
      <w:r w:rsidRPr="00892DE3">
        <w:tab/>
        <w:t>Grants and other transfers were lower than the original budget due to the grant program for restoring heritage assets being abolished.</w:t>
      </w:r>
    </w:p>
    <w:p w:rsidR="00C82275" w:rsidRPr="00892DE3" w:rsidRDefault="00C82275" w:rsidP="00C82275">
      <w:pPr>
        <w:pStyle w:val="List"/>
        <w:spacing w:before="60"/>
      </w:pPr>
      <w:r w:rsidRPr="00892DE3">
        <w:t>(g)</w:t>
      </w:r>
      <w:r w:rsidRPr="00892DE3">
        <w:tab/>
        <w:t>Other operating expenses were higher than the original budget due to the increased level of rent and utility expenses.</w:t>
      </w:r>
    </w:p>
    <w:p w:rsidR="00C82275" w:rsidRPr="00892DE3" w:rsidRDefault="00C82275" w:rsidP="00C82275">
      <w:pPr>
        <w:pStyle w:val="TableHeading"/>
      </w:pPr>
      <w:r w:rsidRPr="00892DE3">
        <w:t>Balance sheet as at 30 June 2016</w:t>
      </w:r>
      <w:r w:rsidRPr="00892DE3">
        <w:tab/>
        <w:t>($ thousand)</w:t>
      </w:r>
    </w:p>
    <w:tbl>
      <w:tblPr>
        <w:tblStyle w:val="ModelReportFinancialTable"/>
        <w:tblW w:w="0" w:type="auto"/>
        <w:tblLayout w:type="fixed"/>
        <w:tblLook w:val="06A0" w:firstRow="1" w:lastRow="0" w:firstColumn="1" w:lastColumn="0" w:noHBand="1" w:noVBand="1"/>
      </w:tblPr>
      <w:tblGrid>
        <w:gridCol w:w="1254"/>
        <w:gridCol w:w="5120"/>
        <w:gridCol w:w="834"/>
        <w:gridCol w:w="844"/>
        <w:gridCol w:w="850"/>
        <w:gridCol w:w="850"/>
      </w:tblGrid>
      <w:tr w:rsidR="00C82275" w:rsidRPr="00892DE3" w:rsidTr="00C82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4" w:type="dxa"/>
            <w:tcBorders>
              <w:bottom w:val="nil"/>
            </w:tcBorders>
            <w:shd w:val="clear" w:color="auto" w:fill="auto"/>
          </w:tcPr>
          <w:p w:rsidR="00C82275" w:rsidRPr="00892DE3" w:rsidRDefault="00C82275" w:rsidP="00C82275">
            <w:pPr>
              <w:rPr>
                <w:i w:val="0"/>
              </w:rPr>
            </w:pPr>
            <w:r w:rsidRPr="00892DE3">
              <w:t>Source reference</w:t>
            </w:r>
            <w:r w:rsidRPr="00892DE3">
              <w:rPr>
                <w:i w:val="0"/>
              </w:rPr>
              <w:br/>
            </w:r>
            <w:r w:rsidRPr="00892DE3">
              <w:rPr>
                <w:i w:val="0"/>
              </w:rPr>
              <w:br/>
            </w:r>
            <w:r w:rsidRPr="00892DE3">
              <w:rPr>
                <w:i w:val="0"/>
              </w:rPr>
              <w:br/>
              <w:t>AASB 1055.6</w:t>
            </w:r>
          </w:p>
        </w:tc>
        <w:tc>
          <w:tcPr>
            <w:tcW w:w="5120" w:type="dxa"/>
          </w:tcPr>
          <w:p w:rsidR="00C82275" w:rsidRPr="00892DE3" w:rsidRDefault="00C82275" w:rsidP="00C82275">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834" w:type="dxa"/>
          </w:tcPr>
          <w:p w:rsidR="00C82275" w:rsidRPr="00892DE3" w:rsidRDefault="00C82275" w:rsidP="00C82275">
            <w:pPr>
              <w:ind w:left="170" w:hanging="170"/>
              <w:jc w:val="center"/>
              <w:cnfStyle w:val="100000000000" w:firstRow="1" w:lastRow="0" w:firstColumn="0" w:lastColumn="0" w:oddVBand="0" w:evenVBand="0" w:oddHBand="0" w:evenHBand="0" w:firstRowFirstColumn="0" w:firstRowLastColumn="0" w:lastRowFirstColumn="0" w:lastRowLastColumn="0"/>
            </w:pPr>
            <w:r w:rsidRPr="00892DE3">
              <w:t xml:space="preserve">Notes </w:t>
            </w:r>
            <w:r w:rsidRPr="00892DE3">
              <w:rPr>
                <w:vertAlign w:val="superscript"/>
              </w:rPr>
              <w:t>(a)</w:t>
            </w:r>
          </w:p>
        </w:tc>
        <w:tc>
          <w:tcPr>
            <w:tcW w:w="844"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Original Budget </w:t>
            </w:r>
            <w:r w:rsidRPr="00892DE3">
              <w:br/>
              <w:t>2016</w:t>
            </w:r>
          </w:p>
        </w:tc>
        <w:tc>
          <w:tcPr>
            <w:tcW w:w="850"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Actual </w:t>
            </w:r>
            <w:r w:rsidRPr="00892DE3">
              <w:br/>
              <w:t>2016</w:t>
            </w:r>
          </w:p>
        </w:tc>
        <w:tc>
          <w:tcPr>
            <w:tcW w:w="850"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Variance</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rPr>
          <w:trHeight w:val="57"/>
        </w:trPr>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Financial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and deposits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59 528</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48 648</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(10 880)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Receivables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36 045</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20 544</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(15 501)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Financial assets classified as held for sale including disposal group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8 572</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11 757</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3 185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Investments and other financial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13 976</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16 731</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2 755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Investments accounted for using the equity method</w:t>
            </w:r>
          </w:p>
        </w:tc>
        <w:tc>
          <w:tcPr>
            <w:tcW w:w="834"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5 187</w:t>
            </w:r>
          </w:p>
        </w:tc>
        <w:tc>
          <w:tcPr>
            <w:tcW w:w="850"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6 112</w:t>
            </w:r>
          </w:p>
        </w:tc>
        <w:tc>
          <w:tcPr>
            <w:tcW w:w="850"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925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financial assets </w:t>
            </w:r>
          </w:p>
        </w:tc>
        <w:tc>
          <w:tcPr>
            <w:tcW w:w="834"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123 308</w:t>
            </w:r>
          </w:p>
        </w:tc>
        <w:tc>
          <w:tcPr>
            <w:tcW w:w="850"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103 792</w:t>
            </w:r>
          </w:p>
        </w:tc>
        <w:tc>
          <w:tcPr>
            <w:tcW w:w="850"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(19 516)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top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financial assets</w:t>
            </w:r>
          </w:p>
        </w:tc>
        <w:tc>
          <w:tcPr>
            <w:tcW w:w="834" w:type="dxa"/>
            <w:tcBorders>
              <w:top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Inventories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12 056</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19 733</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7 677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financial physical assets classified as held for sale including disposal group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6 781</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14 599</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7 818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Property, plant and equipment</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83 044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76 807</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(6 237)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Biological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4 034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(4 034)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 properties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2 354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5 029</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2 675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Intangible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5 974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7 447</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1 473 </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non</w:t>
            </w:r>
            <w:r w:rsidRPr="00892DE3">
              <w:noBreakHyphen/>
              <w:t>financial assets</w:t>
            </w:r>
          </w:p>
        </w:tc>
        <w:tc>
          <w:tcPr>
            <w:tcW w:w="834"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1 483</w:t>
            </w:r>
          </w:p>
        </w:tc>
        <w:tc>
          <w:tcPr>
            <w:tcW w:w="850"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380</w:t>
            </w:r>
          </w:p>
        </w:tc>
        <w:tc>
          <w:tcPr>
            <w:tcW w:w="850"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(1 103)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pPr>
              <w:rPr>
                <w:b/>
              </w:rPr>
            </w:pPr>
          </w:p>
        </w:tc>
        <w:tc>
          <w:tcPr>
            <w:tcW w:w="5120"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non</w:t>
            </w:r>
            <w:r w:rsidRPr="00892DE3">
              <w:rPr>
                <w:b/>
              </w:rPr>
              <w:noBreakHyphen/>
              <w:t>financial assets</w:t>
            </w:r>
          </w:p>
        </w:tc>
        <w:tc>
          <w:tcPr>
            <w:tcW w:w="834"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115 726</w:t>
            </w:r>
          </w:p>
        </w:tc>
        <w:tc>
          <w:tcPr>
            <w:tcW w:w="850"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123.995</w:t>
            </w:r>
          </w:p>
        </w:tc>
        <w:tc>
          <w:tcPr>
            <w:tcW w:w="850"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8 269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pPr>
              <w:rPr>
                <w:b/>
              </w:rPr>
            </w:pPr>
          </w:p>
        </w:tc>
        <w:tc>
          <w:tcPr>
            <w:tcW w:w="5120"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assets</w:t>
            </w:r>
          </w:p>
        </w:tc>
        <w:tc>
          <w:tcPr>
            <w:tcW w:w="834"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239 034</w:t>
            </w:r>
          </w:p>
        </w:tc>
        <w:tc>
          <w:tcPr>
            <w:tcW w:w="850"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227 787</w:t>
            </w:r>
          </w:p>
        </w:tc>
        <w:tc>
          <w:tcPr>
            <w:tcW w:w="850"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(11 247)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top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Liabilities</w:t>
            </w:r>
          </w:p>
        </w:tc>
        <w:tc>
          <w:tcPr>
            <w:tcW w:w="834" w:type="dxa"/>
            <w:tcBorders>
              <w:top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Payables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17 591</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16 704</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(887)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Borrowings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62 074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65 548</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3 474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Provisions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12 906</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21 011</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8 105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liabilities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592</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583</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Liabilities directly associated with assets classified as held for sale including disposal groups</w:t>
            </w:r>
          </w:p>
        </w:tc>
        <w:tc>
          <w:tcPr>
            <w:tcW w:w="834"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4 438</w:t>
            </w:r>
          </w:p>
        </w:tc>
        <w:tc>
          <w:tcPr>
            <w:tcW w:w="850"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8 980</w:t>
            </w:r>
          </w:p>
        </w:tc>
        <w:tc>
          <w:tcPr>
            <w:tcW w:w="850"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4 542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pPr>
              <w:rPr>
                <w:b/>
              </w:rPr>
            </w:pPr>
          </w:p>
        </w:tc>
        <w:tc>
          <w:tcPr>
            <w:tcW w:w="5120"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liabilities</w:t>
            </w:r>
          </w:p>
        </w:tc>
        <w:tc>
          <w:tcPr>
            <w:tcW w:w="834"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97 601</w:t>
            </w:r>
          </w:p>
        </w:tc>
        <w:tc>
          <w:tcPr>
            <w:tcW w:w="850"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112 826</w:t>
            </w:r>
          </w:p>
        </w:tc>
        <w:tc>
          <w:tcPr>
            <w:tcW w:w="850"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15 225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pPr>
              <w:rPr>
                <w:b/>
              </w:rPr>
            </w:pPr>
          </w:p>
        </w:tc>
        <w:tc>
          <w:tcPr>
            <w:tcW w:w="5120"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assets</w:t>
            </w:r>
          </w:p>
        </w:tc>
        <w:tc>
          <w:tcPr>
            <w:tcW w:w="834"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141 432</w:t>
            </w:r>
          </w:p>
        </w:tc>
        <w:tc>
          <w:tcPr>
            <w:tcW w:w="850"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114 961</w:t>
            </w:r>
          </w:p>
        </w:tc>
        <w:tc>
          <w:tcPr>
            <w:tcW w:w="850"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(26 471)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top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Equity</w:t>
            </w:r>
          </w:p>
        </w:tc>
        <w:tc>
          <w:tcPr>
            <w:tcW w:w="834" w:type="dxa"/>
            <w:tcBorders>
              <w:top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Accumulated surplus/(deficit)</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76 434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71 113</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(5 301)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Physical asset revaluation surplus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7 338</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3 759</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(3 579)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Financial assets available-for sale revaluation surplus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200</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1 723</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1 523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Contributed capital</w:t>
            </w:r>
          </w:p>
        </w:tc>
        <w:tc>
          <w:tcPr>
            <w:tcW w:w="834"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57 460</w:t>
            </w:r>
          </w:p>
        </w:tc>
        <w:tc>
          <w:tcPr>
            <w:tcW w:w="850"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38 345</w:t>
            </w:r>
          </w:p>
        </w:tc>
        <w:tc>
          <w:tcPr>
            <w:tcW w:w="850"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(19 115)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pPr>
              <w:rPr>
                <w:b/>
              </w:rPr>
            </w:pPr>
          </w:p>
        </w:tc>
        <w:tc>
          <w:tcPr>
            <w:tcW w:w="5120" w:type="dxa"/>
            <w:tcBorders>
              <w:top w:val="single" w:sz="4" w:space="0" w:color="auto"/>
              <w:bottom w:val="single" w:sz="12"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worth</w:t>
            </w:r>
          </w:p>
        </w:tc>
        <w:tc>
          <w:tcPr>
            <w:tcW w:w="834" w:type="dxa"/>
            <w:tcBorders>
              <w:top w:val="single" w:sz="4" w:space="0" w:color="auto"/>
              <w:bottom w:val="single" w:sz="12"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12"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141 432</w:t>
            </w:r>
          </w:p>
        </w:tc>
        <w:tc>
          <w:tcPr>
            <w:tcW w:w="850" w:type="dxa"/>
            <w:tcBorders>
              <w:top w:val="single" w:sz="4"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114 961</w:t>
            </w:r>
          </w:p>
        </w:tc>
        <w:tc>
          <w:tcPr>
            <w:tcW w:w="850" w:type="dxa"/>
            <w:tcBorders>
              <w:top w:val="single" w:sz="4" w:space="0" w:color="auto"/>
              <w:bottom w:val="single" w:sz="12"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(26 472)</w:t>
            </w:r>
          </w:p>
        </w:tc>
      </w:tr>
    </w:tbl>
    <w:p w:rsidR="00C82275" w:rsidRPr="00892DE3" w:rsidRDefault="00C82275" w:rsidP="00C82275">
      <w:pPr>
        <w:pStyle w:val="Note"/>
        <w:rPr>
          <w:color w:val="0072CE"/>
        </w:rPr>
      </w:pPr>
      <w:r w:rsidRPr="00892DE3">
        <w:rPr>
          <w:color w:val="0072CE"/>
        </w:rPr>
        <w:t>Note:</w:t>
      </w:r>
    </w:p>
    <w:p w:rsidR="00C82275" w:rsidRPr="00892DE3" w:rsidRDefault="00C82275" w:rsidP="00C82275">
      <w:pPr>
        <w:pStyle w:val="Note"/>
        <w:rPr>
          <w:color w:val="0072CE"/>
        </w:rPr>
      </w:pPr>
      <w:r w:rsidRPr="00892DE3">
        <w:rPr>
          <w:color w:val="0072CE"/>
        </w:rPr>
        <w:t>(a)</w:t>
      </w:r>
      <w:r w:rsidRPr="00892DE3">
        <w:rPr>
          <w:color w:val="0072CE"/>
        </w:rPr>
        <w:tab/>
        <w:t>Entities are required to disclose a brief explanation for any major variances identified.</w:t>
      </w:r>
    </w:p>
    <w:p w:rsidR="00C82275" w:rsidRPr="00892DE3" w:rsidRDefault="00C82275" w:rsidP="00C82275"/>
    <w:p w:rsidR="00C82275" w:rsidRPr="00892DE3" w:rsidRDefault="00C82275" w:rsidP="00C82275"/>
    <w:p w:rsidR="00C82275" w:rsidRPr="00892DE3" w:rsidRDefault="00C82275" w:rsidP="00C82275">
      <w:pPr>
        <w:keepLines w:val="0"/>
        <w:spacing w:line="240" w:lineRule="atLeast"/>
      </w:pPr>
      <w:r w:rsidRPr="00892DE3">
        <w:br w:type="page"/>
      </w:r>
    </w:p>
    <w:p w:rsidR="00C82275" w:rsidRPr="00892DE3" w:rsidRDefault="00C82275" w:rsidP="00C82275">
      <w:pPr>
        <w:pStyle w:val="TableHeading"/>
      </w:pPr>
      <w:r w:rsidRPr="00892DE3">
        <w:t>Cash flow statement for the financial year ended 30 June 2016</w:t>
      </w:r>
      <w:r w:rsidRPr="00892DE3">
        <w:tab/>
        <w:t>($ thousand)</w:t>
      </w:r>
    </w:p>
    <w:tbl>
      <w:tblPr>
        <w:tblStyle w:val="ModelReportFinancialTable"/>
        <w:tblW w:w="0" w:type="auto"/>
        <w:tblLayout w:type="fixed"/>
        <w:tblLook w:val="06A0" w:firstRow="1" w:lastRow="0" w:firstColumn="1" w:lastColumn="0" w:noHBand="1" w:noVBand="1"/>
      </w:tblPr>
      <w:tblGrid>
        <w:gridCol w:w="1453"/>
        <w:gridCol w:w="4953"/>
        <w:gridCol w:w="835"/>
        <w:gridCol w:w="827"/>
        <w:gridCol w:w="842"/>
        <w:gridCol w:w="842"/>
      </w:tblGrid>
      <w:tr w:rsidR="00C82275" w:rsidRPr="00892DE3" w:rsidTr="00C82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3" w:type="dxa"/>
            <w:tcBorders>
              <w:bottom w:val="nil"/>
            </w:tcBorders>
            <w:shd w:val="clear" w:color="auto" w:fill="auto"/>
          </w:tcPr>
          <w:p w:rsidR="00C82275" w:rsidRPr="00892DE3" w:rsidRDefault="00C82275" w:rsidP="00C82275">
            <w:r w:rsidRPr="00892DE3">
              <w:t>Source reference</w:t>
            </w:r>
            <w:r w:rsidRPr="00892DE3">
              <w:br/>
            </w:r>
            <w:r w:rsidRPr="00892DE3">
              <w:br/>
            </w:r>
            <w:r w:rsidRPr="00892DE3">
              <w:br/>
            </w:r>
            <w:r w:rsidRPr="00892DE3">
              <w:rPr>
                <w:i w:val="0"/>
              </w:rPr>
              <w:t>AASB 1055.6</w:t>
            </w:r>
          </w:p>
        </w:tc>
        <w:tc>
          <w:tcPr>
            <w:tcW w:w="4953" w:type="dxa"/>
          </w:tcPr>
          <w:p w:rsidR="00C82275" w:rsidRPr="00892DE3" w:rsidRDefault="00C82275" w:rsidP="00C82275">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835" w:type="dxa"/>
          </w:tcPr>
          <w:p w:rsidR="00C82275" w:rsidRPr="00892DE3" w:rsidRDefault="00C82275" w:rsidP="00C82275">
            <w:pPr>
              <w:ind w:left="170" w:hanging="170"/>
              <w:jc w:val="center"/>
              <w:cnfStyle w:val="100000000000" w:firstRow="1" w:lastRow="0" w:firstColumn="0" w:lastColumn="0" w:oddVBand="0" w:evenVBand="0" w:oddHBand="0" w:evenHBand="0" w:firstRowFirstColumn="0" w:firstRowLastColumn="0" w:lastRowFirstColumn="0" w:lastRowLastColumn="0"/>
            </w:pPr>
            <w:r w:rsidRPr="00892DE3">
              <w:t xml:space="preserve">Notes </w:t>
            </w:r>
            <w:r w:rsidRPr="00892DE3">
              <w:rPr>
                <w:vertAlign w:val="superscript"/>
              </w:rPr>
              <w:t>(a)</w:t>
            </w:r>
          </w:p>
        </w:tc>
        <w:tc>
          <w:tcPr>
            <w:tcW w:w="827"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Original budget </w:t>
            </w:r>
            <w:r w:rsidRPr="00892DE3">
              <w:br/>
              <w:t>2016</w:t>
            </w:r>
          </w:p>
        </w:tc>
        <w:tc>
          <w:tcPr>
            <w:tcW w:w="842"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Actual </w:t>
            </w:r>
            <w:r w:rsidRPr="00892DE3">
              <w:br/>
              <w:t>2016</w:t>
            </w:r>
          </w:p>
        </w:tc>
        <w:tc>
          <w:tcPr>
            <w:tcW w:w="842"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Variance</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Cash flows from operating activities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rPr>
          <w:trHeight w:val="57"/>
        </w:trPr>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Receipts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Receipts from government</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78 344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87 135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8 791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Receipts from other entities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5 536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4 373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(1 163)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received</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1 749</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1 606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(143)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Dividends received </w:t>
            </w:r>
            <w:r w:rsidRPr="00892DE3">
              <w:rPr>
                <w:vertAlign w:val="superscript"/>
              </w:rPr>
              <w:t>(a)</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1 698</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1 611</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receipts</w:t>
            </w:r>
          </w:p>
        </w:tc>
        <w:tc>
          <w:tcPr>
            <w:tcW w:w="835"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516</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262</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(254)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receipts </w:t>
            </w:r>
          </w:p>
        </w:tc>
        <w:tc>
          <w:tcPr>
            <w:tcW w:w="835"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87 843</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94 987</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7 144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Payments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of grant expenses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(36 227)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(47 011)</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(10 784)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to suppliers and employees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(22 979)</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(19 167)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3 812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Goods and services tax paid to the ATO </w:t>
            </w:r>
            <w:r w:rsidRPr="00892DE3">
              <w:rPr>
                <w:vertAlign w:val="superscript"/>
              </w:rPr>
              <w:t>(b)</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(3 055)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(3 497)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(442)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Capital asset charge payments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(1 567)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( 952)</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615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and other costs of finance paid</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(2 427)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(2 507)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payments</w:t>
            </w:r>
          </w:p>
        </w:tc>
        <w:tc>
          <w:tcPr>
            <w:tcW w:w="835"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(6 382)</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(3 200)</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3 182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payments</w:t>
            </w:r>
          </w:p>
        </w:tc>
        <w:tc>
          <w:tcPr>
            <w:tcW w:w="835"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(72 637)</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(76 334)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(3 697)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cash flows from/(used in) operating activities</w:t>
            </w:r>
          </w:p>
        </w:tc>
        <w:tc>
          <w:tcPr>
            <w:tcW w:w="835"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15 207</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18 654</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3 447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Cash flows from investing activities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sz w:val="17"/>
                <w:szCs w:val="17"/>
              </w:rPr>
            </w:pPr>
            <w:r w:rsidRPr="00892DE3">
              <w:rPr>
                <w:b/>
                <w:sz w:val="17"/>
                <w:szCs w:val="17"/>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sz w:val="17"/>
                <w:szCs w:val="17"/>
              </w:rPr>
            </w:pPr>
            <w:r w:rsidRPr="00892DE3">
              <w:rPr>
                <w:b/>
                <w:sz w:val="17"/>
                <w:szCs w:val="17"/>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Payments for investments </w:t>
            </w:r>
            <w:r w:rsidRPr="00892DE3">
              <w:rPr>
                <w:vertAlign w:val="superscript"/>
              </w:rPr>
              <w:t>(c)</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(6 364)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(13 386)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(7 022)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Proceeds from sale of investments </w:t>
            </w:r>
            <w:r w:rsidRPr="00892DE3">
              <w:rPr>
                <w:vertAlign w:val="superscript"/>
              </w:rPr>
              <w:t>(c)</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7 857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2 409</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5 448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Purchases of non</w:t>
            </w:r>
            <w:r w:rsidRPr="00892DE3">
              <w:noBreakHyphen/>
              <w:t>financial assets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(23 828)</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(19 438)</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4 390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Sales of non</w:t>
            </w:r>
            <w:r w:rsidRPr="00892DE3">
              <w:noBreakHyphen/>
              <w:t>financial assets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2 855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7 428</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4 573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Loans granted to other parties </w:t>
            </w:r>
            <w:r w:rsidRPr="00892DE3">
              <w:rPr>
                <w:vertAlign w:val="superscript"/>
              </w:rPr>
              <w:t>(d)</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( 390)</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( 277)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113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Repayments of loans from other parties </w:t>
            </w:r>
            <w:r w:rsidRPr="00892DE3">
              <w:rPr>
                <w:vertAlign w:val="superscript"/>
              </w:rPr>
              <w:t>(d)</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78</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140</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Proceeds from disposal of activity</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17 795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(17 795)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for purchase of activity</w:t>
            </w:r>
          </w:p>
        </w:tc>
        <w:tc>
          <w:tcPr>
            <w:tcW w:w="835"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(23 407)</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cash flows from/(used in) investing activities</w:t>
            </w:r>
          </w:p>
        </w:tc>
        <w:tc>
          <w:tcPr>
            <w:tcW w:w="835"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(25 403)</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(23 124)</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23 407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Cash flows from financing activities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3 072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received from activities transferred in – MoG changes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5 346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transferred on activities transferred out – MoG changes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(3 072)</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Owner contributions by State Government – appropriation for capital expenditure purposes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5 750</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10 500</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4 750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Proceeds from borrowings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34 673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7 255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(27 418)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Repayment of borrowings and finance leases</w:t>
            </w:r>
          </w:p>
        </w:tc>
        <w:tc>
          <w:tcPr>
            <w:tcW w:w="835"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(6 749)</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(4 044)</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2 705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Net cash flows from/(used in) financing activities</w:t>
            </w:r>
          </w:p>
        </w:tc>
        <w:tc>
          <w:tcPr>
            <w:tcW w:w="835"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sz w:val="17"/>
                <w:szCs w:val="17"/>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30 607</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13 711</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(19 963)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Net increase/(decrease) in cash and cash equivalents</w:t>
            </w:r>
          </w:p>
        </w:tc>
        <w:tc>
          <w:tcPr>
            <w:tcW w:w="835"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sz w:val="17"/>
                <w:szCs w:val="17"/>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20 411</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9 241</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(11 170)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and cash equivalents at beginning of financial year</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44 494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35 094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(9 400)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Effect of exchange rate fluctuations on cash held in foreign currency</w:t>
            </w:r>
          </w:p>
        </w:tc>
        <w:tc>
          <w:tcPr>
            <w:tcW w:w="835"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( 471)</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160</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631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Cash and cash equivalents at end of financial year</w:t>
            </w:r>
          </w:p>
        </w:tc>
        <w:tc>
          <w:tcPr>
            <w:tcW w:w="835"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64 434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44 494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(19 940)</w:t>
            </w:r>
          </w:p>
        </w:tc>
      </w:tr>
    </w:tbl>
    <w:p w:rsidR="00C82275" w:rsidRPr="00892DE3" w:rsidRDefault="00C82275" w:rsidP="00C82275">
      <w:pPr>
        <w:pStyle w:val="Note"/>
        <w:rPr>
          <w:color w:val="0072CE"/>
        </w:rPr>
      </w:pPr>
      <w:r w:rsidRPr="00892DE3">
        <w:rPr>
          <w:color w:val="0072CE"/>
        </w:rPr>
        <w:t>Notes:</w:t>
      </w:r>
    </w:p>
    <w:p w:rsidR="00C82275" w:rsidRPr="00892DE3" w:rsidRDefault="00C82275" w:rsidP="00C82275">
      <w:pPr>
        <w:pStyle w:val="Note"/>
        <w:rPr>
          <w:color w:val="0072CE"/>
        </w:rPr>
      </w:pPr>
      <w:r w:rsidRPr="00892DE3">
        <w:rPr>
          <w:color w:val="0072CE"/>
        </w:rPr>
        <w:t>(a)</w:t>
      </w:r>
      <w:r w:rsidRPr="00892DE3">
        <w:rPr>
          <w:color w:val="0072CE"/>
        </w:rPr>
        <w:tab/>
        <w:t>Entities are required to disclose a brief explanation for any major variances identified.</w:t>
      </w:r>
    </w:p>
    <w:p w:rsidR="00C82275" w:rsidRPr="00892DE3" w:rsidRDefault="00C82275" w:rsidP="00C82275"/>
    <w:p w:rsidR="00C82275" w:rsidRPr="00892DE3" w:rsidRDefault="00C82275" w:rsidP="00C82275">
      <w:pPr>
        <w:keepLines w:val="0"/>
      </w:pPr>
    </w:p>
    <w:p w:rsidR="00C82275" w:rsidRPr="00892DE3" w:rsidRDefault="00C82275" w:rsidP="00C82275">
      <w:pPr>
        <w:keepLines w:val="0"/>
        <w:sectPr w:rsidR="00C82275" w:rsidRPr="00892DE3" w:rsidSect="00F042B6">
          <w:headerReference w:type="even" r:id="rId184"/>
          <w:headerReference w:type="default" r:id="rId185"/>
          <w:pgSz w:w="11906" w:h="16838" w:code="9"/>
          <w:pgMar w:top="1134" w:right="1134" w:bottom="1134" w:left="1134" w:header="624" w:footer="567" w:gutter="0"/>
          <w:cols w:sep="1" w:space="567"/>
          <w:docGrid w:linePitch="360"/>
        </w:sectPr>
      </w:pPr>
    </w:p>
    <w:p w:rsidR="00C82275" w:rsidRPr="00892DE3" w:rsidRDefault="00C82275" w:rsidP="00C82275">
      <w:pPr>
        <w:pStyle w:val="TableHeading"/>
      </w:pPr>
      <w:r w:rsidRPr="00892DE3">
        <w:t>Statement of changes in equity for the financial year ended 30 June 2017</w:t>
      </w:r>
      <w:r w:rsidRPr="00892DE3">
        <w:tab/>
      </w:r>
      <w:r w:rsidRPr="00892DE3">
        <w:tab/>
        <w:t>($ thousand)</w:t>
      </w:r>
    </w:p>
    <w:tbl>
      <w:tblPr>
        <w:tblStyle w:val="ModelReportFinancialTable"/>
        <w:tblW w:w="14742" w:type="dxa"/>
        <w:tblLayout w:type="fixed"/>
        <w:tblLook w:val="06E0" w:firstRow="1" w:lastRow="1" w:firstColumn="1" w:lastColumn="0" w:noHBand="1" w:noVBand="1"/>
      </w:tblPr>
      <w:tblGrid>
        <w:gridCol w:w="1478"/>
        <w:gridCol w:w="4729"/>
        <w:gridCol w:w="732"/>
        <w:gridCol w:w="1674"/>
        <w:gridCol w:w="2281"/>
        <w:gridCol w:w="1426"/>
        <w:gridCol w:w="1425"/>
        <w:gridCol w:w="997"/>
      </w:tblGrid>
      <w:tr w:rsidR="00C82275" w:rsidRPr="00892DE3" w:rsidTr="00C82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8" w:type="dxa"/>
            <w:shd w:val="clear" w:color="auto" w:fill="auto"/>
          </w:tcPr>
          <w:p w:rsidR="00C82275" w:rsidRPr="00892DE3" w:rsidRDefault="00C82275" w:rsidP="00C82275">
            <w:r w:rsidRPr="00892DE3">
              <w:t>Source reference</w:t>
            </w:r>
          </w:p>
          <w:p w:rsidR="00C82275" w:rsidRPr="00892DE3" w:rsidRDefault="00C82275" w:rsidP="00C82275">
            <w:pPr>
              <w:rPr>
                <w:i w:val="0"/>
              </w:rPr>
            </w:pPr>
            <w:r w:rsidRPr="00892DE3">
              <w:rPr>
                <w:i w:val="0"/>
              </w:rPr>
              <w:t>AASB 1055.6</w:t>
            </w:r>
          </w:p>
        </w:tc>
        <w:tc>
          <w:tcPr>
            <w:tcW w:w="4729" w:type="dxa"/>
          </w:tcPr>
          <w:p w:rsidR="00C82275" w:rsidRPr="00892DE3" w:rsidRDefault="00C82275" w:rsidP="00C82275">
            <w:pPr>
              <w:jc w:val="left"/>
              <w:cnfStyle w:val="100000000000" w:firstRow="1" w:lastRow="0" w:firstColumn="0" w:lastColumn="0" w:oddVBand="0" w:evenVBand="0" w:oddHBand="0" w:evenHBand="0" w:firstRowFirstColumn="0" w:firstRowLastColumn="0" w:lastRowFirstColumn="0" w:lastRowLastColumn="0"/>
            </w:pPr>
          </w:p>
        </w:tc>
        <w:tc>
          <w:tcPr>
            <w:tcW w:w="732" w:type="dxa"/>
          </w:tcPr>
          <w:p w:rsidR="00C82275" w:rsidRPr="00892DE3" w:rsidRDefault="00C82275" w:rsidP="00C82275">
            <w:pPr>
              <w:jc w:val="center"/>
              <w:cnfStyle w:val="100000000000" w:firstRow="1" w:lastRow="0" w:firstColumn="0" w:lastColumn="0" w:oddVBand="0" w:evenVBand="0" w:oddHBand="0" w:evenHBand="0" w:firstRowFirstColumn="0" w:firstRowLastColumn="0" w:lastRowFirstColumn="0" w:lastRowLastColumn="0"/>
            </w:pPr>
            <w:r w:rsidRPr="00892DE3">
              <w:t xml:space="preserve">Note </w:t>
            </w:r>
            <w:r w:rsidRPr="00892DE3">
              <w:rPr>
                <w:vertAlign w:val="superscript"/>
              </w:rPr>
              <w:t>(a)</w:t>
            </w:r>
          </w:p>
        </w:tc>
        <w:tc>
          <w:tcPr>
            <w:tcW w:w="1674" w:type="dxa"/>
          </w:tcPr>
          <w:p w:rsidR="00C82275" w:rsidRPr="00892DE3" w:rsidRDefault="00C82275" w:rsidP="00C82275">
            <w:pPr>
              <w:cnfStyle w:val="100000000000" w:firstRow="1" w:lastRow="0" w:firstColumn="0" w:lastColumn="0" w:oddVBand="0" w:evenVBand="0" w:oddHBand="0" w:evenHBand="0" w:firstRowFirstColumn="0" w:firstRowLastColumn="0" w:lastRowFirstColumn="0" w:lastRowLastColumn="0"/>
            </w:pPr>
            <w:r w:rsidRPr="00892DE3">
              <w:t>Physical asset revaluation surplus</w:t>
            </w:r>
          </w:p>
        </w:tc>
        <w:tc>
          <w:tcPr>
            <w:tcW w:w="2281" w:type="dxa"/>
          </w:tcPr>
          <w:p w:rsidR="00C82275" w:rsidRPr="00892DE3" w:rsidRDefault="00C82275" w:rsidP="00C82275">
            <w:pPr>
              <w:cnfStyle w:val="100000000000" w:firstRow="1" w:lastRow="0" w:firstColumn="0" w:lastColumn="0" w:oddVBand="0" w:evenVBand="0" w:oddHBand="0" w:evenHBand="0" w:firstRowFirstColumn="0" w:firstRowLastColumn="0" w:lastRowFirstColumn="0" w:lastRowLastColumn="0"/>
            </w:pPr>
            <w:r w:rsidRPr="00892DE3">
              <w:t>Available for sale financial asset revaluation surplus</w:t>
            </w:r>
          </w:p>
        </w:tc>
        <w:tc>
          <w:tcPr>
            <w:tcW w:w="1426" w:type="dxa"/>
          </w:tcPr>
          <w:p w:rsidR="00C82275" w:rsidRPr="00892DE3" w:rsidRDefault="00C82275" w:rsidP="00C82275">
            <w:pPr>
              <w:cnfStyle w:val="100000000000" w:firstRow="1" w:lastRow="0" w:firstColumn="0" w:lastColumn="0" w:oddVBand="0" w:evenVBand="0" w:oddHBand="0" w:evenHBand="0" w:firstRowFirstColumn="0" w:firstRowLastColumn="0" w:lastRowFirstColumn="0" w:lastRowLastColumn="0"/>
            </w:pPr>
            <w:r w:rsidRPr="00892DE3">
              <w:t>Accumulated surplus</w:t>
            </w:r>
          </w:p>
        </w:tc>
        <w:tc>
          <w:tcPr>
            <w:tcW w:w="1425" w:type="dxa"/>
          </w:tcPr>
          <w:p w:rsidR="00C82275" w:rsidRPr="00892DE3" w:rsidRDefault="00C82275" w:rsidP="00C82275">
            <w:pPr>
              <w:cnfStyle w:val="100000000000" w:firstRow="1" w:lastRow="0" w:firstColumn="0" w:lastColumn="0" w:oddVBand="0" w:evenVBand="0" w:oddHBand="0" w:evenHBand="0" w:firstRowFirstColumn="0" w:firstRowLastColumn="0" w:lastRowFirstColumn="0" w:lastRowLastColumn="0"/>
            </w:pPr>
            <w:r w:rsidRPr="00892DE3">
              <w:t xml:space="preserve">Contributions </w:t>
            </w:r>
            <w:r w:rsidRPr="00892DE3">
              <w:br/>
              <w:t>by owner</w:t>
            </w:r>
          </w:p>
        </w:tc>
        <w:tc>
          <w:tcPr>
            <w:tcW w:w="997" w:type="dxa"/>
          </w:tcPr>
          <w:p w:rsidR="00C82275" w:rsidRPr="00892DE3" w:rsidRDefault="00C82275" w:rsidP="00C82275">
            <w:pPr>
              <w:cnfStyle w:val="100000000000" w:firstRow="1" w:lastRow="0" w:firstColumn="0" w:lastColumn="0" w:oddVBand="0" w:evenVBand="0" w:oddHBand="0" w:evenHBand="0" w:firstRowFirstColumn="0" w:firstRowLastColumn="0" w:lastRowFirstColumn="0" w:lastRowLastColumn="0"/>
            </w:pPr>
            <w:r w:rsidRPr="00892DE3">
              <w:t>Total</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Borders>
              <w:bottom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2015-16 original budget</w:t>
            </w:r>
          </w:p>
        </w:tc>
        <w:tc>
          <w:tcPr>
            <w:tcW w:w="732" w:type="dxa"/>
            <w:tcBorders>
              <w:bottom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c>
          <w:tcPr>
            <w:tcW w:w="228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c>
          <w:tcPr>
            <w:tcW w:w="1426"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c>
          <w:tcPr>
            <w:tcW w:w="1425"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c>
          <w:tcPr>
            <w:tcW w:w="997" w:type="dxa"/>
            <w:tcBorders>
              <w:bottom w:val="single" w:sz="6" w:space="0" w:color="auto"/>
            </w:tcBorders>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C82275" w:rsidRPr="00892DE3" w:rsidRDefault="00C82275" w:rsidP="00C82275"/>
        </w:tc>
        <w:tc>
          <w:tcPr>
            <w:tcW w:w="4729" w:type="dxa"/>
            <w:tcBorders>
              <w:top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1 July 2015</w:t>
            </w:r>
          </w:p>
        </w:tc>
        <w:tc>
          <w:tcPr>
            <w:tcW w:w="732" w:type="dxa"/>
            <w:tcBorders>
              <w:top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3 759</w:t>
            </w:r>
          </w:p>
        </w:tc>
        <w:tc>
          <w:tcPr>
            <w:tcW w:w="2281"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1 723</w:t>
            </w:r>
          </w:p>
        </w:tc>
        <w:tc>
          <w:tcPr>
            <w:tcW w:w="1426"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71 133</w:t>
            </w:r>
          </w:p>
        </w:tc>
        <w:tc>
          <w:tcPr>
            <w:tcW w:w="1425"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38 345</w:t>
            </w:r>
          </w:p>
        </w:tc>
        <w:tc>
          <w:tcPr>
            <w:tcW w:w="997" w:type="dxa"/>
            <w:tcBorders>
              <w:top w:val="single" w:sz="6" w:space="0" w:color="auto"/>
            </w:tcBorders>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114 960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C82275" w:rsidRPr="00892DE3" w:rsidRDefault="00C82275" w:rsidP="00C82275">
            <w:pPr>
              <w:rPr>
                <w:b/>
              </w:rPr>
            </w:pPr>
          </w:p>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14 790</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14 790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Other comprehensive income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7 500</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(1 200)</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6 300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 – on disposal of business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(3 396)</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(323)</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3 719</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(600)</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637</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 xml:space="preserve">Transfer to contributed capital </w:t>
            </w:r>
            <w:r w:rsidRPr="00892DE3">
              <w:rPr>
                <w:vertAlign w:val="superscript"/>
              </w:rPr>
              <w:t>(a)</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(13 847)</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13 847</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Capital appropriations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5 750</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5 750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received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19 616</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19 616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transferred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(20 097)</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(20 097)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Borders>
              <w:bottom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as at 30 June 2016</w:t>
            </w:r>
          </w:p>
        </w:tc>
        <w:tc>
          <w:tcPr>
            <w:tcW w:w="732" w:type="dxa"/>
            <w:tcBorders>
              <w:bottom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7 263</w:t>
            </w:r>
          </w:p>
        </w:tc>
        <w:tc>
          <w:tcPr>
            <w:tcW w:w="228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200</w:t>
            </w:r>
          </w:p>
        </w:tc>
        <w:tc>
          <w:tcPr>
            <w:tcW w:w="1426"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76 432</w:t>
            </w:r>
          </w:p>
        </w:tc>
        <w:tc>
          <w:tcPr>
            <w:tcW w:w="1425"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57 461</w:t>
            </w:r>
          </w:p>
        </w:tc>
        <w:tc>
          <w:tcPr>
            <w:tcW w:w="997" w:type="dxa"/>
            <w:tcBorders>
              <w:bottom w:val="single" w:sz="6" w:space="0" w:color="auto"/>
            </w:tcBorders>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141 356</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Borders>
              <w:top w:val="single" w:sz="6" w:space="0" w:color="auto"/>
              <w:bottom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2015-16 actuals</w:t>
            </w:r>
          </w:p>
        </w:tc>
        <w:tc>
          <w:tcPr>
            <w:tcW w:w="732" w:type="dxa"/>
            <w:tcBorders>
              <w:top w:val="single" w:sz="6" w:space="0" w:color="auto"/>
              <w:bottom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2281"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1426"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1425"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997"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Borders>
              <w:top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1 July 2015</w:t>
            </w:r>
          </w:p>
        </w:tc>
        <w:tc>
          <w:tcPr>
            <w:tcW w:w="732" w:type="dxa"/>
            <w:tcBorders>
              <w:top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3 759</w:t>
            </w:r>
          </w:p>
        </w:tc>
        <w:tc>
          <w:tcPr>
            <w:tcW w:w="2281"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1 723</w:t>
            </w:r>
          </w:p>
        </w:tc>
        <w:tc>
          <w:tcPr>
            <w:tcW w:w="1426"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71 133</w:t>
            </w:r>
          </w:p>
        </w:tc>
        <w:tc>
          <w:tcPr>
            <w:tcW w:w="1425"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38 345</w:t>
            </w:r>
          </w:p>
        </w:tc>
        <w:tc>
          <w:tcPr>
            <w:tcW w:w="997"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114 960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pPr>
              <w:rPr>
                <w:b/>
              </w:rPr>
            </w:pPr>
          </w:p>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14 790</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14 790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Other comprehensive income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7 613</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(1 000)</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6 613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 – on disposal of business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(3 396)</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(323)</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3 719</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(637)</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637</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 xml:space="preserve">Transfer to contributed capital </w:t>
            </w:r>
            <w:r w:rsidRPr="00892DE3">
              <w:rPr>
                <w:vertAlign w:val="superscript"/>
              </w:rPr>
              <w:t>(a)</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(13 847)</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13 847</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Capital appropriations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8 000</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8 000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received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20 100</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20 100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transferred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(20 097)</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(20 097)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Borders>
              <w:bottom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as at 30 June 2014</w:t>
            </w:r>
          </w:p>
        </w:tc>
        <w:tc>
          <w:tcPr>
            <w:tcW w:w="732" w:type="dxa"/>
            <w:tcBorders>
              <w:bottom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7 339</w:t>
            </w:r>
          </w:p>
        </w:tc>
        <w:tc>
          <w:tcPr>
            <w:tcW w:w="228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400</w:t>
            </w:r>
          </w:p>
        </w:tc>
        <w:tc>
          <w:tcPr>
            <w:tcW w:w="1426"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76 432</w:t>
            </w:r>
          </w:p>
        </w:tc>
        <w:tc>
          <w:tcPr>
            <w:tcW w:w="1425"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60 195</w:t>
            </w:r>
          </w:p>
        </w:tc>
        <w:tc>
          <w:tcPr>
            <w:tcW w:w="997"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144 366</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Borders>
              <w:top w:val="single" w:sz="6" w:space="0" w:color="auto"/>
              <w:bottom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Variance to original budget</w:t>
            </w:r>
          </w:p>
        </w:tc>
        <w:tc>
          <w:tcPr>
            <w:tcW w:w="732" w:type="dxa"/>
            <w:tcBorders>
              <w:top w:val="single" w:sz="6" w:space="0" w:color="auto"/>
              <w:bottom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2281"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1426"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1425"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997"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Borders>
              <w:top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1 July 2015</w:t>
            </w:r>
          </w:p>
        </w:tc>
        <w:tc>
          <w:tcPr>
            <w:tcW w:w="732" w:type="dxa"/>
            <w:tcBorders>
              <w:top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2281"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1426"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1425"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97"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pPr>
              <w:rPr>
                <w:b/>
              </w:rPr>
            </w:pPr>
          </w:p>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Other comprehensive income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113</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200</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313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 – on disposal of business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(37)</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 xml:space="preserve">Transfer to contributed capital </w:t>
            </w:r>
            <w:r w:rsidRPr="00892DE3">
              <w:rPr>
                <w:vertAlign w:val="superscript"/>
              </w:rPr>
              <w:t>(a)</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Capital appropriations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2 250</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2 250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received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484</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484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transferred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78" w:type="dxa"/>
          </w:tcPr>
          <w:p w:rsidR="00C82275" w:rsidRPr="00892DE3" w:rsidRDefault="00C82275" w:rsidP="00C82275"/>
        </w:tc>
        <w:tc>
          <w:tcPr>
            <w:tcW w:w="4729" w:type="dxa"/>
          </w:tcPr>
          <w:p w:rsidR="00C82275" w:rsidRPr="00892DE3" w:rsidRDefault="00C82275" w:rsidP="00C82275">
            <w:pPr>
              <w:jc w:val="left"/>
              <w:cnfStyle w:val="010000000000" w:firstRow="0" w:lastRow="1" w:firstColumn="0" w:lastColumn="0" w:oddVBand="0" w:evenVBand="0" w:oddHBand="0" w:evenHBand="0" w:firstRowFirstColumn="0" w:firstRowLastColumn="0" w:lastRowFirstColumn="0" w:lastRowLastColumn="0"/>
            </w:pPr>
            <w:r w:rsidRPr="00892DE3">
              <w:t>Balance as at 30 June 2016</w:t>
            </w:r>
          </w:p>
        </w:tc>
        <w:tc>
          <w:tcPr>
            <w:tcW w:w="732" w:type="dxa"/>
          </w:tcPr>
          <w:p w:rsidR="00C82275" w:rsidRPr="00892DE3" w:rsidRDefault="00C82275" w:rsidP="00C82275">
            <w:pPr>
              <w:jc w:val="center"/>
              <w:cnfStyle w:val="010000000000" w:firstRow="0" w:lastRow="1" w:firstColumn="0" w:lastColumn="0" w:oddVBand="0" w:evenVBand="0" w:oddHBand="0" w:evenHBand="0" w:firstRowFirstColumn="0" w:firstRowLastColumn="0" w:lastRowFirstColumn="0" w:lastRowLastColumn="0"/>
              <w:rPr>
                <w:b w:val="0"/>
                <w:szCs w:val="20"/>
              </w:rPr>
            </w:pPr>
          </w:p>
        </w:tc>
        <w:tc>
          <w:tcPr>
            <w:tcW w:w="1674" w:type="dxa"/>
          </w:tcPr>
          <w:p w:rsidR="00C82275" w:rsidRPr="00892DE3" w:rsidRDefault="00C82275" w:rsidP="00C82275">
            <w:pPr>
              <w:cnfStyle w:val="010000000000" w:firstRow="0" w:lastRow="1" w:firstColumn="0" w:lastColumn="0" w:oddVBand="0" w:evenVBand="0" w:oddHBand="0" w:evenHBand="0" w:firstRowFirstColumn="0" w:firstRowLastColumn="0" w:lastRowFirstColumn="0" w:lastRowLastColumn="0"/>
            </w:pPr>
            <w:r w:rsidRPr="00892DE3">
              <w:t>76</w:t>
            </w:r>
          </w:p>
        </w:tc>
        <w:tc>
          <w:tcPr>
            <w:tcW w:w="2281" w:type="dxa"/>
          </w:tcPr>
          <w:p w:rsidR="00C82275" w:rsidRPr="00892DE3" w:rsidRDefault="00C82275" w:rsidP="00C82275">
            <w:pPr>
              <w:cnfStyle w:val="010000000000" w:firstRow="0" w:lastRow="1" w:firstColumn="0" w:lastColumn="0" w:oddVBand="0" w:evenVBand="0" w:oddHBand="0" w:evenHBand="0" w:firstRowFirstColumn="0" w:firstRowLastColumn="0" w:lastRowFirstColumn="0" w:lastRowLastColumn="0"/>
            </w:pPr>
            <w:r w:rsidRPr="00892DE3">
              <w:t>200</w:t>
            </w:r>
          </w:p>
        </w:tc>
        <w:tc>
          <w:tcPr>
            <w:tcW w:w="1426" w:type="dxa"/>
          </w:tcPr>
          <w:p w:rsidR="00C82275" w:rsidRPr="00892DE3" w:rsidRDefault="00C82275" w:rsidP="00C82275">
            <w:pPr>
              <w:cnfStyle w:val="010000000000" w:firstRow="0" w:lastRow="1"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10000000000" w:firstRow="0" w:lastRow="1" w:firstColumn="0" w:lastColumn="0" w:oddVBand="0" w:evenVBand="0" w:oddHBand="0" w:evenHBand="0" w:firstRowFirstColumn="0" w:firstRowLastColumn="0" w:lastRowFirstColumn="0" w:lastRowLastColumn="0"/>
            </w:pPr>
            <w:r w:rsidRPr="00892DE3">
              <w:t>2 734</w:t>
            </w:r>
          </w:p>
        </w:tc>
        <w:tc>
          <w:tcPr>
            <w:tcW w:w="997" w:type="dxa"/>
          </w:tcPr>
          <w:p w:rsidR="00C82275" w:rsidRPr="00892DE3" w:rsidRDefault="00C82275" w:rsidP="00C82275">
            <w:pPr>
              <w:cnfStyle w:val="010000000000" w:firstRow="0" w:lastRow="1" w:firstColumn="0" w:lastColumn="0" w:oddVBand="0" w:evenVBand="0" w:oddHBand="0" w:evenHBand="0" w:firstRowFirstColumn="0" w:firstRowLastColumn="0" w:lastRowFirstColumn="0" w:lastRowLastColumn="0"/>
            </w:pPr>
            <w:r w:rsidRPr="00892DE3">
              <w:t>3 010</w:t>
            </w:r>
          </w:p>
        </w:tc>
      </w:tr>
    </w:tbl>
    <w:p w:rsidR="00C82275" w:rsidRPr="00892DE3" w:rsidRDefault="00C82275" w:rsidP="00C82275">
      <w:pPr>
        <w:pStyle w:val="Note"/>
        <w:rPr>
          <w:color w:val="0072CE"/>
        </w:rPr>
      </w:pPr>
      <w:r w:rsidRPr="00892DE3">
        <w:rPr>
          <w:color w:val="0072CE"/>
        </w:rPr>
        <w:t>Note:</w:t>
      </w:r>
    </w:p>
    <w:p w:rsidR="00C82275" w:rsidRPr="00892DE3" w:rsidRDefault="00C82275" w:rsidP="00C82275">
      <w:pPr>
        <w:pStyle w:val="Note"/>
        <w:rPr>
          <w:color w:val="0072CE"/>
        </w:rPr>
      </w:pPr>
      <w:r w:rsidRPr="00892DE3">
        <w:rPr>
          <w:color w:val="0072CE"/>
        </w:rPr>
        <w:t>(a)</w:t>
      </w:r>
      <w:r w:rsidRPr="00892DE3">
        <w:rPr>
          <w:color w:val="0072CE"/>
        </w:rPr>
        <w:tab/>
        <w:t>Entities are required to disclose a brief explanation for any major variances identified.</w:t>
      </w:r>
    </w:p>
    <w:p w:rsidR="00C82275" w:rsidRPr="00892DE3" w:rsidRDefault="00C82275" w:rsidP="00C82275">
      <w:pPr>
        <w:keepLines w:val="0"/>
        <w:sectPr w:rsidR="00C82275" w:rsidRPr="00892DE3" w:rsidSect="00F042B6">
          <w:headerReference w:type="even" r:id="rId186"/>
          <w:headerReference w:type="default" r:id="rId187"/>
          <w:footerReference w:type="even" r:id="rId188"/>
          <w:footerReference w:type="default" r:id="rId189"/>
          <w:pgSz w:w="16838" w:h="11906" w:orient="landscape" w:code="9"/>
          <w:pgMar w:top="1134" w:right="1134" w:bottom="1134" w:left="1134" w:header="624" w:footer="567" w:gutter="0"/>
          <w:cols w:sep="1" w:space="567"/>
          <w:docGrid w:linePitch="360"/>
        </w:sectPr>
      </w:pPr>
    </w:p>
    <w:p w:rsidR="00C82275" w:rsidRPr="00892DE3" w:rsidRDefault="00C82275" w:rsidP="00C82275">
      <w:pPr>
        <w:pStyle w:val="TableHeading"/>
      </w:pPr>
      <w:r w:rsidRPr="00892DE3">
        <w:t>Administered items</w:t>
      </w:r>
      <w:r w:rsidRPr="00892DE3">
        <w:tab/>
        <w:t>($ thousand)</w:t>
      </w:r>
    </w:p>
    <w:tbl>
      <w:tblPr>
        <w:tblStyle w:val="ModelReportFinancialTable"/>
        <w:tblW w:w="0" w:type="auto"/>
        <w:tblLayout w:type="fixed"/>
        <w:tblLook w:val="06A0" w:firstRow="1" w:lastRow="0" w:firstColumn="1" w:lastColumn="0" w:noHBand="1" w:noVBand="1"/>
      </w:tblPr>
      <w:tblGrid>
        <w:gridCol w:w="1453"/>
        <w:gridCol w:w="4953"/>
        <w:gridCol w:w="835"/>
        <w:gridCol w:w="827"/>
        <w:gridCol w:w="842"/>
        <w:gridCol w:w="842"/>
      </w:tblGrid>
      <w:tr w:rsidR="00C82275" w:rsidRPr="00892DE3" w:rsidTr="00C82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3" w:type="dxa"/>
            <w:shd w:val="clear" w:color="auto" w:fill="auto"/>
          </w:tcPr>
          <w:p w:rsidR="00C82275" w:rsidRPr="00892DE3" w:rsidRDefault="00C82275" w:rsidP="00C82275">
            <w:r w:rsidRPr="00892DE3">
              <w:t>Source reference</w:t>
            </w:r>
            <w:r w:rsidRPr="00892DE3">
              <w:br/>
            </w:r>
            <w:r w:rsidRPr="00892DE3">
              <w:br/>
            </w:r>
            <w:r w:rsidRPr="00892DE3">
              <w:br/>
            </w:r>
            <w:r w:rsidRPr="00892DE3">
              <w:rPr>
                <w:i w:val="0"/>
              </w:rPr>
              <w:t>AASB 1055.7</w:t>
            </w:r>
          </w:p>
        </w:tc>
        <w:tc>
          <w:tcPr>
            <w:tcW w:w="4953" w:type="dxa"/>
          </w:tcPr>
          <w:p w:rsidR="00C82275" w:rsidRPr="00892DE3" w:rsidRDefault="00C82275" w:rsidP="00C82275">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835" w:type="dxa"/>
          </w:tcPr>
          <w:p w:rsidR="00C82275" w:rsidRPr="00892DE3" w:rsidRDefault="00C82275" w:rsidP="00C82275">
            <w:pPr>
              <w:ind w:left="170" w:hanging="170"/>
              <w:jc w:val="center"/>
              <w:cnfStyle w:val="100000000000" w:firstRow="1" w:lastRow="0" w:firstColumn="0" w:lastColumn="0" w:oddVBand="0" w:evenVBand="0" w:oddHBand="0" w:evenHBand="0" w:firstRowFirstColumn="0" w:firstRowLastColumn="0" w:lastRowFirstColumn="0" w:lastRowLastColumn="0"/>
            </w:pPr>
            <w:r w:rsidRPr="00892DE3">
              <w:t xml:space="preserve">Notes </w:t>
            </w:r>
            <w:r w:rsidRPr="00892DE3">
              <w:rPr>
                <w:vertAlign w:val="superscript"/>
              </w:rPr>
              <w:t>(a)</w:t>
            </w:r>
          </w:p>
        </w:tc>
        <w:tc>
          <w:tcPr>
            <w:tcW w:w="827"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Original budget </w:t>
            </w:r>
            <w:r w:rsidRPr="00892DE3">
              <w:br/>
              <w:t>2016</w:t>
            </w:r>
          </w:p>
        </w:tc>
        <w:tc>
          <w:tcPr>
            <w:tcW w:w="842"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Actual </w:t>
            </w:r>
            <w:r w:rsidRPr="00892DE3">
              <w:br/>
              <w:t>2016</w:t>
            </w:r>
          </w:p>
        </w:tc>
        <w:tc>
          <w:tcPr>
            <w:tcW w:w="842"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Variance</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income from transactions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rPr>
          <w:trHeight w:val="57"/>
        </w:trPr>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Appropriations – payments made on behalf of the State</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6 786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6 245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(541)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Sales of goods and services [include fees]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5 887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5 634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(253)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Grants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871</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1 790</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919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Taxation income</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Fines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Refunds and other miscellaneous income</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income from transactions</w:t>
            </w:r>
          </w:p>
        </w:tc>
        <w:tc>
          <w:tcPr>
            <w:tcW w:w="835"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13 544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13 669</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Administered expenses from transactions</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made on behalf of the State</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(6 786)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(6 245)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541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into the consolidated fund</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(6 758)</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(7 424)</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(666)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expenses from transactions</w:t>
            </w:r>
          </w:p>
        </w:tc>
        <w:tc>
          <w:tcPr>
            <w:tcW w:w="835"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(13 544)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(13 669)</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net result from transactions (net operating balance)</w:t>
            </w:r>
          </w:p>
        </w:tc>
        <w:tc>
          <w:tcPr>
            <w:tcW w:w="835"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other economic flows included in administered net result</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non-financial assets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financial instruments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253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(156)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(409)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profits/(losses) of associates and joint entities, excluding dividends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gains/(losses) from other economic flows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other economic flows</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253</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(156)</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(409)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net result</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253</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(156)</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(409)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other economic flows – other comprehensive income</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Items that will not be reclassified to administered net result</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Adjustment to accumulated surplus/(deficit) due to change in accounting policy</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153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153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Changes in physical asset revaluation surplus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other economic flows – other comprehensive income</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153</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comprehensive result</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253</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(256)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financial assets</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Receivables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443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746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303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5 897</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4 378</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(1 519)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financial assets</w:t>
            </w:r>
          </w:p>
        </w:tc>
        <w:tc>
          <w:tcPr>
            <w:tcW w:w="835"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6 340</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5 124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(1 216)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non-financial assets</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Inventories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Prepayments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578</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872</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294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administered non-financial assets </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578</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872</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294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assets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6 918</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5 996</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(922)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Administered liabilities</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Creditors and accruals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1 364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1 093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(271)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Amounts owing to other departments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bearing liabilities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2 015</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2 227</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212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top w:val="single" w:sz="6" w:space="0" w:color="auto"/>
              <w:bottom w:val="single" w:sz="12"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liabilities</w:t>
            </w:r>
          </w:p>
        </w:tc>
        <w:tc>
          <w:tcPr>
            <w:tcW w:w="835" w:type="dxa"/>
            <w:tcBorders>
              <w:top w:val="single" w:sz="6"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12"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3 379</w:t>
            </w:r>
          </w:p>
        </w:tc>
        <w:tc>
          <w:tcPr>
            <w:tcW w:w="842" w:type="dxa"/>
            <w:tcBorders>
              <w:top w:val="single" w:sz="6"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3 320</w:t>
            </w:r>
          </w:p>
        </w:tc>
        <w:tc>
          <w:tcPr>
            <w:tcW w:w="842" w:type="dxa"/>
            <w:tcBorders>
              <w:top w:val="single" w:sz="6"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(59)</w:t>
            </w:r>
          </w:p>
        </w:tc>
      </w:tr>
    </w:tbl>
    <w:p w:rsidR="00C82275" w:rsidRPr="00892DE3" w:rsidRDefault="00C82275" w:rsidP="00C82275">
      <w:pPr>
        <w:pStyle w:val="Note"/>
      </w:pPr>
      <w:r w:rsidRPr="00892DE3">
        <w:t>Note:</w:t>
      </w:r>
    </w:p>
    <w:p w:rsidR="00C82275" w:rsidRPr="00892DE3" w:rsidRDefault="00C82275" w:rsidP="00C82275">
      <w:pPr>
        <w:pStyle w:val="Note"/>
      </w:pPr>
      <w:r w:rsidRPr="00892DE3">
        <w:t>(a)</w:t>
      </w:r>
      <w:r w:rsidRPr="00892DE3">
        <w:tab/>
        <w:t xml:space="preserve"> Entities are required to disclose a brief explanation for any major variances identified.</w:t>
      </w:r>
    </w:p>
    <w:p w:rsidR="00C82275" w:rsidRPr="00892DE3" w:rsidRDefault="00C82275" w:rsidP="00C82275"/>
    <w:bookmarkEnd w:id="293"/>
    <w:bookmarkEnd w:id="294"/>
    <w:bookmarkEnd w:id="295"/>
    <w:bookmarkEnd w:id="296"/>
    <w:bookmarkEnd w:id="297"/>
    <w:p w:rsidR="00AD47C0" w:rsidRPr="00892DE3" w:rsidRDefault="00AD47C0" w:rsidP="00AD47C0"/>
    <w:p w:rsidR="00AD47C0" w:rsidRPr="00892DE3" w:rsidRDefault="00AD47C0" w:rsidP="00AD47C0">
      <w:pPr>
        <w:sectPr w:rsidR="00AD47C0" w:rsidRPr="00892DE3" w:rsidSect="002C2301">
          <w:headerReference w:type="even" r:id="rId190"/>
          <w:headerReference w:type="default" r:id="rId191"/>
          <w:footerReference w:type="default" r:id="rId192"/>
          <w:pgSz w:w="11906" w:h="16838" w:code="9"/>
          <w:pgMar w:top="1134" w:right="1134" w:bottom="1134" w:left="1134" w:header="624" w:footer="567" w:gutter="0"/>
          <w:cols w:space="708"/>
          <w:docGrid w:linePitch="360"/>
        </w:sectPr>
      </w:pPr>
    </w:p>
    <w:p w:rsidR="00663D57" w:rsidRDefault="00B908C1" w:rsidP="00B908C1">
      <w:bookmarkStart w:id="300" w:name="_Toc388277756"/>
      <w:r w:rsidRPr="00892DE3">
        <w:rPr>
          <w:noProof/>
          <w:lang w:eastAsia="en-AU"/>
        </w:rPr>
        <w:drawing>
          <wp:inline distT="0" distB="0" distL="0" distR="0" wp14:anchorId="4F193F8A" wp14:editId="16A77EE8">
            <wp:extent cx="8474149" cy="5749961"/>
            <wp:effectExtent l="0" t="0" r="3175" b="3175"/>
            <wp:docPr id="36" name="Picture 36" descr="T:\Accounting Policy_BFM\STATE BUDGET (WoVG)\ACCOUNTING (WoVG)\MODEL DEPARTMENTAL REPORTS\2017\2015-16 MODEL REPORT DOCUMENTS\2016-17 Model Report files - updated templates\Opinion Information Sheet (to be added to appendices)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counting Policy_BFM\STATE BUDGET (WoVG)\ACCOUNTING (WoVG)\MODEL DEPARTMENTAL REPORTS\2017\2015-16 MODEL REPORT DOCUMENTS\2016-17 Model Report files - updated templates\Opinion Information Sheet (to be added to appendices)_Page_1.png"/>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l="2664" t="1820" b="4681"/>
                    <a:stretch/>
                  </pic:blipFill>
                  <pic:spPr bwMode="auto">
                    <a:xfrm>
                      <a:off x="0" y="0"/>
                      <a:ext cx="8474149" cy="5749961"/>
                    </a:xfrm>
                    <a:prstGeom prst="rect">
                      <a:avLst/>
                    </a:prstGeom>
                    <a:noFill/>
                    <a:ln>
                      <a:noFill/>
                    </a:ln>
                    <a:extLst>
                      <a:ext uri="{53640926-AAD7-44D8-BBD7-CCE9431645EC}">
                        <a14:shadowObscured xmlns:a14="http://schemas.microsoft.com/office/drawing/2010/main"/>
                      </a:ext>
                    </a:extLst>
                  </pic:spPr>
                </pic:pic>
              </a:graphicData>
            </a:graphic>
          </wp:inline>
        </w:drawing>
      </w:r>
    </w:p>
    <w:p w:rsidR="00663D57" w:rsidRPr="0075222E" w:rsidRDefault="00663D57" w:rsidP="00663D57">
      <w:pPr>
        <w:pStyle w:val="AppendixHeading"/>
        <w:keepNext w:val="0"/>
        <w:keepLines w:val="0"/>
        <w:pBdr>
          <w:bottom w:val="none" w:sz="0" w:space="0" w:color="auto"/>
        </w:pBdr>
        <w:spacing w:before="0"/>
        <w:rPr>
          <w:color w:val="FFFFFF" w:themeColor="background1"/>
          <w:sz w:val="18"/>
        </w:rPr>
      </w:pPr>
      <w:bookmarkStart w:id="301" w:name="_Toc481591391"/>
      <w:bookmarkStart w:id="302" w:name="_Toc481592338"/>
      <w:r w:rsidRPr="0075222E">
        <w:rPr>
          <w:caps w:val="0"/>
          <w:color w:val="FFFFFF" w:themeColor="background1"/>
          <w:sz w:val="18"/>
        </w:rPr>
        <w:t xml:space="preserve">Appendix 3: </w:t>
      </w:r>
      <w:r w:rsidR="0075222E" w:rsidRPr="0075222E">
        <w:rPr>
          <w:caps w:val="0"/>
          <w:color w:val="FFFFFF" w:themeColor="background1"/>
          <w:sz w:val="18"/>
        </w:rPr>
        <w:tab/>
      </w:r>
      <w:r w:rsidRPr="0075222E">
        <w:rPr>
          <w:caps w:val="0"/>
          <w:color w:val="FFFFFF" w:themeColor="background1"/>
          <w:sz w:val="18"/>
        </w:rPr>
        <w:t>Understanding the independent auditor’s report</w:t>
      </w:r>
      <w:bookmarkEnd w:id="301"/>
      <w:bookmarkEnd w:id="302"/>
    </w:p>
    <w:p w:rsidR="00B908C1" w:rsidRPr="00892DE3" w:rsidRDefault="00B908C1" w:rsidP="00B908C1">
      <w:r w:rsidRPr="00892DE3">
        <w:rPr>
          <w:noProof/>
          <w:lang w:eastAsia="en-AU"/>
        </w:rPr>
        <w:drawing>
          <wp:inline distT="0" distB="0" distL="0" distR="0" wp14:anchorId="32BC41BB" wp14:editId="7B32664A">
            <wp:extent cx="8897880" cy="6103088"/>
            <wp:effectExtent l="0" t="0" r="0" b="0"/>
            <wp:docPr id="37" name="Picture 37" descr="T:\Accounting Policy_BFM\STATE BUDGET (WoVG)\ACCOUNTING (WoVG)\MODEL DEPARTMENTAL REPORTS\2017\2015-16 MODEL REPORT DOCUMENTS\2016-17 Model Report files - updated templates\Opinion Information Sheet (to be added to appendices)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ccounting Policy_BFM\STATE BUDGET (WoVG)\ACCOUNTING (WoVG)\MODEL DEPARTMENTAL REPORTS\2017\2015-16 MODEL REPORT DOCUMENTS\2016-17 Model Report files - updated templates\Opinion Information Sheet (to be added to appendices)_Page_2.png"/>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l="1654" t="3381" r="1254" b="2340"/>
                    <a:stretch/>
                  </pic:blipFill>
                  <pic:spPr bwMode="auto">
                    <a:xfrm>
                      <a:off x="0" y="0"/>
                      <a:ext cx="8910264" cy="6111582"/>
                    </a:xfrm>
                    <a:prstGeom prst="rect">
                      <a:avLst/>
                    </a:prstGeom>
                    <a:noFill/>
                    <a:ln>
                      <a:noFill/>
                    </a:ln>
                    <a:extLst>
                      <a:ext uri="{53640926-AAD7-44D8-BBD7-CCE9431645EC}">
                        <a14:shadowObscured xmlns:a14="http://schemas.microsoft.com/office/drawing/2010/main"/>
                      </a:ext>
                    </a:extLst>
                  </pic:spPr>
                </pic:pic>
              </a:graphicData>
            </a:graphic>
          </wp:inline>
        </w:drawing>
      </w:r>
    </w:p>
    <w:p w:rsidR="00B908C1" w:rsidRPr="00892DE3" w:rsidRDefault="00B908C1" w:rsidP="00B908C1">
      <w:pPr>
        <w:sectPr w:rsidR="00B908C1" w:rsidRPr="00892DE3" w:rsidSect="00B4596C">
          <w:headerReference w:type="even" r:id="rId195"/>
          <w:headerReference w:type="default" r:id="rId196"/>
          <w:footerReference w:type="even" r:id="rId197"/>
          <w:footerReference w:type="default" r:id="rId198"/>
          <w:pgSz w:w="16838" w:h="11906" w:orient="landscape" w:code="9"/>
          <w:pgMar w:top="1134" w:right="1134" w:bottom="1134" w:left="1134" w:header="431" w:footer="431" w:gutter="0"/>
          <w:cols w:space="708"/>
          <w:docGrid w:linePitch="360"/>
        </w:sectPr>
      </w:pPr>
    </w:p>
    <w:p w:rsidR="00301267" w:rsidRDefault="00125B6F" w:rsidP="00301267">
      <w:pPr>
        <w:pStyle w:val="AppendixHeading"/>
        <w:spacing w:after="240"/>
      </w:pPr>
      <w:bookmarkStart w:id="305" w:name="_Toc481591392"/>
      <w:bookmarkStart w:id="306" w:name="_Toc481592339"/>
      <w:r w:rsidRPr="00892DE3">
        <w:t>Appendix 4:</w:t>
      </w:r>
      <w:r w:rsidRPr="00892DE3">
        <w:tab/>
        <w:t>AASB 10 Consolidated Financial Statements checklist – control analysis for Victorian public sector entities</w:t>
      </w:r>
      <w:bookmarkEnd w:id="305"/>
      <w:bookmarkEnd w:id="306"/>
    </w:p>
    <w:p w:rsidR="00125B6F" w:rsidRPr="00892DE3" w:rsidRDefault="00125B6F" w:rsidP="0093711E">
      <w:pPr>
        <w:spacing w:line="276" w:lineRule="auto"/>
      </w:pPr>
      <w:r w:rsidRPr="00892DE3">
        <w:t xml:space="preserve">AASB 10 </w:t>
      </w:r>
      <w:r w:rsidRPr="00892DE3">
        <w:rPr>
          <w:i/>
        </w:rPr>
        <w:t>Consolidated Financial Statements</w:t>
      </w:r>
      <w:r w:rsidRPr="00892DE3">
        <w:t xml:space="preserve"> focuses on ‘control’ in determining whether an entity needs to consolidate another entity. Under AASB 10, control is assessed on the achievement of all three criteria, i.e.</w:t>
      </w:r>
    </w:p>
    <w:p w:rsidR="00125B6F" w:rsidRPr="00892DE3" w:rsidRDefault="00125B6F" w:rsidP="0052741D">
      <w:pPr>
        <w:pStyle w:val="ListNumber"/>
        <w:numPr>
          <w:ilvl w:val="0"/>
          <w:numId w:val="48"/>
        </w:numPr>
        <w:spacing w:line="276" w:lineRule="auto"/>
      </w:pPr>
      <w:r w:rsidRPr="00892DE3">
        <w:t>power over the investee;</w:t>
      </w:r>
    </w:p>
    <w:p w:rsidR="00125B6F" w:rsidRPr="00892DE3" w:rsidRDefault="00125B6F" w:rsidP="0093711E">
      <w:pPr>
        <w:pStyle w:val="ListNumber"/>
        <w:spacing w:line="276" w:lineRule="auto"/>
      </w:pPr>
      <w:r w:rsidRPr="00892DE3">
        <w:t>exposure, or rights, to variable returns from its involvement with the investee; and</w:t>
      </w:r>
    </w:p>
    <w:p w:rsidR="00125B6F" w:rsidRPr="00892DE3" w:rsidRDefault="00125B6F" w:rsidP="0093711E">
      <w:pPr>
        <w:pStyle w:val="ListNumber"/>
        <w:spacing w:line="276" w:lineRule="auto"/>
      </w:pPr>
      <w:r w:rsidRPr="00892DE3">
        <w:t>the ability to use its power over the investee to affect the amount of the investor’s return.</w:t>
      </w:r>
    </w:p>
    <w:p w:rsidR="00125B6F" w:rsidRPr="00892DE3" w:rsidRDefault="00125B6F" w:rsidP="0093711E">
      <w:pPr>
        <w:spacing w:line="276" w:lineRule="auto"/>
      </w:pPr>
      <w:r w:rsidRPr="00892DE3">
        <w:t>The Department of Treasury and Finance (DTF) has developed a list of questions to help you determine if each of the criteria has been satisfied to meet the ‘control’ test.</w:t>
      </w:r>
    </w:p>
    <w:p w:rsidR="00125B6F" w:rsidRPr="00892DE3" w:rsidRDefault="00125B6F" w:rsidP="0093711E">
      <w:pPr>
        <w:spacing w:line="276" w:lineRule="auto"/>
      </w:pPr>
      <w:r w:rsidRPr="00892DE3">
        <w:t>If all three criteria are met, the ‘control’ test will be met and the entity will need to be consolidated.</w:t>
      </w:r>
    </w:p>
    <w:p w:rsidR="00125B6F" w:rsidRPr="00892DE3" w:rsidRDefault="00125B6F" w:rsidP="0093711E">
      <w:pPr>
        <w:spacing w:line="276" w:lineRule="auto"/>
      </w:pPr>
      <w:r w:rsidRPr="00892DE3">
        <w:t xml:space="preserve">If this assessment has resulted in you having control over any additional entities that are required to be consolidated, please advise DTF by emailing </w:t>
      </w:r>
      <w:hyperlink r:id="rId199" w:history="1">
        <w:r w:rsidRPr="00892DE3">
          <w:t>accpol@dtf.vic.gov.au</w:t>
        </w:r>
      </w:hyperlink>
      <w:r w:rsidRPr="00892DE3">
        <w:t>. Please do not hesitate to contact DTF should you have any questions regarding this checklist.</w:t>
      </w:r>
    </w:p>
    <w:p w:rsidR="00125B6F" w:rsidRPr="00892DE3" w:rsidRDefault="00125B6F" w:rsidP="0093711E">
      <w:pPr>
        <w:spacing w:line="276" w:lineRule="auto"/>
      </w:pPr>
      <w:r w:rsidRPr="00892DE3">
        <w:t>In addition, you are strongly encouraged to liaise with the Victorian Auditor</w:t>
      </w:r>
      <w:r w:rsidRPr="00892DE3">
        <w:noBreakHyphen/>
        <w:t>General’s Office once you have discussed your assessments of any changes with DTF to confirm year</w:t>
      </w:r>
      <w:r w:rsidRPr="00892DE3">
        <w:noBreakHyphen/>
        <w:t>end reporting requirements.</w:t>
      </w:r>
    </w:p>
    <w:p w:rsidR="00125B6F" w:rsidRPr="00892DE3" w:rsidRDefault="00125B6F" w:rsidP="00125B6F"/>
    <w:p w:rsidR="00125B6F" w:rsidRPr="00892DE3" w:rsidRDefault="00125B6F" w:rsidP="00125B6F"/>
    <w:p w:rsidR="0093711E" w:rsidRDefault="0093711E">
      <w:pPr>
        <w:keepLines w:val="0"/>
        <w:rPr>
          <w:rFonts w:asciiTheme="majorHAnsi" w:eastAsiaTheme="majorEastAsia" w:hAnsiTheme="majorHAnsi" w:cstheme="majorBidi"/>
          <w:b/>
          <w:bCs/>
          <w:caps/>
          <w:spacing w:val="-2"/>
          <w:sz w:val="28"/>
          <w:szCs w:val="28"/>
        </w:rPr>
      </w:pPr>
      <w:r>
        <w:rPr>
          <w:rFonts w:asciiTheme="majorHAnsi" w:eastAsiaTheme="majorEastAsia" w:hAnsiTheme="majorHAnsi" w:cstheme="majorBidi"/>
          <w:b/>
          <w:bCs/>
          <w:caps/>
          <w:spacing w:val="-2"/>
          <w:sz w:val="28"/>
          <w:szCs w:val="28"/>
        </w:rPr>
        <w:br w:type="page"/>
      </w:r>
    </w:p>
    <w:p w:rsidR="0093711E" w:rsidRPr="0093711E" w:rsidRDefault="0093711E" w:rsidP="0093711E">
      <w:pPr>
        <w:sectPr w:rsidR="0093711E" w:rsidRPr="0093711E" w:rsidSect="004E35BA">
          <w:headerReference w:type="even" r:id="rId200"/>
          <w:footerReference w:type="even" r:id="rId201"/>
          <w:pgSz w:w="11906" w:h="16838" w:code="9"/>
          <w:pgMar w:top="1134" w:right="1134" w:bottom="1134" w:left="1134" w:header="624" w:footer="567" w:gutter="0"/>
          <w:cols w:space="708"/>
          <w:titlePg/>
          <w:docGrid w:linePitch="360"/>
        </w:sectPr>
      </w:pPr>
    </w:p>
    <w:tbl>
      <w:tblPr>
        <w:tblStyle w:val="DTFTextTable"/>
        <w:tblW w:w="9639"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6A0" w:firstRow="1" w:lastRow="0" w:firstColumn="1" w:lastColumn="0" w:noHBand="1" w:noVBand="1"/>
      </w:tblPr>
      <w:tblGrid>
        <w:gridCol w:w="493"/>
        <w:gridCol w:w="49"/>
        <w:gridCol w:w="7387"/>
        <w:gridCol w:w="1710"/>
      </w:tblGrid>
      <w:tr w:rsidR="00125B6F" w:rsidRPr="00892DE3" w:rsidTr="006B54AA">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7929" w:type="dxa"/>
            <w:gridSpan w:val="3"/>
            <w:shd w:val="clear" w:color="auto" w:fill="404040" w:themeFill="text1" w:themeFillTint="BF"/>
          </w:tcPr>
          <w:p w:rsidR="00125B6F" w:rsidRPr="00301267" w:rsidRDefault="00125B6F" w:rsidP="00125B6F">
            <w:pPr>
              <w:ind w:left="0" w:firstLine="0"/>
              <w:rPr>
                <w:b/>
                <w:i w:val="0"/>
                <w:color w:val="FFFFFF" w:themeColor="background1"/>
              </w:rPr>
            </w:pPr>
            <w:r w:rsidRPr="00301267">
              <w:rPr>
                <w:b/>
                <w:i w:val="0"/>
                <w:color w:val="FFFFFF" w:themeColor="background1"/>
              </w:rPr>
              <w:br/>
            </w:r>
            <w:r w:rsidRPr="00301267">
              <w:rPr>
                <w:b/>
                <w:i w:val="0"/>
                <w:color w:val="FFFFFF" w:themeColor="background1"/>
              </w:rPr>
              <w:br/>
              <w:t>Entity name</w:t>
            </w:r>
            <w:r w:rsidR="00003BC6">
              <w:rPr>
                <w:b/>
                <w:i w:val="0"/>
                <w:color w:val="FFFFFF" w:themeColor="background1"/>
              </w:rPr>
              <w:t>:</w:t>
            </w:r>
          </w:p>
        </w:tc>
        <w:tc>
          <w:tcPr>
            <w:tcW w:w="1710" w:type="dxa"/>
            <w:shd w:val="clear" w:color="auto" w:fill="404040" w:themeFill="text1" w:themeFillTint="BF"/>
          </w:tcPr>
          <w:p w:rsidR="00125B6F" w:rsidRPr="00301267" w:rsidRDefault="00125B6F" w:rsidP="00125B6F">
            <w:pPr>
              <w:cnfStyle w:val="100000000000" w:firstRow="1" w:lastRow="0" w:firstColumn="0" w:lastColumn="0" w:oddVBand="0" w:evenVBand="0" w:oddHBand="0" w:evenHBand="0" w:firstRowFirstColumn="0" w:firstRowLastColumn="0" w:lastRowFirstColumn="0" w:lastRowLastColumn="0"/>
              <w:rPr>
                <w:b/>
                <w:i w:val="0"/>
                <w:color w:val="FFFFFF" w:themeColor="background1"/>
              </w:rPr>
            </w:pPr>
            <w:r w:rsidRPr="00301267">
              <w:rPr>
                <w:b/>
                <w:i w:val="0"/>
                <w:color w:val="FFFFFF" w:themeColor="background1"/>
              </w:rPr>
              <w:t>Analysis and supporting documentation</w:t>
            </w:r>
          </w:p>
        </w:tc>
      </w:tr>
      <w:tr w:rsidR="00125B6F" w:rsidRPr="00892DE3" w:rsidTr="00EC0147">
        <w:trPr>
          <w:trHeight w:val="238"/>
        </w:trPr>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A6A6A6" w:themeFill="background1" w:themeFillShade="A6"/>
          </w:tcPr>
          <w:p w:rsidR="00125B6F" w:rsidRPr="00892DE3" w:rsidRDefault="00125B6F" w:rsidP="00125B6F">
            <w:pPr>
              <w:pStyle w:val="TableHeading"/>
              <w:spacing w:before="60"/>
            </w:pPr>
            <w:r w:rsidRPr="00892DE3">
              <w:t>Criterion (i):</w:t>
            </w:r>
            <w:r w:rsidRPr="00892DE3">
              <w:tab/>
              <w:t xml:space="preserve">Power over the investee </w:t>
            </w:r>
          </w:p>
          <w:p w:rsidR="00125B6F" w:rsidRPr="00892DE3" w:rsidRDefault="00125B6F" w:rsidP="00125B6F">
            <w:pPr>
              <w:ind w:left="0" w:firstLine="0"/>
            </w:pPr>
            <w:r w:rsidRPr="00892DE3">
              <w:t>Questions 1</w:t>
            </w:r>
            <w:r w:rsidRPr="00892DE3">
              <w:noBreakHyphen/>
              <w:t xml:space="preserve">9 are to help you assess whether you have power over the other entity. The determination depends on the relevant activities, the way decisions about the relevant activities are made and the rights you and other parties have in relation to the other entity. </w:t>
            </w:r>
          </w:p>
        </w:tc>
      </w:tr>
      <w:tr w:rsidR="00125B6F" w:rsidRPr="00892DE3" w:rsidTr="006B54AA">
        <w:trPr>
          <w:trHeight w:val="1102"/>
        </w:trPr>
        <w:tc>
          <w:tcPr>
            <w:cnfStyle w:val="001000000000" w:firstRow="0" w:lastRow="0" w:firstColumn="1" w:lastColumn="0" w:oddVBand="0" w:evenVBand="0" w:oddHBand="0" w:evenHBand="0" w:firstRowFirstColumn="0" w:firstRowLastColumn="0" w:lastRowFirstColumn="0" w:lastRowLastColumn="0"/>
            <w:tcW w:w="493" w:type="dxa"/>
          </w:tcPr>
          <w:p w:rsidR="00125B6F" w:rsidRPr="00892DE3" w:rsidRDefault="00125B6F" w:rsidP="00301267">
            <w:pPr>
              <w:spacing w:line="276" w:lineRule="auto"/>
              <w:jc w:val="center"/>
              <w:rPr>
                <w:b/>
              </w:rPr>
            </w:pPr>
            <w:r w:rsidRPr="00892DE3">
              <w:rPr>
                <w:b/>
              </w:rPr>
              <w:t>1.</w:t>
            </w:r>
          </w:p>
        </w:tc>
        <w:tc>
          <w:tcPr>
            <w:tcW w:w="7436" w:type="dxa"/>
            <w:gridSpan w:val="2"/>
          </w:tcPr>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Who is the other entity subject to the assessment for ‘control’?</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301267">
              <w:rPr>
                <w:b/>
                <w:i/>
              </w:rPr>
              <w:t>Note</w:t>
            </w:r>
            <w:r w:rsidRPr="00892DE3">
              <w:rPr>
                <w:i/>
              </w:rPr>
              <w:t>:</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The basic terms ‘investor’ and ‘investee’ in AASB 10 are explained as entities that have a relationship in which control of one entity (the investee) by the other (the investor) might arise.</w:t>
            </w:r>
          </w:p>
        </w:tc>
        <w:tc>
          <w:tcPr>
            <w:tcW w:w="1710" w:type="dxa"/>
          </w:tcPr>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p>
        </w:tc>
      </w:tr>
      <w:tr w:rsidR="00125B6F" w:rsidRPr="00892DE3" w:rsidTr="006B54AA">
        <w:trPr>
          <w:trHeight w:val="1467"/>
        </w:trPr>
        <w:tc>
          <w:tcPr>
            <w:cnfStyle w:val="001000000000" w:firstRow="0" w:lastRow="0" w:firstColumn="1" w:lastColumn="0" w:oddVBand="0" w:evenVBand="0" w:oddHBand="0" w:evenHBand="0" w:firstRowFirstColumn="0" w:firstRowLastColumn="0" w:lastRowFirstColumn="0" w:lastRowLastColumn="0"/>
            <w:tcW w:w="493" w:type="dxa"/>
          </w:tcPr>
          <w:p w:rsidR="00125B6F" w:rsidRPr="00892DE3" w:rsidRDefault="00125B6F" w:rsidP="00301267">
            <w:pPr>
              <w:spacing w:line="276" w:lineRule="auto"/>
              <w:jc w:val="center"/>
              <w:rPr>
                <w:b/>
              </w:rPr>
            </w:pPr>
            <w:r w:rsidRPr="00892DE3">
              <w:rPr>
                <w:b/>
              </w:rPr>
              <w:t>2.</w:t>
            </w:r>
          </w:p>
        </w:tc>
        <w:tc>
          <w:tcPr>
            <w:tcW w:w="7436" w:type="dxa"/>
            <w:gridSpan w:val="2"/>
          </w:tcPr>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What is the nature of the relationship with the other entity?</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301267">
              <w:rPr>
                <w:b/>
                <w:i/>
              </w:rPr>
              <w:t>Note</w:t>
            </w:r>
            <w:r w:rsidRPr="00892DE3">
              <w:rPr>
                <w:i/>
              </w:rPr>
              <w:t>:</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 xml:space="preserve">When assessing control, an investor shall consider the nature of its relationship with other parties. In the public sector, the relationship between a government and entities can often been established in one of the following scenarios, which may or may not result in government controlling the other entity, depending on the specific circumstances.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 xml:space="preserve">Economic dependence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 xml:space="preserve">A statutory entity’s operations could be dependent on the Government, e.g. dependence on the Government to fund a significant portion of its operations, guarantee a significant portion of its obligations, or provide critical goods or services. Nevertheless, if the governing body of the statutory entity has discretion with respect to whether it will accept resources from the Government, or the manner in which their resources are to be deployed, the Government is considered not to have the current ability to direct the relevant activities of the entity, even though it may be financially dependent on government funding.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Therefore, the economic dependence of an investee on the investor does not necessarily lead to the investor having power over the investee, in the absence of other rights.</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Existence of congruent objectives</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The Government would have the ability to use its power over the entity when it can direct the entity to work with the Government to further the Government’s objectives. However, the existence of congruent objectives alone is insufficient for a government to conclude that it controls a statutory entity.</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 xml:space="preserve">Delegated powers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A department with decision</w:t>
            </w:r>
            <w:r w:rsidRPr="00892DE3">
              <w:noBreakHyphen/>
              <w:t xml:space="preserve">making rights is required by AASB 10 to determine whether it is a principal or an agent. See Item 14 for more details regarding when a department controls over another entity through the delegated powers.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De facto agency relationship</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 xml:space="preserve">A party is a de facto agent if the investor or those who control the investor have the ability to direct that party to act on the investor’s behalf (i.e. they are ‘de facto agents’). Refer to </w:t>
            </w:r>
            <w:r w:rsidRPr="00892DE3">
              <w:rPr>
                <w:i/>
              </w:rPr>
              <w:t>Detailed guidance for application of AASB 10 Consolidated Financial Statements</w:t>
            </w:r>
            <w:r w:rsidRPr="00892DE3">
              <w:t xml:space="preserve"> at the end of this appendix for more details regarding an entity acts as a ‘de facto agent’.</w:t>
            </w:r>
          </w:p>
        </w:tc>
        <w:tc>
          <w:tcPr>
            <w:tcW w:w="1710" w:type="dxa"/>
          </w:tcPr>
          <w:p w:rsidR="00125B6F" w:rsidRPr="00892DE3" w:rsidRDefault="00125B6F" w:rsidP="00301267">
            <w:pPr>
              <w:pStyle w:val="Tabletext"/>
              <w:spacing w:line="276" w:lineRule="auto"/>
              <w:cnfStyle w:val="000000000000" w:firstRow="0" w:lastRow="0" w:firstColumn="0" w:lastColumn="0" w:oddVBand="0" w:evenVBand="0" w:oddHBand="0" w:evenHBand="0" w:firstRowFirstColumn="0" w:firstRowLastColumn="0" w:lastRowFirstColumn="0" w:lastRowLastColumn="0"/>
            </w:pPr>
          </w:p>
        </w:tc>
      </w:tr>
      <w:tr w:rsidR="00125B6F" w:rsidRPr="00892DE3" w:rsidTr="006B54AA">
        <w:trPr>
          <w:trHeight w:val="418"/>
        </w:trPr>
        <w:tc>
          <w:tcPr>
            <w:cnfStyle w:val="001000000000" w:firstRow="0" w:lastRow="0" w:firstColumn="1" w:lastColumn="0" w:oddVBand="0" w:evenVBand="0" w:oddHBand="0" w:evenHBand="0" w:firstRowFirstColumn="0" w:firstRowLastColumn="0" w:lastRowFirstColumn="0" w:lastRowLastColumn="0"/>
            <w:tcW w:w="493" w:type="dxa"/>
          </w:tcPr>
          <w:p w:rsidR="00125B6F" w:rsidRPr="00892DE3" w:rsidRDefault="00125B6F" w:rsidP="00301267">
            <w:pPr>
              <w:spacing w:line="276" w:lineRule="auto"/>
              <w:jc w:val="center"/>
              <w:rPr>
                <w:b/>
              </w:rPr>
            </w:pPr>
            <w:r w:rsidRPr="00892DE3">
              <w:rPr>
                <w:b/>
              </w:rPr>
              <w:t>3.</w:t>
            </w:r>
          </w:p>
        </w:tc>
        <w:tc>
          <w:tcPr>
            <w:tcW w:w="7436" w:type="dxa"/>
            <w:gridSpan w:val="2"/>
          </w:tcPr>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 xml:space="preserve">What is the primary objective and functions of the other entity?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301267">
              <w:rPr>
                <w:b/>
                <w:i/>
              </w:rPr>
              <w:t>Note</w:t>
            </w:r>
            <w:r w:rsidRPr="00892DE3">
              <w:rPr>
                <w:i/>
              </w:rPr>
              <w:t>:</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 xml:space="preserve">Assessing the purpose and design of the other entity will assist you in understanding what are the relevant activities taken by the other entity, and how decisions about the relevant activities are made.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As the primary objective will affect the nature of the other entity’s returns to be achieved, understanding the primary objective of the other entity will assist you to determine the scope of its relevant activities.</w:t>
            </w:r>
          </w:p>
        </w:tc>
        <w:tc>
          <w:tcPr>
            <w:tcW w:w="1710" w:type="dxa"/>
          </w:tcPr>
          <w:p w:rsidR="00125B6F" w:rsidRPr="00892DE3" w:rsidRDefault="00125B6F" w:rsidP="00301267">
            <w:pPr>
              <w:pStyle w:val="Tabletext"/>
              <w:spacing w:line="276" w:lineRule="auto"/>
              <w:cnfStyle w:val="000000000000" w:firstRow="0" w:lastRow="0" w:firstColumn="0" w:lastColumn="0" w:oddVBand="0" w:evenVBand="0" w:oddHBand="0" w:evenHBand="0" w:firstRowFirstColumn="0" w:firstRowLastColumn="0" w:lastRowFirstColumn="0" w:lastRowLastColumn="0"/>
            </w:pPr>
          </w:p>
        </w:tc>
      </w:tr>
      <w:tr w:rsidR="00125B6F" w:rsidRPr="00892DE3" w:rsidTr="00EC0147">
        <w:trPr>
          <w:trHeight w:val="238"/>
        </w:trPr>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A6A6A6" w:themeFill="background1" w:themeFillShade="A6"/>
          </w:tcPr>
          <w:p w:rsidR="00125B6F" w:rsidRPr="00892DE3" w:rsidRDefault="00125B6F" w:rsidP="00301267">
            <w:pPr>
              <w:pStyle w:val="TableHeading"/>
              <w:pageBreakBefore/>
              <w:spacing w:before="60" w:line="276" w:lineRule="auto"/>
            </w:pPr>
            <w:r w:rsidRPr="00892DE3">
              <w:t xml:space="preserve">Criterion (i): </w:t>
            </w:r>
            <w:r w:rsidRPr="00892DE3">
              <w:tab/>
              <w:t xml:space="preserve">Power over the investee </w:t>
            </w:r>
            <w:r w:rsidRPr="00892DE3">
              <w:rPr>
                <w:i/>
              </w:rPr>
              <w:t>(continued)</w:t>
            </w:r>
            <w:r w:rsidRPr="00892DE3">
              <w:t xml:space="preserve"> </w:t>
            </w:r>
          </w:p>
        </w:tc>
      </w:tr>
      <w:tr w:rsidR="00125B6F" w:rsidRPr="00892DE3" w:rsidTr="006B54AA">
        <w:trPr>
          <w:trHeight w:val="250"/>
        </w:trPr>
        <w:tc>
          <w:tcPr>
            <w:cnfStyle w:val="001000000000" w:firstRow="0" w:lastRow="0" w:firstColumn="1" w:lastColumn="0" w:oddVBand="0" w:evenVBand="0" w:oddHBand="0" w:evenHBand="0" w:firstRowFirstColumn="0" w:firstRowLastColumn="0" w:lastRowFirstColumn="0" w:lastRowLastColumn="0"/>
            <w:tcW w:w="493" w:type="dxa"/>
          </w:tcPr>
          <w:p w:rsidR="00125B6F" w:rsidRPr="00892DE3" w:rsidRDefault="00125B6F" w:rsidP="00301267">
            <w:pPr>
              <w:spacing w:line="276" w:lineRule="auto"/>
              <w:jc w:val="center"/>
              <w:rPr>
                <w:b/>
              </w:rPr>
            </w:pPr>
            <w:r w:rsidRPr="00892DE3">
              <w:rPr>
                <w:b/>
              </w:rPr>
              <w:t>4.</w:t>
            </w:r>
          </w:p>
        </w:tc>
        <w:tc>
          <w:tcPr>
            <w:tcW w:w="7436" w:type="dxa"/>
            <w:gridSpan w:val="2"/>
          </w:tcPr>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 xml:space="preserve">What are the relevant activities of the other entity that significantly affect its returns?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301267">
              <w:rPr>
                <w:b/>
                <w:i/>
              </w:rPr>
              <w:t>Note</w:t>
            </w:r>
            <w:r w:rsidRPr="00892DE3">
              <w:rPr>
                <w:i/>
              </w:rPr>
              <w:t>:</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The relevant activities will include a range of operating and financing activities that significantly affect an entity’s returns. In that case, if your entity were able to set the strategic operating and financing policies of the other entity, you would usually have power.</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However, a higher degree of judgement is particularly required for entities in the public sector when the primary objectives of the other entity could include non</w:t>
            </w:r>
            <w:r w:rsidRPr="00892DE3">
              <w:noBreakHyphen/>
              <w:t>financial returns. More specifically, examples of relevant activities in the public sector include, but are not limited to:</w:t>
            </w:r>
          </w:p>
          <w:p w:rsidR="00125B6F" w:rsidRPr="00892DE3" w:rsidRDefault="00125B6F"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the achievement of the other entity’s objectives as set out in the specific legislation;</w:t>
            </w:r>
          </w:p>
          <w:p w:rsidR="00125B6F" w:rsidRPr="00892DE3" w:rsidRDefault="00125B6F"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raising revenue to fund its functions and activities;</w:t>
            </w:r>
          </w:p>
          <w:p w:rsidR="00125B6F" w:rsidRPr="00892DE3" w:rsidRDefault="00125B6F"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planning for and providing services and facilities; and</w:t>
            </w:r>
          </w:p>
          <w:p w:rsidR="00125B6F" w:rsidRPr="00892DE3" w:rsidRDefault="00125B6F"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strategic planning and implementation.</w:t>
            </w:r>
          </w:p>
        </w:tc>
        <w:tc>
          <w:tcPr>
            <w:tcW w:w="1710" w:type="dxa"/>
          </w:tcPr>
          <w:p w:rsidR="00125B6F" w:rsidRPr="00892DE3" w:rsidRDefault="00125B6F" w:rsidP="00301267">
            <w:pPr>
              <w:pStyle w:val="Tabletext"/>
              <w:spacing w:line="276" w:lineRule="auto"/>
              <w:cnfStyle w:val="000000000000" w:firstRow="0" w:lastRow="0" w:firstColumn="0" w:lastColumn="0" w:oddVBand="0" w:evenVBand="0" w:oddHBand="0" w:evenHBand="0" w:firstRowFirstColumn="0" w:firstRowLastColumn="0" w:lastRowFirstColumn="0" w:lastRowLastColumn="0"/>
            </w:pPr>
          </w:p>
        </w:tc>
      </w:tr>
      <w:tr w:rsidR="00125B6F" w:rsidRPr="00892DE3" w:rsidTr="006B54AA">
        <w:trPr>
          <w:trHeight w:val="415"/>
        </w:trPr>
        <w:tc>
          <w:tcPr>
            <w:cnfStyle w:val="001000000000" w:firstRow="0" w:lastRow="0" w:firstColumn="1" w:lastColumn="0" w:oddVBand="0" w:evenVBand="0" w:oddHBand="0" w:evenHBand="0" w:firstRowFirstColumn="0" w:firstRowLastColumn="0" w:lastRowFirstColumn="0" w:lastRowLastColumn="0"/>
            <w:tcW w:w="493" w:type="dxa"/>
          </w:tcPr>
          <w:p w:rsidR="00125B6F" w:rsidRPr="00892DE3" w:rsidRDefault="00125B6F" w:rsidP="00301267">
            <w:pPr>
              <w:spacing w:line="276" w:lineRule="auto"/>
              <w:jc w:val="center"/>
              <w:rPr>
                <w:b/>
              </w:rPr>
            </w:pPr>
            <w:r w:rsidRPr="00892DE3">
              <w:rPr>
                <w:b/>
              </w:rPr>
              <w:t>5.</w:t>
            </w:r>
          </w:p>
        </w:tc>
        <w:tc>
          <w:tcPr>
            <w:tcW w:w="7436" w:type="dxa"/>
            <w:gridSpan w:val="2"/>
          </w:tcPr>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 xml:space="preserve">What authority (e.g. enabling legislation, statutory provisions) is in place that enables the other entity to achieve its objectives? </w:t>
            </w:r>
          </w:p>
        </w:tc>
        <w:tc>
          <w:tcPr>
            <w:tcW w:w="1710" w:type="dxa"/>
          </w:tcPr>
          <w:p w:rsidR="00125B6F" w:rsidRPr="00892DE3" w:rsidRDefault="00125B6F" w:rsidP="00301267">
            <w:pPr>
              <w:pStyle w:val="Tabletext"/>
              <w:spacing w:line="276" w:lineRule="auto"/>
              <w:cnfStyle w:val="000000000000" w:firstRow="0" w:lastRow="0" w:firstColumn="0" w:lastColumn="0" w:oddVBand="0" w:evenVBand="0" w:oddHBand="0" w:evenHBand="0" w:firstRowFirstColumn="0" w:firstRowLastColumn="0" w:lastRowFirstColumn="0" w:lastRowLastColumn="0"/>
            </w:pPr>
          </w:p>
        </w:tc>
      </w:tr>
      <w:tr w:rsidR="00125B6F" w:rsidRPr="00892DE3" w:rsidTr="006B54AA">
        <w:trPr>
          <w:trHeight w:val="250"/>
        </w:trPr>
        <w:tc>
          <w:tcPr>
            <w:cnfStyle w:val="001000000000" w:firstRow="0" w:lastRow="0" w:firstColumn="1" w:lastColumn="0" w:oddVBand="0" w:evenVBand="0" w:oddHBand="0" w:evenHBand="0" w:firstRowFirstColumn="0" w:firstRowLastColumn="0" w:lastRowFirstColumn="0" w:lastRowLastColumn="0"/>
            <w:tcW w:w="493" w:type="dxa"/>
          </w:tcPr>
          <w:p w:rsidR="00125B6F" w:rsidRPr="00892DE3" w:rsidRDefault="00125B6F" w:rsidP="00301267">
            <w:pPr>
              <w:spacing w:line="276" w:lineRule="auto"/>
              <w:jc w:val="center"/>
              <w:rPr>
                <w:b/>
              </w:rPr>
            </w:pPr>
            <w:r w:rsidRPr="00892DE3">
              <w:rPr>
                <w:b/>
              </w:rPr>
              <w:t>6.</w:t>
            </w:r>
          </w:p>
        </w:tc>
        <w:tc>
          <w:tcPr>
            <w:tcW w:w="7436" w:type="dxa"/>
            <w:gridSpan w:val="2"/>
          </w:tcPr>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 xml:space="preserve">How are decisions made about these relevant activities of the other entity?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301267">
              <w:rPr>
                <w:b/>
                <w:i/>
              </w:rPr>
              <w:t>Note</w:t>
            </w:r>
            <w:r w:rsidRPr="00892DE3">
              <w:rPr>
                <w:i/>
              </w:rPr>
              <w:t>:</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Examples of decisions about relevant activities include but are not limited to:</w:t>
            </w:r>
          </w:p>
          <w:p w:rsidR="00125B6F" w:rsidRPr="00892DE3" w:rsidRDefault="00125B6F"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making operating and capital decisions of the other entity, including budgets; and</w:t>
            </w:r>
          </w:p>
          <w:p w:rsidR="00125B6F" w:rsidRPr="00892DE3" w:rsidRDefault="00125B6F"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appointing and remunerating the other entity’s key management personnel or service providers and terminating their services or employment.</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Broadly speaking, those decisions can be made on by your entity on behalf of the relevant Minister (i.e. act as an agent), or by your entity’s own discretion (i.e. act as a principal). If the decisions about these relevant activities of the other entity are made at your own discretion, you would have power over the other entity.</w:t>
            </w:r>
          </w:p>
        </w:tc>
        <w:tc>
          <w:tcPr>
            <w:tcW w:w="1710" w:type="dxa"/>
          </w:tcPr>
          <w:p w:rsidR="00125B6F" w:rsidRPr="00892DE3" w:rsidRDefault="00125B6F" w:rsidP="00301267">
            <w:pPr>
              <w:pStyle w:val="Tabletext"/>
              <w:spacing w:line="276" w:lineRule="auto"/>
              <w:cnfStyle w:val="000000000000" w:firstRow="0" w:lastRow="0" w:firstColumn="0" w:lastColumn="0" w:oddVBand="0" w:evenVBand="0" w:oddHBand="0" w:evenHBand="0" w:firstRowFirstColumn="0" w:firstRowLastColumn="0" w:lastRowFirstColumn="0" w:lastRowLastColumn="0"/>
            </w:pPr>
          </w:p>
        </w:tc>
      </w:tr>
      <w:tr w:rsidR="00125B6F" w:rsidRPr="00892DE3" w:rsidTr="006B54AA">
        <w:trPr>
          <w:trHeight w:val="274"/>
        </w:trPr>
        <w:tc>
          <w:tcPr>
            <w:cnfStyle w:val="001000000000" w:firstRow="0" w:lastRow="0" w:firstColumn="1" w:lastColumn="0" w:oddVBand="0" w:evenVBand="0" w:oddHBand="0" w:evenHBand="0" w:firstRowFirstColumn="0" w:firstRowLastColumn="0" w:lastRowFirstColumn="0" w:lastRowLastColumn="0"/>
            <w:tcW w:w="493" w:type="dxa"/>
          </w:tcPr>
          <w:p w:rsidR="00125B6F" w:rsidRPr="00892DE3" w:rsidRDefault="00125B6F" w:rsidP="00301267">
            <w:pPr>
              <w:spacing w:line="276" w:lineRule="auto"/>
              <w:jc w:val="center"/>
              <w:rPr>
                <w:b/>
              </w:rPr>
            </w:pPr>
            <w:r w:rsidRPr="00892DE3">
              <w:rPr>
                <w:b/>
              </w:rPr>
              <w:t>7.</w:t>
            </w:r>
          </w:p>
        </w:tc>
        <w:tc>
          <w:tcPr>
            <w:tcW w:w="7436" w:type="dxa"/>
            <w:gridSpan w:val="2"/>
          </w:tcPr>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 xml:space="preserve">Do you have current ability to direct the relevant activities of the other entity?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301267">
              <w:rPr>
                <w:b/>
                <w:i/>
              </w:rPr>
              <w:t>Note</w:t>
            </w:r>
            <w:r w:rsidRPr="00892DE3">
              <w:rPr>
                <w:i/>
              </w:rPr>
              <w:t>:</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For your entity to control the other entity, you must have the power to require the entity’s assets to be deployed towards achieving your entity’s objectives.</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 xml:space="preserve">Therefore, the ability to deploy resources is relevant to assessing whether your entity has power over the other entity. Restrictions on the ability to deploy resources may reflect barriers that prevent you from exercising them. Examples of barriers may include operational barriers, legal or regulatory restrictions. </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 xml:space="preserve">In addition, the economic dependence of the other entity on you alone is insufficient to determine whether you have current ability to deploy the other entity’s assets. See Item 2 for more guidance on economic dependence. </w:t>
            </w:r>
          </w:p>
        </w:tc>
        <w:tc>
          <w:tcPr>
            <w:tcW w:w="1710" w:type="dxa"/>
          </w:tcPr>
          <w:p w:rsidR="00125B6F" w:rsidRPr="00892DE3" w:rsidRDefault="00125B6F" w:rsidP="00301267">
            <w:pPr>
              <w:pStyle w:val="Tabletext"/>
              <w:spacing w:line="276" w:lineRule="auto"/>
              <w:cnfStyle w:val="000000000000" w:firstRow="0" w:lastRow="0" w:firstColumn="0" w:lastColumn="0" w:oddVBand="0" w:evenVBand="0" w:oddHBand="0" w:evenHBand="0" w:firstRowFirstColumn="0" w:firstRowLastColumn="0" w:lastRowFirstColumn="0" w:lastRowLastColumn="0"/>
            </w:pPr>
          </w:p>
        </w:tc>
      </w:tr>
      <w:tr w:rsidR="00125B6F" w:rsidRPr="00892DE3" w:rsidTr="006B54AA">
        <w:trPr>
          <w:trHeight w:val="535"/>
        </w:trPr>
        <w:tc>
          <w:tcPr>
            <w:cnfStyle w:val="001000000000" w:firstRow="0" w:lastRow="0" w:firstColumn="1" w:lastColumn="0" w:oddVBand="0" w:evenVBand="0" w:oddHBand="0" w:evenHBand="0" w:firstRowFirstColumn="0" w:firstRowLastColumn="0" w:lastRowFirstColumn="0" w:lastRowLastColumn="0"/>
            <w:tcW w:w="493" w:type="dxa"/>
          </w:tcPr>
          <w:p w:rsidR="00125B6F" w:rsidRPr="00892DE3" w:rsidRDefault="00125B6F" w:rsidP="00301267">
            <w:pPr>
              <w:spacing w:line="276" w:lineRule="auto"/>
              <w:jc w:val="center"/>
              <w:rPr>
                <w:b/>
              </w:rPr>
            </w:pPr>
            <w:r w:rsidRPr="00892DE3">
              <w:rPr>
                <w:b/>
              </w:rPr>
              <w:t>8.</w:t>
            </w:r>
          </w:p>
        </w:tc>
        <w:tc>
          <w:tcPr>
            <w:tcW w:w="7436" w:type="dxa"/>
            <w:gridSpan w:val="2"/>
          </w:tcPr>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What’s the nature of rights held by you over the other entity? Are they only substantive rights, or only protective rights or both?</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301267">
              <w:rPr>
                <w:b/>
                <w:i/>
              </w:rPr>
              <w:t>Note</w:t>
            </w:r>
            <w:r w:rsidRPr="00892DE3">
              <w:rPr>
                <w:i/>
              </w:rPr>
              <w:t>:</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For a right to be substantive and to meet the ‘power’ test, you must have the practical ability to exercise that right when decisions about the directions of relevant activities need to be made. Accordingly, you need to consider what are the relevant activities of the other entity, including the nature of returns to determine whether you have power.</w:t>
            </w:r>
          </w:p>
          <w:p w:rsidR="00125B6F" w:rsidRPr="00892DE3" w:rsidRDefault="00125B6F"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Examples of substantive rights include rights to:</w:t>
            </w:r>
          </w:p>
          <w:p w:rsidR="00125B6F" w:rsidRPr="00892DE3" w:rsidRDefault="00125B6F"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give policy directions to the governing body of the other entity that give you the ability to direct the relevant activities of the other entity;</w:t>
            </w:r>
          </w:p>
          <w:p w:rsidR="00125B6F" w:rsidRPr="00892DE3" w:rsidRDefault="00125B6F"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approve or veto operating and capital budgets relating to the relevant activities of the other entity;</w:t>
            </w:r>
          </w:p>
          <w:p w:rsidR="00125B6F" w:rsidRPr="00892DE3" w:rsidRDefault="00125B6F"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appoint, or remove the entity’s key management personnel; or</w:t>
            </w:r>
          </w:p>
          <w:p w:rsidR="00E05023" w:rsidRDefault="00125B6F" w:rsidP="00E05023">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enter into, or veto transactions that would benefit you.</w:t>
            </w:r>
          </w:p>
          <w:p w:rsidR="00E05023" w:rsidRPr="00892DE3" w:rsidRDefault="00E05023" w:rsidP="00E05023">
            <w:pPr>
              <w:spacing w:line="276" w:lineRule="auto"/>
              <w:cnfStyle w:val="000000000000" w:firstRow="0" w:lastRow="0" w:firstColumn="0" w:lastColumn="0" w:oddVBand="0" w:evenVBand="0" w:oddHBand="0" w:evenHBand="0" w:firstRowFirstColumn="0" w:firstRowLastColumn="0" w:lastRowFirstColumn="0" w:lastRowLastColumn="0"/>
            </w:pPr>
            <w:r w:rsidRPr="00892DE3">
              <w:t>Conversely, protective rights are designed to protect your interest without giving you power over the other entity, which those rights relate to. If you only have protective rights in relation to the other entity, you do not have power, or you cannot prevent another party having power over the other entity.</w:t>
            </w:r>
          </w:p>
          <w:p w:rsidR="00E05023" w:rsidRPr="00892DE3" w:rsidRDefault="00E05023" w:rsidP="00E05023">
            <w:pPr>
              <w:spacing w:line="276" w:lineRule="auto"/>
              <w:cnfStyle w:val="000000000000" w:firstRow="0" w:lastRow="0" w:firstColumn="0" w:lastColumn="0" w:oddVBand="0" w:evenVBand="0" w:oddHBand="0" w:evenHBand="0" w:firstRowFirstColumn="0" w:firstRowLastColumn="0" w:lastRowFirstColumn="0" w:lastRowLastColumn="0"/>
            </w:pPr>
            <w:r w:rsidRPr="00892DE3">
              <w:t>Examples of protective rights include:</w:t>
            </w:r>
          </w:p>
          <w:p w:rsidR="00E05023" w:rsidRPr="00892DE3" w:rsidRDefault="00E05023" w:rsidP="00E05023">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regulatory power that imposes conditions or sanctions on the other entity’s operation in restricted circumstances (e.g. breaching of environmental regulations);</w:t>
            </w:r>
          </w:p>
          <w:p w:rsidR="00E05023" w:rsidRPr="00892DE3" w:rsidRDefault="00E05023" w:rsidP="00E05023">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 xml:space="preserve">the right of a regulator to curtail or close the operation of entities that breach regulations or other requirements; </w:t>
            </w:r>
          </w:p>
          <w:p w:rsidR="00E05023" w:rsidRPr="00892DE3" w:rsidRDefault="00E05023" w:rsidP="00E05023">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the right to remove or appoint members of the governing body of another entity under certain restricted circumstances (e.g. failure to comply with performance standards).</w:t>
            </w:r>
          </w:p>
          <w:p w:rsidR="00E05023" w:rsidRPr="00E05023" w:rsidRDefault="00E05023" w:rsidP="00E05023">
            <w:pPr>
              <w:pStyle w:val="ListBullet"/>
              <w:numPr>
                <w:ilvl w:val="0"/>
                <w:numId w:val="0"/>
              </w:numPr>
              <w:spacing w:line="276" w:lineRule="auto"/>
              <w:ind w:left="284" w:hanging="284"/>
              <w:cnfStyle w:val="000000000000" w:firstRow="0" w:lastRow="0" w:firstColumn="0" w:lastColumn="0" w:oddVBand="0" w:evenVBand="0" w:oddHBand="0" w:evenHBand="0" w:firstRowFirstColumn="0" w:firstRowLastColumn="0" w:lastRowFirstColumn="0" w:lastRowLastColumn="0"/>
            </w:pPr>
            <w:r w:rsidRPr="00892DE3">
              <w:t>In many cases, you may have a mixed of substantive rights and protective rights. To assess power, only substantive rights should be considered. However, not all substantive rights will give rise to power, as the substantive rights need to relate to the activities that significantly affect the investee entity’s returns (i.e. the relevant activities). Accordingly, you also need to consider what are the relevant activities of the investee entity, including the nature of returns when determining whether you have power.</w:t>
            </w:r>
          </w:p>
        </w:tc>
        <w:tc>
          <w:tcPr>
            <w:tcW w:w="1710" w:type="dxa"/>
          </w:tcPr>
          <w:p w:rsidR="00125B6F" w:rsidRPr="00892DE3" w:rsidRDefault="00125B6F" w:rsidP="00301267">
            <w:pPr>
              <w:pStyle w:val="Tabletext"/>
              <w:spacing w:line="276" w:lineRule="auto"/>
              <w:cnfStyle w:val="000000000000" w:firstRow="0" w:lastRow="0" w:firstColumn="0" w:lastColumn="0" w:oddVBand="0" w:evenVBand="0" w:oddHBand="0" w:evenHBand="0" w:firstRowFirstColumn="0" w:firstRowLastColumn="0" w:lastRowFirstColumn="0" w:lastRowLastColumn="0"/>
            </w:pPr>
          </w:p>
        </w:tc>
      </w:tr>
      <w:tr w:rsidR="00E05023" w:rsidRPr="00892DE3" w:rsidTr="006B54AA">
        <w:trPr>
          <w:trHeight w:val="535"/>
        </w:trPr>
        <w:tc>
          <w:tcPr>
            <w:cnfStyle w:val="001000000000" w:firstRow="0" w:lastRow="0" w:firstColumn="1" w:lastColumn="0" w:oddVBand="0" w:evenVBand="0" w:oddHBand="0" w:evenHBand="0" w:firstRowFirstColumn="0" w:firstRowLastColumn="0" w:lastRowFirstColumn="0" w:lastRowLastColumn="0"/>
            <w:tcW w:w="493" w:type="dxa"/>
          </w:tcPr>
          <w:p w:rsidR="00E05023" w:rsidRPr="00892DE3" w:rsidRDefault="00E05023" w:rsidP="007052D4">
            <w:pPr>
              <w:spacing w:line="276" w:lineRule="auto"/>
              <w:ind w:left="0" w:firstLine="0"/>
              <w:jc w:val="center"/>
              <w:rPr>
                <w:b/>
              </w:rPr>
            </w:pPr>
            <w:r w:rsidRPr="00892DE3">
              <w:rPr>
                <w:b/>
              </w:rPr>
              <w:t>9.</w:t>
            </w:r>
          </w:p>
        </w:tc>
        <w:tc>
          <w:tcPr>
            <w:tcW w:w="7436" w:type="dxa"/>
            <w:gridSpan w:val="2"/>
          </w:tcPr>
          <w:p w:rsidR="00E05023" w:rsidRPr="00892DE3" w:rsidRDefault="00E05023" w:rsidP="007052D4">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Is the authority that the other entity operates under subject to any limitations through regulatory powers imposed by you or the State?</w:t>
            </w:r>
          </w:p>
        </w:tc>
        <w:tc>
          <w:tcPr>
            <w:tcW w:w="1710" w:type="dxa"/>
          </w:tcPr>
          <w:p w:rsidR="00E05023" w:rsidRPr="00892DE3" w:rsidRDefault="00E05023" w:rsidP="007052D4">
            <w:pPr>
              <w:pStyle w:val="Tabletext"/>
              <w:spacing w:line="276" w:lineRule="auto"/>
              <w:cnfStyle w:val="000000000000" w:firstRow="0" w:lastRow="0" w:firstColumn="0" w:lastColumn="0" w:oddVBand="0" w:evenVBand="0" w:oddHBand="0" w:evenHBand="0" w:firstRowFirstColumn="0" w:firstRowLastColumn="0" w:lastRowFirstColumn="0" w:lastRowLastColumn="0"/>
            </w:pPr>
          </w:p>
        </w:tc>
      </w:tr>
      <w:tr w:rsidR="00E05023" w:rsidRPr="00892DE3" w:rsidTr="00EC0147">
        <w:trPr>
          <w:trHeight w:val="275"/>
        </w:trPr>
        <w:tc>
          <w:tcPr>
            <w:cnfStyle w:val="001000000000" w:firstRow="0" w:lastRow="0" w:firstColumn="1" w:lastColumn="0" w:oddVBand="0" w:evenVBand="0" w:oddHBand="0" w:evenHBand="0" w:firstRowFirstColumn="0" w:firstRowLastColumn="0" w:lastRowFirstColumn="0" w:lastRowLastColumn="0"/>
            <w:tcW w:w="9639" w:type="dxa"/>
            <w:gridSpan w:val="4"/>
            <w:tcBorders>
              <w:bottom w:val="nil"/>
            </w:tcBorders>
            <w:shd w:val="clear" w:color="auto" w:fill="BFBFBF" w:themeFill="background1" w:themeFillShade="BF"/>
          </w:tcPr>
          <w:p w:rsidR="00E05023" w:rsidRPr="00892DE3" w:rsidRDefault="00E05023" w:rsidP="00301267">
            <w:pPr>
              <w:spacing w:line="276" w:lineRule="auto"/>
              <w:rPr>
                <w:b/>
                <w:i/>
              </w:rPr>
            </w:pPr>
            <w:r w:rsidRPr="00892DE3">
              <w:rPr>
                <w:b/>
                <w:i/>
              </w:rPr>
              <w:t xml:space="preserve">Assessment for criterion (i): </w:t>
            </w:r>
          </w:p>
        </w:tc>
      </w:tr>
      <w:tr w:rsidR="00E05023" w:rsidRPr="00892DE3" w:rsidTr="00EC0147">
        <w:trPr>
          <w:trHeight w:val="489"/>
        </w:trPr>
        <w:tc>
          <w:tcPr>
            <w:cnfStyle w:val="001000000000" w:firstRow="0" w:lastRow="0" w:firstColumn="1" w:lastColumn="0" w:oddVBand="0" w:evenVBand="0" w:oddHBand="0" w:evenHBand="0" w:firstRowFirstColumn="0" w:firstRowLastColumn="0" w:lastRowFirstColumn="0" w:lastRowLastColumn="0"/>
            <w:tcW w:w="9639" w:type="dxa"/>
            <w:gridSpan w:val="4"/>
            <w:tcBorders>
              <w:top w:val="nil"/>
            </w:tcBorders>
            <w:shd w:val="clear" w:color="auto" w:fill="BFBFBF" w:themeFill="background1" w:themeFillShade="BF"/>
          </w:tcPr>
          <w:p w:rsidR="00E05023" w:rsidRPr="00892DE3" w:rsidRDefault="00E05023" w:rsidP="00301267">
            <w:pPr>
              <w:spacing w:line="276" w:lineRule="auto"/>
              <w:ind w:left="0" w:firstLine="0"/>
            </w:pPr>
            <w:r w:rsidRPr="00892DE3">
              <w:t xml:space="preserve">Your entity will satisfy Criterion (i) if you have a current ability to affect the relevant activities of the other entity that significantly affect its returns. </w:t>
            </w:r>
          </w:p>
          <w:p w:rsidR="00E05023" w:rsidRPr="00892DE3" w:rsidRDefault="00E05023" w:rsidP="00301267">
            <w:pPr>
              <w:spacing w:line="276" w:lineRule="auto"/>
              <w:ind w:left="0" w:firstLine="0"/>
            </w:pPr>
            <w:r w:rsidRPr="00892DE3">
              <w:t>The closer the activities directed by you relate to the other entity’s primary objectives, the greater is the impact expected on the other entity’s returns, and as a result, the greater involvement/power over the other entity.</w:t>
            </w:r>
          </w:p>
        </w:tc>
      </w:tr>
      <w:tr w:rsidR="00E05023" w:rsidRPr="00892DE3" w:rsidTr="00EC0147">
        <w:trPr>
          <w:trHeight w:val="238"/>
        </w:trPr>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A6A6A6" w:themeFill="background1" w:themeFillShade="A6"/>
          </w:tcPr>
          <w:p w:rsidR="00E05023" w:rsidRPr="00892DE3" w:rsidRDefault="00E05023" w:rsidP="00301267">
            <w:pPr>
              <w:pStyle w:val="TableHeading"/>
              <w:keepNext w:val="0"/>
              <w:spacing w:before="60" w:line="276" w:lineRule="auto"/>
            </w:pPr>
            <w:r w:rsidRPr="00892DE3">
              <w:t>Criterion (ii): Exposure or rights to variable returns from its involvement with the investee</w:t>
            </w:r>
          </w:p>
          <w:p w:rsidR="00E05023" w:rsidRPr="00892DE3" w:rsidRDefault="00E05023" w:rsidP="00301267">
            <w:pPr>
              <w:spacing w:line="276" w:lineRule="auto"/>
              <w:ind w:left="0" w:firstLine="0"/>
            </w:pPr>
            <w:r w:rsidRPr="00892DE3">
              <w:t>Questions 10</w:t>
            </w:r>
            <w:r w:rsidRPr="00892DE3">
              <w:noBreakHyphen/>
              <w:t>12 are to help you assess whether you have exposure or rights to variable returns of the other entity. Your involvement with the other entity may give rise to indirect and non</w:t>
            </w:r>
            <w:r w:rsidRPr="00892DE3">
              <w:noBreakHyphen/>
              <w:t>financial returns, such as when achieving or furthering the objectives of the other entity contributes to your objectives.</w:t>
            </w:r>
          </w:p>
        </w:tc>
      </w:tr>
      <w:tr w:rsidR="00E05023" w:rsidRPr="00892DE3" w:rsidTr="006B54AA">
        <w:trPr>
          <w:trHeight w:val="144"/>
        </w:trPr>
        <w:tc>
          <w:tcPr>
            <w:cnfStyle w:val="001000000000" w:firstRow="0" w:lastRow="0" w:firstColumn="1" w:lastColumn="0" w:oddVBand="0" w:evenVBand="0" w:oddHBand="0" w:evenHBand="0" w:firstRowFirstColumn="0" w:firstRowLastColumn="0" w:lastRowFirstColumn="0" w:lastRowLastColumn="0"/>
            <w:tcW w:w="493" w:type="dxa"/>
          </w:tcPr>
          <w:p w:rsidR="00E05023" w:rsidRPr="00892DE3" w:rsidRDefault="00E05023" w:rsidP="00301267">
            <w:pPr>
              <w:spacing w:line="276" w:lineRule="auto"/>
              <w:jc w:val="center"/>
              <w:rPr>
                <w:b/>
              </w:rPr>
            </w:pPr>
            <w:r w:rsidRPr="00892DE3">
              <w:rPr>
                <w:b/>
              </w:rPr>
              <w:t>10.</w:t>
            </w:r>
          </w:p>
        </w:tc>
        <w:tc>
          <w:tcPr>
            <w:tcW w:w="7436" w:type="dxa"/>
            <w:gridSpan w:val="2"/>
          </w:tcPr>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What is the nature of returns</w:t>
            </w:r>
            <w:r w:rsidRPr="00055477">
              <w:rPr>
                <w:b/>
                <w:vertAlign w:val="superscript"/>
              </w:rPr>
              <w:footnoteReference w:id="4"/>
            </w:r>
            <w:r w:rsidRPr="00892DE3">
              <w:rPr>
                <w:b/>
              </w:rPr>
              <w:t xml:space="preserve"> in the other entity? Are they financial/non</w:t>
            </w:r>
            <w:r w:rsidRPr="00892DE3">
              <w:rPr>
                <w:b/>
              </w:rPr>
              <w:noBreakHyphen/>
              <w:t xml:space="preserve">financial? Does it include achievement, or furtherance of your objectives? </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892DE3">
              <w:rPr>
                <w:i/>
              </w:rPr>
              <w:t>Note:</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AASB 10 suggests that the scope of the nature of returns is broad for not</w:t>
            </w:r>
            <w:r w:rsidRPr="00892DE3">
              <w:noBreakHyphen/>
              <w:t>for</w:t>
            </w:r>
            <w:r w:rsidRPr="00892DE3">
              <w:noBreakHyphen/>
              <w:t>profit entities. It encompasses financial, non</w:t>
            </w:r>
            <w:r w:rsidRPr="00892DE3">
              <w:noBreakHyphen/>
              <w:t>financial, direct, and indirect benefits, whether positive or negative, including the achievement or furtherance of the investor’s objectives.</w:t>
            </w:r>
          </w:p>
        </w:tc>
        <w:tc>
          <w:tcPr>
            <w:tcW w:w="1710" w:type="dxa"/>
          </w:tcPr>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p>
        </w:tc>
      </w:tr>
      <w:tr w:rsidR="00E05023" w:rsidRPr="00892DE3" w:rsidTr="006B54AA">
        <w:trPr>
          <w:trHeight w:val="250"/>
        </w:trPr>
        <w:tc>
          <w:tcPr>
            <w:cnfStyle w:val="001000000000" w:firstRow="0" w:lastRow="0" w:firstColumn="1" w:lastColumn="0" w:oddVBand="0" w:evenVBand="0" w:oddHBand="0" w:evenHBand="0" w:firstRowFirstColumn="0" w:firstRowLastColumn="0" w:lastRowFirstColumn="0" w:lastRowLastColumn="0"/>
            <w:tcW w:w="493" w:type="dxa"/>
          </w:tcPr>
          <w:p w:rsidR="00E05023" w:rsidRPr="00892DE3" w:rsidRDefault="00E05023" w:rsidP="00301267">
            <w:pPr>
              <w:spacing w:line="276" w:lineRule="auto"/>
              <w:jc w:val="center"/>
              <w:rPr>
                <w:b/>
              </w:rPr>
            </w:pPr>
            <w:r w:rsidRPr="00892DE3">
              <w:rPr>
                <w:b/>
              </w:rPr>
              <w:t>11.</w:t>
            </w:r>
          </w:p>
        </w:tc>
        <w:tc>
          <w:tcPr>
            <w:tcW w:w="7436" w:type="dxa"/>
            <w:gridSpan w:val="2"/>
          </w:tcPr>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Do you have any exposure to the variability of returns of the other entity?</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892DE3">
              <w:rPr>
                <w:i/>
              </w:rPr>
              <w:t>Note:</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The greater the magnitude of, and variability associated with the return, the more likely you are acting as a principal, rather than as an agent, of the other entity.</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In the public sector, achievement of common objectives will be a key indicator to determine if you have exposure to the variable returns of the other entity.</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In terms of the variability of returns, it should be noted that:</w:t>
            </w:r>
          </w:p>
          <w:p w:rsidR="00E05023" w:rsidRPr="00892DE3" w:rsidRDefault="00E05023"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variable returns are returns that are not fixed and have the potential to vary as a result of the performance of the other entity; and</w:t>
            </w:r>
          </w:p>
          <w:p w:rsidR="00E05023" w:rsidRPr="00892DE3" w:rsidRDefault="00E05023" w:rsidP="00301267">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892DE3">
              <w:t>your entity’s exposure to the variable returns can be positive, negative or both.</w:t>
            </w:r>
          </w:p>
        </w:tc>
        <w:tc>
          <w:tcPr>
            <w:tcW w:w="1710" w:type="dxa"/>
          </w:tcPr>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p>
        </w:tc>
      </w:tr>
      <w:tr w:rsidR="00E05023" w:rsidRPr="00892DE3" w:rsidTr="006B54AA">
        <w:trPr>
          <w:trHeight w:val="1425"/>
        </w:trPr>
        <w:tc>
          <w:tcPr>
            <w:cnfStyle w:val="001000000000" w:firstRow="0" w:lastRow="0" w:firstColumn="1" w:lastColumn="0" w:oddVBand="0" w:evenVBand="0" w:oddHBand="0" w:evenHBand="0" w:firstRowFirstColumn="0" w:firstRowLastColumn="0" w:lastRowFirstColumn="0" w:lastRowLastColumn="0"/>
            <w:tcW w:w="493" w:type="dxa"/>
          </w:tcPr>
          <w:p w:rsidR="00E05023" w:rsidRPr="00892DE3" w:rsidRDefault="00E05023" w:rsidP="00301267">
            <w:pPr>
              <w:spacing w:line="276" w:lineRule="auto"/>
              <w:jc w:val="center"/>
              <w:rPr>
                <w:b/>
              </w:rPr>
            </w:pPr>
            <w:r w:rsidRPr="00892DE3">
              <w:rPr>
                <w:b/>
              </w:rPr>
              <w:t>12.</w:t>
            </w:r>
          </w:p>
        </w:tc>
        <w:tc>
          <w:tcPr>
            <w:tcW w:w="7436" w:type="dxa"/>
            <w:gridSpan w:val="2"/>
          </w:tcPr>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 xml:space="preserve">Are you exposed to any risks arising from the existence of the other entity? </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892DE3">
              <w:rPr>
                <w:i/>
              </w:rPr>
              <w:t>Note:</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 xml:space="preserve">As the returns are variable and can be positive or negative, this could expose you to the risks of the other entity. Therefore, you should consider the risks of the other entity when evaluating the purpose of design of the entity, including any impact of those risks on you and other parties involved in the arrangement. </w:t>
            </w:r>
          </w:p>
        </w:tc>
        <w:tc>
          <w:tcPr>
            <w:tcW w:w="1710" w:type="dxa"/>
          </w:tcPr>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p>
        </w:tc>
      </w:tr>
      <w:tr w:rsidR="00E05023" w:rsidRPr="00892DE3" w:rsidTr="00EC0147">
        <w:trPr>
          <w:trHeight w:val="144"/>
        </w:trPr>
        <w:tc>
          <w:tcPr>
            <w:cnfStyle w:val="001000000000" w:firstRow="0" w:lastRow="0" w:firstColumn="1" w:lastColumn="0" w:oddVBand="0" w:evenVBand="0" w:oddHBand="0" w:evenHBand="0" w:firstRowFirstColumn="0" w:firstRowLastColumn="0" w:lastRowFirstColumn="0" w:lastRowLastColumn="0"/>
            <w:tcW w:w="9639" w:type="dxa"/>
            <w:gridSpan w:val="4"/>
            <w:tcBorders>
              <w:bottom w:val="nil"/>
            </w:tcBorders>
            <w:shd w:val="clear" w:color="auto" w:fill="BFBFBF" w:themeFill="background1" w:themeFillShade="BF"/>
          </w:tcPr>
          <w:p w:rsidR="00E05023" w:rsidRPr="00892DE3" w:rsidRDefault="00E05023" w:rsidP="00301267">
            <w:pPr>
              <w:spacing w:line="276" w:lineRule="auto"/>
              <w:ind w:left="0" w:firstLine="0"/>
              <w:rPr>
                <w:b/>
                <w:i/>
              </w:rPr>
            </w:pPr>
            <w:r w:rsidRPr="00892DE3">
              <w:rPr>
                <w:b/>
                <w:i/>
              </w:rPr>
              <w:t xml:space="preserve">Assessment for criterion (ii): </w:t>
            </w:r>
          </w:p>
        </w:tc>
      </w:tr>
      <w:tr w:rsidR="00E05023" w:rsidRPr="00892DE3" w:rsidTr="00EC0147">
        <w:trPr>
          <w:trHeight w:val="144"/>
        </w:trPr>
        <w:tc>
          <w:tcPr>
            <w:cnfStyle w:val="001000000000" w:firstRow="0" w:lastRow="0" w:firstColumn="1" w:lastColumn="0" w:oddVBand="0" w:evenVBand="0" w:oddHBand="0" w:evenHBand="0" w:firstRowFirstColumn="0" w:firstRowLastColumn="0" w:lastRowFirstColumn="0" w:lastRowLastColumn="0"/>
            <w:tcW w:w="9639" w:type="dxa"/>
            <w:gridSpan w:val="4"/>
            <w:tcBorders>
              <w:top w:val="nil"/>
            </w:tcBorders>
            <w:shd w:val="clear" w:color="auto" w:fill="BFBFBF" w:themeFill="background1" w:themeFillShade="BF"/>
          </w:tcPr>
          <w:p w:rsidR="00E05023" w:rsidRPr="00892DE3" w:rsidRDefault="00E05023" w:rsidP="00301267">
            <w:pPr>
              <w:spacing w:line="276" w:lineRule="auto"/>
              <w:ind w:left="0" w:firstLine="0"/>
            </w:pPr>
            <w:r w:rsidRPr="00892DE3">
              <w:t xml:space="preserve">When </w:t>
            </w:r>
            <w:r w:rsidRPr="006B54AA">
              <w:t>assessing ‘returns’, AASB 10 intends to keep the scope of returns to be broad in the context of the not</w:t>
            </w:r>
            <w:r w:rsidRPr="006B54AA">
              <w:noBreakHyphen/>
              <w:t>for</w:t>
            </w:r>
            <w:r w:rsidRPr="006B54AA">
              <w:noBreakHyphen/>
              <w:t>profit (NFP) entities. Your entity will satisfy criterion (ii) if you have exposure, or rights to variable returns of the other entity, which could be both financial and non</w:t>
            </w:r>
            <w:r w:rsidRPr="006B54AA">
              <w:noBreakHyphen/>
              <w:t>financial in nature.</w:t>
            </w:r>
            <w:r w:rsidRPr="00892DE3">
              <w:t xml:space="preserve"> </w:t>
            </w:r>
          </w:p>
        </w:tc>
      </w:tr>
      <w:tr w:rsidR="00E05023" w:rsidRPr="00892DE3" w:rsidTr="00EC0147">
        <w:trPr>
          <w:trHeight w:val="144"/>
        </w:trPr>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A6A6A6" w:themeFill="background1" w:themeFillShade="A6"/>
          </w:tcPr>
          <w:p w:rsidR="00E05023" w:rsidRPr="00892DE3" w:rsidRDefault="00E05023" w:rsidP="00DD0F6C">
            <w:pPr>
              <w:pStyle w:val="TableHeading"/>
              <w:tabs>
                <w:tab w:val="clear" w:pos="1134"/>
                <w:tab w:val="left" w:pos="0"/>
              </w:tabs>
              <w:spacing w:before="60" w:line="276" w:lineRule="auto"/>
              <w:ind w:left="1248" w:hanging="1248"/>
            </w:pPr>
            <w:r w:rsidRPr="00892DE3">
              <w:t xml:space="preserve">Criterion (iii): </w:t>
            </w:r>
            <w:r w:rsidRPr="00892DE3">
              <w:tab/>
              <w:t>The ability to use its power over the investee to affect the amount of the investor’s returns</w:t>
            </w:r>
            <w:r w:rsidRPr="00892DE3" w:rsidDel="007676F6">
              <w:t xml:space="preserve"> </w:t>
            </w:r>
            <w:r w:rsidRPr="00892DE3">
              <w:t xml:space="preserve">– questions 13 and 14 are to assist you in examining whether you can use the power over the other entity to affect the returns. </w:t>
            </w:r>
          </w:p>
        </w:tc>
      </w:tr>
      <w:tr w:rsidR="00E05023" w:rsidRPr="00892DE3" w:rsidTr="006B54AA">
        <w:trPr>
          <w:trHeight w:val="144"/>
        </w:trPr>
        <w:tc>
          <w:tcPr>
            <w:cnfStyle w:val="001000000000" w:firstRow="0" w:lastRow="0" w:firstColumn="1" w:lastColumn="0" w:oddVBand="0" w:evenVBand="0" w:oddHBand="0" w:evenHBand="0" w:firstRowFirstColumn="0" w:firstRowLastColumn="0" w:lastRowFirstColumn="0" w:lastRowLastColumn="0"/>
            <w:tcW w:w="542" w:type="dxa"/>
            <w:gridSpan w:val="2"/>
          </w:tcPr>
          <w:p w:rsidR="00E05023" w:rsidRPr="00892DE3" w:rsidRDefault="00E05023" w:rsidP="00301267">
            <w:pPr>
              <w:spacing w:line="276" w:lineRule="auto"/>
              <w:jc w:val="center"/>
              <w:rPr>
                <w:b/>
              </w:rPr>
            </w:pPr>
            <w:r w:rsidRPr="00892DE3">
              <w:rPr>
                <w:b/>
              </w:rPr>
              <w:t>13.</w:t>
            </w:r>
          </w:p>
        </w:tc>
        <w:tc>
          <w:tcPr>
            <w:tcW w:w="7387" w:type="dxa"/>
          </w:tcPr>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What is the scope of decision</w:t>
            </w:r>
            <w:r w:rsidRPr="00892DE3">
              <w:rPr>
                <w:b/>
              </w:rPr>
              <w:noBreakHyphen/>
              <w:t xml:space="preserve">making authority held by yourself to affect your returns? </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892DE3">
              <w:rPr>
                <w:i/>
              </w:rPr>
              <w:t>Note:</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The scope of the decision</w:t>
            </w:r>
            <w:r w:rsidRPr="00892DE3">
              <w:noBreakHyphen/>
              <w:t>making authority will determine whether criterion (iii) is met or not. A restricted decision</w:t>
            </w:r>
            <w:r w:rsidRPr="00892DE3">
              <w:noBreakHyphen/>
              <w:t>making authority could mean you are only acting as an agent and therefore does not control over the other entity.</w:t>
            </w:r>
          </w:p>
        </w:tc>
        <w:tc>
          <w:tcPr>
            <w:tcW w:w="1710" w:type="dxa"/>
          </w:tcPr>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p>
        </w:tc>
      </w:tr>
      <w:tr w:rsidR="00E05023" w:rsidRPr="00892DE3" w:rsidTr="006B54AA">
        <w:trPr>
          <w:trHeight w:val="144"/>
        </w:trPr>
        <w:tc>
          <w:tcPr>
            <w:cnfStyle w:val="001000000000" w:firstRow="0" w:lastRow="0" w:firstColumn="1" w:lastColumn="0" w:oddVBand="0" w:evenVBand="0" w:oddHBand="0" w:evenHBand="0" w:firstRowFirstColumn="0" w:firstRowLastColumn="0" w:lastRowFirstColumn="0" w:lastRowLastColumn="0"/>
            <w:tcW w:w="542" w:type="dxa"/>
            <w:gridSpan w:val="2"/>
          </w:tcPr>
          <w:p w:rsidR="00E05023" w:rsidRPr="00892DE3" w:rsidRDefault="00E05023" w:rsidP="00301267">
            <w:pPr>
              <w:spacing w:line="276" w:lineRule="auto"/>
              <w:jc w:val="center"/>
              <w:rPr>
                <w:b/>
              </w:rPr>
            </w:pPr>
            <w:r w:rsidRPr="00892DE3">
              <w:rPr>
                <w:b/>
              </w:rPr>
              <w:t>14.</w:t>
            </w:r>
          </w:p>
        </w:tc>
        <w:tc>
          <w:tcPr>
            <w:tcW w:w="7387" w:type="dxa"/>
          </w:tcPr>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rPr>
                <w:b/>
              </w:rPr>
            </w:pPr>
            <w:r w:rsidRPr="00892DE3">
              <w:rPr>
                <w:b/>
              </w:rPr>
              <w:t>Is the authority a mere delegated power to act on behalf of the responsible Minister? Or do you have discretion of the authority and the direction of which is not specified by the relevant Minister?</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rPr>
                <w:i/>
              </w:rPr>
            </w:pPr>
            <w:r w:rsidRPr="00892DE3">
              <w:rPr>
                <w:i/>
              </w:rPr>
              <w:t>Note:</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 xml:space="preserve">From the department’s perspective, a department acts as an agent of the responsible Minister in relation to the investee entity when the department is merely authorised by the Minister to act on the Minister’s behalf. For example, a department may act as a ‘system manager’ for the State health service systems. Its role includes providing strategic leadership, directions to the hospitals for the delivery of health services, or monitoring the hospitals’ performance. However, ministerial approval is specifically required for the hospitals’ operational or budgetary activities. In this case, the department acts only as an agent on behalf of the Minister, who controls the hospitals. Therefore, the hospitals will be consolidated into the State’s financial reports. </w:t>
            </w:r>
          </w:p>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r w:rsidRPr="00892DE3">
              <w:t>Alternatively, a department may act as a principal under a delegation of powers from the Minister if it is able to exercise its own discretion, and is not subject to specific directions by the Minister. In the previous example, if the department head has been delegated by the Minister to make specific decisions in relation to the operating and investing activities of the hospitals, e.g. appointment of the governing bodies of the hospitals, approval or veto service agreements, this indicates that the department is acting on its own discretion, and may have control if other criteria are also met.</w:t>
            </w:r>
          </w:p>
        </w:tc>
        <w:tc>
          <w:tcPr>
            <w:tcW w:w="1710" w:type="dxa"/>
          </w:tcPr>
          <w:p w:rsidR="00E05023" w:rsidRPr="00892DE3" w:rsidRDefault="00E05023" w:rsidP="00301267">
            <w:pPr>
              <w:spacing w:line="276" w:lineRule="auto"/>
              <w:cnfStyle w:val="000000000000" w:firstRow="0" w:lastRow="0" w:firstColumn="0" w:lastColumn="0" w:oddVBand="0" w:evenVBand="0" w:oddHBand="0" w:evenHBand="0" w:firstRowFirstColumn="0" w:firstRowLastColumn="0" w:lastRowFirstColumn="0" w:lastRowLastColumn="0"/>
            </w:pPr>
          </w:p>
        </w:tc>
      </w:tr>
      <w:tr w:rsidR="00E05023" w:rsidRPr="00892DE3" w:rsidTr="00EC0147">
        <w:trPr>
          <w:trHeight w:val="144"/>
        </w:trPr>
        <w:tc>
          <w:tcPr>
            <w:cnfStyle w:val="001000000000" w:firstRow="0" w:lastRow="0" w:firstColumn="1" w:lastColumn="0" w:oddVBand="0" w:evenVBand="0" w:oddHBand="0" w:evenHBand="0" w:firstRowFirstColumn="0" w:firstRowLastColumn="0" w:lastRowFirstColumn="0" w:lastRowLastColumn="0"/>
            <w:tcW w:w="9639" w:type="dxa"/>
            <w:gridSpan w:val="4"/>
            <w:tcBorders>
              <w:bottom w:val="nil"/>
            </w:tcBorders>
            <w:shd w:val="clear" w:color="auto" w:fill="BFBFBF" w:themeFill="background1" w:themeFillShade="BF"/>
          </w:tcPr>
          <w:p w:rsidR="00E05023" w:rsidRPr="00892DE3" w:rsidRDefault="00E05023" w:rsidP="00301267">
            <w:pPr>
              <w:spacing w:line="276" w:lineRule="auto"/>
              <w:rPr>
                <w:b/>
                <w:i/>
              </w:rPr>
            </w:pPr>
            <w:r w:rsidRPr="00892DE3">
              <w:rPr>
                <w:b/>
                <w:i/>
              </w:rPr>
              <w:t>Assessment for criterion (iii)</w:t>
            </w:r>
          </w:p>
        </w:tc>
      </w:tr>
      <w:tr w:rsidR="00E05023" w:rsidRPr="00892DE3" w:rsidTr="00EC0147">
        <w:trPr>
          <w:trHeight w:val="144"/>
        </w:trPr>
        <w:tc>
          <w:tcPr>
            <w:cnfStyle w:val="001000000000" w:firstRow="0" w:lastRow="0" w:firstColumn="1" w:lastColumn="0" w:oddVBand="0" w:evenVBand="0" w:oddHBand="0" w:evenHBand="0" w:firstRowFirstColumn="0" w:firstRowLastColumn="0" w:lastRowFirstColumn="0" w:lastRowLastColumn="0"/>
            <w:tcW w:w="9639" w:type="dxa"/>
            <w:gridSpan w:val="4"/>
            <w:tcBorders>
              <w:top w:val="nil"/>
            </w:tcBorders>
            <w:shd w:val="clear" w:color="auto" w:fill="BFBFBF" w:themeFill="background1" w:themeFillShade="BF"/>
          </w:tcPr>
          <w:p w:rsidR="00E05023" w:rsidRPr="00892DE3" w:rsidRDefault="00E05023" w:rsidP="00301267">
            <w:pPr>
              <w:spacing w:line="276" w:lineRule="auto"/>
              <w:ind w:left="0" w:firstLine="0"/>
            </w:pPr>
            <w:r w:rsidRPr="00892DE3">
              <w:t xml:space="preserve">Your </w:t>
            </w:r>
            <w:r w:rsidRPr="00DD0F6C">
              <w:t>entity will satisfy criterion (iii) if the scope of your decision</w:t>
            </w:r>
            <w:r w:rsidRPr="00DD0F6C">
              <w:noBreakHyphen/>
              <w:t>making authority is wide enough to provide you with sufficient discretion to direct the activities of the other entity.</w:t>
            </w:r>
          </w:p>
        </w:tc>
      </w:tr>
    </w:tbl>
    <w:p w:rsidR="00125B6F" w:rsidRPr="00892DE3" w:rsidRDefault="00125B6F" w:rsidP="00125B6F"/>
    <w:p w:rsidR="00125B6F" w:rsidRPr="00892DE3" w:rsidRDefault="00125B6F" w:rsidP="00125B6F">
      <w:r w:rsidRPr="00892DE3">
        <w:br w:type="page"/>
      </w:r>
    </w:p>
    <w:p w:rsidR="00125B6F" w:rsidRPr="00892DE3" w:rsidRDefault="00125B6F" w:rsidP="00125B6F">
      <w:pPr>
        <w:pStyle w:val="Heading2nonTOC"/>
      </w:pPr>
      <w:r w:rsidRPr="00892DE3">
        <w:t>Detailed guidance for application of AASB 10 Consolidated Financial Statements</w:t>
      </w:r>
    </w:p>
    <w:p w:rsidR="00125B6F" w:rsidRPr="00892DE3" w:rsidRDefault="00125B6F" w:rsidP="00125B6F">
      <w:r w:rsidRPr="00892DE3">
        <w:t>AASB 10 focuses on ‘control’ in determining whether an entity needs to consolidate another entity. Under AASB 10.7 control is assessed on the following three criteria:</w:t>
      </w:r>
    </w:p>
    <w:p w:rsidR="00125B6F" w:rsidRPr="00892DE3" w:rsidRDefault="00125B6F" w:rsidP="00125B6F">
      <w:pPr>
        <w:pStyle w:val="ListNumber"/>
        <w:numPr>
          <w:ilvl w:val="0"/>
          <w:numId w:val="16"/>
        </w:numPr>
      </w:pPr>
      <w:r w:rsidRPr="00892DE3">
        <w:t>power over the investee;</w:t>
      </w:r>
    </w:p>
    <w:p w:rsidR="00125B6F" w:rsidRPr="00892DE3" w:rsidRDefault="00125B6F" w:rsidP="00125B6F">
      <w:pPr>
        <w:pStyle w:val="ListNumber"/>
      </w:pPr>
      <w:r w:rsidRPr="00892DE3">
        <w:t>exposure, or rights, to variable returns from its involvement with the investee; and</w:t>
      </w:r>
    </w:p>
    <w:p w:rsidR="00125B6F" w:rsidRPr="00892DE3" w:rsidRDefault="00125B6F" w:rsidP="00125B6F">
      <w:pPr>
        <w:pStyle w:val="ListNumber"/>
      </w:pPr>
      <w:r w:rsidRPr="00892DE3">
        <w:t>the ability to use its power over the investee to affect the amount of the investor’s returns.</w:t>
      </w:r>
    </w:p>
    <w:p w:rsidR="00125B6F" w:rsidRPr="00892DE3" w:rsidRDefault="00125B6F" w:rsidP="00125B6F">
      <w:pPr>
        <w:spacing w:after="120"/>
      </w:pPr>
      <w:r w:rsidRPr="00892DE3">
        <w:t>Please note that these elements in isolation do not necessarily result in control as they would need to be assessed at an overall level and tested against the facts and circumstances specific to the entity.</w:t>
      </w:r>
    </w:p>
    <w:p w:rsidR="00125B6F" w:rsidRPr="00892DE3" w:rsidRDefault="00125B6F" w:rsidP="00125B6F">
      <w:r w:rsidRPr="00892DE3">
        <w:t>References below are to the compiled version of AASB 10 as available on the AASB’s website.</w:t>
      </w:r>
    </w:p>
    <w:p w:rsidR="00125B6F" w:rsidRPr="00892DE3" w:rsidRDefault="00125B6F" w:rsidP="00125B6F">
      <w:pPr>
        <w:pStyle w:val="TableHeading"/>
      </w:pPr>
      <w:r w:rsidRPr="00892DE3">
        <w:t>Detailed guidance in relation to the ‘control’ criteria</w:t>
      </w:r>
    </w:p>
    <w:tbl>
      <w:tblPr>
        <w:tblStyle w:val="DTFTextTable"/>
        <w:tblW w:w="5000" w:type="pct"/>
        <w:tblLook w:val="06A0" w:firstRow="1" w:lastRow="0" w:firstColumn="1" w:lastColumn="0" w:noHBand="1" w:noVBand="1"/>
      </w:tblPr>
      <w:tblGrid>
        <w:gridCol w:w="1732"/>
        <w:gridCol w:w="8020"/>
      </w:tblGrid>
      <w:tr w:rsidR="00125B6F" w:rsidRPr="00892DE3" w:rsidTr="00E0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shd w:val="clear" w:color="auto" w:fill="262626" w:themeFill="text1" w:themeFillTint="D9"/>
          </w:tcPr>
          <w:p w:rsidR="00125B6F" w:rsidRPr="00003BC6" w:rsidRDefault="00C26100" w:rsidP="00003BC6">
            <w:pPr>
              <w:spacing w:line="276" w:lineRule="auto"/>
              <w:rPr>
                <w:rFonts w:eastAsia="Tahoma"/>
                <w:b/>
                <w:i w:val="0"/>
                <w:szCs w:val="18"/>
              </w:rPr>
            </w:pPr>
            <w:r>
              <w:rPr>
                <w:b/>
                <w:i w:val="0"/>
                <w:szCs w:val="18"/>
              </w:rPr>
              <w:t xml:space="preserve">(i) </w:t>
            </w:r>
            <w:r w:rsidR="00125B6F" w:rsidRPr="00003BC6">
              <w:rPr>
                <w:b/>
                <w:i w:val="0"/>
                <w:szCs w:val="18"/>
              </w:rPr>
              <w:t xml:space="preserve"> Power over the investee</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Borders>
              <w:bottom w:val="single" w:sz="6" w:space="0" w:color="BFBFBF" w:themeColor="background1" w:themeShade="BF"/>
            </w:tcBorders>
          </w:tcPr>
          <w:p w:rsidR="00125B6F" w:rsidRPr="00892DE3" w:rsidRDefault="00125B6F" w:rsidP="00003BC6">
            <w:pPr>
              <w:spacing w:line="276" w:lineRule="auto"/>
              <w:ind w:left="0" w:firstLine="0"/>
              <w:rPr>
                <w:rFonts w:eastAsia="Tahoma"/>
                <w:szCs w:val="18"/>
              </w:rPr>
            </w:pPr>
            <w:r w:rsidRPr="00892DE3">
              <w:rPr>
                <w:szCs w:val="18"/>
              </w:rPr>
              <w:t>AASB 10.8 and</w:t>
            </w:r>
            <w:r w:rsidRPr="00892DE3" w:rsidDel="00D76A98">
              <w:rPr>
                <w:szCs w:val="18"/>
              </w:rPr>
              <w:t xml:space="preserve"> </w:t>
            </w:r>
            <w:r w:rsidRPr="00892DE3">
              <w:rPr>
                <w:szCs w:val="18"/>
              </w:rPr>
              <w:t>B80</w:t>
            </w:r>
            <w:r w:rsidRPr="00892DE3">
              <w:rPr>
                <w:szCs w:val="18"/>
              </w:rPr>
              <w:noBreakHyphen/>
              <w:t>84</w:t>
            </w:r>
          </w:p>
        </w:tc>
        <w:tc>
          <w:tcPr>
            <w:tcW w:w="4112" w:type="pct"/>
            <w:tcBorders>
              <w:bottom w:val="single" w:sz="6" w:space="0" w:color="BFBFBF" w:themeColor="background1" w:themeShade="BF"/>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The assessment of control should be performed on a continuous basis and the investor entity shall reassess whether it controls the investee entity if the facts and circumstances indicate that there are changes to one or more elements of control.</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ind w:left="0" w:firstLine="0"/>
              <w:rPr>
                <w:rFonts w:eastAsia="Tahoma"/>
                <w:szCs w:val="18"/>
              </w:rPr>
            </w:pPr>
            <w:r w:rsidRPr="00892DE3">
              <w:rPr>
                <w:szCs w:val="18"/>
              </w:rPr>
              <w:t>AASB 10.10</w:t>
            </w:r>
          </w:p>
        </w:tc>
        <w:tc>
          <w:tcPr>
            <w:tcW w:w="4112"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The investor has power over the investee when it has existing rights with the current ability to direct the relevant activities of the investee, which significantly affect the investee’s returns.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[Note the investor does not need to actively direct the investee’s activities as long as there are no barriers preventing the exercise of its rights.]</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ind w:left="0" w:firstLine="0"/>
              <w:rPr>
                <w:rFonts w:eastAsia="Tahoma"/>
                <w:szCs w:val="18"/>
              </w:rPr>
            </w:pPr>
            <w:r w:rsidRPr="00892DE3">
              <w:rPr>
                <w:szCs w:val="18"/>
              </w:rPr>
              <w:t>AASB10.IG5</w:t>
            </w:r>
          </w:p>
        </w:tc>
        <w:tc>
          <w:tcPr>
            <w:tcW w:w="4112"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The investor has power over the investee when the investor can direct the investee to deploy its assets or incur liabilities in a way that affects the investee’s returns (e.g. in providing goods/services to the investor, or assist in achieving or furthering the investor’s objectives). </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ind w:left="0" w:firstLine="0"/>
              <w:rPr>
                <w:rFonts w:eastAsia="Tahoma"/>
                <w:szCs w:val="18"/>
              </w:rPr>
            </w:pPr>
            <w:r w:rsidRPr="00892DE3">
              <w:rPr>
                <w:szCs w:val="18"/>
              </w:rPr>
              <w:t>AASB 10.B5</w:t>
            </w:r>
          </w:p>
        </w:tc>
        <w:tc>
          <w:tcPr>
            <w:tcW w:w="4112"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The investor shall consider the purpose and design of the investee in order to identify the relevant activities, how relevant decisions are made, who has the current ability to direct those activities, and who receives returns from those activities.</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ind w:left="0" w:firstLine="0"/>
              <w:rPr>
                <w:rFonts w:eastAsia="Tahoma"/>
                <w:szCs w:val="18"/>
              </w:rPr>
            </w:pPr>
            <w:r w:rsidRPr="00892DE3">
              <w:rPr>
                <w:szCs w:val="18"/>
              </w:rPr>
              <w:t>AASB 10.IG6</w:t>
            </w:r>
          </w:p>
        </w:tc>
        <w:tc>
          <w:tcPr>
            <w:tcW w:w="4112"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For not</w:t>
            </w:r>
            <w:r w:rsidRPr="00892DE3">
              <w:rPr>
                <w:szCs w:val="18"/>
              </w:rPr>
              <w:noBreakHyphen/>
              <w:t>for</w:t>
            </w:r>
            <w:r w:rsidRPr="00892DE3">
              <w:rPr>
                <w:szCs w:val="18"/>
              </w:rPr>
              <w:noBreakHyphen/>
              <w:t xml:space="preserve">profit (NFP) entities, rights arising from administrative arrangements or statutory provisions will often be the source of power. </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ind w:left="0" w:firstLine="0"/>
              <w:rPr>
                <w:rFonts w:eastAsia="Tahoma"/>
                <w:szCs w:val="18"/>
              </w:rPr>
            </w:pPr>
            <w:r w:rsidRPr="00892DE3">
              <w:rPr>
                <w:szCs w:val="18"/>
              </w:rPr>
              <w:t>AASB 10.IG7</w:t>
            </w:r>
          </w:p>
        </w:tc>
        <w:tc>
          <w:tcPr>
            <w:tcW w:w="4112"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For example, an enabling legislation for the investee may specify the investor’s rights to direct the operating and financing activities that may be carried out by the investee. Therefore, the legislation will give rise power to the investor over the investee through rights specified in it.</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However, the impact of the constituting document or legislation should be evaluated in the context of the prevailing circumstances.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For example, the enabling legislation may not specify the investor’s rights to direct the relevant activities of the investee, or the rights are actually held by other entities that are not controlled by the Government, even though the investee operates under a mandate created, and limited, by the Government’s legislation. In this case, the investor would not have power over the investee.</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ind w:left="0" w:firstLine="0"/>
              <w:rPr>
                <w:rFonts w:eastAsia="Tahoma"/>
                <w:szCs w:val="18"/>
              </w:rPr>
            </w:pPr>
            <w:r w:rsidRPr="00892DE3">
              <w:rPr>
                <w:szCs w:val="18"/>
              </w:rPr>
              <w:t>AASB 10.IG9</w:t>
            </w:r>
          </w:p>
        </w:tc>
        <w:tc>
          <w:tcPr>
            <w:tcW w:w="4112"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Power arises from rights.</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In relation to NFP investors, rights include:</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rights to give policy directions to the governing body of the investee that give the holder the ability to direct the relevant activities of the investee; and </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rights to approve or veto operating and capital budgets relating to the relevant activities of the investee. </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nil"/>
            </w:tcBorders>
            <w:shd w:val="clear" w:color="auto" w:fill="BFBFBF" w:themeFill="background1" w:themeFillShade="BF"/>
          </w:tcPr>
          <w:p w:rsidR="00125B6F" w:rsidRPr="00892DE3" w:rsidRDefault="00125B6F" w:rsidP="00003BC6">
            <w:pPr>
              <w:spacing w:line="276" w:lineRule="auto"/>
              <w:ind w:left="0" w:firstLine="0"/>
              <w:rPr>
                <w:rFonts w:eastAsia="Tahoma"/>
                <w:szCs w:val="18"/>
              </w:rPr>
            </w:pPr>
            <w:r w:rsidRPr="00892DE3">
              <w:rPr>
                <w:szCs w:val="18"/>
              </w:rPr>
              <w:t>AASB 10.IG10</w:t>
            </w:r>
          </w:p>
        </w:tc>
        <w:tc>
          <w:tcPr>
            <w:tcW w:w="4112" w:type="pct"/>
            <w:tcBorders>
              <w:top w:val="single" w:sz="6" w:space="0" w:color="BFBFBF" w:themeColor="background1" w:themeShade="BF"/>
              <w:bottom w:val="nil"/>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A NFP investor can have power over the investee even if it does not have responsibility for the day</w:t>
            </w:r>
            <w:r w:rsidRPr="00892DE3">
              <w:rPr>
                <w:szCs w:val="18"/>
              </w:rPr>
              <w:noBreakHyphen/>
              <w:t>to</w:t>
            </w:r>
            <w:r w:rsidRPr="00892DE3">
              <w:rPr>
                <w:szCs w:val="18"/>
              </w:rPr>
              <w:noBreakHyphen/>
              <w:t xml:space="preserve">day operation of the investee or the specific manner in which prescribed functions are performed by the investee. If the Government provides resources (not limited to grants) that assist the investee in fulfilling its responsibilities, the resources of the investee remain government resources, albeit they are placed at the disposal of the investee. </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Borders>
              <w:bottom w:val="single" w:sz="6" w:space="0" w:color="BFBFBF" w:themeColor="background1" w:themeShade="BF"/>
            </w:tcBorders>
          </w:tcPr>
          <w:p w:rsidR="00125B6F" w:rsidRPr="00892DE3" w:rsidRDefault="00125B6F" w:rsidP="00003BC6">
            <w:pPr>
              <w:spacing w:line="276" w:lineRule="auto"/>
              <w:ind w:left="0" w:firstLine="0"/>
              <w:rPr>
                <w:rFonts w:eastAsia="Tahoma"/>
                <w:szCs w:val="18"/>
              </w:rPr>
            </w:pPr>
            <w:r w:rsidRPr="00892DE3">
              <w:rPr>
                <w:szCs w:val="18"/>
              </w:rPr>
              <w:t>AASB 10.IG 11</w:t>
            </w:r>
            <w:r w:rsidRPr="00892DE3">
              <w:rPr>
                <w:szCs w:val="18"/>
              </w:rPr>
              <w:noBreakHyphen/>
              <w:t>12</w:t>
            </w:r>
          </w:p>
        </w:tc>
        <w:tc>
          <w:tcPr>
            <w:tcW w:w="4112" w:type="pct"/>
            <w:tcBorders>
              <w:bottom w:val="single" w:sz="6" w:space="0" w:color="BFBFBF" w:themeColor="background1" w:themeShade="BF"/>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A NFP investor can have more than a passive interest in an investee. For example, an investee’s operations are dependent on the investor.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However, the existence of economic dependence alone may not lead to the investor entity having power over the investee. For instance, a government may not have the current ability to direct the relevant activities of entities (such as private schools, private hospitals, private aged</w:t>
            </w:r>
            <w:r w:rsidRPr="00892DE3">
              <w:rPr>
                <w:szCs w:val="18"/>
              </w:rPr>
              <w:noBreakHyphen/>
              <w:t xml:space="preserve">care providers and universities) that are financially dependent on government funding, where the governing bodies of those entities have discretion with respect to whether they will accept resources from the Government, or the manner in which their resources are to be deployed. This may be so even if government grants provided to such entities require them to comply with specified conditions. Although these entities might receive government grants for capital construction and operating costs subject to specified service standards or restrictions on user fees, their independent governing body may have ultimate discretion about how assets are deployed. </w:t>
            </w:r>
          </w:p>
        </w:tc>
      </w:tr>
      <w:tr w:rsidR="00125B6F" w:rsidRPr="00892DE3" w:rsidTr="00E05023">
        <w:tc>
          <w:tcPr>
            <w:cnfStyle w:val="001000000000" w:firstRow="0" w:lastRow="0" w:firstColumn="1" w:lastColumn="0" w:oddVBand="0" w:evenVBand="0" w:oddHBand="0" w:evenHBand="0" w:firstRowFirstColumn="0" w:firstRowLastColumn="0" w:lastRowFirstColumn="0" w:lastRowLastColumn="0"/>
            <w:tcW w:w="5000" w:type="pct"/>
            <w:gridSpan w:val="2"/>
            <w:tcBorders>
              <w:top w:val="nil"/>
              <w:bottom w:val="nil"/>
            </w:tcBorders>
            <w:shd w:val="clear" w:color="auto" w:fill="262626" w:themeFill="text1" w:themeFillTint="D9"/>
          </w:tcPr>
          <w:p w:rsidR="00125B6F" w:rsidRPr="00C26100" w:rsidRDefault="00125B6F" w:rsidP="00003BC6">
            <w:pPr>
              <w:keepNext/>
              <w:spacing w:after="20" w:line="276" w:lineRule="auto"/>
              <w:ind w:left="0" w:firstLine="0"/>
              <w:rPr>
                <w:rFonts w:eastAsia="Tahoma"/>
                <w:b/>
                <w:szCs w:val="18"/>
              </w:rPr>
            </w:pPr>
            <w:r w:rsidRPr="00C26100">
              <w:rPr>
                <w:b/>
                <w:szCs w:val="18"/>
              </w:rPr>
              <w:t>(</w:t>
            </w:r>
            <w:r w:rsidRPr="00E05023">
              <w:rPr>
                <w:b/>
                <w:szCs w:val="18"/>
                <w:shd w:val="clear" w:color="auto" w:fill="262626" w:themeFill="text1" w:themeFillTint="D9"/>
              </w:rPr>
              <w:t>i) Power over the investee (continued)</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ind w:left="0" w:firstLine="0"/>
              <w:rPr>
                <w:rFonts w:eastAsia="Tahoma"/>
                <w:szCs w:val="18"/>
              </w:rPr>
            </w:pPr>
            <w:r w:rsidRPr="00892DE3">
              <w:rPr>
                <w:szCs w:val="18"/>
              </w:rPr>
              <w:t>AASB 10. B22</w:t>
            </w:r>
          </w:p>
        </w:tc>
        <w:tc>
          <w:tcPr>
            <w:tcW w:w="4112"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Only substantive rights held by the investor and others are considered when determining whether the rights give rise to power.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To be substantive, rights need to be exercisable when decisions about the relevant activities need to be made, and their holder needs to have a practical ability to exercise those rights. </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ind w:left="0" w:firstLine="0"/>
              <w:rPr>
                <w:rFonts w:eastAsia="Tahoma"/>
                <w:szCs w:val="18"/>
              </w:rPr>
            </w:pPr>
            <w:r w:rsidRPr="00892DE3">
              <w:rPr>
                <w:szCs w:val="18"/>
              </w:rPr>
              <w:t>AASB 10.IG13</w:t>
            </w:r>
            <w:r w:rsidRPr="00892DE3">
              <w:rPr>
                <w:szCs w:val="18"/>
              </w:rPr>
              <w:noBreakHyphen/>
              <w:t>14</w:t>
            </w:r>
          </w:p>
        </w:tc>
        <w:tc>
          <w:tcPr>
            <w:tcW w:w="4112"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While AASB10.B24 states that for rights to be substantive, they must be currently exercisable, they note that sometimes rights can be substantive even when they are not currently exercisable.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The standard states that rights can be substantive even if not currently exercisable due to timing delays for the rights to become effective. For the NFP investor, rights specified in substantively enacted legislation would be substantive rights that need to be considered in assessing control if it is assessed that the rights will be exercisable when decisions about the direction of the relevant activities need to be made.</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ind w:left="0" w:firstLine="0"/>
              <w:rPr>
                <w:rFonts w:eastAsia="Tahoma"/>
                <w:szCs w:val="18"/>
              </w:rPr>
            </w:pPr>
            <w:r w:rsidRPr="00892DE3">
              <w:rPr>
                <w:szCs w:val="18"/>
              </w:rPr>
              <w:t>AASB 10.IG14</w:t>
            </w:r>
          </w:p>
        </w:tc>
        <w:tc>
          <w:tcPr>
            <w:tcW w:w="4112"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However, the power to enact or change legislation does not necessarily give the investor the current ability to direct relevant activities of the investee. </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ind w:left="0" w:firstLine="0"/>
              <w:rPr>
                <w:rFonts w:eastAsia="Tahoma"/>
                <w:szCs w:val="18"/>
              </w:rPr>
            </w:pPr>
            <w:r w:rsidRPr="00892DE3">
              <w:rPr>
                <w:szCs w:val="18"/>
              </w:rPr>
              <w:t>AASB 10.B26</w:t>
            </w:r>
            <w:r w:rsidRPr="00892DE3">
              <w:rPr>
                <w:szCs w:val="18"/>
              </w:rPr>
              <w:noBreakHyphen/>
              <w:t>B28</w:t>
            </w:r>
          </w:p>
        </w:tc>
        <w:tc>
          <w:tcPr>
            <w:tcW w:w="4112"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Depending on the circumstances, statutory arrangements may be in the nature of protective rights rather than substantive rights. </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ind w:left="0" w:firstLine="0"/>
              <w:rPr>
                <w:rFonts w:eastAsia="Tahoma"/>
                <w:szCs w:val="18"/>
              </w:rPr>
            </w:pPr>
            <w:r w:rsidRPr="00892DE3">
              <w:rPr>
                <w:szCs w:val="18"/>
              </w:rPr>
              <w:t>AASB 10.IG16</w:t>
            </w:r>
          </w:p>
        </w:tc>
        <w:tc>
          <w:tcPr>
            <w:tcW w:w="4112"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Protective rights are related to fundamental changes in the activities of the other entity or rights that apply only in exceptional circumstances, and does not give the holder the power or prevent others from having power and therefore control the other entity.</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For NFP entities, protective rights includes rights held by a government or other entity in order to protect (rather than enhance) the interests of the Government, the beneficiaries of an entity or the public at large. The regulatory powers may be exercisable through a framework within which entities operate, including the ability to impose conditions or sanctions on their operations.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As a result, these regulatory powers may represent protective rights, which do not give power over the other entity.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However, these may be substantive rights if they have the effect of giving the regulator the ability to direct the relevant activities of the other entity in particular circumstances.</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ind w:left="0" w:firstLine="0"/>
              <w:rPr>
                <w:rFonts w:eastAsia="Tahoma"/>
                <w:szCs w:val="18"/>
              </w:rPr>
            </w:pPr>
            <w:r w:rsidRPr="00892DE3">
              <w:rPr>
                <w:szCs w:val="18"/>
              </w:rPr>
              <w:t>AASB 10.IG17</w:t>
            </w:r>
          </w:p>
        </w:tc>
        <w:tc>
          <w:tcPr>
            <w:tcW w:w="4112"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Examples of protective rights in relation to NFP entities include, but are not limited to:</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regulatory power that imposes conditions or sanctions on the other entity’s operation in restricted circumstances (e.g. breaching of environmental regulations);</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the right of a regulator to curtail or close the operation of entities that breach regulations or other requirements; or</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the right to remove or appoint members of the governing body of another entity under certain restricted circumstances (e.g. failure to comply with performance standards).</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nil"/>
            </w:tcBorders>
            <w:shd w:val="clear" w:color="auto" w:fill="BFBFBF" w:themeFill="background1" w:themeFillShade="BF"/>
          </w:tcPr>
          <w:p w:rsidR="00125B6F" w:rsidRPr="00892DE3" w:rsidRDefault="00125B6F" w:rsidP="00003BC6">
            <w:pPr>
              <w:spacing w:line="276" w:lineRule="auto"/>
              <w:ind w:left="0" w:firstLine="0"/>
              <w:rPr>
                <w:rFonts w:eastAsia="Tahoma"/>
                <w:szCs w:val="18"/>
              </w:rPr>
            </w:pPr>
            <w:r w:rsidRPr="00892DE3">
              <w:rPr>
                <w:szCs w:val="18"/>
              </w:rPr>
              <w:t>AASB 10.B34</w:t>
            </w:r>
            <w:r w:rsidRPr="00892DE3">
              <w:rPr>
                <w:szCs w:val="18"/>
              </w:rPr>
              <w:noBreakHyphen/>
              <w:t>B39</w:t>
            </w:r>
          </w:p>
        </w:tc>
        <w:tc>
          <w:tcPr>
            <w:tcW w:w="4112" w:type="pct"/>
            <w:tcBorders>
              <w:top w:val="single" w:sz="6" w:space="0" w:color="BFBFBF" w:themeColor="background1" w:themeShade="BF"/>
              <w:bottom w:val="nil"/>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The investor can have power over the investee when the relevant activities are directed through voting rights:</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where the investor holds a majority of the voting rights and these rights are substantive; or</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the investor holds less than half the voting rights but has an agreement with the other vote holders.</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Pr>
          <w:p w:rsidR="00125B6F" w:rsidRPr="00892DE3" w:rsidRDefault="00125B6F" w:rsidP="00003BC6">
            <w:pPr>
              <w:spacing w:line="276" w:lineRule="auto"/>
              <w:ind w:left="0" w:firstLine="0"/>
              <w:rPr>
                <w:rFonts w:eastAsia="Tahoma"/>
                <w:szCs w:val="18"/>
              </w:rPr>
            </w:pPr>
            <w:r w:rsidRPr="00892DE3">
              <w:rPr>
                <w:szCs w:val="18"/>
              </w:rPr>
              <w:t>AASB 10.B40</w:t>
            </w:r>
            <w:r w:rsidRPr="00892DE3">
              <w:rPr>
                <w:szCs w:val="18"/>
              </w:rPr>
              <w:noBreakHyphen/>
              <w:t>B50</w:t>
            </w:r>
          </w:p>
        </w:tc>
        <w:tc>
          <w:tcPr>
            <w:tcW w:w="4112" w:type="pct"/>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The investor can have power over the investee when the relevant activities are directed through voting rights:</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where the investor holds rights arising from other contractual arrangements;</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holds substantive potential voting rights;</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holds rights sufficient to unilaterally direct the relevant activities of the investee (de facto power); or</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holds a combination of thereof.</w:t>
            </w:r>
          </w:p>
        </w:tc>
      </w:tr>
      <w:tr w:rsidR="00125B6F" w:rsidRPr="00892DE3" w:rsidTr="00E05023">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shd w:val="clear" w:color="auto" w:fill="262626" w:themeFill="text1" w:themeFillTint="D9"/>
          </w:tcPr>
          <w:p w:rsidR="00125B6F" w:rsidRPr="00C26100" w:rsidRDefault="00125B6F" w:rsidP="00003BC6">
            <w:pPr>
              <w:spacing w:after="20" w:line="276" w:lineRule="auto"/>
              <w:ind w:left="0" w:firstLine="0"/>
              <w:rPr>
                <w:b/>
                <w:szCs w:val="18"/>
              </w:rPr>
            </w:pPr>
            <w:r w:rsidRPr="00C26100">
              <w:rPr>
                <w:b/>
                <w:szCs w:val="18"/>
              </w:rPr>
              <w:t>(ii) Exposure, or rights, to variable returns from its involvement with the investee</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ind w:left="0" w:firstLine="0"/>
              <w:rPr>
                <w:rFonts w:eastAsia="Tahoma"/>
                <w:szCs w:val="18"/>
              </w:rPr>
            </w:pPr>
            <w:r w:rsidRPr="00892DE3">
              <w:rPr>
                <w:szCs w:val="18"/>
              </w:rPr>
              <w:t>AASB 10.15 and B20</w:t>
            </w:r>
          </w:p>
        </w:tc>
        <w:tc>
          <w:tcPr>
            <w:tcW w:w="4112" w:type="pct"/>
            <w:tcBorders>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Criterion (ii) of control requires an entity to assess whether it is exposed, or has rights, to variable returns from its involvement with the investee to assess control.</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ind w:left="0" w:firstLine="0"/>
              <w:rPr>
                <w:rFonts w:eastAsia="Tahoma"/>
                <w:szCs w:val="18"/>
              </w:rPr>
            </w:pPr>
            <w:r w:rsidRPr="00892DE3">
              <w:rPr>
                <w:szCs w:val="18"/>
              </w:rPr>
              <w:t xml:space="preserve">AASB 10.IG 18 </w:t>
            </w:r>
          </w:p>
        </w:tc>
        <w:tc>
          <w:tcPr>
            <w:tcW w:w="4112" w:type="pct"/>
            <w:tcBorders>
              <w:top w:val="single" w:sz="6" w:space="0" w:color="BFBFBF" w:themeColor="background1" w:themeShade="BF"/>
              <w:bottom w:val="single" w:sz="6" w:space="0" w:color="BFBFBF" w:themeColor="background1" w:themeShade="BF"/>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For NFP entities, the broad scope of the nature of returns encompasses financial, non</w:t>
            </w:r>
            <w:r w:rsidRPr="00892DE3">
              <w:rPr>
                <w:szCs w:val="18"/>
              </w:rPr>
              <w:noBreakHyphen/>
              <w:t>financial, direct, and indirect benefits, whether positive or negative, including the achievement, or furtherance of the investor’s objectives.</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nil"/>
            </w:tcBorders>
            <w:shd w:val="clear" w:color="auto" w:fill="BFBFBF" w:themeFill="background1" w:themeFillShade="BF"/>
          </w:tcPr>
          <w:p w:rsidR="00125B6F" w:rsidRPr="00892DE3" w:rsidRDefault="00125B6F" w:rsidP="00003BC6">
            <w:pPr>
              <w:spacing w:line="276" w:lineRule="auto"/>
              <w:ind w:left="0" w:firstLine="0"/>
              <w:rPr>
                <w:rFonts w:eastAsia="Tahoma"/>
                <w:szCs w:val="18"/>
              </w:rPr>
            </w:pPr>
            <w:r w:rsidRPr="00892DE3">
              <w:rPr>
                <w:szCs w:val="18"/>
              </w:rPr>
              <w:t>AASB 10.IG 19</w:t>
            </w:r>
          </w:p>
        </w:tc>
        <w:tc>
          <w:tcPr>
            <w:tcW w:w="4112" w:type="pct"/>
            <w:tcBorders>
              <w:top w:val="single" w:sz="6" w:space="0" w:color="BFBFBF" w:themeColor="background1" w:themeShade="BF"/>
              <w:bottom w:val="nil"/>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Note that these may include the efficiency and effectiveness of delivery of the goods and services and changes in outcomes for the beneficiaries.</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It should be noted that the existence on congruent objectives alone is not sufficient for a NFP to conclude it controls the other entity.</w:t>
            </w:r>
          </w:p>
        </w:tc>
      </w:tr>
      <w:tr w:rsidR="00125B6F" w:rsidRPr="00892DE3" w:rsidTr="00E05023">
        <w:tc>
          <w:tcPr>
            <w:cnfStyle w:val="001000000000" w:firstRow="0" w:lastRow="0" w:firstColumn="1" w:lastColumn="0" w:oddVBand="0" w:evenVBand="0" w:oddHBand="0" w:evenHBand="0" w:firstRowFirstColumn="0" w:firstRowLastColumn="0" w:lastRowFirstColumn="0" w:lastRowLastColumn="0"/>
            <w:tcW w:w="5000" w:type="pct"/>
            <w:gridSpan w:val="2"/>
            <w:tcBorders>
              <w:top w:val="nil"/>
              <w:bottom w:val="nil"/>
            </w:tcBorders>
            <w:shd w:val="clear" w:color="auto" w:fill="262626" w:themeFill="text1" w:themeFillTint="D9"/>
          </w:tcPr>
          <w:p w:rsidR="00125B6F" w:rsidRPr="00C26100" w:rsidRDefault="00125B6F" w:rsidP="00003BC6">
            <w:pPr>
              <w:keepNext/>
              <w:spacing w:after="20" w:line="276" w:lineRule="auto"/>
              <w:ind w:left="0" w:firstLine="0"/>
              <w:rPr>
                <w:b/>
                <w:szCs w:val="18"/>
              </w:rPr>
            </w:pPr>
            <w:r w:rsidRPr="00C26100">
              <w:rPr>
                <w:b/>
                <w:szCs w:val="18"/>
              </w:rPr>
              <w:t>(iii) The ability to use its power over the investee to affect the amount of the investor’s returns</w:t>
            </w:r>
          </w:p>
        </w:tc>
      </w:tr>
      <w:tr w:rsidR="00125B6F" w:rsidRPr="00892DE3" w:rsidTr="00125B6F">
        <w:tc>
          <w:tcPr>
            <w:cnfStyle w:val="001000000000" w:firstRow="0" w:lastRow="0" w:firstColumn="1" w:lastColumn="0" w:oddVBand="0" w:evenVBand="0" w:oddHBand="0" w:evenHBand="0" w:firstRowFirstColumn="0" w:firstRowLastColumn="0" w:lastRowFirstColumn="0" w:lastRowLastColumn="0"/>
            <w:tcW w:w="888" w:type="pct"/>
            <w:tcBorders>
              <w:bottom w:val="single" w:sz="6" w:space="0" w:color="BFBFBF" w:themeColor="background1" w:themeShade="BF"/>
            </w:tcBorders>
          </w:tcPr>
          <w:p w:rsidR="00125B6F" w:rsidRPr="00892DE3" w:rsidRDefault="00125B6F" w:rsidP="00003BC6">
            <w:pPr>
              <w:spacing w:line="276" w:lineRule="auto"/>
              <w:rPr>
                <w:rFonts w:eastAsia="Tahoma"/>
                <w:szCs w:val="18"/>
              </w:rPr>
            </w:pPr>
            <w:r w:rsidRPr="00892DE3">
              <w:rPr>
                <w:szCs w:val="18"/>
              </w:rPr>
              <w:t>AASB 10.17</w:t>
            </w:r>
          </w:p>
        </w:tc>
        <w:tc>
          <w:tcPr>
            <w:tcW w:w="4112" w:type="pct"/>
            <w:tcBorders>
              <w:bottom w:val="single" w:sz="6" w:space="0" w:color="BFBFBF" w:themeColor="background1" w:themeShade="BF"/>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This criterion of control requires the investor not only to have the power over the investee and exposure or rights to variable returns from its involvement, but also the ability to use its power to affect the investor’s return from its involvement.</w:t>
            </w:r>
          </w:p>
        </w:tc>
      </w:tr>
      <w:tr w:rsidR="00125B6F" w:rsidRPr="00892DE3" w:rsidTr="00EC0147">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rPr>
                <w:rFonts w:eastAsia="Tahoma"/>
                <w:szCs w:val="18"/>
              </w:rPr>
            </w:pPr>
            <w:r w:rsidRPr="00892DE3">
              <w:rPr>
                <w:szCs w:val="18"/>
              </w:rPr>
              <w:t>AASB 10.B58</w:t>
            </w:r>
          </w:p>
        </w:tc>
        <w:tc>
          <w:tcPr>
            <w:tcW w:w="4112" w:type="pct"/>
            <w:tcBorders>
              <w:top w:val="single" w:sz="6" w:space="0" w:color="BFBFBF" w:themeColor="background1" w:themeShade="BF"/>
              <w:bottom w:val="single" w:sz="6" w:space="0" w:color="BFBFBF" w:themeColor="background1" w:themeShade="BF"/>
            </w:tcBorders>
            <w:shd w:val="clear" w:color="auto" w:fill="BFBFBF" w:themeFill="background1" w:themeFillShade="BF"/>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The concept of delegated power is introduced in AASB 10.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The decision maker needs to assess whether it is acting as a principal or agent on behalf of others when directing the activities of the investee.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If it has the power to direct the activities of the entity it manages to generate returns for itself, it is a principal and controls the investee.</w:t>
            </w:r>
          </w:p>
        </w:tc>
      </w:tr>
      <w:tr w:rsidR="00125B6F" w:rsidRPr="00892DE3" w:rsidTr="00C26100">
        <w:tc>
          <w:tcPr>
            <w:cnfStyle w:val="001000000000" w:firstRow="0" w:lastRow="0" w:firstColumn="1" w:lastColumn="0" w:oddVBand="0" w:evenVBand="0" w:oddHBand="0" w:evenHBand="0" w:firstRowFirstColumn="0" w:firstRowLastColumn="0" w:lastRowFirstColumn="0" w:lastRowLastColumn="0"/>
            <w:tcW w:w="888" w:type="pct"/>
            <w:tcBorders>
              <w:top w:val="single" w:sz="6" w:space="0" w:color="BFBFBF" w:themeColor="background1" w:themeShade="BF"/>
              <w:bottom w:val="single" w:sz="12" w:space="0" w:color="A6A6A6" w:themeColor="background1" w:themeShade="A6"/>
            </w:tcBorders>
          </w:tcPr>
          <w:p w:rsidR="00125B6F" w:rsidRPr="00892DE3" w:rsidRDefault="00125B6F" w:rsidP="00003BC6">
            <w:pPr>
              <w:spacing w:line="276" w:lineRule="auto"/>
              <w:ind w:left="0" w:firstLine="0"/>
              <w:rPr>
                <w:rFonts w:eastAsia="Tahoma"/>
                <w:szCs w:val="18"/>
              </w:rPr>
            </w:pPr>
            <w:r w:rsidRPr="00892DE3">
              <w:rPr>
                <w:szCs w:val="18"/>
              </w:rPr>
              <w:t>AASB 10.B75</w:t>
            </w:r>
          </w:p>
        </w:tc>
        <w:tc>
          <w:tcPr>
            <w:tcW w:w="4112" w:type="pct"/>
            <w:tcBorders>
              <w:top w:val="single" w:sz="6" w:space="0" w:color="BFBFBF" w:themeColor="background1" w:themeShade="BF"/>
              <w:bottom w:val="single" w:sz="12" w:space="0" w:color="A6A6A6" w:themeColor="background1" w:themeShade="A6"/>
            </w:tcBorders>
          </w:tcPr>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When assessing control, the investor should also consider the nature of its relationships with other parties and whether the other parties act on the investor’s behalf.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 xml:space="preserve">A party is a de facto agent if the investor or those who control the investor have the ability to direct that party to act on the investor’s behalf (i.e. they are ‘de facto agents’). </w:t>
            </w:r>
          </w:p>
          <w:p w:rsidR="00125B6F" w:rsidRPr="00892DE3" w:rsidRDefault="00125B6F" w:rsidP="00003BC6">
            <w:pPr>
              <w:spacing w:line="276" w:lineRule="auto"/>
              <w:cnfStyle w:val="000000000000" w:firstRow="0" w:lastRow="0" w:firstColumn="0" w:lastColumn="0" w:oddVBand="0" w:evenVBand="0" w:oddHBand="0" w:evenHBand="0" w:firstRowFirstColumn="0" w:firstRowLastColumn="0" w:lastRowFirstColumn="0" w:lastRowLastColumn="0"/>
              <w:rPr>
                <w:rFonts w:eastAsia="Tahoma"/>
                <w:szCs w:val="18"/>
              </w:rPr>
            </w:pPr>
            <w:r w:rsidRPr="00892DE3">
              <w:rPr>
                <w:szCs w:val="18"/>
              </w:rPr>
              <w:t>Examples of such other parties that, by the nature of their relationship, might act as de facto agents for the investor:</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rPr>
            </w:pPr>
            <w:r w:rsidRPr="00892DE3">
              <w:t>the investor’s related parties;</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rPr>
            </w:pPr>
            <w:r w:rsidRPr="00892DE3">
              <w:t>a party that received its interest in the investee as a contribution or loan from the investor;</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rPr>
            </w:pPr>
            <w:r w:rsidRPr="00892DE3">
              <w:t>a party that has agreed not to sell, transfer or encumber its interests in the investee without the investor’s prior approval (except for situations in which the investor and the other party have the right of prior approval and the rights are based on mutually agreed terms by willing independent parties);</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rPr>
            </w:pPr>
            <w:r w:rsidRPr="00892DE3">
              <w:t>a party that cannot finance its operations without subordinated financial support from the investor;</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rPr>
            </w:pPr>
            <w:r w:rsidRPr="00892DE3">
              <w:t>an investee for which the majority of the members of its governing body or for which its key management personnel are the same as those of the investor; and</w:t>
            </w:r>
          </w:p>
          <w:p w:rsidR="00125B6F" w:rsidRPr="00892DE3" w:rsidRDefault="00125B6F" w:rsidP="00003BC6">
            <w:pPr>
              <w:pStyle w:val="ListBullet"/>
              <w:spacing w:after="120" w:line="276" w:lineRule="auto"/>
              <w:contextualSpacing w:val="0"/>
              <w:cnfStyle w:val="000000000000" w:firstRow="0" w:lastRow="0" w:firstColumn="0" w:lastColumn="0" w:oddVBand="0" w:evenVBand="0" w:oddHBand="0" w:evenHBand="0" w:firstRowFirstColumn="0" w:firstRowLastColumn="0" w:lastRowFirstColumn="0" w:lastRowLastColumn="0"/>
              <w:rPr>
                <w:rFonts w:eastAsia="Tahoma"/>
              </w:rPr>
            </w:pPr>
            <w:r w:rsidRPr="00892DE3">
              <w:t>a party that has a close business relationship with the investor, such as the relationship between a professional service provider and one of its significant clients.</w:t>
            </w:r>
          </w:p>
        </w:tc>
      </w:tr>
    </w:tbl>
    <w:p w:rsidR="00125B6F" w:rsidRPr="00892DE3" w:rsidRDefault="00125B6F" w:rsidP="00125B6F"/>
    <w:p w:rsidR="00AA329A" w:rsidRPr="00892DE3" w:rsidRDefault="00AA329A" w:rsidP="00125B6F">
      <w:pPr>
        <w:sectPr w:rsidR="00AA329A" w:rsidRPr="00892DE3" w:rsidSect="004E35BA">
          <w:headerReference w:type="even" r:id="rId202"/>
          <w:headerReference w:type="default" r:id="rId203"/>
          <w:footerReference w:type="even" r:id="rId204"/>
          <w:footerReference w:type="default" r:id="rId205"/>
          <w:footerReference w:type="first" r:id="rId206"/>
          <w:type w:val="continuous"/>
          <w:pgSz w:w="11906" w:h="16838" w:code="9"/>
          <w:pgMar w:top="1134" w:right="1134" w:bottom="1134" w:left="1134" w:header="624" w:footer="567" w:gutter="0"/>
          <w:cols w:space="720"/>
          <w:titlePg/>
        </w:sectPr>
      </w:pPr>
    </w:p>
    <w:p w:rsidR="00E91D37" w:rsidRPr="00892DE3" w:rsidRDefault="00291D51" w:rsidP="00291D51">
      <w:pPr>
        <w:pStyle w:val="AppendixHeading"/>
      </w:pPr>
      <w:bookmarkStart w:id="307" w:name="_Toc481591393"/>
      <w:bookmarkStart w:id="308" w:name="_Toc481592340"/>
      <w:r w:rsidRPr="00892DE3">
        <w:t>Appendix 5:</w:t>
      </w:r>
      <w:r w:rsidRPr="00892DE3">
        <w:tab/>
        <w:t>Interests in subsidiary and unconsolidated structured entities</w:t>
      </w:r>
      <w:bookmarkEnd w:id="307"/>
      <w:bookmarkEnd w:id="308"/>
    </w:p>
    <w:p w:rsidR="00E91D37" w:rsidRPr="00892DE3" w:rsidRDefault="00E91D37" w:rsidP="00D12685">
      <w:pPr>
        <w:pStyle w:val="Heading2nonTOC"/>
        <w:rPr>
          <w:rStyle w:val="ReferenceChar"/>
        </w:rPr>
      </w:pPr>
      <w:r w:rsidRPr="006F1D22">
        <w:rPr>
          <w:color w:val="0063A6" w:themeColor="accent1"/>
        </w:rPr>
        <w:t xml:space="preserve">Disclosure for interests in subsidiaries </w:t>
      </w:r>
      <w:r w:rsidRPr="00892DE3">
        <w:rPr>
          <w:rStyle w:val="ReferenceChar"/>
        </w:rPr>
        <w:t>[AASB 12.10]</w:t>
      </w:r>
    </w:p>
    <w:p w:rsidR="00E91D37" w:rsidRPr="00892DE3" w:rsidRDefault="00E91D37" w:rsidP="00C26100">
      <w:pPr>
        <w:spacing w:line="276" w:lineRule="auto"/>
      </w:pPr>
      <w:r w:rsidRPr="00892DE3">
        <w:t xml:space="preserve">An entity shall disclose information that enables users of its consolidated financial statements: </w:t>
      </w:r>
    </w:p>
    <w:p w:rsidR="00E91D37" w:rsidRPr="00892DE3" w:rsidRDefault="00E91D37" w:rsidP="00C26100">
      <w:pPr>
        <w:pStyle w:val="List"/>
        <w:spacing w:line="276" w:lineRule="auto"/>
      </w:pPr>
      <w:r w:rsidRPr="00892DE3">
        <w:t xml:space="preserve">(a) </w:t>
      </w:r>
      <w:r w:rsidRPr="00892DE3">
        <w:tab/>
        <w:t xml:space="preserve">to understand: </w:t>
      </w:r>
    </w:p>
    <w:p w:rsidR="00E91D37" w:rsidRPr="00892DE3" w:rsidRDefault="00E91D37" w:rsidP="00C26100">
      <w:pPr>
        <w:pStyle w:val="ListBullet2"/>
        <w:spacing w:line="276" w:lineRule="auto"/>
        <w:ind w:left="851"/>
      </w:pPr>
      <w:r w:rsidRPr="00892DE3">
        <w:t xml:space="preserve">the composition of the group; and </w:t>
      </w:r>
    </w:p>
    <w:p w:rsidR="00E91D37" w:rsidRPr="00892DE3" w:rsidRDefault="00E91D37" w:rsidP="00C26100">
      <w:pPr>
        <w:pStyle w:val="ListBullet2"/>
        <w:spacing w:line="276" w:lineRule="auto"/>
        <w:ind w:left="851"/>
      </w:pPr>
      <w:r w:rsidRPr="00892DE3">
        <w:t xml:space="preserve">the interest that non-controlling interests have in the group’s activities and cash flows; </w:t>
      </w:r>
    </w:p>
    <w:p w:rsidR="00E91D37" w:rsidRPr="00892DE3" w:rsidRDefault="00E91D37" w:rsidP="00C26100">
      <w:pPr>
        <w:spacing w:line="276" w:lineRule="auto"/>
      </w:pPr>
      <w:r w:rsidRPr="00892DE3">
        <w:t xml:space="preserve">(b) </w:t>
      </w:r>
      <w:r w:rsidRPr="00892DE3">
        <w:tab/>
        <w:t>to evaluate:</w:t>
      </w:r>
    </w:p>
    <w:p w:rsidR="00E91D37" w:rsidRPr="00892DE3" w:rsidRDefault="00E91D37" w:rsidP="00C26100">
      <w:pPr>
        <w:pStyle w:val="ListBullet2"/>
        <w:spacing w:line="276" w:lineRule="auto"/>
        <w:ind w:left="851"/>
      </w:pPr>
      <w:r w:rsidRPr="00892DE3">
        <w:t xml:space="preserve">the nature and extent of significant restrictions on its ability to access or use assets, and settle liabilities, of the group; </w:t>
      </w:r>
    </w:p>
    <w:p w:rsidR="00E91D37" w:rsidRPr="00892DE3" w:rsidRDefault="00E91D37" w:rsidP="00C26100">
      <w:pPr>
        <w:pStyle w:val="ListBullet2"/>
        <w:spacing w:line="276" w:lineRule="auto"/>
        <w:ind w:left="851"/>
      </w:pPr>
      <w:r w:rsidRPr="00892DE3">
        <w:t xml:space="preserve">the nature of, and changes in, the risks associated with its interests in consolidated structured entities; </w:t>
      </w:r>
    </w:p>
    <w:p w:rsidR="00E91D37" w:rsidRPr="00892DE3" w:rsidRDefault="00E91D37" w:rsidP="00C26100">
      <w:pPr>
        <w:pStyle w:val="ListBullet2"/>
        <w:spacing w:line="276" w:lineRule="auto"/>
        <w:ind w:left="851"/>
      </w:pPr>
      <w:r w:rsidRPr="00892DE3">
        <w:t xml:space="preserve">the consequences of changes in its ownership interest in a subsidiary that do not result in a loss of control; and </w:t>
      </w:r>
    </w:p>
    <w:p w:rsidR="00C26100" w:rsidRPr="00892DE3" w:rsidRDefault="00E91D37" w:rsidP="00C26100">
      <w:pPr>
        <w:pStyle w:val="ListBullet2"/>
        <w:spacing w:after="240" w:line="276" w:lineRule="auto"/>
        <w:ind w:left="851"/>
      </w:pPr>
      <w:r w:rsidRPr="00892DE3">
        <w:t>the consequences of losing control of a subsidiary during the reporting period.</w:t>
      </w:r>
    </w:p>
    <w:p w:rsidR="00E91D37" w:rsidRPr="006F1D22" w:rsidRDefault="00E91D37" w:rsidP="00C26100">
      <w:pPr>
        <w:pStyle w:val="Heading30"/>
        <w:spacing w:line="276" w:lineRule="auto"/>
        <w:rPr>
          <w:i/>
          <w:color w:val="0063A6" w:themeColor="accent1"/>
        </w:rPr>
      </w:pPr>
      <w:r w:rsidRPr="006F1D22">
        <w:rPr>
          <w:i/>
        </w:rPr>
        <w:t>The interest that non-controlling interests have in the group’s activities and cash flows</w:t>
      </w:r>
    </w:p>
    <w:p w:rsidR="00E91D37" w:rsidRPr="00892DE3" w:rsidRDefault="00E91D37" w:rsidP="00C26100">
      <w:pPr>
        <w:spacing w:line="276" w:lineRule="auto"/>
      </w:pPr>
      <w:r w:rsidRPr="00892DE3">
        <w:t xml:space="preserve">An entity shall disclose for each of its subsidiaries that have non-controlling interests that are material to the reporting entity: </w:t>
      </w:r>
    </w:p>
    <w:p w:rsidR="00E91D37" w:rsidRPr="00892DE3" w:rsidRDefault="00E91D37" w:rsidP="00C26100">
      <w:pPr>
        <w:pStyle w:val="List"/>
        <w:spacing w:line="276" w:lineRule="auto"/>
      </w:pPr>
      <w:r w:rsidRPr="00892DE3">
        <w:t xml:space="preserve">(a) </w:t>
      </w:r>
      <w:r w:rsidRPr="00892DE3">
        <w:tab/>
        <w:t>the name of the subsidiary;</w:t>
      </w:r>
    </w:p>
    <w:p w:rsidR="00E91D37" w:rsidRPr="00892DE3" w:rsidRDefault="00E91D37" w:rsidP="00C26100">
      <w:pPr>
        <w:pStyle w:val="List"/>
        <w:spacing w:line="276" w:lineRule="auto"/>
      </w:pPr>
      <w:r w:rsidRPr="00892DE3">
        <w:t xml:space="preserve">(b) </w:t>
      </w:r>
      <w:r w:rsidRPr="00892DE3">
        <w:tab/>
        <w:t>the principal place of business (and country of incorporation if different from the principal place of business) of the subsidiary;</w:t>
      </w:r>
    </w:p>
    <w:p w:rsidR="00E91D37" w:rsidRPr="00892DE3" w:rsidRDefault="00E91D37" w:rsidP="00C26100">
      <w:pPr>
        <w:pStyle w:val="List"/>
        <w:spacing w:line="276" w:lineRule="auto"/>
      </w:pPr>
      <w:r w:rsidRPr="00892DE3">
        <w:t xml:space="preserve">(c) </w:t>
      </w:r>
      <w:r w:rsidRPr="00892DE3">
        <w:tab/>
        <w:t>the proportion of ownership interests held by non-controlling interests;</w:t>
      </w:r>
    </w:p>
    <w:p w:rsidR="00E91D37" w:rsidRPr="00892DE3" w:rsidRDefault="00E91D37" w:rsidP="00C26100">
      <w:pPr>
        <w:pStyle w:val="List"/>
        <w:spacing w:line="276" w:lineRule="auto"/>
      </w:pPr>
      <w:r w:rsidRPr="00892DE3">
        <w:t xml:space="preserve">(d) </w:t>
      </w:r>
      <w:r w:rsidRPr="00892DE3">
        <w:tab/>
        <w:t>the proportion of voting rights held by non-controlling interests, if different from the proportion of ownership interests held;</w:t>
      </w:r>
    </w:p>
    <w:p w:rsidR="00E91D37" w:rsidRPr="00892DE3" w:rsidRDefault="00E91D37" w:rsidP="00C26100">
      <w:pPr>
        <w:pStyle w:val="List"/>
        <w:spacing w:line="276" w:lineRule="auto"/>
      </w:pPr>
      <w:r w:rsidRPr="00892DE3">
        <w:t xml:space="preserve">(e) </w:t>
      </w:r>
      <w:r w:rsidRPr="00892DE3">
        <w:tab/>
        <w:t>the profit or loss allocated to non-controlling interests of the subsidiary during the reporting period;</w:t>
      </w:r>
    </w:p>
    <w:p w:rsidR="00E91D37" w:rsidRPr="00892DE3" w:rsidRDefault="00E91D37" w:rsidP="00C26100">
      <w:pPr>
        <w:pStyle w:val="List"/>
        <w:spacing w:line="276" w:lineRule="auto"/>
      </w:pPr>
      <w:r w:rsidRPr="00892DE3">
        <w:t xml:space="preserve">(f) </w:t>
      </w:r>
      <w:r w:rsidRPr="00892DE3">
        <w:tab/>
        <w:t xml:space="preserve">accumulated non-controlling interests of the subsidiary at the end of the reporting period; and </w:t>
      </w:r>
    </w:p>
    <w:p w:rsidR="00E91D37" w:rsidRPr="00892DE3" w:rsidRDefault="00E91D37" w:rsidP="00C26100">
      <w:pPr>
        <w:pStyle w:val="List"/>
        <w:spacing w:after="240" w:line="276" w:lineRule="auto"/>
      </w:pPr>
      <w:r w:rsidRPr="00892DE3">
        <w:t xml:space="preserve">(g) </w:t>
      </w:r>
      <w:r w:rsidRPr="00892DE3">
        <w:tab/>
        <w:t>summarised financial information about the subsidiary.</w:t>
      </w:r>
    </w:p>
    <w:p w:rsidR="00E91D37" w:rsidRPr="00892DE3" w:rsidRDefault="00E91D37" w:rsidP="00C26100">
      <w:pPr>
        <w:pStyle w:val="Heading30"/>
        <w:spacing w:line="276" w:lineRule="auto"/>
      </w:pPr>
      <w:r w:rsidRPr="006F1D22">
        <w:rPr>
          <w:i/>
        </w:rPr>
        <w:t>The nature and extent of significant restrictions</w:t>
      </w:r>
      <w:r w:rsidRPr="00C26100">
        <w:rPr>
          <w:color w:val="0063A6" w:themeColor="accent1"/>
        </w:rPr>
        <w:t xml:space="preserve"> </w:t>
      </w:r>
      <w:r w:rsidRPr="00892DE3">
        <w:rPr>
          <w:rStyle w:val="ReferenceChar"/>
          <w:b w:val="0"/>
        </w:rPr>
        <w:t>[AASB 12.13]</w:t>
      </w:r>
    </w:p>
    <w:p w:rsidR="00E91D37" w:rsidRPr="00892DE3" w:rsidRDefault="00E91D37" w:rsidP="00C26100">
      <w:pPr>
        <w:spacing w:line="276" w:lineRule="auto"/>
      </w:pPr>
      <w:r w:rsidRPr="00892DE3">
        <w:t xml:space="preserve">An entity shall disclose: </w:t>
      </w:r>
    </w:p>
    <w:p w:rsidR="00E91D37" w:rsidRPr="00892DE3" w:rsidRDefault="00E91D37" w:rsidP="00C26100">
      <w:pPr>
        <w:pStyle w:val="List"/>
        <w:spacing w:line="276" w:lineRule="auto"/>
      </w:pPr>
      <w:r w:rsidRPr="00892DE3">
        <w:t xml:space="preserve">(a) </w:t>
      </w:r>
      <w:r w:rsidRPr="00892DE3">
        <w:tab/>
        <w:t xml:space="preserve">significant restrictions (e.g. statutory, contractual and regulatory restrictions) on its ability to access or use the assets and settle the liabilities of the group) such as: </w:t>
      </w:r>
    </w:p>
    <w:p w:rsidR="00E91D37" w:rsidRPr="00892DE3" w:rsidRDefault="00E91D37" w:rsidP="00C26100">
      <w:pPr>
        <w:pStyle w:val="ListBullet2"/>
        <w:spacing w:line="276" w:lineRule="auto"/>
        <w:ind w:left="851"/>
      </w:pPr>
      <w:r w:rsidRPr="00892DE3">
        <w:t>those that restrict the ability of a parent or its subsidiaries to transfer cash or other assets to (or from) other entities within the group;</w:t>
      </w:r>
    </w:p>
    <w:p w:rsidR="00E91D37" w:rsidRPr="00892DE3" w:rsidRDefault="00E91D37" w:rsidP="00C26100">
      <w:pPr>
        <w:pStyle w:val="ListBullet2"/>
        <w:spacing w:line="276" w:lineRule="auto"/>
        <w:ind w:left="851"/>
      </w:pPr>
      <w:r w:rsidRPr="00892DE3">
        <w:t>guarantees or other requirements that may restrict dividends and other capital distributions being paid, or loans and advances being made or repaid, to (or from) other entities within the group;</w:t>
      </w:r>
    </w:p>
    <w:p w:rsidR="00E91D37" w:rsidRPr="00892DE3" w:rsidRDefault="00E91D37" w:rsidP="00C26100">
      <w:pPr>
        <w:pStyle w:val="List"/>
        <w:spacing w:line="276" w:lineRule="auto"/>
      </w:pPr>
      <w:r w:rsidRPr="00892DE3">
        <w:t xml:space="preserve">(b) </w:t>
      </w:r>
      <w:r w:rsidRPr="00892DE3">
        <w:tab/>
        <w:t>the nature and extent to which protective rights of non-controlling interests can significantly restrict the entity’s ability to access or use the assets and settle the liabilities of the group (such as when a parent is obliged to settle liabilities of a subsidiary before settling its own liabilities, or approval of non-controlling interests is required either to access the assets or to settle the liabilities of a subsidiary); and</w:t>
      </w:r>
    </w:p>
    <w:p w:rsidR="00E91D37" w:rsidRDefault="00E91D37" w:rsidP="00C26100">
      <w:pPr>
        <w:pStyle w:val="List"/>
        <w:spacing w:line="276" w:lineRule="auto"/>
      </w:pPr>
      <w:r w:rsidRPr="00892DE3">
        <w:t xml:space="preserve">(c) </w:t>
      </w:r>
      <w:r w:rsidRPr="00892DE3">
        <w:tab/>
        <w:t>the carrying amounts in the consolidated financial statements of the assets and liabilities to which those restrictions apply.</w:t>
      </w:r>
    </w:p>
    <w:p w:rsidR="006F1D22" w:rsidRPr="00892DE3" w:rsidRDefault="006F1D22" w:rsidP="00C26100">
      <w:pPr>
        <w:pStyle w:val="List"/>
        <w:spacing w:line="276" w:lineRule="auto"/>
      </w:pPr>
    </w:p>
    <w:p w:rsidR="00E91D37" w:rsidRPr="006F1D22" w:rsidRDefault="00E91D37" w:rsidP="006F1D22">
      <w:pPr>
        <w:pStyle w:val="Heading30"/>
        <w:spacing w:before="0" w:line="276" w:lineRule="auto"/>
        <w:rPr>
          <w:i/>
        </w:rPr>
      </w:pPr>
      <w:r w:rsidRPr="006F1D22">
        <w:rPr>
          <w:i/>
        </w:rPr>
        <w:t xml:space="preserve">Nature of the risks associated with an entity’s interests in consolidated structured entities </w:t>
      </w:r>
    </w:p>
    <w:p w:rsidR="00E91D37" w:rsidRPr="00892DE3" w:rsidRDefault="00E91D37" w:rsidP="006F1D22">
      <w:pPr>
        <w:pStyle w:val="Heading30"/>
        <w:spacing w:before="0" w:line="276" w:lineRule="auto"/>
      </w:pPr>
      <w:r w:rsidRPr="00892DE3">
        <w:rPr>
          <w:rStyle w:val="ReferenceChar"/>
        </w:rPr>
        <w:t>[</w:t>
      </w:r>
      <w:r w:rsidRPr="00892DE3">
        <w:rPr>
          <w:rStyle w:val="ReferenceChar"/>
          <w:b w:val="0"/>
        </w:rPr>
        <w:t xml:space="preserve">AASB 12.14 and 12.15] </w:t>
      </w:r>
    </w:p>
    <w:p w:rsidR="00E91D37" w:rsidRPr="00892DE3" w:rsidRDefault="00E91D37" w:rsidP="00C26100">
      <w:pPr>
        <w:spacing w:line="276" w:lineRule="auto"/>
      </w:pPr>
      <w:r w:rsidRPr="00892DE3">
        <w:t>An entity shall disclose the terms of any contractual arrangements that could require the parent or its subsidiaries to provide financial support to a consolidated structured entity, including events or circumstances that could expose the reporting entity to a loss (e.g. liquidity arrangements or credit rating triggers associated with obligations to purchase assets of the structured entity or provide financial support).</w:t>
      </w:r>
    </w:p>
    <w:p w:rsidR="00E91D37" w:rsidRPr="00892DE3" w:rsidRDefault="00E91D37" w:rsidP="00C26100">
      <w:pPr>
        <w:spacing w:line="276" w:lineRule="auto"/>
      </w:pPr>
      <w:r w:rsidRPr="00892DE3">
        <w:t xml:space="preserve">If during the reporting period a parent or any of its subsidiaries has, without having a contractual obligation to do so, provided financial or other support to a consolidated structured entity (e.g. purchasing assets of or instruments issued by the structured entity), the entity shall disclose: </w:t>
      </w:r>
    </w:p>
    <w:p w:rsidR="00E91D37" w:rsidRPr="00892DE3" w:rsidRDefault="00E91D37" w:rsidP="00C26100">
      <w:pPr>
        <w:pStyle w:val="List"/>
        <w:spacing w:line="276" w:lineRule="auto"/>
      </w:pPr>
      <w:r w:rsidRPr="00892DE3">
        <w:t xml:space="preserve">(a) </w:t>
      </w:r>
      <w:r w:rsidRPr="00892DE3">
        <w:tab/>
        <w:t xml:space="preserve">the type and amount of support provided, including situations in which the parent or its subsidiaries assisted the structured entity in obtaining financial support; and </w:t>
      </w:r>
    </w:p>
    <w:p w:rsidR="00E91D37" w:rsidRPr="00892DE3" w:rsidRDefault="00E91D37" w:rsidP="00C26100">
      <w:pPr>
        <w:pStyle w:val="List"/>
        <w:spacing w:line="276" w:lineRule="auto"/>
      </w:pPr>
      <w:r w:rsidRPr="00892DE3">
        <w:t xml:space="preserve">(b) </w:t>
      </w:r>
      <w:r w:rsidRPr="00892DE3">
        <w:tab/>
        <w:t>the reasons for providing the support.</w:t>
      </w:r>
    </w:p>
    <w:p w:rsidR="00E91D37" w:rsidRPr="00892DE3" w:rsidRDefault="00E91D37" w:rsidP="00C26100">
      <w:pPr>
        <w:spacing w:line="276" w:lineRule="auto"/>
      </w:pPr>
      <w:r w:rsidRPr="00892DE3">
        <w:t xml:space="preserve">If during the reporting period a parent or any of its subsidiaries has, without having a contractual obligation to do so, provided financial or other support to a previously unconsolidated structured entity and that provision of support resulted in the entity controlling the structured entity, the entity shall disclose an explanation of the relevant factors in reaching that decision. </w:t>
      </w:r>
      <w:r w:rsidRPr="00892DE3">
        <w:rPr>
          <w:rStyle w:val="ReferenceChar"/>
        </w:rPr>
        <w:t>[AASB 12.16]</w:t>
      </w:r>
    </w:p>
    <w:p w:rsidR="00E91D37" w:rsidRPr="00892DE3" w:rsidRDefault="00E91D37" w:rsidP="00C26100">
      <w:pPr>
        <w:spacing w:after="240" w:line="276" w:lineRule="auto"/>
      </w:pPr>
      <w:r w:rsidRPr="00892DE3">
        <w:t xml:space="preserve">An entity shall disclose any current intentions to provide financial or other support to a consolidated structured entity, including intentions to assist the structured entity in obtaining financial support. </w:t>
      </w:r>
      <w:r w:rsidRPr="00892DE3">
        <w:rPr>
          <w:rStyle w:val="ReferenceChar"/>
        </w:rPr>
        <w:t>[AASB 12.17]</w:t>
      </w:r>
    </w:p>
    <w:p w:rsidR="00E91D37" w:rsidRPr="00892DE3" w:rsidRDefault="00E91D37" w:rsidP="00C26100">
      <w:pPr>
        <w:pStyle w:val="Heading30"/>
        <w:spacing w:line="276" w:lineRule="auto"/>
        <w:ind w:left="0" w:firstLine="0"/>
      </w:pPr>
      <w:r w:rsidRPr="006F1D22">
        <w:rPr>
          <w:i/>
        </w:rPr>
        <w:t>Consequences of changes in a parent’s ownership interest in a subsidiary that do not result in a loss of control</w:t>
      </w:r>
      <w:r w:rsidRPr="002F376C">
        <w:t xml:space="preserve"> </w:t>
      </w:r>
      <w:r w:rsidRPr="00892DE3">
        <w:rPr>
          <w:rStyle w:val="ReferenceChar"/>
          <w:b w:val="0"/>
        </w:rPr>
        <w:t>[AASB 12.18]</w:t>
      </w:r>
    </w:p>
    <w:p w:rsidR="00E91D37" w:rsidRPr="00892DE3" w:rsidRDefault="00E91D37" w:rsidP="00C26100">
      <w:pPr>
        <w:spacing w:after="240" w:line="276" w:lineRule="auto"/>
      </w:pPr>
      <w:r w:rsidRPr="00892DE3">
        <w:t>An entity shall present a schedule that shows the effects on the equity attributable to owners of the parent of any changes in its ownership interest in a subsidiary that do not result in a loss of control.</w:t>
      </w:r>
    </w:p>
    <w:p w:rsidR="00E91D37" w:rsidRPr="00892DE3" w:rsidRDefault="00E91D37" w:rsidP="00C26100">
      <w:pPr>
        <w:pStyle w:val="Heading30"/>
        <w:spacing w:line="276" w:lineRule="auto"/>
      </w:pPr>
      <w:r w:rsidRPr="006F1D22">
        <w:rPr>
          <w:i/>
        </w:rPr>
        <w:t>Consequences of losing control of a subsidiary during the reporting period</w:t>
      </w:r>
      <w:r w:rsidRPr="002F376C">
        <w:t xml:space="preserve"> </w:t>
      </w:r>
      <w:r w:rsidRPr="00892DE3">
        <w:rPr>
          <w:rStyle w:val="ReferenceChar"/>
          <w:b w:val="0"/>
        </w:rPr>
        <w:t>[AASB 12.19]</w:t>
      </w:r>
    </w:p>
    <w:p w:rsidR="00E91D37" w:rsidRPr="00892DE3" w:rsidRDefault="00E91D37" w:rsidP="00C26100">
      <w:pPr>
        <w:spacing w:line="276" w:lineRule="auto"/>
      </w:pPr>
      <w:r w:rsidRPr="00892DE3">
        <w:t xml:space="preserve">An entity shall disclose the gain or loss, if any, calculated in accordance with paragraph 25 of AASB 10, and: </w:t>
      </w:r>
    </w:p>
    <w:p w:rsidR="00E91D37" w:rsidRPr="00892DE3" w:rsidRDefault="00E91D37" w:rsidP="00C26100">
      <w:pPr>
        <w:pStyle w:val="List"/>
        <w:spacing w:line="276" w:lineRule="auto"/>
      </w:pPr>
      <w:r w:rsidRPr="00892DE3">
        <w:t xml:space="preserve">(a) </w:t>
      </w:r>
      <w:r w:rsidRPr="00892DE3">
        <w:tab/>
        <w:t xml:space="preserve">the portion of that gain or loss attributable to measuring any investment retained in the former subsidiary at its fair value at the date when control is lost; and </w:t>
      </w:r>
    </w:p>
    <w:p w:rsidR="00E91D37" w:rsidRPr="00892DE3" w:rsidRDefault="00E91D37" w:rsidP="00C26100">
      <w:pPr>
        <w:pStyle w:val="List"/>
        <w:spacing w:after="240" w:line="276" w:lineRule="auto"/>
      </w:pPr>
      <w:r w:rsidRPr="00892DE3">
        <w:t xml:space="preserve">(b) </w:t>
      </w:r>
      <w:r w:rsidRPr="00892DE3">
        <w:tab/>
        <w:t>the line item(s) in profit or loss in which the gain or loss is recognised (if not presented separately).</w:t>
      </w:r>
    </w:p>
    <w:p w:rsidR="00E91D37" w:rsidRPr="00892DE3" w:rsidRDefault="00E91D37" w:rsidP="00C26100">
      <w:pPr>
        <w:pStyle w:val="Heading2nonTOC"/>
        <w:spacing w:line="276" w:lineRule="auto"/>
      </w:pPr>
      <w:r w:rsidRPr="006F1D22">
        <w:rPr>
          <w:color w:val="0063A6" w:themeColor="accent1"/>
        </w:rPr>
        <w:t xml:space="preserve">Disclosure for interests in unconsolidated structured entities </w:t>
      </w:r>
      <w:r w:rsidRPr="00892DE3">
        <w:rPr>
          <w:rStyle w:val="ReferenceChar"/>
          <w:b w:val="0"/>
        </w:rPr>
        <w:t>[AASB 12.B21]</w:t>
      </w:r>
    </w:p>
    <w:p w:rsidR="00E91D37" w:rsidRPr="00892DE3" w:rsidRDefault="00E91D37" w:rsidP="00C26100">
      <w:pPr>
        <w:pStyle w:val="Heading30"/>
        <w:spacing w:line="276" w:lineRule="auto"/>
      </w:pPr>
      <w:r w:rsidRPr="006F1D22">
        <w:rPr>
          <w:i/>
          <w:color w:val="000000" w:themeColor="text1"/>
        </w:rPr>
        <w:t>Definition of structured entity</w:t>
      </w:r>
      <w:r w:rsidRPr="006F1D22">
        <w:rPr>
          <w:color w:val="000000" w:themeColor="text1"/>
        </w:rPr>
        <w:t xml:space="preserve"> </w:t>
      </w:r>
      <w:r w:rsidRPr="00892DE3">
        <w:rPr>
          <w:rStyle w:val="ReferenceChar"/>
          <w:b w:val="0"/>
        </w:rPr>
        <w:t>[AASB 12.IG7 &amp; 12.IG9]</w:t>
      </w:r>
    </w:p>
    <w:p w:rsidR="00E91D37" w:rsidRPr="00892DE3" w:rsidRDefault="00E91D37" w:rsidP="00C26100">
      <w:pPr>
        <w:spacing w:line="276" w:lineRule="auto"/>
      </w:pPr>
      <w:r w:rsidRPr="00892DE3">
        <w:t xml:space="preserve">A structured entity is an entity that has been designed so that voting or similar rights are not the dominant factor in deciding who controls the entity, such as when any voting rights relate to administrative tasks only and the relevant activities are directed by means of contractual arrangements. </w:t>
      </w:r>
    </w:p>
    <w:p w:rsidR="00E91D37" w:rsidRPr="00892DE3" w:rsidRDefault="00E91D37" w:rsidP="00C26100">
      <w:pPr>
        <w:spacing w:line="276" w:lineRule="auto"/>
      </w:pPr>
      <w:r w:rsidRPr="00892DE3">
        <w:t xml:space="preserve">Applying the principle underlying the definition of a structured entity means that structured entities have been designed so that less conventional means – in the context of not for profit entities – are the dominant factor in determining who controls the entity. This approach limits, for not for profit entities, the scope of structured entities to entities that have been designed so that voting or similar rights, including administrative arrangements or statutory provisions, are not the dominant factor in determining control of the entity. </w:t>
      </w:r>
    </w:p>
    <w:p w:rsidR="00C26100" w:rsidRPr="00892DE3" w:rsidRDefault="00E91D37" w:rsidP="00C26100">
      <w:pPr>
        <w:spacing w:line="276" w:lineRule="auto"/>
      </w:pPr>
      <w:r w:rsidRPr="00892DE3">
        <w:t>Not for profit private sector entities will also need to identify any structured entities with which they are associated. For example, a not for profit private sector entity may have established or sponsored a community service organisation whose relevant activities are directed by means of contractual arrangements. Those arrangements might require the not for profit private sector entity to provide financial support in specified circumstances to the community service organisation, or alternatively the entity might choose to provide financial or other support to the organisation without the contractual obligation to do so (e.g. due to the economic dependency of the organisation upon the entity). The AASB 12 disclosure requirements would be relevant in both circumstances as the community service organisation is a structured entity.</w:t>
      </w:r>
    </w:p>
    <w:p w:rsidR="00E91D37" w:rsidRPr="00892DE3" w:rsidRDefault="00E91D37" w:rsidP="00C26100">
      <w:pPr>
        <w:pStyle w:val="Heading30"/>
        <w:spacing w:line="276" w:lineRule="auto"/>
      </w:pPr>
      <w:r w:rsidRPr="006F1D22">
        <w:rPr>
          <w:i/>
          <w:color w:val="000000" w:themeColor="text1"/>
        </w:rPr>
        <w:t>Features of structured entities</w:t>
      </w:r>
      <w:r w:rsidRPr="006F1D22">
        <w:rPr>
          <w:color w:val="000000" w:themeColor="text1"/>
        </w:rPr>
        <w:t xml:space="preserve"> </w:t>
      </w:r>
      <w:r w:rsidRPr="00892DE3">
        <w:rPr>
          <w:rStyle w:val="ReferenceChar"/>
          <w:b w:val="0"/>
        </w:rPr>
        <w:t>[AASB 12.B22]</w:t>
      </w:r>
    </w:p>
    <w:p w:rsidR="00E91D37" w:rsidRPr="00892DE3" w:rsidRDefault="00E91D37" w:rsidP="00C26100">
      <w:pPr>
        <w:spacing w:line="276" w:lineRule="auto"/>
      </w:pPr>
      <w:r w:rsidRPr="00892DE3">
        <w:t xml:space="preserve">A structured entity often has some or all of the following features or attributes: </w:t>
      </w:r>
    </w:p>
    <w:p w:rsidR="00E91D37" w:rsidRPr="00892DE3" w:rsidRDefault="00E91D37" w:rsidP="00C26100">
      <w:pPr>
        <w:pStyle w:val="List"/>
        <w:spacing w:line="276" w:lineRule="auto"/>
      </w:pPr>
      <w:r w:rsidRPr="00892DE3">
        <w:t xml:space="preserve">(a) </w:t>
      </w:r>
      <w:r w:rsidRPr="00892DE3">
        <w:tab/>
        <w:t>restricted activities;</w:t>
      </w:r>
    </w:p>
    <w:p w:rsidR="00E91D37" w:rsidRPr="00892DE3" w:rsidRDefault="00E91D37" w:rsidP="00C26100">
      <w:pPr>
        <w:pStyle w:val="List"/>
        <w:spacing w:line="276" w:lineRule="auto"/>
      </w:pPr>
      <w:r w:rsidRPr="00892DE3">
        <w:t xml:space="preserve">(b) </w:t>
      </w:r>
      <w:r w:rsidRPr="00892DE3">
        <w:tab/>
        <w:t>a narrow and well defined objective, such as to effect a tax efficient lease, carry out research and development activities, provide a source of capital or funding to an entity or provide investment opportunities for investors by passing on risks and rewards associated with the assets of the structured entity to investors;</w:t>
      </w:r>
    </w:p>
    <w:p w:rsidR="00E91D37" w:rsidRPr="00892DE3" w:rsidRDefault="00E91D37" w:rsidP="00C26100">
      <w:pPr>
        <w:pStyle w:val="List"/>
        <w:spacing w:line="276" w:lineRule="auto"/>
      </w:pPr>
      <w:r w:rsidRPr="00892DE3">
        <w:t xml:space="preserve">(c) </w:t>
      </w:r>
      <w:r w:rsidRPr="00892DE3">
        <w:tab/>
        <w:t>insufficient equity to permit the structured entity to finance its activities without subordinated financial support; and</w:t>
      </w:r>
    </w:p>
    <w:p w:rsidR="00E91D37" w:rsidRPr="00892DE3" w:rsidRDefault="00E91D37" w:rsidP="00C26100">
      <w:pPr>
        <w:pStyle w:val="List"/>
        <w:spacing w:line="276" w:lineRule="auto"/>
      </w:pPr>
      <w:r w:rsidRPr="00892DE3">
        <w:t xml:space="preserve">(d) </w:t>
      </w:r>
      <w:r w:rsidRPr="00892DE3">
        <w:tab/>
        <w:t xml:space="preserve">financing in the form of multiple contractually linked instruments to investors that create concentrations of credit or other risks (tranches). </w:t>
      </w:r>
    </w:p>
    <w:p w:rsidR="00E91D37" w:rsidRPr="00892DE3" w:rsidRDefault="00E91D37" w:rsidP="00C26100">
      <w:pPr>
        <w:spacing w:line="276" w:lineRule="auto"/>
      </w:pPr>
      <w:r w:rsidRPr="00892DE3">
        <w:t xml:space="preserve">Examples of entities that are regarded as structured entities include, but are not limited to: </w:t>
      </w:r>
    </w:p>
    <w:p w:rsidR="00E91D37" w:rsidRPr="00892DE3" w:rsidRDefault="00E91D37" w:rsidP="00C26100">
      <w:pPr>
        <w:pStyle w:val="List"/>
        <w:spacing w:line="276" w:lineRule="auto"/>
      </w:pPr>
      <w:r w:rsidRPr="00892DE3">
        <w:t xml:space="preserve">(a) </w:t>
      </w:r>
      <w:r w:rsidRPr="00892DE3">
        <w:tab/>
        <w:t>securitisation vehicles;</w:t>
      </w:r>
    </w:p>
    <w:p w:rsidR="00E91D37" w:rsidRPr="00892DE3" w:rsidRDefault="00E91D37" w:rsidP="00C26100">
      <w:pPr>
        <w:pStyle w:val="List"/>
        <w:spacing w:line="276" w:lineRule="auto"/>
      </w:pPr>
      <w:r w:rsidRPr="00892DE3">
        <w:t xml:space="preserve">(b) </w:t>
      </w:r>
      <w:r w:rsidRPr="00892DE3">
        <w:tab/>
        <w:t>asset backed financings; and</w:t>
      </w:r>
    </w:p>
    <w:p w:rsidR="00E91D37" w:rsidRPr="00892DE3" w:rsidRDefault="00E91D37" w:rsidP="00C26100">
      <w:pPr>
        <w:pStyle w:val="List"/>
        <w:spacing w:after="240" w:line="276" w:lineRule="auto"/>
      </w:pPr>
      <w:r w:rsidRPr="00892DE3">
        <w:t xml:space="preserve">(c) </w:t>
      </w:r>
      <w:r w:rsidRPr="00892DE3">
        <w:tab/>
        <w:t>some investment funds.</w:t>
      </w:r>
    </w:p>
    <w:p w:rsidR="00E91D37" w:rsidRPr="00C26100" w:rsidRDefault="00E91D37" w:rsidP="00C26100">
      <w:pPr>
        <w:keepLines w:val="0"/>
        <w:spacing w:line="276" w:lineRule="auto"/>
        <w:rPr>
          <w:rFonts w:asciiTheme="majorHAnsi" w:eastAsiaTheme="majorEastAsia" w:hAnsiTheme="majorHAnsi" w:cstheme="majorBidi"/>
          <w:b/>
          <w:bCs/>
          <w:spacing w:val="-2"/>
          <w:sz w:val="20"/>
          <w:szCs w:val="26"/>
        </w:rPr>
      </w:pPr>
      <w:r w:rsidRPr="006F1D22">
        <w:rPr>
          <w:rFonts w:asciiTheme="majorHAnsi" w:eastAsiaTheme="majorEastAsia" w:hAnsiTheme="majorHAnsi" w:cstheme="majorBidi"/>
          <w:b/>
          <w:bCs/>
          <w:i/>
          <w:color w:val="000000" w:themeColor="text1"/>
          <w:spacing w:val="-2"/>
          <w:sz w:val="20"/>
          <w:szCs w:val="26"/>
        </w:rPr>
        <w:t>Nature of interests</w:t>
      </w:r>
      <w:r w:rsidRPr="006F1D22">
        <w:rPr>
          <w:color w:val="000000" w:themeColor="text1"/>
        </w:rPr>
        <w:t xml:space="preserve"> </w:t>
      </w:r>
      <w:r w:rsidRPr="00C26100">
        <w:rPr>
          <w:rStyle w:val="ReferenceChar"/>
          <w:rFonts w:asciiTheme="majorHAnsi" w:hAnsiTheme="majorHAnsi"/>
          <w:bCs/>
        </w:rPr>
        <w:t>[AASB 12.B23]</w:t>
      </w:r>
    </w:p>
    <w:p w:rsidR="00E91D37" w:rsidRPr="00892DE3" w:rsidRDefault="00E91D37" w:rsidP="00C26100">
      <w:pPr>
        <w:spacing w:line="276" w:lineRule="auto"/>
      </w:pPr>
      <w:r w:rsidRPr="00892DE3">
        <w:t>An entity shall disclose qualitative and quantitative information about its interests in unconsolidated structured entities, including, but not limited to, the nature, purpose, size and activities of the structured entity and how the structured entity is financed.</w:t>
      </w:r>
    </w:p>
    <w:p w:rsidR="00E91D37" w:rsidRPr="00892DE3" w:rsidRDefault="00E91D37" w:rsidP="00C26100">
      <w:pPr>
        <w:spacing w:line="276" w:lineRule="auto"/>
      </w:pPr>
      <w:r w:rsidRPr="00892DE3">
        <w:t xml:space="preserve">If an entity has sponsored an unconsolidated structured entity but does not have an interest in the entity at the reporting date, the entity shall disclose: </w:t>
      </w:r>
    </w:p>
    <w:p w:rsidR="00E91D37" w:rsidRPr="00892DE3" w:rsidRDefault="00E91D37" w:rsidP="00C26100">
      <w:pPr>
        <w:pStyle w:val="List"/>
        <w:spacing w:line="276" w:lineRule="auto"/>
      </w:pPr>
      <w:r w:rsidRPr="00892DE3">
        <w:t xml:space="preserve">(a) </w:t>
      </w:r>
      <w:r w:rsidRPr="00892DE3">
        <w:tab/>
        <w:t xml:space="preserve">how it has determined which structured entities it has sponsored; </w:t>
      </w:r>
    </w:p>
    <w:p w:rsidR="00E91D37" w:rsidRPr="00892DE3" w:rsidRDefault="00E91D37" w:rsidP="00C26100">
      <w:pPr>
        <w:pStyle w:val="List"/>
        <w:spacing w:line="276" w:lineRule="auto"/>
      </w:pPr>
      <w:r w:rsidRPr="00892DE3">
        <w:t xml:space="preserve">(b) </w:t>
      </w:r>
      <w:r w:rsidRPr="00892DE3">
        <w:tab/>
        <w:t xml:space="preserve">income from those structured entities during the reporting period, including a description of the types of income presented; and </w:t>
      </w:r>
    </w:p>
    <w:p w:rsidR="00E91D37" w:rsidRPr="00892DE3" w:rsidRDefault="00E91D37" w:rsidP="00C26100">
      <w:pPr>
        <w:pStyle w:val="List"/>
        <w:spacing w:after="240" w:line="276" w:lineRule="auto"/>
      </w:pPr>
      <w:r w:rsidRPr="00892DE3">
        <w:t xml:space="preserve">(c) </w:t>
      </w:r>
      <w:r w:rsidRPr="00892DE3">
        <w:tab/>
        <w:t>the carrying amount (at the time of transfer) of all assets transferred to those structured entities during the reporting period.</w:t>
      </w:r>
    </w:p>
    <w:p w:rsidR="00E91D37" w:rsidRPr="00892DE3" w:rsidRDefault="00E91D37" w:rsidP="00C26100">
      <w:pPr>
        <w:pStyle w:val="Heading30"/>
        <w:spacing w:line="276" w:lineRule="auto"/>
      </w:pPr>
      <w:r w:rsidRPr="006F1D22">
        <w:rPr>
          <w:i/>
          <w:color w:val="000000" w:themeColor="text1"/>
        </w:rPr>
        <w:t>Nature of risks</w:t>
      </w:r>
      <w:r w:rsidRPr="006F1D22">
        <w:rPr>
          <w:color w:val="000000" w:themeColor="text1"/>
        </w:rPr>
        <w:t xml:space="preserve"> </w:t>
      </w:r>
      <w:r w:rsidRPr="00892DE3">
        <w:rPr>
          <w:rStyle w:val="ReferenceChar"/>
          <w:b w:val="0"/>
        </w:rPr>
        <w:t>[AASB 12.26, 12.27 and 12.29]</w:t>
      </w:r>
    </w:p>
    <w:p w:rsidR="00E91D37" w:rsidRPr="00892DE3" w:rsidRDefault="00E91D37" w:rsidP="00C26100">
      <w:pPr>
        <w:spacing w:line="276" w:lineRule="auto"/>
      </w:pPr>
      <w:r w:rsidRPr="00892DE3">
        <w:t xml:space="preserve">An entity shall disclose in tabular format, unless another format is more appropriate, a summary of: </w:t>
      </w:r>
    </w:p>
    <w:p w:rsidR="00E91D37" w:rsidRPr="00892DE3" w:rsidRDefault="00E91D37" w:rsidP="00C26100">
      <w:pPr>
        <w:pStyle w:val="List"/>
        <w:spacing w:line="276" w:lineRule="auto"/>
      </w:pPr>
      <w:r w:rsidRPr="00892DE3">
        <w:t xml:space="preserve">(a) </w:t>
      </w:r>
      <w:r w:rsidR="00163E20" w:rsidRPr="00892DE3">
        <w:tab/>
      </w:r>
      <w:r w:rsidRPr="00892DE3">
        <w:t>the carrying amounts of the assets and liabilities recognised in its financial statements relating to its interests in unconsolidated structured entities;</w:t>
      </w:r>
    </w:p>
    <w:p w:rsidR="00E91D37" w:rsidRPr="00892DE3" w:rsidRDefault="00E91D37" w:rsidP="00C26100">
      <w:pPr>
        <w:pStyle w:val="List"/>
        <w:spacing w:line="276" w:lineRule="auto"/>
      </w:pPr>
      <w:r w:rsidRPr="00892DE3">
        <w:t xml:space="preserve">(b) </w:t>
      </w:r>
      <w:r w:rsidR="00163E20" w:rsidRPr="00892DE3">
        <w:tab/>
      </w:r>
      <w:r w:rsidRPr="00892DE3">
        <w:t>the line items in the statement of financial position in which those assets and liabilities are recognised;</w:t>
      </w:r>
    </w:p>
    <w:p w:rsidR="00E91D37" w:rsidRPr="00892DE3" w:rsidRDefault="00E91D37" w:rsidP="00C26100">
      <w:pPr>
        <w:pStyle w:val="List"/>
        <w:spacing w:line="276" w:lineRule="auto"/>
      </w:pPr>
      <w:r w:rsidRPr="00892DE3">
        <w:t xml:space="preserve">(c) </w:t>
      </w:r>
      <w:r w:rsidR="00163E20" w:rsidRPr="00892DE3">
        <w:tab/>
      </w:r>
      <w:r w:rsidRPr="00892DE3">
        <w:t xml:space="preserve">the amount that best represents the entity’s maximum exposure to loss from its interests in unconsolidated structured entities, including how the maximum exposure to loss is determined. If an entity cannot quantify its maximum exposure to loss from its interests in unconsolidated structured entities it shall disclose that fact and the reasons; and </w:t>
      </w:r>
    </w:p>
    <w:p w:rsidR="00125B6F" w:rsidRPr="00892DE3" w:rsidRDefault="00E91D37" w:rsidP="00C26100">
      <w:pPr>
        <w:pStyle w:val="List"/>
        <w:spacing w:line="276" w:lineRule="auto"/>
      </w:pPr>
      <w:r w:rsidRPr="00892DE3">
        <w:t xml:space="preserve">(d) </w:t>
      </w:r>
      <w:r w:rsidR="00163E20" w:rsidRPr="00892DE3">
        <w:tab/>
      </w:r>
      <w:r w:rsidRPr="00892DE3">
        <w:t>a comparison of the carrying amounts of the assets and liabilities of the entity that relate to its interests in unconsolidated structured entities and the entity’s maximum exposure to loss from those entities.</w:t>
      </w:r>
    </w:p>
    <w:p w:rsidR="00163E20" w:rsidRPr="00892DE3" w:rsidRDefault="00163E20" w:rsidP="00163E20"/>
    <w:p w:rsidR="00163E20" w:rsidRPr="00892DE3" w:rsidRDefault="00163E20" w:rsidP="00D44FD4">
      <w:pPr>
        <w:pStyle w:val="AppendixHeading"/>
        <w:sectPr w:rsidR="00163E20" w:rsidRPr="00892DE3" w:rsidSect="00AA329A">
          <w:headerReference w:type="even" r:id="rId207"/>
          <w:headerReference w:type="default" r:id="rId208"/>
          <w:footerReference w:type="first" r:id="rId209"/>
          <w:pgSz w:w="11906" w:h="16838" w:code="9"/>
          <w:pgMar w:top="1134" w:right="1134" w:bottom="1134" w:left="1134" w:header="624" w:footer="567" w:gutter="0"/>
          <w:cols w:space="720"/>
          <w:titlePg/>
        </w:sectPr>
      </w:pPr>
    </w:p>
    <w:p w:rsidR="00597628" w:rsidRPr="00892DE3" w:rsidRDefault="00597628" w:rsidP="002F376C">
      <w:pPr>
        <w:pStyle w:val="AppendixHeading"/>
        <w:spacing w:after="240"/>
      </w:pPr>
      <w:bookmarkStart w:id="309" w:name="_Toc481591394"/>
      <w:bookmarkStart w:id="310" w:name="_Toc481592341"/>
      <w:r w:rsidRPr="00892DE3">
        <w:t>Appendix 6:</w:t>
      </w:r>
      <w:r w:rsidRPr="00892DE3">
        <w:tab/>
        <w:t>Annual leave provisions</w:t>
      </w:r>
      <w:bookmarkEnd w:id="309"/>
      <w:bookmarkEnd w:id="310"/>
    </w:p>
    <w:p w:rsidR="00597628" w:rsidRPr="00892DE3" w:rsidRDefault="00597628" w:rsidP="002F376C">
      <w:pPr>
        <w:pStyle w:val="Heading2nonTOC"/>
        <w:spacing w:after="240"/>
      </w:pPr>
      <w:r w:rsidRPr="00892DE3">
        <w:t xml:space="preserve">AASB 119 Employee Benefits </w:t>
      </w:r>
    </w:p>
    <w:p w:rsidR="00597628" w:rsidRPr="00055477" w:rsidRDefault="00597628" w:rsidP="00112A09">
      <w:pPr>
        <w:pStyle w:val="Heading30"/>
        <w:spacing w:line="276" w:lineRule="auto"/>
        <w:rPr>
          <w:color w:val="0063A6" w:themeColor="accent1"/>
        </w:rPr>
      </w:pPr>
      <w:r w:rsidRPr="00055477">
        <w:rPr>
          <w:color w:val="0063A6" w:themeColor="accent1"/>
        </w:rPr>
        <w:t xml:space="preserve">Definitions </w:t>
      </w:r>
      <w:r w:rsidR="00055477">
        <w:rPr>
          <w:color w:val="0063A6" w:themeColor="accent1"/>
        </w:rPr>
        <w:t>[</w:t>
      </w:r>
      <w:r w:rsidR="00055477">
        <w:rPr>
          <w:color w:val="0063A6" w:themeColor="accent1"/>
          <w:sz w:val="16"/>
        </w:rPr>
        <w:t xml:space="preserve"> AASB 119.8]</w:t>
      </w:r>
    </w:p>
    <w:p w:rsidR="00597628" w:rsidRPr="00892DE3" w:rsidRDefault="00597628" w:rsidP="00112A09">
      <w:pPr>
        <w:spacing w:line="276" w:lineRule="auto"/>
      </w:pPr>
      <w:r w:rsidRPr="00892DE3">
        <w:t>Short</w:t>
      </w:r>
      <w:r w:rsidRPr="00892DE3">
        <w:noBreakHyphen/>
        <w:t>term employee benefits are employee benefits (other than termination benefits) that are expected to be settled wholly before 12 months after the end of the annual reporting period in which the employees render the related service.</w:t>
      </w:r>
    </w:p>
    <w:p w:rsidR="00597628" w:rsidRPr="00892DE3" w:rsidRDefault="00597628" w:rsidP="00112A09">
      <w:pPr>
        <w:spacing w:after="240" w:line="276" w:lineRule="auto"/>
      </w:pPr>
      <w:r w:rsidRPr="00892DE3">
        <w:t>Other long</w:t>
      </w:r>
      <w:r w:rsidRPr="00892DE3">
        <w:noBreakHyphen/>
        <w:t>term employee benefits are all employee benefits other than short</w:t>
      </w:r>
      <w:r w:rsidRPr="00892DE3">
        <w:noBreakHyphen/>
        <w:t>term employee benefits, post</w:t>
      </w:r>
      <w:r w:rsidRPr="00892DE3">
        <w:noBreakHyphen/>
        <w:t>employment benefits and termination benefits.</w:t>
      </w:r>
    </w:p>
    <w:p w:rsidR="00597628" w:rsidRPr="00055477" w:rsidRDefault="00597628" w:rsidP="00112A09">
      <w:pPr>
        <w:pStyle w:val="Heading30"/>
        <w:spacing w:line="276" w:lineRule="auto"/>
        <w:rPr>
          <w:color w:val="0063A6" w:themeColor="accent1"/>
        </w:rPr>
      </w:pPr>
      <w:r w:rsidRPr="00055477">
        <w:rPr>
          <w:color w:val="0063A6" w:themeColor="accent1"/>
        </w:rPr>
        <w:t xml:space="preserve">Revised requirements </w:t>
      </w:r>
    </w:p>
    <w:p w:rsidR="00597628" w:rsidRPr="00892DE3" w:rsidRDefault="00597628" w:rsidP="00112A09">
      <w:pPr>
        <w:spacing w:line="276" w:lineRule="auto"/>
      </w:pPr>
      <w:r w:rsidRPr="00892DE3">
        <w:t>Under revised AASB 119, the classification of short</w:t>
      </w:r>
      <w:r w:rsidRPr="00892DE3">
        <w:noBreakHyphen/>
        <w:t xml:space="preserve">term employee benefits centres around the question as to whether the employee benefits are expected to be wholly settled within 12 months. </w:t>
      </w:r>
    </w:p>
    <w:p w:rsidR="00597628" w:rsidRPr="00892DE3" w:rsidRDefault="00597628" w:rsidP="00112A09">
      <w:pPr>
        <w:spacing w:line="276" w:lineRule="auto"/>
      </w:pPr>
      <w:r w:rsidRPr="00892DE3">
        <w:t>In other words, if the employee benefits are not expected to be wholly settled within 12 months and this is a permanent expectation, the employee benefits should be classified as long</w:t>
      </w:r>
      <w:r w:rsidRPr="00892DE3">
        <w:noBreakHyphen/>
        <w:t>term employee benefits and should be measured at a discounted value similar to other long</w:t>
      </w:r>
      <w:r w:rsidRPr="00892DE3">
        <w:noBreakHyphen/>
        <w:t>term employee benefits.</w:t>
      </w:r>
    </w:p>
    <w:p w:rsidR="00597628" w:rsidRPr="00892DE3" w:rsidRDefault="00597628" w:rsidP="00112A09">
      <w:pPr>
        <w:spacing w:after="240" w:line="276" w:lineRule="auto"/>
      </w:pPr>
      <w:r w:rsidRPr="00892DE3">
        <w:t>However, an entity need not reclassify a short</w:t>
      </w:r>
      <w:r w:rsidRPr="00892DE3">
        <w:noBreakHyphen/>
        <w:t>term employee benefit if the entity’s expectations of the timing of employee benefit settlement change temporarily. In such cases, entities can continue to measure the employee benefits at nominal value.</w:t>
      </w:r>
    </w:p>
    <w:p w:rsidR="00597628" w:rsidRPr="00055477" w:rsidRDefault="00597628" w:rsidP="00112A09">
      <w:pPr>
        <w:pStyle w:val="Heading30"/>
        <w:spacing w:line="276" w:lineRule="auto"/>
        <w:rPr>
          <w:color w:val="0063A6" w:themeColor="accent1"/>
        </w:rPr>
      </w:pPr>
      <w:r w:rsidRPr="00055477">
        <w:rPr>
          <w:color w:val="0063A6" w:themeColor="accent1"/>
        </w:rPr>
        <w:t>Example assumptions</w:t>
      </w:r>
    </w:p>
    <w:p w:rsidR="00597628" w:rsidRPr="00892DE3" w:rsidRDefault="00597628" w:rsidP="00112A09">
      <w:pPr>
        <w:pStyle w:val="ListBullet"/>
        <w:spacing w:line="276" w:lineRule="auto"/>
        <w:contextualSpacing w:val="0"/>
      </w:pPr>
      <w:r w:rsidRPr="00892DE3">
        <w:t xml:space="preserve">At 30 June Year 0 (i.e. the reporting date), the balance of outstanding annual leave entitlements are expected to be $100 (nominal value including wage inflation). </w:t>
      </w:r>
    </w:p>
    <w:p w:rsidR="00597628" w:rsidRPr="00892DE3" w:rsidRDefault="00597628" w:rsidP="00112A09">
      <w:pPr>
        <w:pStyle w:val="ListBullet"/>
        <w:spacing w:line="276" w:lineRule="auto"/>
        <w:contextualSpacing w:val="0"/>
      </w:pPr>
      <w:r w:rsidRPr="00892DE3">
        <w:t>Based on historical trends, 70 per cent of the entitlements are expected to be taken during Year 1, with the remaining 30 per cent taken by the end of Year 2.</w:t>
      </w:r>
    </w:p>
    <w:p w:rsidR="00597628" w:rsidRPr="00892DE3" w:rsidRDefault="00597628" w:rsidP="00112A09">
      <w:pPr>
        <w:pStyle w:val="ListBullet"/>
        <w:spacing w:line="276" w:lineRule="auto"/>
        <w:contextualSpacing w:val="0"/>
      </w:pPr>
      <w:r w:rsidRPr="00892DE3">
        <w:t>Cash settlements are made as expected.</w:t>
      </w:r>
    </w:p>
    <w:p w:rsidR="00597628" w:rsidRPr="00892DE3" w:rsidRDefault="00597628" w:rsidP="00112A09">
      <w:pPr>
        <w:pStyle w:val="ListBullet"/>
        <w:spacing w:line="276" w:lineRule="auto"/>
        <w:contextualSpacing w:val="0"/>
      </w:pPr>
      <w:r w:rsidRPr="00892DE3">
        <w:t>Discount rate = 5 per cent.</w:t>
      </w:r>
    </w:p>
    <w:p w:rsidR="00597628" w:rsidRPr="00892DE3" w:rsidRDefault="00597628" w:rsidP="00112A09">
      <w:pPr>
        <w:pStyle w:val="ListBullet"/>
        <w:spacing w:after="240" w:line="276" w:lineRule="auto"/>
        <w:contextualSpacing w:val="0"/>
      </w:pPr>
      <w:r w:rsidRPr="00892DE3">
        <w:t>Expected cash outflows are discounted on annual basis.</w:t>
      </w:r>
    </w:p>
    <w:p w:rsidR="00597628" w:rsidRPr="00055477" w:rsidRDefault="00597628" w:rsidP="00112A09">
      <w:pPr>
        <w:pStyle w:val="Heading30"/>
        <w:spacing w:line="276" w:lineRule="auto"/>
        <w:rPr>
          <w:color w:val="0063A6" w:themeColor="accent1"/>
        </w:rPr>
      </w:pPr>
      <w:r w:rsidRPr="00055477">
        <w:rPr>
          <w:color w:val="0063A6" w:themeColor="accent1"/>
        </w:rPr>
        <w:t>Questions</w:t>
      </w:r>
    </w:p>
    <w:p w:rsidR="00597628" w:rsidRPr="00112A09" w:rsidRDefault="00597628" w:rsidP="00112A09">
      <w:pPr>
        <w:pStyle w:val="Heading4"/>
        <w:spacing w:line="276" w:lineRule="auto"/>
        <w:rPr>
          <w:b/>
        </w:rPr>
      </w:pPr>
      <w:r w:rsidRPr="00112A09">
        <w:rPr>
          <w:b/>
        </w:rPr>
        <w:t>Do the annual leave provisions in this example qualify as short</w:t>
      </w:r>
      <w:r w:rsidRPr="00112A09">
        <w:rPr>
          <w:b/>
        </w:rPr>
        <w:noBreakHyphen/>
        <w:t>term employee benefits?</w:t>
      </w:r>
    </w:p>
    <w:p w:rsidR="00597628" w:rsidRPr="00892DE3" w:rsidRDefault="00597628" w:rsidP="00112A09">
      <w:pPr>
        <w:spacing w:line="276" w:lineRule="auto"/>
      </w:pPr>
      <w:r w:rsidRPr="00892DE3">
        <w:t>No. The classification of ‘short</w:t>
      </w:r>
      <w:r w:rsidRPr="00892DE3">
        <w:noBreakHyphen/>
        <w:t>term employee benefits’ is based on the ‘whole of the benefit’ level. If a portion of the benefit is expected to be settled longer than 12 months after the end of the annual reporting period, then the whole of the benefit will be classified as a long</w:t>
      </w:r>
      <w:r w:rsidRPr="00892DE3">
        <w:noBreakHyphen/>
        <w:t>term employee benefit. In this example, since 30 per cent of the entitlements are expected to be taken after 12 months, the whole balance of annual leave entitlements will be classified as ‘long</w:t>
      </w:r>
      <w:r w:rsidRPr="00892DE3">
        <w:noBreakHyphen/>
        <w:t xml:space="preserve">term employee benefits’ and calculated on discounted value. </w:t>
      </w:r>
    </w:p>
    <w:p w:rsidR="00597628" w:rsidRPr="00892DE3" w:rsidRDefault="00597628" w:rsidP="00597628"/>
    <w:p w:rsidR="00597628" w:rsidRPr="00892DE3" w:rsidRDefault="00597628" w:rsidP="00597628">
      <w:r w:rsidRPr="00892DE3">
        <w:br w:type="page"/>
      </w:r>
    </w:p>
    <w:p w:rsidR="00597628" w:rsidRPr="00112A09" w:rsidRDefault="00597628" w:rsidP="00597628">
      <w:pPr>
        <w:pStyle w:val="Heading30"/>
        <w:rPr>
          <w:i/>
          <w:color w:val="000000" w:themeColor="text1"/>
        </w:rPr>
      </w:pPr>
      <w:r w:rsidRPr="00112A09">
        <w:rPr>
          <w:i/>
          <w:color w:val="000000" w:themeColor="text1"/>
        </w:rPr>
        <w:t xml:space="preserve">How should the annual leave provisions be calculated? </w:t>
      </w:r>
    </w:p>
    <w:p w:rsidR="00597628" w:rsidRPr="00892DE3" w:rsidRDefault="00597628" w:rsidP="00597628">
      <w:pPr>
        <w:pStyle w:val="Small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55"/>
        <w:gridCol w:w="855"/>
        <w:gridCol w:w="1539"/>
        <w:gridCol w:w="1333"/>
        <w:gridCol w:w="1971"/>
        <w:gridCol w:w="1526"/>
        <w:gridCol w:w="1527"/>
      </w:tblGrid>
      <w:tr w:rsidR="00597628" w:rsidRPr="00892DE3" w:rsidTr="009C27B9">
        <w:trPr>
          <w:jc w:val="center"/>
        </w:trPr>
        <w:tc>
          <w:tcPr>
            <w:tcW w:w="1710" w:type="dxa"/>
            <w:gridSpan w:val="2"/>
          </w:tcPr>
          <w:p w:rsidR="00597628" w:rsidRPr="00892DE3" w:rsidRDefault="00597628" w:rsidP="009C27B9">
            <w:pPr>
              <w:pStyle w:val="Tabletext"/>
              <w:jc w:val="center"/>
              <w:rPr>
                <w:rFonts w:asciiTheme="majorHAnsi" w:hAnsiTheme="majorHAnsi"/>
              </w:rPr>
            </w:pPr>
            <w:r w:rsidRPr="00892DE3">
              <w:rPr>
                <w:rFonts w:asciiTheme="majorHAnsi" w:hAnsiTheme="majorHAnsi"/>
              </w:rPr>
              <w:t>PV</w:t>
            </w:r>
          </w:p>
        </w:tc>
        <w:tc>
          <w:tcPr>
            <w:tcW w:w="2867" w:type="dxa"/>
            <w:gridSpan w:val="2"/>
          </w:tcPr>
          <w:p w:rsidR="00597628" w:rsidRPr="00892DE3" w:rsidRDefault="00597628" w:rsidP="009C27B9">
            <w:pPr>
              <w:pStyle w:val="Tabletext"/>
              <w:jc w:val="center"/>
              <w:rPr>
                <w:rFonts w:asciiTheme="majorHAnsi" w:hAnsiTheme="majorHAnsi"/>
              </w:rPr>
            </w:pPr>
            <w:r w:rsidRPr="00892DE3">
              <w:rPr>
                <w:rFonts w:asciiTheme="majorHAnsi" w:hAnsiTheme="majorHAnsi"/>
              </w:rPr>
              <w:t xml:space="preserve">Expected cash outflow of </w:t>
            </w:r>
            <w:r w:rsidRPr="00892DE3">
              <w:rPr>
                <w:rFonts w:asciiTheme="majorHAnsi" w:hAnsiTheme="majorHAnsi"/>
              </w:rPr>
              <w:br/>
              <w:t>$70 (incl. CPI)</w:t>
            </w:r>
          </w:p>
        </w:tc>
        <w:tc>
          <w:tcPr>
            <w:tcW w:w="1971" w:type="dxa"/>
          </w:tcPr>
          <w:p w:rsidR="00597628" w:rsidRPr="00892DE3" w:rsidRDefault="00597628" w:rsidP="009C27B9">
            <w:pPr>
              <w:pStyle w:val="Tabletext"/>
              <w:rPr>
                <w:rFonts w:asciiTheme="majorHAnsi" w:hAnsiTheme="majorHAnsi"/>
              </w:rPr>
            </w:pPr>
          </w:p>
        </w:tc>
        <w:tc>
          <w:tcPr>
            <w:tcW w:w="3053" w:type="dxa"/>
            <w:gridSpan w:val="2"/>
          </w:tcPr>
          <w:p w:rsidR="00597628" w:rsidRPr="00892DE3" w:rsidRDefault="00597628" w:rsidP="009C27B9">
            <w:pPr>
              <w:pStyle w:val="Tabletext"/>
              <w:jc w:val="center"/>
              <w:rPr>
                <w:rFonts w:asciiTheme="majorHAnsi" w:hAnsiTheme="majorHAnsi"/>
              </w:rPr>
            </w:pPr>
            <w:r w:rsidRPr="00892DE3">
              <w:rPr>
                <w:rFonts w:asciiTheme="majorHAnsi" w:hAnsiTheme="majorHAnsi"/>
              </w:rPr>
              <w:t>Expected cash outflow</w:t>
            </w:r>
            <w:r w:rsidRPr="00892DE3">
              <w:rPr>
                <w:rFonts w:asciiTheme="majorHAnsi" w:hAnsiTheme="majorHAnsi"/>
              </w:rPr>
              <w:br/>
              <w:t>of $30 (incl. CPI)</w:t>
            </w:r>
          </w:p>
        </w:tc>
      </w:tr>
      <w:tr w:rsidR="00597628" w:rsidRPr="00892DE3" w:rsidTr="009C27B9">
        <w:trPr>
          <w:jc w:val="center"/>
        </w:trPr>
        <w:tc>
          <w:tcPr>
            <w:tcW w:w="855" w:type="dxa"/>
            <w:tcBorders>
              <w:right w:val="single" w:sz="6" w:space="0" w:color="auto"/>
            </w:tcBorders>
          </w:tcPr>
          <w:p w:rsidR="00597628" w:rsidRPr="00892DE3" w:rsidRDefault="00597628" w:rsidP="009C27B9">
            <w:pPr>
              <w:pStyle w:val="Tabletext"/>
              <w:spacing w:before="0"/>
              <w:rPr>
                <w:rFonts w:asciiTheme="majorHAnsi" w:hAnsiTheme="majorHAnsi"/>
              </w:rPr>
            </w:pPr>
          </w:p>
        </w:tc>
        <w:tc>
          <w:tcPr>
            <w:tcW w:w="855" w:type="dxa"/>
            <w:tcBorders>
              <w:left w:val="single" w:sz="6" w:space="0" w:color="auto"/>
              <w:bottom w:val="single" w:sz="6" w:space="0" w:color="auto"/>
            </w:tcBorders>
          </w:tcPr>
          <w:p w:rsidR="00597628" w:rsidRPr="00892DE3" w:rsidRDefault="00597628" w:rsidP="009C27B9">
            <w:pPr>
              <w:pStyle w:val="Tabletext"/>
              <w:spacing w:before="0"/>
              <w:rPr>
                <w:rFonts w:asciiTheme="majorHAnsi" w:hAnsiTheme="majorHAnsi"/>
              </w:rPr>
            </w:pPr>
          </w:p>
        </w:tc>
        <w:tc>
          <w:tcPr>
            <w:tcW w:w="1539" w:type="dxa"/>
            <w:tcBorders>
              <w:bottom w:val="single" w:sz="6" w:space="0" w:color="auto"/>
              <w:right w:val="single" w:sz="6" w:space="0" w:color="auto"/>
            </w:tcBorders>
          </w:tcPr>
          <w:p w:rsidR="00597628" w:rsidRPr="00892DE3" w:rsidRDefault="00597628" w:rsidP="009C27B9">
            <w:pPr>
              <w:pStyle w:val="Tabletext"/>
              <w:spacing w:before="0"/>
              <w:rPr>
                <w:rFonts w:asciiTheme="majorHAnsi" w:hAnsiTheme="majorHAnsi"/>
              </w:rPr>
            </w:pPr>
          </w:p>
        </w:tc>
        <w:tc>
          <w:tcPr>
            <w:tcW w:w="1328" w:type="dxa"/>
            <w:tcBorders>
              <w:left w:val="single" w:sz="6" w:space="0" w:color="auto"/>
              <w:bottom w:val="single" w:sz="6" w:space="0" w:color="auto"/>
            </w:tcBorders>
          </w:tcPr>
          <w:p w:rsidR="00597628" w:rsidRPr="00892DE3" w:rsidRDefault="00597628" w:rsidP="009C27B9">
            <w:pPr>
              <w:pStyle w:val="Tabletext"/>
              <w:spacing w:before="0"/>
              <w:rPr>
                <w:rFonts w:asciiTheme="majorHAnsi" w:hAnsiTheme="majorHAnsi"/>
              </w:rPr>
            </w:pPr>
          </w:p>
        </w:tc>
        <w:tc>
          <w:tcPr>
            <w:tcW w:w="1971" w:type="dxa"/>
            <w:tcBorders>
              <w:bottom w:val="single" w:sz="6" w:space="0" w:color="auto"/>
            </w:tcBorders>
          </w:tcPr>
          <w:p w:rsidR="00597628" w:rsidRPr="00892DE3" w:rsidRDefault="00597628" w:rsidP="009C27B9">
            <w:pPr>
              <w:pStyle w:val="Tabletext"/>
              <w:spacing w:before="0"/>
              <w:rPr>
                <w:rFonts w:asciiTheme="majorHAnsi" w:hAnsiTheme="majorHAnsi"/>
              </w:rPr>
            </w:pPr>
          </w:p>
        </w:tc>
        <w:tc>
          <w:tcPr>
            <w:tcW w:w="1526" w:type="dxa"/>
            <w:tcBorders>
              <w:bottom w:val="single" w:sz="6" w:space="0" w:color="auto"/>
              <w:right w:val="single" w:sz="6" w:space="0" w:color="auto"/>
            </w:tcBorders>
          </w:tcPr>
          <w:p w:rsidR="00597628" w:rsidRPr="00892DE3" w:rsidRDefault="00597628" w:rsidP="009C27B9">
            <w:pPr>
              <w:pStyle w:val="Tabletext"/>
              <w:spacing w:before="0"/>
              <w:rPr>
                <w:rFonts w:asciiTheme="majorHAnsi" w:hAnsiTheme="majorHAnsi"/>
              </w:rPr>
            </w:pPr>
          </w:p>
        </w:tc>
        <w:tc>
          <w:tcPr>
            <w:tcW w:w="1527" w:type="dxa"/>
            <w:tcBorders>
              <w:left w:val="single" w:sz="6" w:space="0" w:color="auto"/>
            </w:tcBorders>
          </w:tcPr>
          <w:p w:rsidR="00597628" w:rsidRPr="00892DE3" w:rsidRDefault="00597628" w:rsidP="009C27B9">
            <w:pPr>
              <w:pStyle w:val="Tabletext"/>
              <w:spacing w:before="0"/>
              <w:rPr>
                <w:rFonts w:asciiTheme="majorHAnsi" w:hAnsiTheme="majorHAnsi"/>
              </w:rPr>
            </w:pPr>
          </w:p>
        </w:tc>
      </w:tr>
      <w:tr w:rsidR="00597628" w:rsidRPr="00892DE3" w:rsidTr="009C27B9">
        <w:trPr>
          <w:trHeight w:val="65"/>
          <w:jc w:val="center"/>
        </w:trPr>
        <w:tc>
          <w:tcPr>
            <w:tcW w:w="855" w:type="dxa"/>
          </w:tcPr>
          <w:p w:rsidR="00597628" w:rsidRPr="00892DE3" w:rsidRDefault="00597628" w:rsidP="009C27B9">
            <w:pPr>
              <w:pStyle w:val="Tabletext"/>
              <w:spacing w:before="0"/>
              <w:rPr>
                <w:rFonts w:asciiTheme="majorHAnsi" w:hAnsiTheme="majorHAnsi"/>
              </w:rPr>
            </w:pPr>
          </w:p>
        </w:tc>
        <w:tc>
          <w:tcPr>
            <w:tcW w:w="855" w:type="dxa"/>
          </w:tcPr>
          <w:p w:rsidR="00597628" w:rsidRPr="00892DE3" w:rsidRDefault="00597628" w:rsidP="009C27B9">
            <w:pPr>
              <w:pStyle w:val="Tabletext"/>
              <w:spacing w:before="0"/>
              <w:rPr>
                <w:rFonts w:asciiTheme="majorHAnsi" w:hAnsiTheme="majorHAnsi"/>
              </w:rPr>
            </w:pPr>
          </w:p>
        </w:tc>
        <w:tc>
          <w:tcPr>
            <w:tcW w:w="1539" w:type="dxa"/>
          </w:tcPr>
          <w:p w:rsidR="00597628" w:rsidRPr="00892DE3" w:rsidRDefault="00597628" w:rsidP="009C27B9">
            <w:pPr>
              <w:pStyle w:val="Tabletext"/>
              <w:spacing w:before="0"/>
              <w:rPr>
                <w:rFonts w:asciiTheme="majorHAnsi" w:hAnsiTheme="majorHAnsi"/>
              </w:rPr>
            </w:pPr>
          </w:p>
        </w:tc>
        <w:tc>
          <w:tcPr>
            <w:tcW w:w="1328" w:type="dxa"/>
          </w:tcPr>
          <w:p w:rsidR="00597628" w:rsidRPr="00892DE3" w:rsidRDefault="00597628" w:rsidP="009C27B9">
            <w:pPr>
              <w:pStyle w:val="Tabletext"/>
              <w:spacing w:before="0"/>
              <w:rPr>
                <w:rFonts w:asciiTheme="majorHAnsi" w:hAnsiTheme="majorHAnsi"/>
              </w:rPr>
            </w:pPr>
          </w:p>
        </w:tc>
        <w:tc>
          <w:tcPr>
            <w:tcW w:w="1971" w:type="dxa"/>
          </w:tcPr>
          <w:p w:rsidR="00597628" w:rsidRPr="00892DE3" w:rsidRDefault="00597628" w:rsidP="009C27B9">
            <w:pPr>
              <w:pStyle w:val="Tabletext"/>
              <w:spacing w:before="0"/>
              <w:rPr>
                <w:rFonts w:asciiTheme="majorHAnsi" w:hAnsiTheme="majorHAnsi"/>
              </w:rPr>
            </w:pPr>
          </w:p>
        </w:tc>
        <w:tc>
          <w:tcPr>
            <w:tcW w:w="1526" w:type="dxa"/>
          </w:tcPr>
          <w:p w:rsidR="00597628" w:rsidRPr="00892DE3" w:rsidRDefault="00597628" w:rsidP="009C27B9">
            <w:pPr>
              <w:pStyle w:val="Tabletext"/>
              <w:spacing w:before="0"/>
              <w:rPr>
                <w:rFonts w:asciiTheme="majorHAnsi" w:hAnsiTheme="majorHAnsi"/>
              </w:rPr>
            </w:pPr>
          </w:p>
        </w:tc>
        <w:tc>
          <w:tcPr>
            <w:tcW w:w="1527" w:type="dxa"/>
          </w:tcPr>
          <w:p w:rsidR="00597628" w:rsidRPr="00892DE3" w:rsidRDefault="00597628" w:rsidP="009C27B9">
            <w:pPr>
              <w:pStyle w:val="Tabletext"/>
              <w:spacing w:before="0"/>
              <w:rPr>
                <w:rFonts w:asciiTheme="majorHAnsi" w:hAnsiTheme="majorHAnsi"/>
              </w:rPr>
            </w:pPr>
          </w:p>
        </w:tc>
      </w:tr>
      <w:tr w:rsidR="00597628" w:rsidRPr="00892DE3" w:rsidTr="009C27B9">
        <w:trPr>
          <w:jc w:val="center"/>
        </w:trPr>
        <w:tc>
          <w:tcPr>
            <w:tcW w:w="1710" w:type="dxa"/>
            <w:gridSpan w:val="2"/>
          </w:tcPr>
          <w:p w:rsidR="00597628" w:rsidRPr="00892DE3" w:rsidRDefault="00597628" w:rsidP="009C27B9">
            <w:pPr>
              <w:pStyle w:val="Tabletext"/>
              <w:jc w:val="center"/>
              <w:rPr>
                <w:rFonts w:asciiTheme="majorHAnsi" w:hAnsiTheme="majorHAnsi"/>
              </w:rPr>
            </w:pPr>
            <w:r w:rsidRPr="00892DE3">
              <w:rPr>
                <w:rFonts w:asciiTheme="majorHAnsi" w:hAnsiTheme="majorHAnsi"/>
              </w:rPr>
              <w:t>30 Jun Y0</w:t>
            </w:r>
            <w:r w:rsidRPr="00892DE3">
              <w:rPr>
                <w:rFonts w:asciiTheme="majorHAnsi" w:hAnsiTheme="majorHAnsi"/>
              </w:rPr>
              <w:br/>
              <w:t>(reporting date)</w:t>
            </w:r>
          </w:p>
        </w:tc>
        <w:tc>
          <w:tcPr>
            <w:tcW w:w="2867" w:type="dxa"/>
            <w:gridSpan w:val="2"/>
          </w:tcPr>
          <w:p w:rsidR="00597628" w:rsidRPr="00892DE3" w:rsidRDefault="00597628" w:rsidP="009C27B9">
            <w:pPr>
              <w:pStyle w:val="Tabletext"/>
              <w:jc w:val="center"/>
              <w:rPr>
                <w:rFonts w:asciiTheme="majorHAnsi" w:hAnsiTheme="majorHAnsi"/>
              </w:rPr>
            </w:pPr>
            <w:r w:rsidRPr="00892DE3">
              <w:rPr>
                <w:rFonts w:asciiTheme="majorHAnsi" w:hAnsiTheme="majorHAnsi"/>
              </w:rPr>
              <w:t>30 Mar Y1</w:t>
            </w:r>
          </w:p>
        </w:tc>
        <w:tc>
          <w:tcPr>
            <w:tcW w:w="1971" w:type="dxa"/>
          </w:tcPr>
          <w:p w:rsidR="00597628" w:rsidRPr="00892DE3" w:rsidRDefault="00597628" w:rsidP="009C27B9">
            <w:pPr>
              <w:pStyle w:val="Tabletext"/>
              <w:rPr>
                <w:rFonts w:asciiTheme="majorHAnsi" w:hAnsiTheme="majorHAnsi"/>
              </w:rPr>
            </w:pPr>
          </w:p>
        </w:tc>
        <w:tc>
          <w:tcPr>
            <w:tcW w:w="1526" w:type="dxa"/>
          </w:tcPr>
          <w:p w:rsidR="00597628" w:rsidRPr="00892DE3" w:rsidRDefault="00597628" w:rsidP="009C27B9">
            <w:pPr>
              <w:pStyle w:val="Tabletext"/>
              <w:jc w:val="center"/>
              <w:rPr>
                <w:rFonts w:asciiTheme="majorHAnsi" w:hAnsiTheme="majorHAnsi"/>
              </w:rPr>
            </w:pPr>
            <w:r w:rsidRPr="00892DE3">
              <w:rPr>
                <w:rFonts w:asciiTheme="majorHAnsi" w:hAnsiTheme="majorHAnsi"/>
              </w:rPr>
              <w:t>30 Jun Y2</w:t>
            </w:r>
          </w:p>
        </w:tc>
        <w:tc>
          <w:tcPr>
            <w:tcW w:w="1527" w:type="dxa"/>
          </w:tcPr>
          <w:p w:rsidR="00597628" w:rsidRPr="00892DE3" w:rsidRDefault="00597628" w:rsidP="009C27B9">
            <w:pPr>
              <w:pStyle w:val="Tabletext"/>
              <w:rPr>
                <w:rFonts w:asciiTheme="majorHAnsi" w:hAnsiTheme="majorHAnsi"/>
              </w:rPr>
            </w:pPr>
          </w:p>
        </w:tc>
      </w:tr>
      <w:tr w:rsidR="00597628" w:rsidRPr="00892DE3" w:rsidTr="009C27B9">
        <w:trPr>
          <w:jc w:val="center"/>
        </w:trPr>
        <w:tc>
          <w:tcPr>
            <w:tcW w:w="850" w:type="dxa"/>
          </w:tcPr>
          <w:p w:rsidR="00597628" w:rsidRPr="00892DE3" w:rsidRDefault="00597628" w:rsidP="009C27B9">
            <w:pPr>
              <w:pStyle w:val="Tabletext"/>
              <w:rPr>
                <w:rFonts w:asciiTheme="majorHAnsi" w:hAnsiTheme="majorHAnsi"/>
              </w:rPr>
            </w:pPr>
          </w:p>
        </w:tc>
        <w:tc>
          <w:tcPr>
            <w:tcW w:w="3727" w:type="dxa"/>
            <w:gridSpan w:val="3"/>
            <w:tcBorders>
              <w:right w:val="single" w:sz="6" w:space="0" w:color="auto"/>
            </w:tcBorders>
            <w:shd w:val="clear" w:color="auto" w:fill="D9D9D9" w:themeFill="background1" w:themeFillShade="D9"/>
          </w:tcPr>
          <w:p w:rsidR="00597628" w:rsidRPr="00892DE3" w:rsidRDefault="00597628" w:rsidP="009C27B9">
            <w:pPr>
              <w:pStyle w:val="Tabletext"/>
              <w:jc w:val="center"/>
              <w:rPr>
                <w:rFonts w:asciiTheme="majorHAnsi" w:hAnsiTheme="majorHAnsi"/>
              </w:rPr>
            </w:pPr>
            <w:r w:rsidRPr="00892DE3">
              <w:rPr>
                <w:rFonts w:asciiTheme="majorHAnsi" w:hAnsiTheme="majorHAnsi"/>
              </w:rPr>
              <w:t>Within 12 months</w:t>
            </w:r>
          </w:p>
        </w:tc>
        <w:tc>
          <w:tcPr>
            <w:tcW w:w="3497" w:type="dxa"/>
            <w:gridSpan w:val="2"/>
            <w:tcBorders>
              <w:left w:val="single" w:sz="6" w:space="0" w:color="auto"/>
            </w:tcBorders>
            <w:shd w:val="clear" w:color="auto" w:fill="D9D9D9" w:themeFill="background1" w:themeFillShade="D9"/>
          </w:tcPr>
          <w:p w:rsidR="00597628" w:rsidRPr="00892DE3" w:rsidRDefault="00597628" w:rsidP="009C27B9">
            <w:pPr>
              <w:pStyle w:val="Tabletext"/>
              <w:jc w:val="center"/>
              <w:rPr>
                <w:rFonts w:asciiTheme="majorHAnsi" w:hAnsiTheme="majorHAnsi"/>
              </w:rPr>
            </w:pPr>
            <w:r w:rsidRPr="00892DE3">
              <w:rPr>
                <w:rFonts w:asciiTheme="majorHAnsi" w:hAnsiTheme="majorHAnsi"/>
              </w:rPr>
              <w:t>After 12 months</w:t>
            </w:r>
          </w:p>
        </w:tc>
        <w:tc>
          <w:tcPr>
            <w:tcW w:w="1527" w:type="dxa"/>
          </w:tcPr>
          <w:p w:rsidR="00597628" w:rsidRPr="00892DE3" w:rsidRDefault="00597628" w:rsidP="009C27B9">
            <w:pPr>
              <w:pStyle w:val="Tabletext"/>
              <w:rPr>
                <w:rFonts w:asciiTheme="majorHAnsi" w:hAnsiTheme="majorHAnsi"/>
              </w:rPr>
            </w:pPr>
          </w:p>
        </w:tc>
      </w:tr>
    </w:tbl>
    <w:p w:rsidR="00597628" w:rsidRPr="00892DE3" w:rsidRDefault="00597628" w:rsidP="00597628"/>
    <w:p w:rsidR="00597628" w:rsidRPr="00055477" w:rsidRDefault="00597628" w:rsidP="002F376C">
      <w:pPr>
        <w:pStyle w:val="Heading30"/>
        <w:spacing w:line="276" w:lineRule="auto"/>
        <w:rPr>
          <w:color w:val="0063A6" w:themeColor="accent1"/>
        </w:rPr>
      </w:pPr>
      <w:r w:rsidRPr="00055477">
        <w:rPr>
          <w:color w:val="0063A6" w:themeColor="accent1"/>
        </w:rPr>
        <w:t>Calculation guidance</w:t>
      </w:r>
    </w:p>
    <w:p w:rsidR="00597628" w:rsidRPr="00892DE3" w:rsidRDefault="00597628" w:rsidP="002F376C">
      <w:pPr>
        <w:pStyle w:val="ListNumber"/>
        <w:numPr>
          <w:ilvl w:val="0"/>
          <w:numId w:val="16"/>
        </w:numPr>
        <w:spacing w:line="276" w:lineRule="auto"/>
      </w:pPr>
      <w:r w:rsidRPr="00892DE3">
        <w:t xml:space="preserve">Entities need to estimate the expected cash outflows to settle the outstanding annual leave entitlements, taking into account the wage inflation rate as published by DTF for long service leave (LSL). </w:t>
      </w:r>
    </w:p>
    <w:p w:rsidR="00597628" w:rsidRPr="00892DE3" w:rsidRDefault="00597628" w:rsidP="002F376C">
      <w:pPr>
        <w:pStyle w:val="ListNumber"/>
        <w:spacing w:line="276" w:lineRule="auto"/>
      </w:pPr>
      <w:r w:rsidRPr="00892DE3">
        <w:t>At the reporting date (Y0), the present value of annual leave provisions is the sum of the discounted value of expected cash outflows (note: discount rate used should be consistent with the LSL discount rate issued by DTF).</w:t>
      </w:r>
    </w:p>
    <w:p w:rsidR="00597628" w:rsidRPr="00892DE3" w:rsidRDefault="00597628" w:rsidP="002F376C">
      <w:pPr>
        <w:pStyle w:val="ListNumber"/>
        <w:spacing w:line="276" w:lineRule="auto"/>
      </w:pPr>
      <w:r w:rsidRPr="00892DE3">
        <w:t>Discounted annual leave provision for the 12 months ended 30 June Y0.</w:t>
      </w:r>
    </w:p>
    <w:p w:rsidR="00597628" w:rsidRPr="00892DE3" w:rsidRDefault="00597628" w:rsidP="00597628"/>
    <w:tbl>
      <w:tblPr>
        <w:tblStyle w:val="DTFTable"/>
        <w:tblW w:w="0" w:type="auto"/>
        <w:tblInd w:w="284" w:type="dxa"/>
        <w:tblLook w:val="06E0" w:firstRow="1" w:lastRow="1" w:firstColumn="1" w:lastColumn="0" w:noHBand="1" w:noVBand="1"/>
      </w:tblPr>
      <w:tblGrid>
        <w:gridCol w:w="1980"/>
        <w:gridCol w:w="2755"/>
        <w:gridCol w:w="2126"/>
      </w:tblGrid>
      <w:tr w:rsidR="00597628" w:rsidRPr="00892DE3" w:rsidTr="009C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97628" w:rsidRPr="00055477" w:rsidRDefault="00597628" w:rsidP="009C27B9">
            <w:pPr>
              <w:ind w:left="0" w:firstLine="0"/>
              <w:rPr>
                <w:sz w:val="18"/>
              </w:rPr>
            </w:pPr>
          </w:p>
        </w:tc>
        <w:tc>
          <w:tcPr>
            <w:tcW w:w="2755" w:type="dxa"/>
          </w:tcPr>
          <w:p w:rsidR="00597628" w:rsidRPr="00055477" w:rsidRDefault="00597628" w:rsidP="009C27B9">
            <w:pPr>
              <w:cnfStyle w:val="100000000000" w:firstRow="1" w:lastRow="0" w:firstColumn="0" w:lastColumn="0" w:oddVBand="0" w:evenVBand="0" w:oddHBand="0" w:evenHBand="0" w:firstRowFirstColumn="0" w:firstRowLastColumn="0" w:lastRowFirstColumn="0" w:lastRowLastColumn="0"/>
              <w:rPr>
                <w:sz w:val="18"/>
              </w:rPr>
            </w:pPr>
            <w:r w:rsidRPr="00055477">
              <w:rPr>
                <w:sz w:val="18"/>
              </w:rPr>
              <w:t xml:space="preserve">Expected cash outflow </w:t>
            </w:r>
            <w:r w:rsidRPr="00055477">
              <w:rPr>
                <w:sz w:val="18"/>
              </w:rPr>
              <w:br/>
              <w:t>(including wage inflation)</w:t>
            </w:r>
          </w:p>
        </w:tc>
        <w:tc>
          <w:tcPr>
            <w:tcW w:w="2126" w:type="dxa"/>
          </w:tcPr>
          <w:p w:rsidR="00597628" w:rsidRPr="00055477" w:rsidRDefault="00597628" w:rsidP="009C27B9">
            <w:pPr>
              <w:cnfStyle w:val="100000000000" w:firstRow="1" w:lastRow="0" w:firstColumn="0" w:lastColumn="0" w:oddVBand="0" w:evenVBand="0" w:oddHBand="0" w:evenHBand="0" w:firstRowFirstColumn="0" w:firstRowLastColumn="0" w:lastRowFirstColumn="0" w:lastRowLastColumn="0"/>
              <w:rPr>
                <w:sz w:val="18"/>
              </w:rPr>
            </w:pPr>
            <w:r w:rsidRPr="00055477">
              <w:rPr>
                <w:sz w:val="18"/>
              </w:rPr>
              <w:t>Discounted value</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1980" w:type="dxa"/>
          </w:tcPr>
          <w:p w:rsidR="00597628" w:rsidRPr="00055477" w:rsidRDefault="00597628" w:rsidP="009C27B9">
            <w:pPr>
              <w:pStyle w:val="TableofFigures"/>
              <w:jc w:val="center"/>
              <w:rPr>
                <w:rFonts w:eastAsia="Tahoma"/>
                <w:sz w:val="18"/>
              </w:rPr>
            </w:pPr>
            <w:r w:rsidRPr="00055477">
              <w:rPr>
                <w:sz w:val="18"/>
              </w:rPr>
              <w:t>Y1</w:t>
            </w:r>
          </w:p>
        </w:tc>
        <w:tc>
          <w:tcPr>
            <w:tcW w:w="2755" w:type="dxa"/>
          </w:tcPr>
          <w:p w:rsidR="00597628" w:rsidRPr="00055477" w:rsidRDefault="00597628" w:rsidP="009C27B9">
            <w:pPr>
              <w:pStyle w:val="TableofFigures"/>
              <w:cnfStyle w:val="000000000000" w:firstRow="0" w:lastRow="0" w:firstColumn="0" w:lastColumn="0" w:oddVBand="0" w:evenVBand="0" w:oddHBand="0" w:evenHBand="0" w:firstRowFirstColumn="0" w:firstRowLastColumn="0" w:lastRowFirstColumn="0" w:lastRowLastColumn="0"/>
              <w:rPr>
                <w:rFonts w:eastAsia="Tahoma"/>
                <w:sz w:val="18"/>
              </w:rPr>
            </w:pPr>
            <w:r w:rsidRPr="00055477">
              <w:rPr>
                <w:sz w:val="18"/>
              </w:rPr>
              <w:t>$70</w:t>
            </w:r>
          </w:p>
        </w:tc>
        <w:tc>
          <w:tcPr>
            <w:tcW w:w="2126" w:type="dxa"/>
          </w:tcPr>
          <w:p w:rsidR="00597628" w:rsidRPr="00055477" w:rsidRDefault="00597628" w:rsidP="009C27B9">
            <w:pPr>
              <w:pStyle w:val="TableofFigures"/>
              <w:cnfStyle w:val="000000000000" w:firstRow="0" w:lastRow="0" w:firstColumn="0" w:lastColumn="0" w:oddVBand="0" w:evenVBand="0" w:oddHBand="0" w:evenHBand="0" w:firstRowFirstColumn="0" w:firstRowLastColumn="0" w:lastRowFirstColumn="0" w:lastRowLastColumn="0"/>
              <w:rPr>
                <w:rFonts w:eastAsia="Tahoma"/>
                <w:sz w:val="18"/>
              </w:rPr>
            </w:pPr>
            <w:r w:rsidRPr="00055477">
              <w:rPr>
                <w:sz w:val="18"/>
              </w:rPr>
              <w:t xml:space="preserve">$70 </w:t>
            </w:r>
            <w:r w:rsidRPr="00055477">
              <w:rPr>
                <w:sz w:val="18"/>
                <w:vertAlign w:val="superscript"/>
              </w:rPr>
              <w:t>(a)</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1980" w:type="dxa"/>
          </w:tcPr>
          <w:p w:rsidR="00597628" w:rsidRPr="00055477" w:rsidRDefault="00597628" w:rsidP="009C27B9">
            <w:pPr>
              <w:pStyle w:val="TableofFigures"/>
              <w:jc w:val="center"/>
              <w:rPr>
                <w:rFonts w:eastAsia="Tahoma"/>
                <w:sz w:val="18"/>
              </w:rPr>
            </w:pPr>
            <w:r w:rsidRPr="00055477">
              <w:rPr>
                <w:sz w:val="18"/>
              </w:rPr>
              <w:t>Y2</w:t>
            </w:r>
          </w:p>
        </w:tc>
        <w:tc>
          <w:tcPr>
            <w:tcW w:w="2755" w:type="dxa"/>
          </w:tcPr>
          <w:p w:rsidR="00597628" w:rsidRPr="00055477" w:rsidRDefault="00597628" w:rsidP="009C27B9">
            <w:pPr>
              <w:pStyle w:val="TableofFigures"/>
              <w:cnfStyle w:val="000000000000" w:firstRow="0" w:lastRow="0" w:firstColumn="0" w:lastColumn="0" w:oddVBand="0" w:evenVBand="0" w:oddHBand="0" w:evenHBand="0" w:firstRowFirstColumn="0" w:firstRowLastColumn="0" w:lastRowFirstColumn="0" w:lastRowLastColumn="0"/>
              <w:rPr>
                <w:rFonts w:eastAsia="Tahoma"/>
                <w:sz w:val="18"/>
              </w:rPr>
            </w:pPr>
            <w:r w:rsidRPr="00055477">
              <w:rPr>
                <w:sz w:val="18"/>
              </w:rPr>
              <w:t>$30</w:t>
            </w:r>
          </w:p>
        </w:tc>
        <w:tc>
          <w:tcPr>
            <w:tcW w:w="2126" w:type="dxa"/>
          </w:tcPr>
          <w:p w:rsidR="00597628" w:rsidRPr="00055477" w:rsidRDefault="00597628" w:rsidP="009C27B9">
            <w:pPr>
              <w:pStyle w:val="TableofFigures"/>
              <w:cnfStyle w:val="000000000000" w:firstRow="0" w:lastRow="0" w:firstColumn="0" w:lastColumn="0" w:oddVBand="0" w:evenVBand="0" w:oddHBand="0" w:evenHBand="0" w:firstRowFirstColumn="0" w:firstRowLastColumn="0" w:lastRowFirstColumn="0" w:lastRowLastColumn="0"/>
              <w:rPr>
                <w:rFonts w:eastAsia="Tahoma"/>
                <w:sz w:val="18"/>
              </w:rPr>
            </w:pPr>
            <w:r w:rsidRPr="00055477">
              <w:rPr>
                <w:sz w:val="18"/>
              </w:rPr>
              <w:t>$27</w:t>
            </w:r>
            <w:r w:rsidRPr="00055477">
              <w:rPr>
                <w:sz w:val="18"/>
                <w:vertAlign w:val="superscript"/>
              </w:rPr>
              <w:t xml:space="preserve"> (b)</w:t>
            </w:r>
          </w:p>
        </w:tc>
      </w:tr>
      <w:tr w:rsidR="00597628" w:rsidRPr="00892DE3" w:rsidTr="009C27B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97628" w:rsidRPr="00055477" w:rsidRDefault="00597628" w:rsidP="009C27B9">
            <w:pPr>
              <w:pStyle w:val="TableofFigures"/>
              <w:jc w:val="center"/>
              <w:rPr>
                <w:rFonts w:eastAsia="Tahoma"/>
                <w:sz w:val="18"/>
              </w:rPr>
            </w:pPr>
            <w:r w:rsidRPr="00055477">
              <w:rPr>
                <w:sz w:val="18"/>
              </w:rPr>
              <w:t>Total</w:t>
            </w:r>
          </w:p>
        </w:tc>
        <w:tc>
          <w:tcPr>
            <w:tcW w:w="2755" w:type="dxa"/>
          </w:tcPr>
          <w:p w:rsidR="00597628" w:rsidRPr="00055477" w:rsidRDefault="00597628" w:rsidP="009C27B9">
            <w:pPr>
              <w:pStyle w:val="TableofFigures"/>
              <w:cnfStyle w:val="010000000000" w:firstRow="0" w:lastRow="1" w:firstColumn="0" w:lastColumn="0" w:oddVBand="0" w:evenVBand="0" w:oddHBand="0" w:evenHBand="0" w:firstRowFirstColumn="0" w:firstRowLastColumn="0" w:lastRowFirstColumn="0" w:lastRowLastColumn="0"/>
              <w:rPr>
                <w:rFonts w:eastAsia="Tahoma"/>
                <w:sz w:val="18"/>
              </w:rPr>
            </w:pPr>
            <w:r w:rsidRPr="00055477">
              <w:rPr>
                <w:sz w:val="18"/>
              </w:rPr>
              <w:t xml:space="preserve">$100 </w:t>
            </w:r>
            <w:r w:rsidRPr="00055477">
              <w:rPr>
                <w:sz w:val="18"/>
                <w:vertAlign w:val="superscript"/>
              </w:rPr>
              <w:t>(c)</w:t>
            </w:r>
          </w:p>
        </w:tc>
        <w:tc>
          <w:tcPr>
            <w:tcW w:w="2126" w:type="dxa"/>
          </w:tcPr>
          <w:p w:rsidR="00597628" w:rsidRPr="00055477" w:rsidRDefault="00597628" w:rsidP="009C27B9">
            <w:pPr>
              <w:pStyle w:val="TableofFigures"/>
              <w:cnfStyle w:val="010000000000" w:firstRow="0" w:lastRow="1" w:firstColumn="0" w:lastColumn="0" w:oddVBand="0" w:evenVBand="0" w:oddHBand="0" w:evenHBand="0" w:firstRowFirstColumn="0" w:firstRowLastColumn="0" w:lastRowFirstColumn="0" w:lastRowLastColumn="0"/>
              <w:rPr>
                <w:rFonts w:eastAsia="Tahoma"/>
                <w:sz w:val="18"/>
              </w:rPr>
            </w:pPr>
            <w:r w:rsidRPr="00055477">
              <w:rPr>
                <w:sz w:val="18"/>
              </w:rPr>
              <w:t>97</w:t>
            </w:r>
            <w:r w:rsidRPr="00055477">
              <w:rPr>
                <w:sz w:val="18"/>
                <w:vertAlign w:val="superscript"/>
              </w:rPr>
              <w:t xml:space="preserve"> (d)</w:t>
            </w:r>
          </w:p>
        </w:tc>
      </w:tr>
    </w:tbl>
    <w:p w:rsidR="00597628" w:rsidRPr="00892DE3" w:rsidRDefault="00597628" w:rsidP="00597628">
      <w:pPr>
        <w:pStyle w:val="NotesIndent0"/>
        <w:tabs>
          <w:tab w:val="clear" w:pos="454"/>
          <w:tab w:val="left" w:pos="567"/>
        </w:tabs>
        <w:ind w:left="567" w:hanging="329"/>
        <w:rPr>
          <w:sz w:val="14"/>
        </w:rPr>
      </w:pPr>
      <w:r w:rsidRPr="00892DE3">
        <w:rPr>
          <w:sz w:val="14"/>
        </w:rPr>
        <w:t>Notes:</w:t>
      </w:r>
    </w:p>
    <w:p w:rsidR="00597628" w:rsidRPr="00892DE3" w:rsidRDefault="00597628" w:rsidP="00597628">
      <w:pPr>
        <w:pStyle w:val="NotesIndent0"/>
        <w:tabs>
          <w:tab w:val="clear" w:pos="454"/>
          <w:tab w:val="left" w:pos="567"/>
        </w:tabs>
        <w:ind w:left="567" w:hanging="329"/>
        <w:rPr>
          <w:sz w:val="14"/>
        </w:rPr>
      </w:pPr>
      <w:r w:rsidRPr="00892DE3">
        <w:rPr>
          <w:sz w:val="14"/>
        </w:rPr>
        <w:t>(a)</w:t>
      </w:r>
      <w:r w:rsidRPr="00892DE3">
        <w:rPr>
          <w:sz w:val="14"/>
        </w:rPr>
        <w:tab/>
        <w:t xml:space="preserve">Theoretically, this discounted value should be different from the expected cash outflows if it is discounted on a monthly or quarterly basis. However, because of the discounting methodology used (i.e. annual basis as with LSL calculation), expected cash outflows within 12 months will be the same as the nominal value. </w:t>
      </w:r>
    </w:p>
    <w:p w:rsidR="00597628" w:rsidRPr="00892DE3" w:rsidRDefault="00597628" w:rsidP="00597628">
      <w:pPr>
        <w:pStyle w:val="NotesIndent0"/>
        <w:tabs>
          <w:tab w:val="clear" w:pos="454"/>
          <w:tab w:val="left" w:pos="567"/>
        </w:tabs>
        <w:ind w:left="567" w:hanging="329"/>
        <w:rPr>
          <w:sz w:val="14"/>
        </w:rPr>
      </w:pPr>
      <w:r w:rsidRPr="00892DE3">
        <w:rPr>
          <w:sz w:val="14"/>
        </w:rPr>
        <w:t>(b)</w:t>
      </w:r>
      <w:r w:rsidRPr="00892DE3">
        <w:rPr>
          <w:sz w:val="14"/>
        </w:rPr>
        <w:tab/>
        <w:t>30/(1+5%)2 = 27 (rounded).</w:t>
      </w:r>
    </w:p>
    <w:p w:rsidR="00597628" w:rsidRPr="00892DE3" w:rsidRDefault="00597628" w:rsidP="00597628">
      <w:pPr>
        <w:pStyle w:val="NotesIndent0"/>
        <w:tabs>
          <w:tab w:val="clear" w:pos="454"/>
          <w:tab w:val="left" w:pos="567"/>
        </w:tabs>
        <w:ind w:left="567" w:hanging="329"/>
        <w:rPr>
          <w:sz w:val="14"/>
        </w:rPr>
      </w:pPr>
      <w:r w:rsidRPr="00892DE3">
        <w:rPr>
          <w:sz w:val="14"/>
        </w:rPr>
        <w:t>(c)</w:t>
      </w:r>
      <w:r w:rsidRPr="00892DE3">
        <w:rPr>
          <w:sz w:val="14"/>
        </w:rPr>
        <w:tab/>
        <w:t>Annual leave provisions that meet the old definition of ‘short</w:t>
      </w:r>
      <w:r w:rsidRPr="00892DE3">
        <w:rPr>
          <w:sz w:val="14"/>
        </w:rPr>
        <w:noBreakHyphen/>
        <w:t xml:space="preserve">term employee benefit’ will usually be measured at nominal value. </w:t>
      </w:r>
    </w:p>
    <w:p w:rsidR="00597628" w:rsidRDefault="00597628" w:rsidP="00597628">
      <w:pPr>
        <w:pStyle w:val="NotesIndent0"/>
        <w:tabs>
          <w:tab w:val="clear" w:pos="454"/>
          <w:tab w:val="left" w:pos="567"/>
        </w:tabs>
        <w:ind w:left="567" w:hanging="329"/>
        <w:rPr>
          <w:sz w:val="14"/>
        </w:rPr>
      </w:pPr>
      <w:r w:rsidRPr="00892DE3">
        <w:rPr>
          <w:sz w:val="14"/>
        </w:rPr>
        <w:t>(d)</w:t>
      </w:r>
      <w:r w:rsidRPr="00892DE3">
        <w:rPr>
          <w:sz w:val="14"/>
        </w:rPr>
        <w:tab/>
        <w:t>Since the annual leave provisions do not meet the new definition of ‘short</w:t>
      </w:r>
      <w:r w:rsidRPr="00892DE3">
        <w:rPr>
          <w:sz w:val="14"/>
        </w:rPr>
        <w:noBreakHyphen/>
        <w:t xml:space="preserve">term employee benefits’, the whole benefit should be measured at present value (using the same LSL calculation methodology). </w:t>
      </w:r>
    </w:p>
    <w:p w:rsidR="00BA1E01" w:rsidRPr="00892DE3" w:rsidRDefault="00BA1E01" w:rsidP="00597628">
      <w:pPr>
        <w:pStyle w:val="NotesIndent0"/>
        <w:tabs>
          <w:tab w:val="clear" w:pos="454"/>
          <w:tab w:val="left" w:pos="567"/>
        </w:tabs>
        <w:ind w:left="567" w:hanging="329"/>
        <w:rPr>
          <w:sz w:val="14"/>
        </w:rPr>
      </w:pPr>
    </w:p>
    <w:p w:rsidR="00597628" w:rsidRPr="00BA1E01" w:rsidRDefault="00597628" w:rsidP="00BA1E01">
      <w:pPr>
        <w:rPr>
          <w:b/>
        </w:rPr>
      </w:pPr>
      <w:r w:rsidRPr="00055477">
        <w:rPr>
          <w:rFonts w:asciiTheme="majorHAnsi" w:eastAsiaTheme="majorEastAsia" w:hAnsiTheme="majorHAnsi" w:cstheme="majorBidi"/>
          <w:b/>
          <w:bCs/>
          <w:color w:val="000000" w:themeColor="text1"/>
          <w:spacing w:val="-2"/>
          <w:sz w:val="20"/>
          <w:szCs w:val="26"/>
        </w:rPr>
        <w:t>Journal entries</w:t>
      </w:r>
      <w:r w:rsidR="00BA1E01" w:rsidRPr="00055477">
        <w:rPr>
          <w:b/>
          <w:color w:val="000000" w:themeColor="text1"/>
        </w:rPr>
        <w:t xml:space="preserve"> </w:t>
      </w:r>
      <w:r w:rsidR="00BA1E01">
        <w:rPr>
          <w:b/>
        </w:rPr>
        <w:tab/>
      </w:r>
      <w:r w:rsidR="00BA1E01">
        <w:rPr>
          <w:b/>
        </w:rPr>
        <w:tab/>
      </w:r>
      <w:r w:rsidR="00BA1E01">
        <w:rPr>
          <w:b/>
        </w:rPr>
        <w:tab/>
      </w:r>
      <w:r w:rsidR="00BA1E01">
        <w:rPr>
          <w:b/>
        </w:rPr>
        <w:tab/>
      </w:r>
      <w:r w:rsidR="00BA1E01">
        <w:rPr>
          <w:b/>
        </w:rPr>
        <w:tab/>
      </w:r>
      <w:r w:rsidR="00BA1E01">
        <w:rPr>
          <w:b/>
        </w:rPr>
        <w:tab/>
      </w:r>
      <w:r w:rsidR="00BA1E01">
        <w:rPr>
          <w:b/>
        </w:rPr>
        <w:tab/>
      </w:r>
      <w:r w:rsidR="00BA1E01">
        <w:rPr>
          <w:b/>
        </w:rPr>
        <w:tab/>
      </w:r>
      <w:r w:rsidR="00BA1E01">
        <w:rPr>
          <w:b/>
        </w:rPr>
        <w:tab/>
      </w:r>
      <w:r w:rsidRPr="00BA1E01">
        <w:rPr>
          <w:b/>
        </w:rPr>
        <w:t>($)</w:t>
      </w:r>
    </w:p>
    <w:p w:rsidR="00597628" w:rsidRPr="00892DE3" w:rsidRDefault="00597628" w:rsidP="00597628">
      <w:pPr>
        <w:pStyle w:val="SmallLine0"/>
      </w:pPr>
    </w:p>
    <w:tbl>
      <w:tblPr>
        <w:tblStyle w:val="DTFTextTable"/>
        <w:tblW w:w="0" w:type="auto"/>
        <w:tblLook w:val="06A0" w:firstRow="1" w:lastRow="0" w:firstColumn="1" w:lastColumn="0" w:noHBand="1" w:noVBand="1"/>
      </w:tblPr>
      <w:tblGrid>
        <w:gridCol w:w="4363"/>
        <w:gridCol w:w="1943"/>
        <w:gridCol w:w="1876"/>
      </w:tblGrid>
      <w:tr w:rsidR="00597628" w:rsidRPr="00892DE3" w:rsidTr="009C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tc>
        <w:tc>
          <w:tcPr>
            <w:tcW w:w="1943" w:type="dxa"/>
          </w:tcPr>
          <w:p w:rsidR="00597628" w:rsidRPr="00892DE3" w:rsidRDefault="00597628" w:rsidP="009C27B9">
            <w:pPr>
              <w:jc w:val="right"/>
              <w:cnfStyle w:val="100000000000" w:firstRow="1" w:lastRow="0" w:firstColumn="0" w:lastColumn="0" w:oddVBand="0" w:evenVBand="0" w:oddHBand="0" w:evenHBand="0" w:firstRowFirstColumn="0" w:firstRowLastColumn="0" w:lastRowFirstColumn="0" w:lastRowLastColumn="0"/>
            </w:pPr>
            <w:r w:rsidRPr="00892DE3">
              <w:t>DR</w:t>
            </w:r>
          </w:p>
        </w:tc>
        <w:tc>
          <w:tcPr>
            <w:tcW w:w="1876" w:type="dxa"/>
          </w:tcPr>
          <w:p w:rsidR="00597628" w:rsidRPr="00892DE3" w:rsidRDefault="00597628" w:rsidP="009C27B9">
            <w:pPr>
              <w:jc w:val="right"/>
              <w:cnfStyle w:val="100000000000" w:firstRow="1" w:lastRow="0" w:firstColumn="0" w:lastColumn="0" w:oddVBand="0" w:evenVBand="0" w:oddHBand="0" w:evenHBand="0" w:firstRowFirstColumn="0" w:firstRowLastColumn="0" w:lastRowFirstColumn="0" w:lastRowLastColumn="0"/>
            </w:pPr>
            <w:r w:rsidRPr="00892DE3">
              <w:t>CR</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rPr>
                <w:b/>
              </w:rPr>
            </w:pPr>
            <w:r w:rsidRPr="00892DE3">
              <w:rPr>
                <w:b/>
              </w:rPr>
              <w:t>30 June Y0</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pPr>
            <w:r w:rsidRPr="00892DE3">
              <w:t>AL expenses</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97</w:t>
            </w: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Provisions for AL</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97</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8182" w:type="dxa"/>
            <w:gridSpan w:val="3"/>
            <w:tcBorders>
              <w:bottom w:val="single" w:sz="6" w:space="0" w:color="auto"/>
            </w:tcBorders>
          </w:tcPr>
          <w:p w:rsidR="00597628" w:rsidRPr="00892DE3" w:rsidRDefault="00597628" w:rsidP="009C27B9">
            <w:pPr>
              <w:spacing w:after="20"/>
            </w:pPr>
            <w:r w:rsidRPr="00892DE3">
              <w:t>Initial recognition for AL provisions</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single" w:sz="6" w:space="0" w:color="auto"/>
              <w:bottom w:val="nil"/>
            </w:tcBorders>
          </w:tcPr>
          <w:p w:rsidR="00597628" w:rsidRPr="00892DE3" w:rsidRDefault="00597628" w:rsidP="009C27B9">
            <w:pPr>
              <w:spacing w:after="20"/>
              <w:ind w:left="0" w:firstLine="0"/>
              <w:rPr>
                <w:b/>
              </w:rPr>
            </w:pPr>
            <w:r w:rsidRPr="00892DE3">
              <w:rPr>
                <w:b/>
              </w:rPr>
              <w:t>30 March Y1</w:t>
            </w:r>
          </w:p>
        </w:tc>
        <w:tc>
          <w:tcPr>
            <w:tcW w:w="1943"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c>
          <w:tcPr>
            <w:tcW w:w="1876"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nil"/>
            </w:tcBorders>
          </w:tcPr>
          <w:p w:rsidR="00597628" w:rsidRPr="00892DE3" w:rsidRDefault="00597628" w:rsidP="009C27B9">
            <w:pPr>
              <w:spacing w:after="20"/>
              <w:ind w:left="0" w:firstLine="0"/>
            </w:pPr>
            <w:r w:rsidRPr="00892DE3">
              <w:t xml:space="preserve">Provisions for AL </w:t>
            </w:r>
          </w:p>
        </w:tc>
        <w:tc>
          <w:tcPr>
            <w:tcW w:w="1943" w:type="dxa"/>
            <w:tcBorders>
              <w:top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70 </w:t>
            </w:r>
          </w:p>
        </w:tc>
        <w:tc>
          <w:tcPr>
            <w:tcW w:w="1876" w:type="dxa"/>
            <w:tcBorders>
              <w:top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Cash</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70</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8182" w:type="dxa"/>
            <w:gridSpan w:val="3"/>
            <w:tcBorders>
              <w:bottom w:val="single" w:sz="6" w:space="0" w:color="auto"/>
            </w:tcBorders>
          </w:tcPr>
          <w:p w:rsidR="00597628" w:rsidRPr="00892DE3" w:rsidRDefault="00597628" w:rsidP="009C27B9">
            <w:pPr>
              <w:spacing w:after="20"/>
              <w:ind w:left="0" w:firstLine="0"/>
            </w:pPr>
            <w:r w:rsidRPr="00892DE3">
              <w:t xml:space="preserve">Cash settlement of annual leave provision </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single" w:sz="6" w:space="0" w:color="auto"/>
              <w:bottom w:val="nil"/>
            </w:tcBorders>
          </w:tcPr>
          <w:p w:rsidR="00597628" w:rsidRPr="00892DE3" w:rsidRDefault="00597628" w:rsidP="009C27B9">
            <w:pPr>
              <w:spacing w:after="20"/>
              <w:ind w:left="0" w:firstLine="0"/>
              <w:rPr>
                <w:b/>
              </w:rPr>
            </w:pPr>
            <w:r w:rsidRPr="00892DE3">
              <w:rPr>
                <w:b/>
              </w:rPr>
              <w:t>30 June Y1</w:t>
            </w:r>
          </w:p>
        </w:tc>
        <w:tc>
          <w:tcPr>
            <w:tcW w:w="1943"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c>
          <w:tcPr>
            <w:tcW w:w="1876"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nil"/>
            </w:tcBorders>
          </w:tcPr>
          <w:p w:rsidR="00597628" w:rsidRPr="00892DE3" w:rsidRDefault="00597628" w:rsidP="009C27B9">
            <w:pPr>
              <w:spacing w:after="20"/>
              <w:ind w:left="0" w:firstLine="0"/>
            </w:pPr>
            <w:r w:rsidRPr="00892DE3">
              <w:t>Interest expense – Unwinding of provision (transaction)</w:t>
            </w:r>
          </w:p>
        </w:tc>
        <w:tc>
          <w:tcPr>
            <w:tcW w:w="1943" w:type="dxa"/>
            <w:tcBorders>
              <w:top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1.35 </w:t>
            </w:r>
            <w:r w:rsidRPr="00892DE3">
              <w:rPr>
                <w:vertAlign w:val="superscript"/>
              </w:rPr>
              <w:t>(a)</w:t>
            </w:r>
          </w:p>
        </w:tc>
        <w:tc>
          <w:tcPr>
            <w:tcW w:w="1876" w:type="dxa"/>
            <w:tcBorders>
              <w:top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Provision for AL</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1.35</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8182" w:type="dxa"/>
            <w:gridSpan w:val="3"/>
            <w:tcBorders>
              <w:bottom w:val="single" w:sz="6" w:space="0" w:color="auto"/>
            </w:tcBorders>
          </w:tcPr>
          <w:p w:rsidR="00597628" w:rsidRPr="00892DE3" w:rsidRDefault="00597628" w:rsidP="009C27B9">
            <w:pPr>
              <w:spacing w:after="20"/>
              <w:ind w:left="0" w:firstLine="0"/>
            </w:pPr>
            <w:r w:rsidRPr="00892DE3">
              <w:t>Unwinding of provision at end of Y1</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single" w:sz="6" w:space="0" w:color="auto"/>
              <w:bottom w:val="nil"/>
            </w:tcBorders>
          </w:tcPr>
          <w:p w:rsidR="00597628" w:rsidRPr="00892DE3" w:rsidRDefault="00597628" w:rsidP="009C27B9">
            <w:pPr>
              <w:spacing w:after="20"/>
              <w:ind w:left="0" w:firstLine="0"/>
              <w:rPr>
                <w:b/>
              </w:rPr>
            </w:pPr>
            <w:r w:rsidRPr="00892DE3">
              <w:rPr>
                <w:b/>
              </w:rPr>
              <w:t>30 June Y2</w:t>
            </w:r>
          </w:p>
        </w:tc>
        <w:tc>
          <w:tcPr>
            <w:tcW w:w="1943"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c>
          <w:tcPr>
            <w:tcW w:w="1876"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nil"/>
            </w:tcBorders>
          </w:tcPr>
          <w:p w:rsidR="00597628" w:rsidRPr="00892DE3" w:rsidRDefault="00597628" w:rsidP="009C27B9">
            <w:pPr>
              <w:spacing w:after="20"/>
              <w:ind w:left="0" w:firstLine="0"/>
            </w:pPr>
            <w:r w:rsidRPr="00892DE3">
              <w:t>Interest expense – Unwinding of provision (transaction)</w:t>
            </w:r>
          </w:p>
        </w:tc>
        <w:tc>
          <w:tcPr>
            <w:tcW w:w="1943" w:type="dxa"/>
            <w:tcBorders>
              <w:top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1.42 </w:t>
            </w:r>
            <w:r w:rsidRPr="00892DE3">
              <w:rPr>
                <w:vertAlign w:val="superscript"/>
              </w:rPr>
              <w:t>(b)</w:t>
            </w:r>
          </w:p>
        </w:tc>
        <w:tc>
          <w:tcPr>
            <w:tcW w:w="1876" w:type="dxa"/>
            <w:tcBorders>
              <w:top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 xml:space="preserve">Provision for AL </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1.42</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8182" w:type="dxa"/>
            <w:gridSpan w:val="3"/>
          </w:tcPr>
          <w:p w:rsidR="00597628" w:rsidRPr="00892DE3" w:rsidRDefault="00597628" w:rsidP="009C27B9">
            <w:pPr>
              <w:spacing w:after="20"/>
              <w:ind w:left="0" w:firstLine="0"/>
            </w:pPr>
            <w:r w:rsidRPr="00892DE3">
              <w:t>Unwinding of provision at end of Y2</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Provision for AL</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30</w:t>
            </w: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Cash</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30</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8182" w:type="dxa"/>
            <w:gridSpan w:val="3"/>
          </w:tcPr>
          <w:p w:rsidR="00597628" w:rsidRPr="00892DE3" w:rsidRDefault="00597628" w:rsidP="009C27B9">
            <w:pPr>
              <w:spacing w:after="20"/>
              <w:ind w:left="0" w:firstLine="0"/>
            </w:pPr>
            <w:r w:rsidRPr="00892DE3">
              <w:t>Cash settlement of annual leave provision (assume at 30 Mar Y1)</w:t>
            </w:r>
          </w:p>
        </w:tc>
      </w:tr>
    </w:tbl>
    <w:p w:rsidR="00597628" w:rsidRPr="00892DE3" w:rsidRDefault="00597628" w:rsidP="00597628">
      <w:pPr>
        <w:pStyle w:val="Note"/>
      </w:pPr>
      <w:r w:rsidRPr="00892DE3">
        <w:t>Notes:</w:t>
      </w:r>
    </w:p>
    <w:p w:rsidR="00597628" w:rsidRPr="00892DE3" w:rsidRDefault="00597628" w:rsidP="00597628">
      <w:pPr>
        <w:pStyle w:val="Note"/>
      </w:pPr>
      <w:r w:rsidRPr="00892DE3">
        <w:t>(a)</w:t>
      </w:r>
      <w:r w:rsidRPr="00892DE3">
        <w:tab/>
        <w:t>27</w:t>
      </w:r>
      <w:r w:rsidRPr="00892DE3">
        <w:rPr>
          <w:rFonts w:ascii="Arial" w:hAnsi="Arial" w:cs="Arial"/>
        </w:rPr>
        <w:t>×</w:t>
      </w:r>
      <w:r w:rsidRPr="00892DE3">
        <w:t>5%=1.35.</w:t>
      </w:r>
    </w:p>
    <w:p w:rsidR="00597628" w:rsidRPr="00892DE3" w:rsidRDefault="00597628" w:rsidP="00597628">
      <w:pPr>
        <w:pStyle w:val="Note"/>
      </w:pPr>
      <w:r w:rsidRPr="00892DE3">
        <w:t>(b)</w:t>
      </w:r>
      <w:r w:rsidRPr="00892DE3">
        <w:tab/>
        <w:t>27</w:t>
      </w:r>
      <w:r w:rsidRPr="00892DE3">
        <w:rPr>
          <w:rFonts w:ascii="Arial" w:hAnsi="Arial" w:cs="Arial"/>
        </w:rPr>
        <w:t>×</w:t>
      </w:r>
      <w:r w:rsidRPr="00892DE3">
        <w:t>5%</w:t>
      </w:r>
      <w:r w:rsidRPr="00892DE3">
        <w:rPr>
          <w:rFonts w:ascii="Arial" w:hAnsi="Arial" w:cs="Arial"/>
        </w:rPr>
        <w:t>×</w:t>
      </w:r>
      <w:r w:rsidRPr="00892DE3">
        <w:t>5% = 1.42.</w:t>
      </w:r>
    </w:p>
    <w:p w:rsidR="00597628" w:rsidRPr="00892DE3" w:rsidRDefault="00597628" w:rsidP="00597628">
      <w:pPr>
        <w:pStyle w:val="Notes"/>
      </w:pPr>
    </w:p>
    <w:p w:rsidR="00597628" w:rsidRPr="00055477" w:rsidRDefault="00597628" w:rsidP="00597628">
      <w:pPr>
        <w:pStyle w:val="Heading2nonTOC"/>
        <w:rPr>
          <w:color w:val="000000" w:themeColor="text1"/>
          <w:sz w:val="20"/>
        </w:rPr>
      </w:pPr>
      <w:r w:rsidRPr="00055477">
        <w:rPr>
          <w:color w:val="000000" w:themeColor="text1"/>
          <w:sz w:val="20"/>
        </w:rPr>
        <w:t xml:space="preserve">Disclosure illustration </w:t>
      </w:r>
    </w:p>
    <w:p w:rsidR="00597628" w:rsidRPr="00892DE3" w:rsidRDefault="00597628" w:rsidP="00597628">
      <w:pPr>
        <w:pStyle w:val="TableHeading"/>
        <w:tabs>
          <w:tab w:val="clear" w:pos="9639"/>
          <w:tab w:val="right" w:pos="7938"/>
        </w:tabs>
      </w:pPr>
      <w:r w:rsidRPr="00892DE3">
        <w:t>Provisions for annual leave as at 30 June Y0 (i.e. current reporting period)</w:t>
      </w:r>
      <w:r w:rsidRPr="00892DE3">
        <w:tab/>
        <w:t>($)</w:t>
      </w:r>
    </w:p>
    <w:tbl>
      <w:tblPr>
        <w:tblStyle w:val="DTFTextTable"/>
        <w:tblW w:w="7967" w:type="dxa"/>
        <w:tblLook w:val="06E0" w:firstRow="1" w:lastRow="1" w:firstColumn="1" w:lastColumn="0" w:noHBand="1" w:noVBand="1"/>
      </w:tblPr>
      <w:tblGrid>
        <w:gridCol w:w="5274"/>
        <w:gridCol w:w="1348"/>
        <w:gridCol w:w="1345"/>
      </w:tblGrid>
      <w:tr w:rsidR="00597628" w:rsidRPr="00892DE3" w:rsidTr="009C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Pr>
          <w:p w:rsidR="00597628" w:rsidRPr="00892DE3" w:rsidRDefault="00597628" w:rsidP="009C27B9">
            <w:pPr>
              <w:ind w:left="0" w:firstLine="0"/>
            </w:pPr>
            <w:r w:rsidRPr="00892DE3">
              <w:t>Current provisions</w:t>
            </w:r>
          </w:p>
        </w:tc>
        <w:tc>
          <w:tcPr>
            <w:tcW w:w="1348" w:type="dxa"/>
          </w:tcPr>
          <w:p w:rsidR="00597628" w:rsidRPr="00892DE3" w:rsidRDefault="00597628" w:rsidP="009C27B9">
            <w:pPr>
              <w:jc w:val="right"/>
              <w:cnfStyle w:val="100000000000" w:firstRow="1" w:lastRow="0" w:firstColumn="0" w:lastColumn="0" w:oddVBand="0" w:evenVBand="0" w:oddHBand="0" w:evenHBand="0" w:firstRowFirstColumn="0" w:firstRowLastColumn="0" w:lastRowFirstColumn="0" w:lastRowLastColumn="0"/>
            </w:pPr>
            <w:r w:rsidRPr="00892DE3">
              <w:t xml:space="preserve">Old </w:t>
            </w:r>
            <w:r w:rsidRPr="00892DE3">
              <w:br/>
              <w:t xml:space="preserve">measurement </w:t>
            </w:r>
          </w:p>
        </w:tc>
        <w:tc>
          <w:tcPr>
            <w:tcW w:w="1345" w:type="dxa"/>
          </w:tcPr>
          <w:p w:rsidR="00597628" w:rsidRPr="00892DE3" w:rsidRDefault="00597628" w:rsidP="009C27B9">
            <w:pPr>
              <w:jc w:val="right"/>
              <w:cnfStyle w:val="100000000000" w:firstRow="1" w:lastRow="0" w:firstColumn="0" w:lastColumn="0" w:oddVBand="0" w:evenVBand="0" w:oddHBand="0" w:evenHBand="0" w:firstRowFirstColumn="0" w:firstRowLastColumn="0" w:lastRowFirstColumn="0" w:lastRowLastColumn="0"/>
            </w:pPr>
            <w:r w:rsidRPr="00892DE3">
              <w:t>New measurement</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5274" w:type="dxa"/>
          </w:tcPr>
          <w:p w:rsidR="00597628" w:rsidRPr="00892DE3" w:rsidRDefault="00597628" w:rsidP="009C27B9">
            <w:pPr>
              <w:spacing w:after="20"/>
              <w:ind w:left="0" w:firstLine="0"/>
            </w:pPr>
            <w:r w:rsidRPr="00892DE3">
              <w:t>Employee benefits – annual leave:</w:t>
            </w:r>
          </w:p>
        </w:tc>
        <w:tc>
          <w:tcPr>
            <w:tcW w:w="1348"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345"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5274" w:type="dxa"/>
          </w:tcPr>
          <w:p w:rsidR="00597628" w:rsidRPr="00892DE3" w:rsidRDefault="00597628" w:rsidP="009C27B9">
            <w:pPr>
              <w:pStyle w:val="ListBullet"/>
              <w:spacing w:before="20" w:after="20"/>
              <w:contextualSpacing w:val="0"/>
            </w:pPr>
            <w:r w:rsidRPr="00892DE3">
              <w:t>Unconditional and expected to be settled within 12 months</w:t>
            </w:r>
          </w:p>
        </w:tc>
        <w:tc>
          <w:tcPr>
            <w:tcW w:w="1348"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70 </w:t>
            </w:r>
          </w:p>
        </w:tc>
        <w:tc>
          <w:tcPr>
            <w:tcW w:w="1345"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70 </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5274" w:type="dxa"/>
          </w:tcPr>
          <w:p w:rsidR="00597628" w:rsidRPr="00892DE3" w:rsidRDefault="00597628" w:rsidP="009C27B9">
            <w:pPr>
              <w:pStyle w:val="ListBullet"/>
              <w:spacing w:before="20" w:after="20"/>
              <w:contextualSpacing w:val="0"/>
            </w:pPr>
            <w:r w:rsidRPr="00892DE3">
              <w:t>Unconditional and expected to be settled after 12 months</w:t>
            </w:r>
          </w:p>
        </w:tc>
        <w:tc>
          <w:tcPr>
            <w:tcW w:w="1348"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30</w:t>
            </w:r>
          </w:p>
        </w:tc>
        <w:tc>
          <w:tcPr>
            <w:tcW w:w="1345"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27 </w:t>
            </w:r>
          </w:p>
        </w:tc>
      </w:tr>
      <w:tr w:rsidR="00597628" w:rsidRPr="00892DE3" w:rsidTr="009C27B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Pr>
          <w:p w:rsidR="00597628" w:rsidRPr="00892DE3" w:rsidRDefault="00597628" w:rsidP="009C27B9">
            <w:pPr>
              <w:spacing w:after="20"/>
              <w:ind w:left="0" w:firstLine="0"/>
              <w:rPr>
                <w:b/>
              </w:rPr>
            </w:pPr>
            <w:r w:rsidRPr="00892DE3">
              <w:rPr>
                <w:b/>
              </w:rPr>
              <w:t>Total</w:t>
            </w:r>
          </w:p>
        </w:tc>
        <w:tc>
          <w:tcPr>
            <w:tcW w:w="1348" w:type="dxa"/>
          </w:tcPr>
          <w:p w:rsidR="00597628" w:rsidRPr="00892DE3" w:rsidRDefault="00597628" w:rsidP="009C27B9">
            <w:pPr>
              <w:spacing w:after="20"/>
              <w:jc w:val="right"/>
              <w:cnfStyle w:val="010000000000" w:firstRow="0" w:lastRow="1" w:firstColumn="0" w:lastColumn="0" w:oddVBand="0" w:evenVBand="0" w:oddHBand="0" w:evenHBand="0" w:firstRowFirstColumn="0" w:firstRowLastColumn="0" w:lastRowFirstColumn="0" w:lastRowLastColumn="0"/>
              <w:rPr>
                <w:b/>
              </w:rPr>
            </w:pPr>
            <w:r w:rsidRPr="00892DE3">
              <w:rPr>
                <w:b/>
              </w:rPr>
              <w:t>100</w:t>
            </w:r>
          </w:p>
        </w:tc>
        <w:tc>
          <w:tcPr>
            <w:tcW w:w="1345" w:type="dxa"/>
          </w:tcPr>
          <w:p w:rsidR="00597628" w:rsidRPr="00892DE3" w:rsidRDefault="00597628" w:rsidP="009C27B9">
            <w:pPr>
              <w:spacing w:after="20"/>
              <w:jc w:val="right"/>
              <w:cnfStyle w:val="010000000000" w:firstRow="0" w:lastRow="1" w:firstColumn="0" w:lastColumn="0" w:oddVBand="0" w:evenVBand="0" w:oddHBand="0" w:evenHBand="0" w:firstRowFirstColumn="0" w:firstRowLastColumn="0" w:lastRowFirstColumn="0" w:lastRowLastColumn="0"/>
              <w:rPr>
                <w:b/>
              </w:rPr>
            </w:pPr>
            <w:r w:rsidRPr="00892DE3">
              <w:rPr>
                <w:b/>
              </w:rPr>
              <w:t>97</w:t>
            </w:r>
          </w:p>
        </w:tc>
      </w:tr>
    </w:tbl>
    <w:p w:rsidR="00597628" w:rsidRPr="00892DE3" w:rsidRDefault="00597628" w:rsidP="00597628">
      <w:pPr>
        <w:pStyle w:val="Notes"/>
        <w:ind w:left="0" w:firstLine="0"/>
        <w:sectPr w:rsidR="00597628" w:rsidRPr="00892DE3" w:rsidSect="00AA329A">
          <w:headerReference w:type="even" r:id="rId210"/>
          <w:headerReference w:type="default" r:id="rId211"/>
          <w:footerReference w:type="first" r:id="rId212"/>
          <w:pgSz w:w="11906" w:h="16838" w:code="9"/>
          <w:pgMar w:top="1134" w:right="1134" w:bottom="1134" w:left="1134" w:header="624" w:footer="567" w:gutter="0"/>
          <w:cols w:space="720"/>
          <w:titlePg/>
        </w:sectPr>
      </w:pPr>
    </w:p>
    <w:p w:rsidR="00597628" w:rsidRPr="00892DE3" w:rsidRDefault="00597628" w:rsidP="00597628"/>
    <w:p w:rsidR="00597628" w:rsidRPr="00892DE3" w:rsidRDefault="00597628" w:rsidP="00597628"/>
    <w:p w:rsidR="00597628" w:rsidRPr="00892DE3" w:rsidRDefault="00597628" w:rsidP="00597628">
      <w:r w:rsidRPr="00892DE3">
        <w:br w:type="page"/>
      </w:r>
    </w:p>
    <w:p w:rsidR="00597628" w:rsidRPr="00892DE3" w:rsidRDefault="00597628" w:rsidP="00597628">
      <w:pPr>
        <w:sectPr w:rsidR="00597628" w:rsidRPr="00892DE3" w:rsidSect="00F042B6">
          <w:headerReference w:type="even" r:id="rId213"/>
          <w:type w:val="continuous"/>
          <w:pgSz w:w="11906" w:h="16838" w:code="9"/>
          <w:pgMar w:top="1134" w:right="1134" w:bottom="1134" w:left="1134" w:header="432" w:footer="432" w:gutter="0"/>
          <w:cols w:space="720"/>
        </w:sectPr>
      </w:pPr>
    </w:p>
    <w:p w:rsidR="00597628" w:rsidRPr="00892DE3" w:rsidRDefault="00597628" w:rsidP="00597628">
      <w:pPr>
        <w:pStyle w:val="AppendixHeading"/>
        <w:spacing w:after="240"/>
      </w:pPr>
      <w:bookmarkStart w:id="311" w:name="_Toc388277755"/>
      <w:bookmarkStart w:id="312" w:name="_Toc481591395"/>
      <w:bookmarkStart w:id="313" w:name="_Toc481592342"/>
      <w:r w:rsidRPr="00892DE3">
        <w:t>Appendix 7:</w:t>
      </w:r>
      <w:r w:rsidRPr="00892DE3">
        <w:tab/>
        <w:t>Fair value measurement indicative expectations</w:t>
      </w:r>
      <w:bookmarkEnd w:id="311"/>
      <w:bookmarkEnd w:id="312"/>
      <w:bookmarkEnd w:id="313"/>
    </w:p>
    <w:tbl>
      <w:tblPr>
        <w:tblStyle w:val="DTFTable"/>
        <w:tblW w:w="9810" w:type="dxa"/>
        <w:tblLayout w:type="fixed"/>
        <w:tblLook w:val="0620" w:firstRow="1" w:lastRow="0" w:firstColumn="0" w:lastColumn="0" w:noHBand="1" w:noVBand="1"/>
      </w:tblPr>
      <w:tblGrid>
        <w:gridCol w:w="1589"/>
        <w:gridCol w:w="2693"/>
        <w:gridCol w:w="1984"/>
        <w:gridCol w:w="1701"/>
        <w:gridCol w:w="1843"/>
      </w:tblGrid>
      <w:tr w:rsidR="00597628" w:rsidRPr="002F376C" w:rsidTr="009C27B9">
        <w:trPr>
          <w:cnfStyle w:val="100000000000" w:firstRow="1" w:lastRow="0" w:firstColumn="0" w:lastColumn="0" w:oddVBand="0" w:evenVBand="0" w:oddHBand="0" w:evenHBand="0" w:firstRowFirstColumn="0" w:firstRowLastColumn="0" w:lastRowFirstColumn="0" w:lastRowLastColumn="0"/>
        </w:trPr>
        <w:tc>
          <w:tcPr>
            <w:tcW w:w="1589" w:type="dxa"/>
            <w:tcBorders>
              <w:bottom w:val="nil"/>
            </w:tcBorders>
          </w:tcPr>
          <w:p w:rsidR="00597628" w:rsidRPr="002F376C" w:rsidRDefault="00597628" w:rsidP="002F376C">
            <w:pPr>
              <w:jc w:val="left"/>
              <w:rPr>
                <w:b/>
                <w:i w:val="0"/>
                <w:sz w:val="18"/>
                <w:szCs w:val="18"/>
              </w:rPr>
            </w:pPr>
            <w:r w:rsidRPr="002F376C">
              <w:rPr>
                <w:b/>
                <w:i w:val="0"/>
                <w:sz w:val="18"/>
                <w:szCs w:val="18"/>
              </w:rPr>
              <w:br/>
              <w:t>Asset class</w:t>
            </w:r>
          </w:p>
        </w:tc>
        <w:tc>
          <w:tcPr>
            <w:tcW w:w="2693" w:type="dxa"/>
            <w:tcBorders>
              <w:bottom w:val="nil"/>
            </w:tcBorders>
          </w:tcPr>
          <w:p w:rsidR="00597628" w:rsidRPr="002F376C" w:rsidRDefault="00597628" w:rsidP="002F376C">
            <w:pPr>
              <w:jc w:val="left"/>
              <w:rPr>
                <w:b/>
                <w:i w:val="0"/>
                <w:sz w:val="18"/>
                <w:szCs w:val="18"/>
              </w:rPr>
            </w:pPr>
            <w:r w:rsidRPr="002F376C">
              <w:rPr>
                <w:b/>
                <w:i w:val="0"/>
                <w:sz w:val="18"/>
                <w:szCs w:val="18"/>
              </w:rPr>
              <w:br/>
              <w:t xml:space="preserve">Examples of </w:t>
            </w:r>
            <w:r w:rsidRPr="002F376C">
              <w:rPr>
                <w:b/>
                <w:i w:val="0"/>
                <w:sz w:val="18"/>
                <w:szCs w:val="18"/>
              </w:rPr>
              <w:br/>
              <w:t>types of assets</w:t>
            </w:r>
          </w:p>
        </w:tc>
        <w:tc>
          <w:tcPr>
            <w:tcW w:w="1984" w:type="dxa"/>
            <w:tcBorders>
              <w:bottom w:val="nil"/>
            </w:tcBorders>
          </w:tcPr>
          <w:p w:rsidR="00597628" w:rsidRPr="002F376C" w:rsidRDefault="00597628" w:rsidP="002F376C">
            <w:pPr>
              <w:jc w:val="left"/>
              <w:rPr>
                <w:b/>
                <w:i w:val="0"/>
                <w:sz w:val="18"/>
                <w:szCs w:val="18"/>
              </w:rPr>
            </w:pPr>
            <w:r w:rsidRPr="002F376C">
              <w:rPr>
                <w:b/>
                <w:i w:val="0"/>
                <w:sz w:val="18"/>
                <w:szCs w:val="18"/>
              </w:rPr>
              <w:t xml:space="preserve">Expected fair </w:t>
            </w:r>
            <w:r w:rsidRPr="002F376C">
              <w:rPr>
                <w:b/>
                <w:i w:val="0"/>
                <w:sz w:val="18"/>
                <w:szCs w:val="18"/>
              </w:rPr>
              <w:br/>
              <w:t>value level</w:t>
            </w:r>
          </w:p>
        </w:tc>
        <w:tc>
          <w:tcPr>
            <w:tcW w:w="1701" w:type="dxa"/>
            <w:tcBorders>
              <w:bottom w:val="nil"/>
            </w:tcBorders>
          </w:tcPr>
          <w:p w:rsidR="00597628" w:rsidRPr="002F376C" w:rsidRDefault="00597628" w:rsidP="002F376C">
            <w:pPr>
              <w:jc w:val="left"/>
              <w:rPr>
                <w:b/>
                <w:i w:val="0"/>
                <w:sz w:val="18"/>
                <w:szCs w:val="18"/>
              </w:rPr>
            </w:pPr>
            <w:r w:rsidRPr="002F376C">
              <w:rPr>
                <w:b/>
                <w:i w:val="0"/>
                <w:sz w:val="18"/>
                <w:szCs w:val="18"/>
              </w:rPr>
              <w:t xml:space="preserve">Likely valuation </w:t>
            </w:r>
            <w:r w:rsidRPr="002F376C">
              <w:rPr>
                <w:b/>
                <w:i w:val="0"/>
                <w:sz w:val="18"/>
                <w:szCs w:val="18"/>
              </w:rPr>
              <w:br/>
              <w:t>approach</w:t>
            </w:r>
          </w:p>
        </w:tc>
        <w:tc>
          <w:tcPr>
            <w:tcW w:w="1843" w:type="dxa"/>
            <w:tcBorders>
              <w:bottom w:val="nil"/>
            </w:tcBorders>
          </w:tcPr>
          <w:p w:rsidR="00597628" w:rsidRPr="002F376C" w:rsidRDefault="00597628" w:rsidP="002F376C">
            <w:pPr>
              <w:jc w:val="left"/>
              <w:rPr>
                <w:b/>
                <w:i w:val="0"/>
                <w:sz w:val="18"/>
                <w:szCs w:val="18"/>
                <w:vertAlign w:val="superscript"/>
              </w:rPr>
            </w:pPr>
            <w:r w:rsidRPr="002F376C">
              <w:rPr>
                <w:b/>
                <w:i w:val="0"/>
                <w:sz w:val="18"/>
                <w:szCs w:val="18"/>
              </w:rPr>
              <w:t xml:space="preserve">Significant inputs </w:t>
            </w:r>
            <w:r w:rsidRPr="002F376C">
              <w:rPr>
                <w:b/>
                <w:i w:val="0"/>
                <w:sz w:val="18"/>
                <w:szCs w:val="18"/>
              </w:rPr>
              <w:br/>
              <w:t>(Level 3 only)</w:t>
            </w:r>
            <w:r w:rsidRPr="002F376C">
              <w:rPr>
                <w:b/>
                <w:i w:val="0"/>
                <w:sz w:val="18"/>
                <w:szCs w:val="18"/>
                <w:vertAlign w:val="superscript"/>
              </w:rPr>
              <w:t xml:space="preserve">(c) </w:t>
            </w:r>
          </w:p>
        </w:tc>
      </w:tr>
      <w:tr w:rsidR="00597628" w:rsidRPr="002F376C" w:rsidTr="009C27B9">
        <w:tc>
          <w:tcPr>
            <w:tcW w:w="1589" w:type="dxa"/>
            <w:tcBorders>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Non</w:t>
            </w:r>
            <w:r w:rsidRPr="002F376C">
              <w:rPr>
                <w:sz w:val="18"/>
                <w:szCs w:val="18"/>
              </w:rPr>
              <w:noBreakHyphen/>
              <w:t>specialised land</w:t>
            </w:r>
          </w:p>
        </w:tc>
        <w:tc>
          <w:tcPr>
            <w:tcW w:w="2693" w:type="dxa"/>
            <w:tcBorders>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In areas where there is an active market –</w:t>
            </w:r>
          </w:p>
          <w:p w:rsidR="00597628" w:rsidRPr="002F376C" w:rsidRDefault="00597628" w:rsidP="002F376C">
            <w:pPr>
              <w:pStyle w:val="ListBullet"/>
              <w:jc w:val="left"/>
              <w:rPr>
                <w:sz w:val="18"/>
                <w:szCs w:val="18"/>
              </w:rPr>
            </w:pPr>
            <w:r w:rsidRPr="002F376C">
              <w:rPr>
                <w:sz w:val="18"/>
                <w:szCs w:val="18"/>
              </w:rPr>
              <w:t>Vacant land</w:t>
            </w:r>
          </w:p>
          <w:p w:rsidR="00597628" w:rsidRPr="002F376C" w:rsidRDefault="00597628" w:rsidP="002F376C">
            <w:pPr>
              <w:pStyle w:val="ListBullet"/>
              <w:jc w:val="left"/>
              <w:rPr>
                <w:sz w:val="18"/>
                <w:szCs w:val="18"/>
              </w:rPr>
            </w:pPr>
            <w:r w:rsidRPr="002F376C">
              <w:rPr>
                <w:sz w:val="18"/>
                <w:szCs w:val="18"/>
              </w:rPr>
              <w:t>Land not subject to restrictions as to use or sale</w:t>
            </w:r>
          </w:p>
        </w:tc>
        <w:tc>
          <w:tcPr>
            <w:tcW w:w="1984" w:type="dxa"/>
            <w:tcBorders>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Level 2</w:t>
            </w:r>
          </w:p>
        </w:tc>
        <w:tc>
          <w:tcPr>
            <w:tcW w:w="1701" w:type="dxa"/>
            <w:tcBorders>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Market approach</w:t>
            </w:r>
          </w:p>
        </w:tc>
        <w:tc>
          <w:tcPr>
            <w:tcW w:w="1843" w:type="dxa"/>
            <w:tcBorders>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n.a.</w:t>
            </w:r>
          </w:p>
        </w:tc>
      </w:tr>
      <w:tr w:rsidR="00597628" w:rsidRPr="002F376C" w:rsidTr="00EC0147">
        <w:tc>
          <w:tcPr>
            <w:tcW w:w="1589"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Specialised Land</w:t>
            </w:r>
          </w:p>
        </w:tc>
        <w:tc>
          <w:tcPr>
            <w:tcW w:w="269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pStyle w:val="ListBullet"/>
              <w:jc w:val="left"/>
              <w:rPr>
                <w:sz w:val="18"/>
                <w:szCs w:val="18"/>
              </w:rPr>
            </w:pPr>
            <w:r w:rsidRPr="002F376C">
              <w:rPr>
                <w:sz w:val="18"/>
                <w:szCs w:val="18"/>
              </w:rPr>
              <w:t>Land subject to restriction as to use and/or sale</w:t>
            </w:r>
          </w:p>
          <w:p w:rsidR="00597628" w:rsidRPr="002F376C" w:rsidRDefault="00597628" w:rsidP="002F376C">
            <w:pPr>
              <w:pStyle w:val="ListBullet"/>
              <w:jc w:val="left"/>
              <w:rPr>
                <w:sz w:val="18"/>
                <w:szCs w:val="18"/>
              </w:rPr>
            </w:pPr>
            <w:r w:rsidRPr="002F376C">
              <w:rPr>
                <w:sz w:val="18"/>
                <w:szCs w:val="18"/>
              </w:rPr>
              <w:t>Land in areas where there is not an active market</w:t>
            </w:r>
          </w:p>
        </w:tc>
        <w:tc>
          <w:tcPr>
            <w:tcW w:w="1984"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Level 3</w:t>
            </w:r>
          </w:p>
        </w:tc>
        <w:tc>
          <w:tcPr>
            <w:tcW w:w="1701"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Market approach</w:t>
            </w:r>
          </w:p>
        </w:tc>
        <w:tc>
          <w:tcPr>
            <w:tcW w:w="184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CSO adjustments</w:t>
            </w:r>
          </w:p>
        </w:tc>
      </w:tr>
      <w:tr w:rsidR="00597628" w:rsidRPr="002F376C" w:rsidTr="009C27B9">
        <w:tc>
          <w:tcPr>
            <w:tcW w:w="1589"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Non</w:t>
            </w:r>
            <w:r w:rsidRPr="002F376C">
              <w:rPr>
                <w:sz w:val="18"/>
                <w:szCs w:val="18"/>
              </w:rPr>
              <w:noBreakHyphen/>
              <w:t>specialised buildings</w:t>
            </w:r>
          </w:p>
        </w:tc>
        <w:tc>
          <w:tcPr>
            <w:tcW w:w="2693"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 xml:space="preserve">For general/commercial buildings that are just built </w:t>
            </w:r>
          </w:p>
        </w:tc>
        <w:tc>
          <w:tcPr>
            <w:tcW w:w="1984"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 xml:space="preserve">Level 2 </w:t>
            </w:r>
          </w:p>
        </w:tc>
        <w:tc>
          <w:tcPr>
            <w:tcW w:w="1701"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Market approach</w:t>
            </w:r>
          </w:p>
        </w:tc>
        <w:tc>
          <w:tcPr>
            <w:tcW w:w="1843"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n.a.</w:t>
            </w:r>
          </w:p>
        </w:tc>
      </w:tr>
      <w:tr w:rsidR="00597628" w:rsidRPr="002F376C" w:rsidTr="00EC0147">
        <w:tc>
          <w:tcPr>
            <w:tcW w:w="1589"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Specialised buildings </w:t>
            </w:r>
            <w:r w:rsidRPr="002F376C">
              <w:rPr>
                <w:sz w:val="18"/>
                <w:szCs w:val="18"/>
                <w:vertAlign w:val="superscript"/>
              </w:rPr>
              <w:t>(a)</w:t>
            </w:r>
          </w:p>
        </w:tc>
        <w:tc>
          <w:tcPr>
            <w:tcW w:w="269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Specialised buildings with limited alternative uses and/or substantial customisation e.g. prisons, hospitals and schools</w:t>
            </w:r>
          </w:p>
        </w:tc>
        <w:tc>
          <w:tcPr>
            <w:tcW w:w="1984"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Level 3</w:t>
            </w:r>
          </w:p>
        </w:tc>
        <w:tc>
          <w:tcPr>
            <w:tcW w:w="1701"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Depreciated replacement cost approach</w:t>
            </w:r>
          </w:p>
        </w:tc>
        <w:tc>
          <w:tcPr>
            <w:tcW w:w="184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pStyle w:val="ListBullet"/>
              <w:jc w:val="left"/>
              <w:rPr>
                <w:sz w:val="18"/>
                <w:szCs w:val="18"/>
              </w:rPr>
            </w:pPr>
            <w:r w:rsidRPr="002F376C">
              <w:rPr>
                <w:sz w:val="18"/>
                <w:szCs w:val="18"/>
              </w:rPr>
              <w:t>Cost per square metre</w:t>
            </w:r>
          </w:p>
          <w:p w:rsidR="00597628" w:rsidRPr="002F376C" w:rsidRDefault="00597628" w:rsidP="002F376C">
            <w:pPr>
              <w:pStyle w:val="ListBullet"/>
              <w:jc w:val="left"/>
              <w:rPr>
                <w:sz w:val="18"/>
                <w:szCs w:val="18"/>
              </w:rPr>
            </w:pPr>
            <w:r w:rsidRPr="002F376C">
              <w:rPr>
                <w:sz w:val="18"/>
                <w:szCs w:val="18"/>
              </w:rPr>
              <w:t>Useful life</w:t>
            </w:r>
          </w:p>
        </w:tc>
      </w:tr>
      <w:tr w:rsidR="00597628" w:rsidRPr="002F376C" w:rsidTr="009C27B9">
        <w:tc>
          <w:tcPr>
            <w:tcW w:w="1589"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Heritage assets</w:t>
            </w:r>
          </w:p>
        </w:tc>
        <w:tc>
          <w:tcPr>
            <w:tcW w:w="2693" w:type="dxa"/>
            <w:tcBorders>
              <w:top w:val="single" w:sz="4" w:space="0" w:color="BFBFBF" w:themeColor="background1" w:themeShade="BF"/>
              <w:bottom w:val="single" w:sz="4" w:space="0" w:color="BFBFBF" w:themeColor="background1" w:themeShade="BF"/>
            </w:tcBorders>
          </w:tcPr>
          <w:p w:rsidR="00597628" w:rsidRPr="002F376C" w:rsidRDefault="00597628" w:rsidP="002F376C">
            <w:pPr>
              <w:pStyle w:val="ListBullet"/>
              <w:jc w:val="left"/>
              <w:rPr>
                <w:sz w:val="18"/>
                <w:szCs w:val="18"/>
              </w:rPr>
            </w:pPr>
            <w:r w:rsidRPr="002F376C">
              <w:rPr>
                <w:sz w:val="18"/>
                <w:szCs w:val="18"/>
              </w:rPr>
              <w:t>Shrine of Remembrance</w:t>
            </w:r>
          </w:p>
          <w:p w:rsidR="00597628" w:rsidRPr="002F376C" w:rsidRDefault="00597628" w:rsidP="002F376C">
            <w:pPr>
              <w:pStyle w:val="ListBullet"/>
              <w:jc w:val="left"/>
              <w:rPr>
                <w:sz w:val="18"/>
                <w:szCs w:val="18"/>
              </w:rPr>
            </w:pPr>
            <w:r w:rsidRPr="002F376C">
              <w:rPr>
                <w:sz w:val="18"/>
                <w:szCs w:val="18"/>
              </w:rPr>
              <w:t>Governor’s House</w:t>
            </w:r>
          </w:p>
        </w:tc>
        <w:tc>
          <w:tcPr>
            <w:tcW w:w="1984"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Level 3</w:t>
            </w:r>
          </w:p>
        </w:tc>
        <w:tc>
          <w:tcPr>
            <w:tcW w:w="1701"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Depreciated replacement cost approach (b)</w:t>
            </w:r>
          </w:p>
        </w:tc>
        <w:tc>
          <w:tcPr>
            <w:tcW w:w="1843" w:type="dxa"/>
            <w:tcBorders>
              <w:top w:val="single" w:sz="4" w:space="0" w:color="BFBFBF" w:themeColor="background1" w:themeShade="BF"/>
              <w:bottom w:val="single" w:sz="4" w:space="0" w:color="BFBFBF" w:themeColor="background1" w:themeShade="BF"/>
            </w:tcBorders>
          </w:tcPr>
          <w:p w:rsidR="00597628" w:rsidRPr="002F376C" w:rsidRDefault="00597628" w:rsidP="002F376C">
            <w:pPr>
              <w:pStyle w:val="ListBullet"/>
              <w:jc w:val="left"/>
              <w:rPr>
                <w:sz w:val="18"/>
                <w:szCs w:val="18"/>
              </w:rPr>
            </w:pPr>
            <w:r w:rsidRPr="002F376C">
              <w:rPr>
                <w:sz w:val="18"/>
                <w:szCs w:val="18"/>
              </w:rPr>
              <w:t>Cost per square metre</w:t>
            </w:r>
          </w:p>
          <w:p w:rsidR="00597628" w:rsidRPr="002F376C" w:rsidRDefault="00597628" w:rsidP="002F376C">
            <w:pPr>
              <w:pStyle w:val="ListBullet"/>
              <w:jc w:val="left"/>
              <w:rPr>
                <w:sz w:val="18"/>
                <w:szCs w:val="18"/>
              </w:rPr>
            </w:pPr>
            <w:r w:rsidRPr="002F376C">
              <w:rPr>
                <w:sz w:val="18"/>
                <w:szCs w:val="18"/>
              </w:rPr>
              <w:t>Useful life</w:t>
            </w:r>
          </w:p>
        </w:tc>
      </w:tr>
      <w:tr w:rsidR="00597628" w:rsidRPr="002F376C" w:rsidTr="00EC0147">
        <w:tc>
          <w:tcPr>
            <w:tcW w:w="1589" w:type="dxa"/>
            <w:tcBorders>
              <w:top w:val="single" w:sz="4" w:space="0" w:color="BFBFBF" w:themeColor="background1" w:themeShade="BF"/>
              <w:bottom w:val="nil"/>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 xml:space="preserve">Dwellings </w:t>
            </w:r>
            <w:r w:rsidRPr="002F376C">
              <w:rPr>
                <w:sz w:val="18"/>
                <w:szCs w:val="18"/>
                <w:vertAlign w:val="superscript"/>
              </w:rPr>
              <w:t>(a)</w:t>
            </w:r>
          </w:p>
        </w:tc>
        <w:tc>
          <w:tcPr>
            <w:tcW w:w="2693" w:type="dxa"/>
            <w:tcBorders>
              <w:top w:val="single" w:sz="4" w:space="0" w:color="BFBFBF" w:themeColor="background1" w:themeShade="BF"/>
              <w:bottom w:val="nil"/>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Social/public housing, employee housing</w:t>
            </w:r>
          </w:p>
        </w:tc>
        <w:tc>
          <w:tcPr>
            <w:tcW w:w="1984" w:type="dxa"/>
            <w:tcBorders>
              <w:top w:val="single" w:sz="4" w:space="0" w:color="BFBFBF" w:themeColor="background1" w:themeShade="BF"/>
              <w:bottom w:val="nil"/>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Level 2, where there is an active market in the area</w:t>
            </w:r>
          </w:p>
        </w:tc>
        <w:tc>
          <w:tcPr>
            <w:tcW w:w="1701" w:type="dxa"/>
            <w:tcBorders>
              <w:top w:val="single" w:sz="4" w:space="0" w:color="BFBFBF" w:themeColor="background1" w:themeShade="BF"/>
              <w:bottom w:val="nil"/>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Market approach</w:t>
            </w:r>
          </w:p>
        </w:tc>
        <w:tc>
          <w:tcPr>
            <w:tcW w:w="1843" w:type="dxa"/>
            <w:tcBorders>
              <w:top w:val="single" w:sz="4" w:space="0" w:color="BFBFBF" w:themeColor="background1" w:themeShade="BF"/>
              <w:bottom w:val="nil"/>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n.a.</w:t>
            </w:r>
          </w:p>
        </w:tc>
      </w:tr>
      <w:tr w:rsidR="00597628" w:rsidRPr="002F376C" w:rsidTr="00EC0147">
        <w:tc>
          <w:tcPr>
            <w:tcW w:w="1589" w:type="dxa"/>
            <w:tcBorders>
              <w:top w:val="nil"/>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p>
        </w:tc>
        <w:tc>
          <w:tcPr>
            <w:tcW w:w="2693" w:type="dxa"/>
            <w:tcBorders>
              <w:top w:val="nil"/>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p>
        </w:tc>
        <w:tc>
          <w:tcPr>
            <w:tcW w:w="1984" w:type="dxa"/>
            <w:tcBorders>
              <w:top w:val="nil"/>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Level 3, where there is no active market in the area</w:t>
            </w:r>
          </w:p>
        </w:tc>
        <w:tc>
          <w:tcPr>
            <w:tcW w:w="1701" w:type="dxa"/>
            <w:tcBorders>
              <w:top w:val="nil"/>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Depreciated replacement cost approach</w:t>
            </w:r>
          </w:p>
        </w:tc>
        <w:tc>
          <w:tcPr>
            <w:tcW w:w="1843" w:type="dxa"/>
            <w:tcBorders>
              <w:top w:val="nil"/>
              <w:bottom w:val="single" w:sz="4" w:space="0" w:color="BFBFBF" w:themeColor="background1" w:themeShade="BF"/>
            </w:tcBorders>
            <w:shd w:val="clear" w:color="auto" w:fill="BFBFBF" w:themeFill="background1" w:themeFillShade="BF"/>
          </w:tcPr>
          <w:p w:rsidR="00597628" w:rsidRPr="002F376C" w:rsidRDefault="00597628" w:rsidP="002F376C">
            <w:pPr>
              <w:pStyle w:val="ListBullet"/>
              <w:jc w:val="left"/>
              <w:rPr>
                <w:sz w:val="18"/>
                <w:szCs w:val="18"/>
              </w:rPr>
            </w:pPr>
            <w:r w:rsidRPr="002F376C">
              <w:rPr>
                <w:sz w:val="18"/>
                <w:szCs w:val="18"/>
              </w:rPr>
              <w:t>Cost per square metre</w:t>
            </w:r>
          </w:p>
          <w:p w:rsidR="00597628" w:rsidRPr="002F376C" w:rsidRDefault="00597628" w:rsidP="002F376C">
            <w:pPr>
              <w:pStyle w:val="ListBullet"/>
              <w:jc w:val="left"/>
              <w:rPr>
                <w:sz w:val="18"/>
                <w:szCs w:val="18"/>
              </w:rPr>
            </w:pPr>
            <w:r w:rsidRPr="002F376C">
              <w:rPr>
                <w:sz w:val="18"/>
                <w:szCs w:val="18"/>
              </w:rPr>
              <w:t>Useful life</w:t>
            </w:r>
          </w:p>
        </w:tc>
      </w:tr>
      <w:tr w:rsidR="00597628" w:rsidRPr="002F376C" w:rsidTr="009C27B9">
        <w:tc>
          <w:tcPr>
            <w:tcW w:w="1589" w:type="dxa"/>
            <w:tcBorders>
              <w:top w:val="single" w:sz="4" w:space="0" w:color="BFBFBF" w:themeColor="background1" w:themeShade="BF"/>
              <w:bottom w:val="nil"/>
            </w:tcBorders>
          </w:tcPr>
          <w:p w:rsidR="00597628" w:rsidRPr="002F376C" w:rsidRDefault="00597628" w:rsidP="002F376C">
            <w:pPr>
              <w:jc w:val="left"/>
              <w:rPr>
                <w:sz w:val="18"/>
                <w:szCs w:val="18"/>
              </w:rPr>
            </w:pPr>
            <w:r w:rsidRPr="002F376C">
              <w:rPr>
                <w:sz w:val="18"/>
                <w:szCs w:val="18"/>
              </w:rPr>
              <w:t>Vehicles</w:t>
            </w:r>
          </w:p>
        </w:tc>
        <w:tc>
          <w:tcPr>
            <w:tcW w:w="2693" w:type="dxa"/>
            <w:tcBorders>
              <w:top w:val="single" w:sz="4" w:space="0" w:color="BFBFBF" w:themeColor="background1" w:themeShade="BF"/>
              <w:bottom w:val="nil"/>
            </w:tcBorders>
          </w:tcPr>
          <w:p w:rsidR="00597628" w:rsidRPr="002F376C" w:rsidRDefault="00597628" w:rsidP="002F376C">
            <w:pPr>
              <w:jc w:val="left"/>
              <w:rPr>
                <w:sz w:val="18"/>
                <w:szCs w:val="18"/>
              </w:rPr>
            </w:pPr>
            <w:r w:rsidRPr="002F376C">
              <w:rPr>
                <w:sz w:val="18"/>
                <w:szCs w:val="18"/>
              </w:rPr>
              <w:t>If there is an active resale market available</w:t>
            </w:r>
          </w:p>
        </w:tc>
        <w:tc>
          <w:tcPr>
            <w:tcW w:w="1984" w:type="dxa"/>
            <w:tcBorders>
              <w:top w:val="single" w:sz="4" w:space="0" w:color="BFBFBF" w:themeColor="background1" w:themeShade="BF"/>
              <w:bottom w:val="nil"/>
            </w:tcBorders>
          </w:tcPr>
          <w:p w:rsidR="00597628" w:rsidRPr="002F376C" w:rsidRDefault="00597628" w:rsidP="002F376C">
            <w:pPr>
              <w:jc w:val="left"/>
              <w:rPr>
                <w:sz w:val="18"/>
                <w:szCs w:val="18"/>
              </w:rPr>
            </w:pPr>
            <w:r w:rsidRPr="002F376C">
              <w:rPr>
                <w:sz w:val="18"/>
                <w:szCs w:val="18"/>
              </w:rPr>
              <w:t>Level 2</w:t>
            </w:r>
          </w:p>
        </w:tc>
        <w:tc>
          <w:tcPr>
            <w:tcW w:w="1701" w:type="dxa"/>
            <w:tcBorders>
              <w:top w:val="single" w:sz="4" w:space="0" w:color="BFBFBF" w:themeColor="background1" w:themeShade="BF"/>
              <w:bottom w:val="nil"/>
            </w:tcBorders>
          </w:tcPr>
          <w:p w:rsidR="00597628" w:rsidRPr="002F376C" w:rsidRDefault="00597628" w:rsidP="002F376C">
            <w:pPr>
              <w:jc w:val="left"/>
              <w:rPr>
                <w:sz w:val="18"/>
                <w:szCs w:val="18"/>
              </w:rPr>
            </w:pPr>
            <w:r w:rsidRPr="002F376C">
              <w:rPr>
                <w:sz w:val="18"/>
                <w:szCs w:val="18"/>
              </w:rPr>
              <w:t>Market approach</w:t>
            </w:r>
          </w:p>
        </w:tc>
        <w:tc>
          <w:tcPr>
            <w:tcW w:w="1843" w:type="dxa"/>
            <w:tcBorders>
              <w:top w:val="single" w:sz="4" w:space="0" w:color="BFBFBF" w:themeColor="background1" w:themeShade="BF"/>
              <w:bottom w:val="nil"/>
            </w:tcBorders>
          </w:tcPr>
          <w:p w:rsidR="00597628" w:rsidRPr="002F376C" w:rsidRDefault="00597628" w:rsidP="002F376C">
            <w:pPr>
              <w:jc w:val="left"/>
              <w:rPr>
                <w:sz w:val="18"/>
                <w:szCs w:val="18"/>
              </w:rPr>
            </w:pPr>
            <w:r w:rsidRPr="002F376C">
              <w:rPr>
                <w:sz w:val="18"/>
                <w:szCs w:val="18"/>
              </w:rPr>
              <w:t>n.a.</w:t>
            </w:r>
          </w:p>
        </w:tc>
      </w:tr>
      <w:tr w:rsidR="00597628" w:rsidRPr="002F376C" w:rsidTr="009C27B9">
        <w:tc>
          <w:tcPr>
            <w:tcW w:w="1589" w:type="dxa"/>
            <w:tcBorders>
              <w:top w:val="nil"/>
              <w:bottom w:val="single" w:sz="4" w:space="0" w:color="BFBFBF" w:themeColor="background1" w:themeShade="BF"/>
            </w:tcBorders>
          </w:tcPr>
          <w:p w:rsidR="00597628" w:rsidRPr="002F376C" w:rsidRDefault="00597628" w:rsidP="002F376C">
            <w:pPr>
              <w:jc w:val="left"/>
              <w:rPr>
                <w:sz w:val="18"/>
                <w:szCs w:val="18"/>
              </w:rPr>
            </w:pPr>
          </w:p>
        </w:tc>
        <w:tc>
          <w:tcPr>
            <w:tcW w:w="2693" w:type="dxa"/>
            <w:tcBorders>
              <w:top w:val="nil"/>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If there is no active resale market available</w:t>
            </w:r>
          </w:p>
        </w:tc>
        <w:tc>
          <w:tcPr>
            <w:tcW w:w="1984" w:type="dxa"/>
            <w:tcBorders>
              <w:top w:val="nil"/>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Level 3</w:t>
            </w:r>
          </w:p>
        </w:tc>
        <w:tc>
          <w:tcPr>
            <w:tcW w:w="1701" w:type="dxa"/>
            <w:tcBorders>
              <w:top w:val="nil"/>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Depreciated replacement cost approach</w:t>
            </w:r>
          </w:p>
        </w:tc>
        <w:tc>
          <w:tcPr>
            <w:tcW w:w="1843" w:type="dxa"/>
            <w:tcBorders>
              <w:top w:val="nil"/>
              <w:bottom w:val="single" w:sz="4" w:space="0" w:color="BFBFBF" w:themeColor="background1" w:themeShade="BF"/>
            </w:tcBorders>
          </w:tcPr>
          <w:p w:rsidR="00597628" w:rsidRPr="002F376C" w:rsidRDefault="00597628" w:rsidP="002F376C">
            <w:pPr>
              <w:pStyle w:val="ListBullet"/>
              <w:jc w:val="left"/>
              <w:rPr>
                <w:sz w:val="18"/>
                <w:szCs w:val="18"/>
              </w:rPr>
            </w:pPr>
            <w:r w:rsidRPr="002F376C">
              <w:rPr>
                <w:sz w:val="18"/>
                <w:szCs w:val="18"/>
              </w:rPr>
              <w:t>Cost per unit</w:t>
            </w:r>
          </w:p>
          <w:p w:rsidR="00597628" w:rsidRPr="002F376C" w:rsidRDefault="00597628" w:rsidP="002F376C">
            <w:pPr>
              <w:pStyle w:val="ListBullet"/>
              <w:jc w:val="left"/>
              <w:rPr>
                <w:sz w:val="18"/>
                <w:szCs w:val="18"/>
              </w:rPr>
            </w:pPr>
            <w:r w:rsidRPr="002F376C">
              <w:rPr>
                <w:sz w:val="18"/>
                <w:szCs w:val="18"/>
              </w:rPr>
              <w:t>Useful life</w:t>
            </w:r>
          </w:p>
        </w:tc>
      </w:tr>
      <w:tr w:rsidR="00597628" w:rsidRPr="002F376C" w:rsidTr="00EC0147">
        <w:tc>
          <w:tcPr>
            <w:tcW w:w="1589"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Plant and equipment </w:t>
            </w:r>
            <w:r w:rsidRPr="002F376C">
              <w:rPr>
                <w:sz w:val="18"/>
                <w:szCs w:val="18"/>
                <w:vertAlign w:val="superscript"/>
              </w:rPr>
              <w:t>(a)</w:t>
            </w:r>
          </w:p>
        </w:tc>
        <w:tc>
          <w:tcPr>
            <w:tcW w:w="269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Specialised items with limited alternative uses and/or substantial customisation</w:t>
            </w:r>
          </w:p>
        </w:tc>
        <w:tc>
          <w:tcPr>
            <w:tcW w:w="1984"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Level 3</w:t>
            </w:r>
          </w:p>
        </w:tc>
        <w:tc>
          <w:tcPr>
            <w:tcW w:w="1701"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Depreciated replacement cost approach</w:t>
            </w:r>
          </w:p>
        </w:tc>
        <w:tc>
          <w:tcPr>
            <w:tcW w:w="184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pStyle w:val="ListBullet"/>
              <w:jc w:val="left"/>
              <w:rPr>
                <w:sz w:val="18"/>
                <w:szCs w:val="18"/>
              </w:rPr>
            </w:pPr>
            <w:r w:rsidRPr="002F376C">
              <w:rPr>
                <w:sz w:val="18"/>
                <w:szCs w:val="18"/>
              </w:rPr>
              <w:t>Cost per  square metre</w:t>
            </w:r>
          </w:p>
          <w:p w:rsidR="00597628" w:rsidRPr="002F376C" w:rsidRDefault="00597628" w:rsidP="002F376C">
            <w:pPr>
              <w:pStyle w:val="ListBullet"/>
              <w:jc w:val="left"/>
              <w:rPr>
                <w:sz w:val="18"/>
                <w:szCs w:val="18"/>
              </w:rPr>
            </w:pPr>
            <w:r w:rsidRPr="002F376C">
              <w:rPr>
                <w:sz w:val="18"/>
                <w:szCs w:val="18"/>
              </w:rPr>
              <w:t>Useful life</w:t>
            </w:r>
          </w:p>
        </w:tc>
      </w:tr>
      <w:tr w:rsidR="00597628" w:rsidRPr="002F376C" w:rsidTr="009C27B9">
        <w:tc>
          <w:tcPr>
            <w:tcW w:w="1589" w:type="dxa"/>
            <w:tcBorders>
              <w:top w:val="single" w:sz="4" w:space="0" w:color="BFBFBF" w:themeColor="background1" w:themeShade="BF"/>
              <w:bottom w:val="nil"/>
            </w:tcBorders>
          </w:tcPr>
          <w:p w:rsidR="00597628" w:rsidRPr="002F376C" w:rsidRDefault="00597628" w:rsidP="002F376C">
            <w:pPr>
              <w:jc w:val="left"/>
              <w:rPr>
                <w:sz w:val="18"/>
                <w:szCs w:val="18"/>
              </w:rPr>
            </w:pPr>
            <w:r w:rsidRPr="002F376C">
              <w:rPr>
                <w:sz w:val="18"/>
                <w:szCs w:val="18"/>
              </w:rPr>
              <w:t>Infrastructure</w:t>
            </w:r>
          </w:p>
        </w:tc>
        <w:tc>
          <w:tcPr>
            <w:tcW w:w="2693" w:type="dxa"/>
            <w:tcBorders>
              <w:top w:val="single" w:sz="4" w:space="0" w:color="BFBFBF" w:themeColor="background1" w:themeShade="BF"/>
              <w:bottom w:val="nil"/>
            </w:tcBorders>
          </w:tcPr>
          <w:p w:rsidR="00597628" w:rsidRPr="002F376C" w:rsidRDefault="00597628" w:rsidP="002F376C">
            <w:pPr>
              <w:jc w:val="left"/>
              <w:rPr>
                <w:sz w:val="18"/>
                <w:szCs w:val="18"/>
              </w:rPr>
            </w:pPr>
            <w:r w:rsidRPr="002F376C">
              <w:rPr>
                <w:sz w:val="18"/>
                <w:szCs w:val="18"/>
              </w:rPr>
              <w:t>Water infrastructures (Metro)</w:t>
            </w:r>
          </w:p>
        </w:tc>
        <w:tc>
          <w:tcPr>
            <w:tcW w:w="1984" w:type="dxa"/>
            <w:tcBorders>
              <w:top w:val="single" w:sz="4" w:space="0" w:color="BFBFBF" w:themeColor="background1" w:themeShade="BF"/>
              <w:bottom w:val="nil"/>
            </w:tcBorders>
          </w:tcPr>
          <w:p w:rsidR="00597628" w:rsidRPr="002F376C" w:rsidRDefault="00597628" w:rsidP="002F376C">
            <w:pPr>
              <w:jc w:val="left"/>
              <w:rPr>
                <w:sz w:val="18"/>
                <w:szCs w:val="18"/>
              </w:rPr>
            </w:pPr>
            <w:r w:rsidRPr="002F376C">
              <w:rPr>
                <w:sz w:val="18"/>
                <w:szCs w:val="18"/>
              </w:rPr>
              <w:t>Level 3</w:t>
            </w:r>
          </w:p>
        </w:tc>
        <w:tc>
          <w:tcPr>
            <w:tcW w:w="1701" w:type="dxa"/>
            <w:tcBorders>
              <w:top w:val="single" w:sz="4" w:space="0" w:color="BFBFBF" w:themeColor="background1" w:themeShade="BF"/>
              <w:bottom w:val="nil"/>
            </w:tcBorders>
          </w:tcPr>
          <w:p w:rsidR="00597628" w:rsidRPr="002F376C" w:rsidRDefault="00597628" w:rsidP="002F376C">
            <w:pPr>
              <w:jc w:val="left"/>
              <w:rPr>
                <w:sz w:val="18"/>
                <w:szCs w:val="18"/>
              </w:rPr>
            </w:pPr>
            <w:r w:rsidRPr="002F376C">
              <w:rPr>
                <w:sz w:val="18"/>
                <w:szCs w:val="18"/>
              </w:rPr>
              <w:t>Income approach</w:t>
            </w:r>
          </w:p>
        </w:tc>
        <w:tc>
          <w:tcPr>
            <w:tcW w:w="1843" w:type="dxa"/>
            <w:tcBorders>
              <w:top w:val="single" w:sz="4" w:space="0" w:color="BFBFBF" w:themeColor="background1" w:themeShade="BF"/>
              <w:bottom w:val="nil"/>
            </w:tcBorders>
          </w:tcPr>
          <w:p w:rsidR="00597628" w:rsidRPr="002F376C" w:rsidRDefault="00597628" w:rsidP="002F376C">
            <w:pPr>
              <w:pStyle w:val="ListBullet"/>
              <w:jc w:val="left"/>
              <w:rPr>
                <w:sz w:val="18"/>
                <w:szCs w:val="18"/>
              </w:rPr>
            </w:pPr>
            <w:r w:rsidRPr="002F376C">
              <w:rPr>
                <w:sz w:val="18"/>
                <w:szCs w:val="18"/>
              </w:rPr>
              <w:t>Estimated cash flow per year</w:t>
            </w:r>
          </w:p>
          <w:p w:rsidR="00597628" w:rsidRPr="002F376C" w:rsidRDefault="00597628" w:rsidP="002F376C">
            <w:pPr>
              <w:pStyle w:val="ListBullet"/>
              <w:jc w:val="left"/>
              <w:rPr>
                <w:sz w:val="18"/>
                <w:szCs w:val="18"/>
              </w:rPr>
            </w:pPr>
            <w:r w:rsidRPr="002F376C">
              <w:rPr>
                <w:sz w:val="18"/>
                <w:szCs w:val="18"/>
              </w:rPr>
              <w:t>Discount rate</w:t>
            </w:r>
          </w:p>
        </w:tc>
      </w:tr>
      <w:tr w:rsidR="00597628" w:rsidRPr="002F376C" w:rsidTr="009C27B9">
        <w:tc>
          <w:tcPr>
            <w:tcW w:w="1589" w:type="dxa"/>
            <w:tcBorders>
              <w:top w:val="nil"/>
              <w:bottom w:val="single" w:sz="4" w:space="0" w:color="BFBFBF" w:themeColor="background1" w:themeShade="BF"/>
            </w:tcBorders>
          </w:tcPr>
          <w:p w:rsidR="00597628" w:rsidRPr="002F376C" w:rsidRDefault="00597628" w:rsidP="002F376C">
            <w:pPr>
              <w:jc w:val="left"/>
              <w:rPr>
                <w:sz w:val="18"/>
                <w:szCs w:val="18"/>
              </w:rPr>
            </w:pPr>
          </w:p>
        </w:tc>
        <w:tc>
          <w:tcPr>
            <w:tcW w:w="2693" w:type="dxa"/>
            <w:tcBorders>
              <w:top w:val="nil"/>
              <w:bottom w:val="single" w:sz="4" w:space="0" w:color="BFBFBF" w:themeColor="background1" w:themeShade="BF"/>
            </w:tcBorders>
          </w:tcPr>
          <w:p w:rsidR="00597628" w:rsidRPr="002F376C" w:rsidRDefault="00597628" w:rsidP="002F376C">
            <w:pPr>
              <w:pStyle w:val="ListBullet"/>
              <w:jc w:val="left"/>
              <w:rPr>
                <w:sz w:val="18"/>
                <w:szCs w:val="18"/>
              </w:rPr>
            </w:pPr>
            <w:r w:rsidRPr="002F376C">
              <w:rPr>
                <w:sz w:val="18"/>
                <w:szCs w:val="18"/>
              </w:rPr>
              <w:t>Water infrastructure (Regional)</w:t>
            </w:r>
          </w:p>
          <w:p w:rsidR="00597628" w:rsidRPr="002F376C" w:rsidRDefault="00597628" w:rsidP="002F376C">
            <w:pPr>
              <w:pStyle w:val="ListBullet"/>
              <w:jc w:val="left"/>
              <w:rPr>
                <w:sz w:val="18"/>
                <w:szCs w:val="18"/>
              </w:rPr>
            </w:pPr>
            <w:r w:rsidRPr="002F376C">
              <w:rPr>
                <w:sz w:val="18"/>
                <w:szCs w:val="18"/>
              </w:rPr>
              <w:t>Rail infrastructure</w:t>
            </w:r>
          </w:p>
          <w:p w:rsidR="00597628" w:rsidRPr="002F376C" w:rsidRDefault="00597628" w:rsidP="002F376C">
            <w:pPr>
              <w:pStyle w:val="ListBullet"/>
              <w:jc w:val="left"/>
              <w:rPr>
                <w:sz w:val="18"/>
                <w:szCs w:val="18"/>
              </w:rPr>
            </w:pPr>
            <w:r w:rsidRPr="002F376C">
              <w:rPr>
                <w:sz w:val="18"/>
                <w:szCs w:val="18"/>
              </w:rPr>
              <w:t>Others</w:t>
            </w:r>
          </w:p>
        </w:tc>
        <w:tc>
          <w:tcPr>
            <w:tcW w:w="1984" w:type="dxa"/>
            <w:tcBorders>
              <w:top w:val="nil"/>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Level 3</w:t>
            </w:r>
          </w:p>
        </w:tc>
        <w:tc>
          <w:tcPr>
            <w:tcW w:w="1701" w:type="dxa"/>
            <w:tcBorders>
              <w:top w:val="nil"/>
              <w:bottom w:val="single" w:sz="4" w:space="0" w:color="BFBFBF" w:themeColor="background1" w:themeShade="BF"/>
            </w:tcBorders>
          </w:tcPr>
          <w:p w:rsidR="00597628" w:rsidRPr="002F376C" w:rsidDel="00232934" w:rsidRDefault="00597628" w:rsidP="002F376C">
            <w:pPr>
              <w:jc w:val="left"/>
              <w:rPr>
                <w:sz w:val="18"/>
                <w:szCs w:val="18"/>
              </w:rPr>
            </w:pPr>
            <w:r w:rsidRPr="002F376C">
              <w:rPr>
                <w:sz w:val="18"/>
                <w:szCs w:val="18"/>
              </w:rPr>
              <w:t>Depreciated replacement cost approach</w:t>
            </w:r>
          </w:p>
        </w:tc>
        <w:tc>
          <w:tcPr>
            <w:tcW w:w="1843" w:type="dxa"/>
            <w:tcBorders>
              <w:top w:val="nil"/>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Cost per unit</w:t>
            </w:r>
          </w:p>
          <w:p w:rsidR="00597628" w:rsidRPr="002F376C" w:rsidRDefault="00597628" w:rsidP="002F376C">
            <w:pPr>
              <w:jc w:val="left"/>
              <w:rPr>
                <w:sz w:val="18"/>
                <w:szCs w:val="18"/>
              </w:rPr>
            </w:pPr>
            <w:r w:rsidRPr="002F376C">
              <w:rPr>
                <w:sz w:val="18"/>
                <w:szCs w:val="18"/>
              </w:rPr>
              <w:t>Useful life</w:t>
            </w:r>
          </w:p>
        </w:tc>
      </w:tr>
      <w:tr w:rsidR="00597628" w:rsidRPr="002F376C" w:rsidTr="00EC0147">
        <w:tc>
          <w:tcPr>
            <w:tcW w:w="1589"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 xml:space="preserve">Road, infrastructure and earthworks </w:t>
            </w:r>
            <w:r w:rsidRPr="002F376C">
              <w:rPr>
                <w:sz w:val="18"/>
                <w:szCs w:val="18"/>
                <w:vertAlign w:val="superscript"/>
              </w:rPr>
              <w:t>(a)</w:t>
            </w:r>
          </w:p>
        </w:tc>
        <w:tc>
          <w:tcPr>
            <w:tcW w:w="269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Any type</w:t>
            </w:r>
          </w:p>
        </w:tc>
        <w:tc>
          <w:tcPr>
            <w:tcW w:w="1984"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Level 3</w:t>
            </w:r>
          </w:p>
        </w:tc>
        <w:tc>
          <w:tcPr>
            <w:tcW w:w="1701"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Depreciated replacement cost approach</w:t>
            </w:r>
          </w:p>
        </w:tc>
        <w:tc>
          <w:tcPr>
            <w:tcW w:w="184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597628" w:rsidRPr="002F376C" w:rsidRDefault="00597628" w:rsidP="002F376C">
            <w:pPr>
              <w:pStyle w:val="ListBullet"/>
              <w:jc w:val="left"/>
              <w:rPr>
                <w:sz w:val="18"/>
                <w:szCs w:val="18"/>
              </w:rPr>
            </w:pPr>
            <w:r w:rsidRPr="002F376C">
              <w:rPr>
                <w:sz w:val="18"/>
                <w:szCs w:val="18"/>
              </w:rPr>
              <w:t>Cost per metre</w:t>
            </w:r>
          </w:p>
          <w:p w:rsidR="00597628" w:rsidRPr="002F376C" w:rsidRDefault="00597628" w:rsidP="002F376C">
            <w:pPr>
              <w:pStyle w:val="ListBullet"/>
              <w:jc w:val="left"/>
              <w:rPr>
                <w:sz w:val="18"/>
                <w:szCs w:val="18"/>
              </w:rPr>
            </w:pPr>
            <w:r w:rsidRPr="002F376C">
              <w:rPr>
                <w:sz w:val="18"/>
                <w:szCs w:val="18"/>
              </w:rPr>
              <w:t>Useful life</w:t>
            </w:r>
          </w:p>
        </w:tc>
      </w:tr>
      <w:tr w:rsidR="00597628" w:rsidRPr="002F376C" w:rsidTr="009C27B9">
        <w:tc>
          <w:tcPr>
            <w:tcW w:w="1589"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Cultural assets</w:t>
            </w:r>
          </w:p>
        </w:tc>
        <w:tc>
          <w:tcPr>
            <w:tcW w:w="2693"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Artworks, for which there is an active market for the item</w:t>
            </w:r>
          </w:p>
        </w:tc>
        <w:tc>
          <w:tcPr>
            <w:tcW w:w="1984"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Level 2</w:t>
            </w:r>
          </w:p>
        </w:tc>
        <w:tc>
          <w:tcPr>
            <w:tcW w:w="1701"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Market approach</w:t>
            </w:r>
          </w:p>
        </w:tc>
        <w:tc>
          <w:tcPr>
            <w:tcW w:w="1843" w:type="dxa"/>
            <w:tcBorders>
              <w:top w:val="single" w:sz="4" w:space="0" w:color="BFBFBF" w:themeColor="background1" w:themeShade="BF"/>
              <w:bottom w:val="single" w:sz="4" w:space="0" w:color="BFBFBF" w:themeColor="background1" w:themeShade="BF"/>
            </w:tcBorders>
          </w:tcPr>
          <w:p w:rsidR="00597628" w:rsidRPr="002F376C" w:rsidRDefault="00597628" w:rsidP="002F376C">
            <w:pPr>
              <w:jc w:val="left"/>
              <w:rPr>
                <w:sz w:val="18"/>
                <w:szCs w:val="18"/>
              </w:rPr>
            </w:pPr>
            <w:r w:rsidRPr="002F376C">
              <w:rPr>
                <w:sz w:val="18"/>
                <w:szCs w:val="18"/>
              </w:rPr>
              <w:t>n.a.</w:t>
            </w:r>
          </w:p>
        </w:tc>
      </w:tr>
      <w:tr w:rsidR="00597628" w:rsidRPr="002F376C" w:rsidTr="00EC0147">
        <w:tc>
          <w:tcPr>
            <w:tcW w:w="1589" w:type="dxa"/>
            <w:tcBorders>
              <w:top w:val="single" w:sz="4" w:space="0" w:color="BFBFBF" w:themeColor="background1" w:themeShade="BF"/>
              <w:bottom w:val="single" w:sz="12" w:space="0" w:color="auto"/>
            </w:tcBorders>
            <w:shd w:val="clear" w:color="auto" w:fill="BFBFBF" w:themeFill="background1" w:themeFillShade="BF"/>
          </w:tcPr>
          <w:p w:rsidR="00597628" w:rsidRPr="002F376C" w:rsidDel="00E72D9A" w:rsidRDefault="00597628" w:rsidP="002F376C">
            <w:pPr>
              <w:jc w:val="left"/>
              <w:rPr>
                <w:sz w:val="18"/>
                <w:szCs w:val="18"/>
              </w:rPr>
            </w:pPr>
            <w:r w:rsidRPr="002F376C">
              <w:rPr>
                <w:sz w:val="18"/>
                <w:szCs w:val="18"/>
              </w:rPr>
              <w:t xml:space="preserve">Cultural assets </w:t>
            </w:r>
            <w:r w:rsidRPr="002F376C">
              <w:rPr>
                <w:sz w:val="18"/>
                <w:szCs w:val="18"/>
                <w:vertAlign w:val="superscript"/>
              </w:rPr>
              <w:t>(b)</w:t>
            </w:r>
          </w:p>
        </w:tc>
        <w:tc>
          <w:tcPr>
            <w:tcW w:w="2693" w:type="dxa"/>
            <w:tcBorders>
              <w:top w:val="single" w:sz="4" w:space="0" w:color="BFBFBF" w:themeColor="background1" w:themeShade="BF"/>
              <w:bottom w:val="single" w:sz="12" w:space="0" w:color="auto"/>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Museum/library collections, for which there is no active market for the item</w:t>
            </w:r>
          </w:p>
        </w:tc>
        <w:tc>
          <w:tcPr>
            <w:tcW w:w="1984" w:type="dxa"/>
            <w:tcBorders>
              <w:top w:val="single" w:sz="4" w:space="0" w:color="BFBFBF" w:themeColor="background1" w:themeShade="BF"/>
              <w:bottom w:val="single" w:sz="12" w:space="0" w:color="auto"/>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Level 3</w:t>
            </w:r>
          </w:p>
        </w:tc>
        <w:tc>
          <w:tcPr>
            <w:tcW w:w="1701" w:type="dxa"/>
            <w:tcBorders>
              <w:top w:val="single" w:sz="4" w:space="0" w:color="BFBFBF" w:themeColor="background1" w:themeShade="BF"/>
              <w:bottom w:val="single" w:sz="12" w:space="0" w:color="auto"/>
            </w:tcBorders>
            <w:shd w:val="clear" w:color="auto" w:fill="BFBFBF" w:themeFill="background1" w:themeFillShade="BF"/>
          </w:tcPr>
          <w:p w:rsidR="00597628" w:rsidRPr="002F376C" w:rsidRDefault="00597628" w:rsidP="002F376C">
            <w:pPr>
              <w:jc w:val="left"/>
              <w:rPr>
                <w:sz w:val="18"/>
                <w:szCs w:val="18"/>
              </w:rPr>
            </w:pPr>
            <w:r w:rsidRPr="002F376C">
              <w:rPr>
                <w:sz w:val="18"/>
                <w:szCs w:val="18"/>
              </w:rPr>
              <w:t>Depreciated replacement cost approach</w:t>
            </w:r>
          </w:p>
        </w:tc>
        <w:tc>
          <w:tcPr>
            <w:tcW w:w="1843" w:type="dxa"/>
            <w:tcBorders>
              <w:top w:val="single" w:sz="4" w:space="0" w:color="BFBFBF" w:themeColor="background1" w:themeShade="BF"/>
              <w:bottom w:val="single" w:sz="12" w:space="0" w:color="auto"/>
            </w:tcBorders>
            <w:shd w:val="clear" w:color="auto" w:fill="BFBFBF" w:themeFill="background1" w:themeFillShade="BF"/>
          </w:tcPr>
          <w:p w:rsidR="00597628" w:rsidRPr="002F376C" w:rsidRDefault="00597628" w:rsidP="002F376C">
            <w:pPr>
              <w:pStyle w:val="ListBullet"/>
              <w:jc w:val="left"/>
              <w:rPr>
                <w:sz w:val="18"/>
                <w:szCs w:val="18"/>
              </w:rPr>
            </w:pPr>
            <w:r w:rsidRPr="002F376C">
              <w:rPr>
                <w:sz w:val="18"/>
                <w:szCs w:val="18"/>
              </w:rPr>
              <w:t>Cost per unit</w:t>
            </w:r>
          </w:p>
          <w:p w:rsidR="00597628" w:rsidRPr="002F376C" w:rsidRDefault="00597628" w:rsidP="002F376C">
            <w:pPr>
              <w:pStyle w:val="ListBullet"/>
              <w:jc w:val="left"/>
              <w:rPr>
                <w:sz w:val="18"/>
                <w:szCs w:val="18"/>
              </w:rPr>
            </w:pPr>
            <w:r w:rsidRPr="002F376C">
              <w:rPr>
                <w:sz w:val="18"/>
                <w:szCs w:val="18"/>
              </w:rPr>
              <w:t>Useful life</w:t>
            </w:r>
          </w:p>
        </w:tc>
      </w:tr>
    </w:tbl>
    <w:p w:rsidR="00597628" w:rsidRPr="00892DE3" w:rsidRDefault="00597628" w:rsidP="00597628">
      <w:pPr>
        <w:pStyle w:val="Note"/>
      </w:pPr>
      <w:r w:rsidRPr="00892DE3">
        <w:t>Notes:</w:t>
      </w:r>
    </w:p>
    <w:p w:rsidR="00597628" w:rsidRPr="00892DE3" w:rsidRDefault="00597628" w:rsidP="00597628">
      <w:pPr>
        <w:pStyle w:val="Note"/>
      </w:pPr>
      <w:r w:rsidRPr="00892DE3">
        <w:t>(a)</w:t>
      </w:r>
      <w:r w:rsidRPr="00892DE3">
        <w:tab/>
        <w:t>Newly built/acquired assets could be categorised as Level 2 assets as depreciation would not be a significant unobservable input (based on the 10 per cent materiality threshold).</w:t>
      </w:r>
    </w:p>
    <w:p w:rsidR="00597628" w:rsidRPr="00892DE3" w:rsidRDefault="00597628" w:rsidP="00597628">
      <w:pPr>
        <w:pStyle w:val="Note"/>
      </w:pPr>
      <w:r w:rsidRPr="00892DE3">
        <w:t>(b)</w:t>
      </w:r>
      <w:r w:rsidRPr="00892DE3">
        <w:tab/>
        <w:t>For heritage and iconic assets, cost may be the reproduction cost of the asset rather than the replacement cost as their service potential could only be replaced by reproducing them with the same materials.</w:t>
      </w:r>
    </w:p>
    <w:p w:rsidR="00597628" w:rsidRPr="00892DE3" w:rsidRDefault="00597628" w:rsidP="00597628">
      <w:pPr>
        <w:pStyle w:val="Note"/>
      </w:pPr>
      <w:r w:rsidRPr="00892DE3">
        <w:t>(c)</w:t>
      </w:r>
      <w:r w:rsidRPr="00892DE3">
        <w:tab/>
        <w:t xml:space="preserve">AASB 13 </w:t>
      </w:r>
      <w:r w:rsidRPr="00892DE3">
        <w:rPr>
          <w:i w:val="0"/>
        </w:rPr>
        <w:t xml:space="preserve">Fair Value Measurement </w:t>
      </w:r>
      <w:r w:rsidRPr="00892DE3">
        <w:t xml:space="preserve">provides an exemption for not for profit public sector entities from disclosing the sensitivity analysis relating to ‘unrealised gains/(losses) on non-financial assets’ if the assets are held primarily for their current service potential rather than to generate net cash inflows. </w:t>
      </w:r>
    </w:p>
    <w:p w:rsidR="00597628" w:rsidRPr="00892DE3" w:rsidRDefault="00597628" w:rsidP="00597628">
      <w:pPr>
        <w:sectPr w:rsidR="00597628" w:rsidRPr="00892DE3" w:rsidSect="002C2301">
          <w:headerReference w:type="even" r:id="rId214"/>
          <w:headerReference w:type="default" r:id="rId215"/>
          <w:footerReference w:type="default" r:id="rId216"/>
          <w:footerReference w:type="first" r:id="rId217"/>
          <w:type w:val="continuous"/>
          <w:pgSz w:w="11906" w:h="16838" w:code="9"/>
          <w:pgMar w:top="1134" w:right="1134" w:bottom="1134" w:left="1134" w:header="624" w:footer="567" w:gutter="0"/>
          <w:cols w:space="720"/>
          <w:titlePg/>
        </w:sectPr>
      </w:pPr>
    </w:p>
    <w:p w:rsidR="00FD091D" w:rsidRPr="00892DE3" w:rsidRDefault="00FD091D" w:rsidP="00FD091D">
      <w:pPr>
        <w:pStyle w:val="AppendixHeading"/>
      </w:pPr>
      <w:bookmarkStart w:id="314" w:name="_Toc481591396"/>
      <w:bookmarkStart w:id="315" w:name="_Toc481592343"/>
      <w:r w:rsidRPr="00892DE3">
        <w:t>Appendix 8:</w:t>
      </w:r>
      <w:r w:rsidRPr="00892DE3">
        <w:tab/>
        <w:t>Practical classification guide between transactions and other economic flows</w:t>
      </w:r>
      <w:bookmarkEnd w:id="314"/>
      <w:bookmarkEnd w:id="315"/>
    </w:p>
    <w:p w:rsidR="00FD091D" w:rsidRPr="00892DE3" w:rsidRDefault="00FD091D" w:rsidP="002F376C">
      <w:pPr>
        <w:spacing w:line="276" w:lineRule="auto"/>
      </w:pPr>
      <w:r w:rsidRPr="00892DE3">
        <w:t>Transactions (T) generally arise when there is mutual agreement between counterparties. They represent changes to assets/liabilities that result directly from economic activities such as production (including cultivated assets e.g. breeding stock and plantations) or consumption.</w:t>
      </w:r>
    </w:p>
    <w:p w:rsidR="00FD091D" w:rsidRPr="00892DE3" w:rsidRDefault="00FD091D" w:rsidP="002F376C">
      <w:pPr>
        <w:spacing w:line="276" w:lineRule="auto"/>
      </w:pPr>
      <w:r w:rsidRPr="00892DE3">
        <w:t>Other economic flows (OEF) are either holding gains/(losses) from revaluations of assets/liabilities due to market changes, or changes in volume due to non</w:t>
      </w:r>
      <w:r w:rsidRPr="00892DE3">
        <w:noBreakHyphen/>
        <w:t>economic phenomena such as: entrance or exit from the balance sheet as a result of normal events other than transactions e.g. discoveries of mineral deposits; birth/demise of breeding stock; assets created by human activity not previously recognised; and destruction by catastrophe.</w:t>
      </w:r>
    </w:p>
    <w:p w:rsidR="00FD091D" w:rsidRPr="00892DE3" w:rsidRDefault="00FD091D" w:rsidP="002F376C">
      <w:pPr>
        <w:spacing w:line="276" w:lineRule="auto"/>
      </w:pPr>
      <w:r w:rsidRPr="00892DE3">
        <w:t>For operating statement presentation purposes, other economic flows are disaggregated into ‘other economic flows included in net result’ and ‘other economic flows – other comprehensive income (OCI)’.</w:t>
      </w:r>
    </w:p>
    <w:p w:rsidR="00FD091D" w:rsidRPr="00892DE3" w:rsidRDefault="00FD091D" w:rsidP="00FD091D">
      <w:pPr>
        <w:pStyle w:val="Notes"/>
      </w:pPr>
    </w:p>
    <w:tbl>
      <w:tblPr>
        <w:tblStyle w:val="DTFTextTable"/>
        <w:tblW w:w="9637" w:type="dxa"/>
        <w:tblInd w:w="43" w:type="dxa"/>
        <w:tblBorders>
          <w:bottom w:val="single" w:sz="6" w:space="0" w:color="auto"/>
          <w:insideH w:val="single" w:sz="6" w:space="0" w:color="BFBFBF" w:themeColor="background1" w:themeShade="BF"/>
        </w:tblBorders>
        <w:tblLayout w:type="fixed"/>
        <w:tblCellMar>
          <w:left w:w="43" w:type="dxa"/>
          <w:right w:w="43" w:type="dxa"/>
        </w:tblCellMar>
        <w:tblLook w:val="06A0" w:firstRow="1" w:lastRow="0" w:firstColumn="1" w:lastColumn="0" w:noHBand="1" w:noVBand="1"/>
      </w:tblPr>
      <w:tblGrid>
        <w:gridCol w:w="380"/>
        <w:gridCol w:w="2030"/>
        <w:gridCol w:w="1134"/>
        <w:gridCol w:w="992"/>
        <w:gridCol w:w="709"/>
        <w:gridCol w:w="4392"/>
      </w:tblGrid>
      <w:tr w:rsidR="00FD091D" w:rsidRPr="00892DE3" w:rsidTr="002F37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0" w:type="dxa"/>
            <w:tcBorders>
              <w:bottom w:val="nil"/>
            </w:tcBorders>
            <w:shd w:val="clear" w:color="auto" w:fill="000000"/>
          </w:tcPr>
          <w:p w:rsidR="00FD091D" w:rsidRPr="00892DE3" w:rsidRDefault="00FD091D" w:rsidP="009C27B9">
            <w:pPr>
              <w:ind w:left="0" w:firstLine="0"/>
              <w:jc w:val="center"/>
              <w:rPr>
                <w:sz w:val="16"/>
                <w:szCs w:val="16"/>
              </w:rPr>
            </w:pPr>
          </w:p>
        </w:tc>
        <w:tc>
          <w:tcPr>
            <w:tcW w:w="2030" w:type="dxa"/>
            <w:tcBorders>
              <w:bottom w:val="nil"/>
            </w:tcBorders>
            <w:shd w:val="clear" w:color="auto" w:fill="000000"/>
          </w:tcPr>
          <w:p w:rsidR="00FD091D" w:rsidRPr="00892DE3" w:rsidRDefault="00FD091D" w:rsidP="009C27B9">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Item</w:t>
            </w:r>
          </w:p>
        </w:tc>
        <w:tc>
          <w:tcPr>
            <w:tcW w:w="1134" w:type="dxa"/>
            <w:tcBorders>
              <w:bottom w:val="nil"/>
            </w:tcBorders>
            <w:shd w:val="clear" w:color="auto" w:fill="000000"/>
          </w:tcPr>
          <w:p w:rsidR="00FD091D" w:rsidRPr="00892DE3" w:rsidRDefault="00FD091D" w:rsidP="009C27B9">
            <w:pPr>
              <w:jc w:val="cente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Transaction</w:t>
            </w:r>
          </w:p>
        </w:tc>
        <w:tc>
          <w:tcPr>
            <w:tcW w:w="992" w:type="dxa"/>
            <w:tcBorders>
              <w:bottom w:val="nil"/>
            </w:tcBorders>
            <w:shd w:val="clear" w:color="auto" w:fill="000000"/>
          </w:tcPr>
          <w:p w:rsidR="00FD091D" w:rsidRPr="00892DE3" w:rsidRDefault="00FD091D" w:rsidP="009C27B9">
            <w:pPr>
              <w:jc w:val="cente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OEF included in net result</w:t>
            </w:r>
          </w:p>
        </w:tc>
        <w:tc>
          <w:tcPr>
            <w:tcW w:w="709" w:type="dxa"/>
            <w:tcBorders>
              <w:bottom w:val="nil"/>
            </w:tcBorders>
            <w:shd w:val="clear" w:color="auto" w:fill="000000"/>
          </w:tcPr>
          <w:p w:rsidR="00FD091D" w:rsidRPr="00892DE3" w:rsidRDefault="00FD091D" w:rsidP="009C27B9">
            <w:pPr>
              <w:jc w:val="cente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OEF – OCI</w:t>
            </w:r>
          </w:p>
        </w:tc>
        <w:tc>
          <w:tcPr>
            <w:tcW w:w="4392" w:type="dxa"/>
            <w:tcBorders>
              <w:bottom w:val="nil"/>
            </w:tcBorders>
            <w:shd w:val="clear" w:color="auto" w:fill="000000"/>
          </w:tcPr>
          <w:p w:rsidR="00FD091D" w:rsidRPr="00892DE3" w:rsidRDefault="00FD091D" w:rsidP="009C27B9">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Reason for the classification</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nil"/>
              <w:bottom w:val="single" w:sz="6" w:space="0" w:color="BFBFBF" w:themeColor="background1" w:themeShade="BF"/>
            </w:tcBorders>
            <w:shd w:val="clear" w:color="auto" w:fill="auto"/>
          </w:tcPr>
          <w:p w:rsidR="00FD091D" w:rsidRPr="00F56697" w:rsidRDefault="00FD091D" w:rsidP="009C27B9">
            <w:pPr>
              <w:ind w:left="0" w:firstLine="0"/>
              <w:jc w:val="center"/>
              <w:rPr>
                <w:sz w:val="16"/>
                <w:szCs w:val="16"/>
              </w:rPr>
            </w:pPr>
            <w:r w:rsidRPr="00F56697">
              <w:rPr>
                <w:sz w:val="16"/>
                <w:szCs w:val="16"/>
              </w:rPr>
              <w:t>1</w:t>
            </w:r>
          </w:p>
        </w:tc>
        <w:tc>
          <w:tcPr>
            <w:tcW w:w="2030" w:type="dxa"/>
            <w:tcBorders>
              <w:top w:val="nil"/>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Taxation</w:t>
            </w:r>
          </w:p>
        </w:tc>
        <w:tc>
          <w:tcPr>
            <w:tcW w:w="1134" w:type="dxa"/>
            <w:tcBorders>
              <w:top w:val="nil"/>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sym w:font="Wingdings" w:char="F0FC"/>
            </w:r>
          </w:p>
        </w:tc>
        <w:tc>
          <w:tcPr>
            <w:tcW w:w="992" w:type="dxa"/>
            <w:tcBorders>
              <w:top w:val="nil"/>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709" w:type="dxa"/>
            <w:tcBorders>
              <w:top w:val="nil"/>
              <w:left w:val="single" w:sz="2" w:space="0" w:color="BFBFBF" w:themeColor="background1" w:themeShade="BF"/>
              <w:bottom w:val="single" w:sz="6" w:space="0" w:color="BFBFBF" w:themeColor="background1" w:themeShade="BF"/>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nil"/>
              <w:left w:val="single" w:sz="2" w:space="0" w:color="BFBFBF" w:themeColor="background1" w:themeShade="BF"/>
              <w:bottom w:val="single" w:sz="6"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Agreed between counterparties i.e. implicit agreement between government and taxpayers.</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single" w:sz="6" w:space="0" w:color="BFBFBF" w:themeColor="background1" w:themeShade="BF"/>
              <w:bottom w:val="single" w:sz="6" w:space="0" w:color="BFBFBF" w:themeColor="background1" w:themeShade="BF"/>
            </w:tcBorders>
            <w:shd w:val="clear" w:color="auto" w:fill="auto"/>
          </w:tcPr>
          <w:p w:rsidR="00FD091D" w:rsidRPr="00F56697" w:rsidRDefault="00FD091D" w:rsidP="009C27B9">
            <w:pPr>
              <w:ind w:left="0" w:firstLine="0"/>
              <w:jc w:val="center"/>
              <w:rPr>
                <w:sz w:val="16"/>
                <w:szCs w:val="16"/>
              </w:rPr>
            </w:pPr>
            <w:r w:rsidRPr="00F56697">
              <w:rPr>
                <w:sz w:val="16"/>
                <w:szCs w:val="16"/>
              </w:rPr>
              <w:t>2</w:t>
            </w:r>
          </w:p>
        </w:tc>
        <w:tc>
          <w:tcPr>
            <w:tcW w:w="2030" w:type="dxa"/>
            <w:tcBorders>
              <w:top w:val="single" w:sz="6"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Bad debts</w:t>
            </w:r>
          </w:p>
        </w:tc>
        <w:tc>
          <w:tcPr>
            <w:tcW w:w="1134"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sym w:font="Wingdings" w:char="F0FC"/>
            </w:r>
          </w:p>
        </w:tc>
        <w:tc>
          <w:tcPr>
            <w:tcW w:w="992"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sym w:font="Wingdings" w:char="F0FC"/>
            </w:r>
          </w:p>
        </w:tc>
        <w:tc>
          <w:tcPr>
            <w:tcW w:w="709"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single" w:sz="6" w:space="0" w:color="BFBFBF" w:themeColor="background1" w:themeShade="BF"/>
              <w:left w:val="single" w:sz="2" w:space="0" w:color="BFBFBF" w:themeColor="background1" w:themeShade="BF"/>
              <w:bottom w:val="single" w:sz="6"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Either:</w:t>
            </w:r>
          </w:p>
          <w:p w:rsidR="00FD091D" w:rsidRPr="00F56697" w:rsidRDefault="00FD091D" w:rsidP="00FD091D">
            <w:pPr>
              <w:pStyle w:val="ListNumber"/>
              <w:numPr>
                <w:ilvl w:val="0"/>
                <w:numId w:val="16"/>
              </w:num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If agreed between counterparties = transaction.</w:t>
            </w:r>
          </w:p>
          <w:p w:rsidR="00FD091D" w:rsidRPr="00F56697" w:rsidRDefault="00FD091D" w:rsidP="009C27B9">
            <w:pPr>
              <w:pStyle w:val="ListNumber"/>
              <w:spacing w:after="120"/>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If unilateral write off = other economic flows included in net result.</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single" w:sz="6" w:space="0" w:color="BFBFBF" w:themeColor="background1" w:themeShade="BF"/>
              <w:bottom w:val="single" w:sz="6" w:space="0" w:color="BFBFBF" w:themeColor="background1" w:themeShade="BF"/>
            </w:tcBorders>
            <w:shd w:val="clear" w:color="auto" w:fill="auto"/>
          </w:tcPr>
          <w:p w:rsidR="00FD091D" w:rsidRPr="00F56697" w:rsidRDefault="00FD091D" w:rsidP="009C27B9">
            <w:pPr>
              <w:ind w:left="0" w:firstLine="0"/>
              <w:jc w:val="center"/>
              <w:rPr>
                <w:sz w:val="16"/>
                <w:szCs w:val="16"/>
              </w:rPr>
            </w:pPr>
            <w:r w:rsidRPr="00F56697">
              <w:rPr>
                <w:sz w:val="16"/>
                <w:szCs w:val="16"/>
              </w:rPr>
              <w:t>3</w:t>
            </w:r>
          </w:p>
        </w:tc>
        <w:tc>
          <w:tcPr>
            <w:tcW w:w="2030" w:type="dxa"/>
            <w:tcBorders>
              <w:top w:val="single" w:sz="6"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Dividends</w:t>
            </w:r>
          </w:p>
        </w:tc>
        <w:tc>
          <w:tcPr>
            <w:tcW w:w="1134"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992"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709"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single" w:sz="6" w:space="0" w:color="BFBFBF" w:themeColor="background1" w:themeShade="BF"/>
              <w:left w:val="single" w:sz="2" w:space="0" w:color="BFBFBF" w:themeColor="background1" w:themeShade="BF"/>
              <w:bottom w:val="single" w:sz="6"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Agreed between counterparties i.e. owner and business.</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single" w:sz="6" w:space="0" w:color="BFBFBF" w:themeColor="background1" w:themeShade="BF"/>
              <w:bottom w:val="single" w:sz="6" w:space="0" w:color="BFBFBF" w:themeColor="background1" w:themeShade="BF"/>
            </w:tcBorders>
            <w:shd w:val="clear" w:color="auto" w:fill="auto"/>
          </w:tcPr>
          <w:p w:rsidR="00FD091D" w:rsidRPr="00F56697" w:rsidRDefault="00FD091D" w:rsidP="009C27B9">
            <w:pPr>
              <w:ind w:left="0" w:firstLine="0"/>
              <w:jc w:val="center"/>
              <w:rPr>
                <w:sz w:val="16"/>
                <w:szCs w:val="16"/>
              </w:rPr>
            </w:pPr>
            <w:r w:rsidRPr="00F56697">
              <w:rPr>
                <w:sz w:val="16"/>
                <w:szCs w:val="16"/>
              </w:rPr>
              <w:t>4</w:t>
            </w:r>
          </w:p>
        </w:tc>
        <w:tc>
          <w:tcPr>
            <w:tcW w:w="2030" w:type="dxa"/>
            <w:tcBorders>
              <w:top w:val="single" w:sz="6"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Net profit or loss from associates (other than dividends)</w:t>
            </w:r>
          </w:p>
        </w:tc>
        <w:tc>
          <w:tcPr>
            <w:tcW w:w="1134"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992"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709"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single" w:sz="6" w:space="0" w:color="BFBFBF" w:themeColor="background1" w:themeShade="BF"/>
              <w:left w:val="single" w:sz="2" w:space="0" w:color="BFBFBF" w:themeColor="background1" w:themeShade="BF"/>
              <w:bottom w:val="single" w:sz="6"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Revaluation of investment.</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single" w:sz="6" w:space="0" w:color="BFBFBF" w:themeColor="background1" w:themeShade="BF"/>
              <w:bottom w:val="single" w:sz="6" w:space="0" w:color="BFBFBF" w:themeColor="background1" w:themeShade="BF"/>
            </w:tcBorders>
            <w:shd w:val="clear" w:color="auto" w:fill="auto"/>
          </w:tcPr>
          <w:p w:rsidR="00FD091D" w:rsidRPr="00F56697" w:rsidRDefault="00FD091D" w:rsidP="009C27B9">
            <w:pPr>
              <w:ind w:left="0" w:firstLine="0"/>
              <w:jc w:val="center"/>
              <w:rPr>
                <w:sz w:val="16"/>
                <w:szCs w:val="16"/>
              </w:rPr>
            </w:pPr>
            <w:r w:rsidRPr="00F56697">
              <w:rPr>
                <w:sz w:val="16"/>
                <w:szCs w:val="16"/>
              </w:rPr>
              <w:t>5</w:t>
            </w:r>
          </w:p>
        </w:tc>
        <w:tc>
          <w:tcPr>
            <w:tcW w:w="2030" w:type="dxa"/>
            <w:tcBorders>
              <w:top w:val="single" w:sz="6"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Depreciation</w:t>
            </w:r>
          </w:p>
        </w:tc>
        <w:tc>
          <w:tcPr>
            <w:tcW w:w="1134"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992"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709"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single" w:sz="6" w:space="0" w:color="BFBFBF" w:themeColor="background1" w:themeShade="BF"/>
              <w:left w:val="single" w:sz="2" w:space="0" w:color="BFBFBF" w:themeColor="background1" w:themeShade="BF"/>
              <w:bottom w:val="single" w:sz="6"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Agreed between internal counterparties i.e. the business is simultaneously acting as the owner and consumer of the service provided by the asset.</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single" w:sz="6" w:space="0" w:color="BFBFBF" w:themeColor="background1" w:themeShade="BF"/>
              <w:bottom w:val="single" w:sz="6" w:space="0" w:color="BFBFBF" w:themeColor="background1" w:themeShade="BF"/>
            </w:tcBorders>
            <w:shd w:val="clear" w:color="auto" w:fill="auto"/>
          </w:tcPr>
          <w:p w:rsidR="00FD091D" w:rsidRPr="00F56697" w:rsidRDefault="00FD091D" w:rsidP="009C27B9">
            <w:pPr>
              <w:ind w:left="0" w:firstLine="0"/>
              <w:jc w:val="center"/>
              <w:rPr>
                <w:sz w:val="16"/>
                <w:szCs w:val="16"/>
              </w:rPr>
            </w:pPr>
            <w:r w:rsidRPr="00F56697">
              <w:rPr>
                <w:sz w:val="16"/>
                <w:szCs w:val="16"/>
              </w:rPr>
              <w:t>6</w:t>
            </w:r>
          </w:p>
        </w:tc>
        <w:tc>
          <w:tcPr>
            <w:tcW w:w="2030" w:type="dxa"/>
            <w:tcBorders>
              <w:top w:val="single" w:sz="6"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Provision for doubtful debts</w:t>
            </w:r>
          </w:p>
        </w:tc>
        <w:tc>
          <w:tcPr>
            <w:tcW w:w="1134"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992"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709"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single" w:sz="6" w:space="0" w:color="BFBFBF" w:themeColor="background1" w:themeShade="BF"/>
              <w:left w:val="single" w:sz="2" w:space="0" w:color="BFBFBF" w:themeColor="background1" w:themeShade="BF"/>
              <w:bottom w:val="single" w:sz="6"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 xml:space="preserve">Treated as a unilateral decision to provision adjustment and affect net result. </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single" w:sz="6" w:space="0" w:color="BFBFBF" w:themeColor="background1" w:themeShade="BF"/>
              <w:bottom w:val="nil"/>
            </w:tcBorders>
            <w:shd w:val="clear" w:color="auto" w:fill="auto"/>
          </w:tcPr>
          <w:p w:rsidR="00FD091D" w:rsidRPr="00F56697" w:rsidRDefault="00FD091D" w:rsidP="009C27B9">
            <w:pPr>
              <w:ind w:left="0" w:firstLine="0"/>
              <w:jc w:val="center"/>
              <w:rPr>
                <w:sz w:val="16"/>
                <w:szCs w:val="16"/>
              </w:rPr>
            </w:pPr>
            <w:r w:rsidRPr="00F56697">
              <w:rPr>
                <w:sz w:val="16"/>
                <w:szCs w:val="16"/>
              </w:rPr>
              <w:t>7</w:t>
            </w:r>
          </w:p>
        </w:tc>
        <w:tc>
          <w:tcPr>
            <w:tcW w:w="2030" w:type="dxa"/>
            <w:tcBorders>
              <w:top w:val="single" w:sz="6" w:space="0" w:color="BFBFBF" w:themeColor="background1" w:themeShade="BF"/>
              <w:bottom w:val="nil"/>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Long service leave provision:</w:t>
            </w:r>
          </w:p>
          <w:p w:rsidR="00FD091D" w:rsidRPr="00F56697" w:rsidRDefault="00FD091D" w:rsidP="00FD091D">
            <w:pPr>
              <w:pStyle w:val="ListNumber"/>
              <w:numPr>
                <w:ilvl w:val="0"/>
                <w:numId w:val="16"/>
              </w:num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Change in provision due to changes in the bond rates</w:t>
            </w:r>
          </w:p>
        </w:tc>
        <w:tc>
          <w:tcPr>
            <w:tcW w:w="1134" w:type="dxa"/>
            <w:tcBorders>
              <w:top w:val="single" w:sz="6" w:space="0" w:color="BFBFBF" w:themeColor="background1" w:themeShade="BF"/>
              <w:left w:val="single" w:sz="2" w:space="0" w:color="BFBFBF" w:themeColor="background1" w:themeShade="BF"/>
              <w:bottom w:val="nil"/>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992" w:type="dxa"/>
            <w:tcBorders>
              <w:top w:val="single" w:sz="6" w:space="0" w:color="BFBFBF" w:themeColor="background1" w:themeShade="BF"/>
              <w:left w:val="single" w:sz="2" w:space="0" w:color="BFBFBF" w:themeColor="background1" w:themeShade="BF"/>
              <w:bottom w:val="nil"/>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p w:rsidR="00877964" w:rsidRPr="00F56697" w:rsidRDefault="00877964"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p w:rsidR="00877964" w:rsidRPr="00F56697" w:rsidRDefault="00877964"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709" w:type="dxa"/>
            <w:tcBorders>
              <w:top w:val="single" w:sz="6" w:space="0" w:color="BFBFBF" w:themeColor="background1" w:themeShade="BF"/>
              <w:left w:val="single" w:sz="2" w:space="0" w:color="BFBFBF" w:themeColor="background1" w:themeShade="BF"/>
              <w:bottom w:val="nil"/>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single" w:sz="6" w:space="0" w:color="BFBFBF" w:themeColor="background1" w:themeShade="BF"/>
              <w:left w:val="single" w:sz="2" w:space="0" w:color="BFBFBF" w:themeColor="background1" w:themeShade="BF"/>
              <w:bottom w:val="nil"/>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The movements in the long service leave provision associated with a change in the bond rates will be reflected in other economic flows included in net result.</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nil"/>
              <w:bottom w:val="single" w:sz="6" w:space="0" w:color="BFBFBF" w:themeColor="background1" w:themeShade="BF"/>
            </w:tcBorders>
            <w:shd w:val="clear" w:color="auto" w:fill="auto"/>
          </w:tcPr>
          <w:p w:rsidR="00FD091D" w:rsidRPr="00F56697" w:rsidRDefault="00FD091D" w:rsidP="009C27B9">
            <w:pPr>
              <w:ind w:left="0" w:firstLine="0"/>
              <w:jc w:val="center"/>
              <w:rPr>
                <w:sz w:val="16"/>
                <w:szCs w:val="16"/>
              </w:rPr>
            </w:pPr>
          </w:p>
        </w:tc>
        <w:tc>
          <w:tcPr>
            <w:tcW w:w="2030" w:type="dxa"/>
            <w:tcBorders>
              <w:top w:val="nil"/>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pStyle w:val="ListNumber"/>
              <w:spacing w:after="120"/>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Change in provision due to changed estimation.</w:t>
            </w:r>
          </w:p>
        </w:tc>
        <w:tc>
          <w:tcPr>
            <w:tcW w:w="1134" w:type="dxa"/>
            <w:tcBorders>
              <w:top w:val="nil"/>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992" w:type="dxa"/>
            <w:tcBorders>
              <w:top w:val="nil"/>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709" w:type="dxa"/>
            <w:tcBorders>
              <w:top w:val="nil"/>
              <w:left w:val="single" w:sz="2" w:space="0" w:color="BFBFBF" w:themeColor="background1" w:themeShade="BF"/>
              <w:bottom w:val="single" w:sz="6" w:space="0" w:color="BFBFBF" w:themeColor="background1" w:themeShade="BF"/>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nil"/>
              <w:left w:val="single" w:sz="2" w:space="0" w:color="BFBFBF" w:themeColor="background1" w:themeShade="BF"/>
              <w:bottom w:val="single" w:sz="6"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The movements in the long service leave provision associated with a change in the estimates applied will be reflected in other economic flows included in net result.</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single" w:sz="6" w:space="0" w:color="BFBFBF" w:themeColor="background1" w:themeShade="BF"/>
              <w:bottom w:val="nil"/>
            </w:tcBorders>
            <w:shd w:val="clear" w:color="auto" w:fill="auto"/>
          </w:tcPr>
          <w:p w:rsidR="00FD091D" w:rsidRPr="00F56697" w:rsidRDefault="00FD091D" w:rsidP="009C27B9">
            <w:pPr>
              <w:ind w:left="0" w:firstLine="0"/>
              <w:jc w:val="center"/>
              <w:rPr>
                <w:sz w:val="16"/>
                <w:szCs w:val="16"/>
              </w:rPr>
            </w:pPr>
            <w:r w:rsidRPr="00F56697">
              <w:rPr>
                <w:sz w:val="16"/>
                <w:szCs w:val="16"/>
              </w:rPr>
              <w:t>8</w:t>
            </w:r>
          </w:p>
        </w:tc>
        <w:tc>
          <w:tcPr>
            <w:tcW w:w="2030" w:type="dxa"/>
            <w:tcBorders>
              <w:top w:val="single" w:sz="6" w:space="0" w:color="BFBFBF" w:themeColor="background1" w:themeShade="BF"/>
              <w:bottom w:val="nil"/>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 xml:space="preserve">Whole of government unfunded superannuation liability: </w:t>
            </w:r>
          </w:p>
        </w:tc>
        <w:tc>
          <w:tcPr>
            <w:tcW w:w="1134" w:type="dxa"/>
            <w:tcBorders>
              <w:top w:val="single" w:sz="6" w:space="0" w:color="BFBFBF" w:themeColor="background1" w:themeShade="BF"/>
              <w:left w:val="single" w:sz="2" w:space="0" w:color="BFBFBF" w:themeColor="background1" w:themeShade="BF"/>
              <w:bottom w:val="nil"/>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992" w:type="dxa"/>
            <w:tcBorders>
              <w:top w:val="single" w:sz="6" w:space="0" w:color="BFBFBF" w:themeColor="background1" w:themeShade="BF"/>
              <w:left w:val="single" w:sz="2" w:space="0" w:color="BFBFBF" w:themeColor="background1" w:themeShade="BF"/>
              <w:bottom w:val="nil"/>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709" w:type="dxa"/>
            <w:tcBorders>
              <w:top w:val="single" w:sz="6" w:space="0" w:color="BFBFBF" w:themeColor="background1" w:themeShade="BF"/>
              <w:left w:val="single" w:sz="2" w:space="0" w:color="BFBFBF" w:themeColor="background1" w:themeShade="BF"/>
              <w:bottom w:val="nil"/>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single" w:sz="6" w:space="0" w:color="BFBFBF" w:themeColor="background1" w:themeShade="BF"/>
              <w:left w:val="single" w:sz="2" w:space="0" w:color="BFBFBF" w:themeColor="background1" w:themeShade="BF"/>
              <w:bottom w:val="nil"/>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nil"/>
              <w:bottom w:val="nil"/>
            </w:tcBorders>
            <w:shd w:val="clear" w:color="auto" w:fill="auto"/>
          </w:tcPr>
          <w:p w:rsidR="00FD091D" w:rsidRPr="00F56697" w:rsidRDefault="00FD091D" w:rsidP="009C27B9">
            <w:pPr>
              <w:jc w:val="center"/>
              <w:rPr>
                <w:sz w:val="16"/>
                <w:szCs w:val="16"/>
              </w:rPr>
            </w:pPr>
          </w:p>
        </w:tc>
        <w:tc>
          <w:tcPr>
            <w:tcW w:w="2030" w:type="dxa"/>
            <w:tcBorders>
              <w:top w:val="nil"/>
              <w:bottom w:val="nil"/>
              <w:right w:val="single" w:sz="2" w:space="0" w:color="BFBFBF" w:themeColor="background1" w:themeShade="BF"/>
            </w:tcBorders>
            <w:shd w:val="clear" w:color="auto" w:fill="auto"/>
          </w:tcPr>
          <w:p w:rsidR="00FD091D" w:rsidRPr="00F56697" w:rsidRDefault="00FD091D" w:rsidP="00FD091D">
            <w:pPr>
              <w:pStyle w:val="ListNumber"/>
              <w:numPr>
                <w:ilvl w:val="0"/>
                <w:numId w:val="16"/>
              </w:num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Net interest expense</w:t>
            </w:r>
          </w:p>
        </w:tc>
        <w:tc>
          <w:tcPr>
            <w:tcW w:w="1134" w:type="dxa"/>
            <w:tcBorders>
              <w:top w:val="nil"/>
              <w:left w:val="single" w:sz="2" w:space="0" w:color="BFBFBF" w:themeColor="background1" w:themeShade="BF"/>
              <w:bottom w:val="nil"/>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992" w:type="dxa"/>
            <w:tcBorders>
              <w:top w:val="nil"/>
              <w:left w:val="single" w:sz="2" w:space="0" w:color="BFBFBF" w:themeColor="background1" w:themeShade="BF"/>
              <w:bottom w:val="nil"/>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709" w:type="dxa"/>
            <w:tcBorders>
              <w:top w:val="nil"/>
              <w:left w:val="single" w:sz="2" w:space="0" w:color="BFBFBF" w:themeColor="background1" w:themeShade="BF"/>
              <w:bottom w:val="nil"/>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nil"/>
              <w:left w:val="single" w:sz="2" w:space="0" w:color="BFBFBF" w:themeColor="background1" w:themeShade="BF"/>
              <w:bottom w:val="nil"/>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nil"/>
              <w:bottom w:val="single" w:sz="6" w:space="0" w:color="BFBFBF" w:themeColor="background1" w:themeShade="BF"/>
            </w:tcBorders>
            <w:shd w:val="clear" w:color="auto" w:fill="auto"/>
          </w:tcPr>
          <w:p w:rsidR="00FD091D" w:rsidRPr="00F56697" w:rsidRDefault="00FD091D" w:rsidP="009C27B9">
            <w:pPr>
              <w:ind w:left="0" w:firstLine="0"/>
              <w:jc w:val="center"/>
              <w:rPr>
                <w:sz w:val="16"/>
                <w:szCs w:val="16"/>
              </w:rPr>
            </w:pPr>
          </w:p>
        </w:tc>
        <w:tc>
          <w:tcPr>
            <w:tcW w:w="2030" w:type="dxa"/>
            <w:tcBorders>
              <w:top w:val="nil"/>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pStyle w:val="ListNumber"/>
              <w:spacing w:after="120"/>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Remeasurement</w:t>
            </w:r>
          </w:p>
        </w:tc>
        <w:tc>
          <w:tcPr>
            <w:tcW w:w="1134" w:type="dxa"/>
            <w:tcBorders>
              <w:top w:val="nil"/>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992" w:type="dxa"/>
            <w:tcBorders>
              <w:top w:val="nil"/>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709" w:type="dxa"/>
            <w:tcBorders>
              <w:top w:val="nil"/>
              <w:left w:val="single" w:sz="2" w:space="0" w:color="BFBFBF" w:themeColor="background1" w:themeShade="BF"/>
              <w:bottom w:val="single" w:sz="6" w:space="0" w:color="BFBFBF" w:themeColor="background1" w:themeShade="BF"/>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4392" w:type="dxa"/>
            <w:tcBorders>
              <w:top w:val="nil"/>
              <w:left w:val="single" w:sz="2" w:space="0" w:color="BFBFBF" w:themeColor="background1" w:themeShade="BF"/>
              <w:bottom w:val="single" w:sz="6"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Revaluation: (1) difference between expected return on assets and actual return; (2) change to gross obligation due to bond rate change.</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single" w:sz="6" w:space="0" w:color="BFBFBF" w:themeColor="background1" w:themeShade="BF"/>
              <w:bottom w:val="single" w:sz="6" w:space="0" w:color="BFBFBF" w:themeColor="background1" w:themeShade="BF"/>
            </w:tcBorders>
            <w:shd w:val="clear" w:color="auto" w:fill="auto"/>
          </w:tcPr>
          <w:p w:rsidR="00FD091D" w:rsidRPr="00F56697" w:rsidRDefault="00FD091D" w:rsidP="009C27B9">
            <w:pPr>
              <w:ind w:left="0" w:firstLine="0"/>
              <w:jc w:val="center"/>
              <w:rPr>
                <w:sz w:val="16"/>
                <w:szCs w:val="16"/>
              </w:rPr>
            </w:pPr>
            <w:r w:rsidRPr="00F56697">
              <w:rPr>
                <w:sz w:val="16"/>
                <w:szCs w:val="16"/>
              </w:rPr>
              <w:t>9</w:t>
            </w:r>
          </w:p>
        </w:tc>
        <w:tc>
          <w:tcPr>
            <w:tcW w:w="2030" w:type="dxa"/>
            <w:tcBorders>
              <w:top w:val="single" w:sz="6"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Gain/Loss on financial instruments/ non</w:t>
            </w:r>
            <w:r w:rsidRPr="00F56697">
              <w:rPr>
                <w:sz w:val="16"/>
                <w:szCs w:val="16"/>
              </w:rPr>
              <w:noBreakHyphen/>
              <w:t>financial assets</w:t>
            </w:r>
          </w:p>
        </w:tc>
        <w:tc>
          <w:tcPr>
            <w:tcW w:w="1134"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992"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709"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single" w:sz="6" w:space="0" w:color="BFBFBF" w:themeColor="background1" w:themeShade="BF"/>
              <w:left w:val="single" w:sz="2" w:space="0" w:color="BFBFBF" w:themeColor="background1" w:themeShade="BF"/>
              <w:bottom w:val="single" w:sz="6"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Revaluation.</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single" w:sz="6" w:space="0" w:color="BFBFBF" w:themeColor="background1" w:themeShade="BF"/>
              <w:bottom w:val="single" w:sz="6" w:space="0" w:color="BFBFBF" w:themeColor="background1" w:themeShade="BF"/>
            </w:tcBorders>
            <w:shd w:val="clear" w:color="auto" w:fill="auto"/>
          </w:tcPr>
          <w:p w:rsidR="00FD091D" w:rsidRPr="00F56697" w:rsidRDefault="00FD091D" w:rsidP="009C27B9">
            <w:pPr>
              <w:ind w:left="0" w:firstLine="0"/>
              <w:jc w:val="center"/>
              <w:rPr>
                <w:sz w:val="16"/>
                <w:szCs w:val="16"/>
              </w:rPr>
            </w:pPr>
            <w:r w:rsidRPr="00F56697">
              <w:rPr>
                <w:sz w:val="16"/>
                <w:szCs w:val="16"/>
              </w:rPr>
              <w:t>10</w:t>
            </w:r>
          </w:p>
        </w:tc>
        <w:tc>
          <w:tcPr>
            <w:tcW w:w="2030" w:type="dxa"/>
            <w:tcBorders>
              <w:top w:val="single" w:sz="6"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Depletion of natural assets by removal or physical use e.g. forest; destruction by catastrophe e.g. fire</w:t>
            </w:r>
          </w:p>
        </w:tc>
        <w:tc>
          <w:tcPr>
            <w:tcW w:w="1134"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992"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709" w:type="dxa"/>
            <w:tcBorders>
              <w:top w:val="single" w:sz="6" w:space="0" w:color="BFBFBF" w:themeColor="background1" w:themeShade="BF"/>
              <w:left w:val="single" w:sz="2" w:space="0" w:color="BFBFBF" w:themeColor="background1" w:themeShade="BF"/>
              <w:bottom w:val="single" w:sz="6" w:space="0" w:color="BFBFBF" w:themeColor="background1" w:themeShade="BF"/>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single" w:sz="6" w:space="0" w:color="BFBFBF" w:themeColor="background1" w:themeShade="BF"/>
              <w:left w:val="single" w:sz="2" w:space="0" w:color="BFBFBF" w:themeColor="background1" w:themeShade="BF"/>
              <w:bottom w:val="single" w:sz="6"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Change in volume.</w:t>
            </w:r>
          </w:p>
        </w:tc>
      </w:tr>
      <w:tr w:rsidR="00FD091D" w:rsidRPr="00892DE3" w:rsidTr="002F376C">
        <w:tc>
          <w:tcPr>
            <w:cnfStyle w:val="001000000000" w:firstRow="0" w:lastRow="0" w:firstColumn="1" w:lastColumn="0" w:oddVBand="0" w:evenVBand="0" w:oddHBand="0" w:evenHBand="0" w:firstRowFirstColumn="0" w:firstRowLastColumn="0" w:lastRowFirstColumn="0" w:lastRowLastColumn="0"/>
            <w:tcW w:w="380" w:type="dxa"/>
            <w:tcBorders>
              <w:top w:val="single" w:sz="6" w:space="0" w:color="BFBFBF" w:themeColor="background1" w:themeShade="BF"/>
              <w:bottom w:val="single" w:sz="6" w:space="0" w:color="auto"/>
            </w:tcBorders>
            <w:shd w:val="clear" w:color="auto" w:fill="auto"/>
          </w:tcPr>
          <w:p w:rsidR="00FD091D" w:rsidRPr="00F56697" w:rsidRDefault="00FD091D" w:rsidP="009C27B9">
            <w:pPr>
              <w:ind w:left="0" w:firstLine="0"/>
              <w:jc w:val="center"/>
              <w:rPr>
                <w:sz w:val="16"/>
                <w:szCs w:val="16"/>
              </w:rPr>
            </w:pPr>
            <w:r w:rsidRPr="00F56697">
              <w:rPr>
                <w:sz w:val="16"/>
                <w:szCs w:val="16"/>
              </w:rPr>
              <w:t>11</w:t>
            </w:r>
          </w:p>
        </w:tc>
        <w:tc>
          <w:tcPr>
            <w:tcW w:w="2030" w:type="dxa"/>
            <w:tcBorders>
              <w:top w:val="single" w:sz="6" w:space="0" w:color="BFBFBF" w:themeColor="background1" w:themeShade="BF"/>
              <w:bottom w:val="single" w:sz="6" w:space="0" w:color="auto"/>
              <w:right w:val="single" w:sz="2" w:space="0" w:color="BFBFBF" w:themeColor="background1" w:themeShade="BF"/>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 xml:space="preserve">Gain from natural increase in livestock due to births </w:t>
            </w:r>
          </w:p>
        </w:tc>
        <w:tc>
          <w:tcPr>
            <w:tcW w:w="1134" w:type="dxa"/>
            <w:tcBorders>
              <w:top w:val="single" w:sz="6" w:space="0" w:color="BFBFBF" w:themeColor="background1" w:themeShade="BF"/>
              <w:left w:val="single" w:sz="2" w:space="0" w:color="BFBFBF" w:themeColor="background1" w:themeShade="BF"/>
              <w:bottom w:val="single" w:sz="6" w:space="0" w:color="auto"/>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992" w:type="dxa"/>
            <w:tcBorders>
              <w:top w:val="single" w:sz="6" w:space="0" w:color="BFBFBF" w:themeColor="background1" w:themeShade="BF"/>
              <w:left w:val="single" w:sz="2" w:space="0" w:color="BFBFBF" w:themeColor="background1" w:themeShade="BF"/>
              <w:bottom w:val="single" w:sz="6" w:space="0" w:color="auto"/>
              <w:right w:val="single" w:sz="2" w:space="0" w:color="BFBFBF" w:themeColor="background1" w:themeShade="BF"/>
            </w:tcBorders>
            <w:shd w:val="clear" w:color="auto" w:fill="auto"/>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r w:rsidRPr="00F56697">
              <w:rPr>
                <w:rFonts w:ascii="Wingdings" w:hAnsi="Wingdings"/>
                <w:sz w:val="16"/>
                <w:szCs w:val="16"/>
              </w:rPr>
              <w:t></w:t>
            </w:r>
          </w:p>
        </w:tc>
        <w:tc>
          <w:tcPr>
            <w:tcW w:w="709" w:type="dxa"/>
            <w:tcBorders>
              <w:top w:val="single" w:sz="6" w:space="0" w:color="BFBFBF" w:themeColor="background1" w:themeShade="BF"/>
              <w:left w:val="single" w:sz="2" w:space="0" w:color="BFBFBF" w:themeColor="background1" w:themeShade="BF"/>
              <w:bottom w:val="single" w:sz="6" w:space="0" w:color="auto"/>
              <w:right w:val="single" w:sz="2" w:space="0" w:color="BFBFBF" w:themeColor="background1" w:themeShade="BF"/>
            </w:tcBorders>
          </w:tcPr>
          <w:p w:rsidR="00FD091D" w:rsidRPr="00F56697" w:rsidRDefault="00FD091D" w:rsidP="009C27B9">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6"/>
                <w:szCs w:val="16"/>
              </w:rPr>
            </w:pPr>
          </w:p>
        </w:tc>
        <w:tc>
          <w:tcPr>
            <w:tcW w:w="4392" w:type="dxa"/>
            <w:tcBorders>
              <w:top w:val="single" w:sz="6" w:space="0" w:color="BFBFBF" w:themeColor="background1" w:themeShade="BF"/>
              <w:left w:val="single" w:sz="2" w:space="0" w:color="BFBFBF" w:themeColor="background1" w:themeShade="BF"/>
              <w:bottom w:val="single" w:sz="6" w:space="0" w:color="auto"/>
            </w:tcBorders>
            <w:shd w:val="clear" w:color="auto" w:fill="auto"/>
          </w:tcPr>
          <w:p w:rsidR="00FD091D" w:rsidRPr="00F56697" w:rsidRDefault="00FD091D" w:rsidP="009C27B9">
            <w:pPr>
              <w:cnfStyle w:val="000000000000" w:firstRow="0" w:lastRow="0" w:firstColumn="0" w:lastColumn="0" w:oddVBand="0" w:evenVBand="0" w:oddHBand="0" w:evenHBand="0" w:firstRowFirstColumn="0" w:firstRowLastColumn="0" w:lastRowFirstColumn="0" w:lastRowLastColumn="0"/>
              <w:rPr>
                <w:sz w:val="16"/>
                <w:szCs w:val="16"/>
              </w:rPr>
            </w:pPr>
            <w:r w:rsidRPr="00F56697">
              <w:rPr>
                <w:sz w:val="16"/>
                <w:szCs w:val="16"/>
              </w:rPr>
              <w:t>Change in volume.</w:t>
            </w:r>
          </w:p>
        </w:tc>
      </w:tr>
    </w:tbl>
    <w:p w:rsidR="00FD091D" w:rsidRPr="00892DE3" w:rsidRDefault="00FD091D" w:rsidP="0089171B">
      <w:pPr>
        <w:pStyle w:val="Tablehea"/>
        <w:rPr>
          <w:rFonts w:asciiTheme="majorHAnsi" w:eastAsiaTheme="majorEastAsia" w:hAnsiTheme="majorHAnsi" w:cstheme="majorBidi"/>
          <w:b/>
          <w:bCs/>
          <w:caps/>
          <w:spacing w:val="-2"/>
          <w:sz w:val="28"/>
          <w:szCs w:val="28"/>
        </w:rPr>
      </w:pPr>
      <w:r w:rsidRPr="00892DE3">
        <w:br w:type="page"/>
      </w:r>
    </w:p>
    <w:p w:rsidR="00AD47C0" w:rsidRPr="00892DE3" w:rsidRDefault="00AD47C0" w:rsidP="00474984">
      <w:pPr>
        <w:pStyle w:val="AppendixHeading"/>
        <w:spacing w:after="240"/>
      </w:pPr>
      <w:bookmarkStart w:id="316" w:name="_Toc481591397"/>
      <w:bookmarkStart w:id="317" w:name="_Toc481592344"/>
      <w:bookmarkEnd w:id="300"/>
      <w:r w:rsidRPr="00892DE3">
        <w:t>Appendix </w:t>
      </w:r>
      <w:r w:rsidR="003B7D67">
        <w:t>9</w:t>
      </w:r>
      <w:r w:rsidRPr="00892DE3">
        <w:t>:</w:t>
      </w:r>
      <w:r w:rsidRPr="00892DE3">
        <w:tab/>
        <w:t xml:space="preserve">Declaration </w:t>
      </w:r>
      <w:r w:rsidR="004B44AD">
        <w:t>Certificate</w:t>
      </w:r>
      <w:r w:rsidRPr="00892DE3">
        <w:t xml:space="preserve"> for executives – </w:t>
      </w:r>
      <w:r w:rsidR="004B44AD">
        <w:t>the certificate for declaration of related party transactions in compliance with aasb 124</w:t>
      </w:r>
      <w:bookmarkEnd w:id="316"/>
      <w:bookmarkEnd w:id="317"/>
    </w:p>
    <w:p w:rsidR="00474984" w:rsidRPr="00474984" w:rsidRDefault="00474984" w:rsidP="00B03939">
      <w:pPr>
        <w:rPr>
          <w:rFonts w:asciiTheme="majorHAnsi" w:eastAsiaTheme="majorEastAsia" w:hAnsiTheme="majorHAnsi" w:cstheme="majorBidi"/>
          <w:b/>
          <w:spacing w:val="-2"/>
          <w:sz w:val="24"/>
          <w:szCs w:val="26"/>
        </w:rPr>
      </w:pPr>
      <w:r w:rsidRPr="00474984">
        <w:rPr>
          <w:rFonts w:asciiTheme="majorHAnsi" w:eastAsiaTheme="majorEastAsia" w:hAnsiTheme="majorHAnsi" w:cstheme="majorBidi"/>
          <w:b/>
          <w:spacing w:val="-2"/>
          <w:sz w:val="24"/>
          <w:szCs w:val="26"/>
        </w:rPr>
        <w:t>Background information</w:t>
      </w:r>
    </w:p>
    <w:p w:rsidR="00474984" w:rsidRPr="00474984" w:rsidRDefault="00474984" w:rsidP="00474984">
      <w:pPr>
        <w:keepNext/>
        <w:spacing w:before="280" w:after="240" w:line="276" w:lineRule="auto"/>
        <w:outlineLvl w:val="1"/>
        <w:rPr>
          <w:rFonts w:ascii="Arial" w:eastAsia="Times New Roman" w:hAnsi="Arial" w:cs="Times New Roman"/>
          <w:b/>
          <w:bCs/>
          <w:color w:val="0063A6" w:themeColor="accent1"/>
          <w:sz w:val="22"/>
          <w:szCs w:val="28"/>
          <w:lang w:eastAsia="en-AU"/>
        </w:rPr>
      </w:pPr>
      <w:r w:rsidRPr="00474984">
        <w:rPr>
          <w:rFonts w:ascii="Arial" w:eastAsia="Times New Roman" w:hAnsi="Arial" w:cs="Times New Roman"/>
          <w:b/>
          <w:bCs/>
          <w:color w:val="0063A6" w:themeColor="accent1"/>
          <w:sz w:val="22"/>
          <w:szCs w:val="28"/>
          <w:lang w:eastAsia="en-AU"/>
        </w:rPr>
        <w:t>Related party transactions between key management personnel (KMP) and departments and agencies</w:t>
      </w:r>
    </w:p>
    <w:p w:rsidR="00474984" w:rsidRPr="00474984" w:rsidRDefault="00474984" w:rsidP="00474984">
      <w:pPr>
        <w:keepLines w:val="0"/>
        <w:spacing w:before="160" w:after="100" w:line="276" w:lineRule="auto"/>
        <w:rPr>
          <w:rFonts w:ascii="Arial" w:eastAsia="Arial" w:hAnsi="Arial" w:cs="Times New Roman"/>
          <w:szCs w:val="20"/>
          <w:lang w:eastAsia="en-AU"/>
        </w:rPr>
      </w:pPr>
      <w:r w:rsidRPr="00474984">
        <w:rPr>
          <w:rFonts w:ascii="Arial" w:eastAsia="Arial" w:hAnsi="Arial" w:cs="Times New Roman"/>
          <w:szCs w:val="20"/>
          <w:lang w:eastAsia="en-AU"/>
        </w:rPr>
        <w:t xml:space="preserve">The Australian Accounting Standards Board (AASB) recently extended the scope of AASB 124 </w:t>
      </w:r>
      <w:r w:rsidRPr="00474984">
        <w:rPr>
          <w:rFonts w:ascii="Arial" w:eastAsia="Arial" w:hAnsi="Arial" w:cs="Times New Roman"/>
          <w:i/>
          <w:szCs w:val="20"/>
          <w:lang w:eastAsia="en-AU"/>
        </w:rPr>
        <w:t>Related Party Disclosures</w:t>
      </w:r>
      <w:r w:rsidRPr="00474984">
        <w:rPr>
          <w:rFonts w:ascii="Arial" w:eastAsia="Arial" w:hAnsi="Arial" w:cs="Times New Roman"/>
          <w:szCs w:val="20"/>
          <w:lang w:eastAsia="en-AU"/>
        </w:rPr>
        <w:t xml:space="preserve"> to include not-for-profit (NFP) public sector entities. It should be noted that the objective of AASB 124 is to ensure that the department’s or entity’s financial statements contain disclosures necessary to draw attention to the possibility that its financial position and profit or loss may have been affected by the existence of related parties, and by transactions and outstanding balances, including commitments, with such parties.</w:t>
      </w:r>
    </w:p>
    <w:p w:rsidR="00474984" w:rsidRPr="00474984" w:rsidRDefault="00474984" w:rsidP="00474984">
      <w:pPr>
        <w:keepLines w:val="0"/>
        <w:spacing w:before="160" w:after="100" w:line="276" w:lineRule="auto"/>
        <w:rPr>
          <w:rFonts w:ascii="Arial" w:eastAsia="Arial" w:hAnsi="Arial" w:cs="Times New Roman"/>
          <w:szCs w:val="20"/>
          <w:lang w:eastAsia="en-AU"/>
        </w:rPr>
      </w:pPr>
      <w:r w:rsidRPr="00474984">
        <w:rPr>
          <w:rFonts w:ascii="Arial" w:eastAsia="Arial" w:hAnsi="Arial" w:cs="Times New Roman"/>
          <w:szCs w:val="20"/>
          <w:lang w:eastAsia="en-AU"/>
        </w:rPr>
        <w:t xml:space="preserve">This revised reporting requirement will apply to departments and not-for-profit agencies for the first time from </w:t>
      </w:r>
      <w:r w:rsidRPr="00474984">
        <w:rPr>
          <w:rFonts w:ascii="Arial" w:eastAsia="Arial" w:hAnsi="Arial" w:cs="Times New Roman"/>
          <w:b/>
          <w:szCs w:val="20"/>
          <w:lang w:eastAsia="en-AU"/>
        </w:rPr>
        <w:t>1 July</w:t>
      </w:r>
      <w:r w:rsidR="00567370">
        <w:rPr>
          <w:rFonts w:ascii="Arial" w:eastAsia="Arial" w:hAnsi="Arial" w:cs="Times New Roman"/>
          <w:b/>
          <w:szCs w:val="20"/>
          <w:lang w:eastAsia="en-AU"/>
        </w:rPr>
        <w:t> </w:t>
      </w:r>
      <w:r w:rsidRPr="00474984">
        <w:rPr>
          <w:rFonts w:ascii="Arial" w:eastAsia="Arial" w:hAnsi="Arial" w:cs="Times New Roman"/>
          <w:b/>
          <w:szCs w:val="20"/>
          <w:lang w:eastAsia="en-AU"/>
        </w:rPr>
        <w:t>2016 (i.e. from the 2016-17 financial year)</w:t>
      </w:r>
      <w:r w:rsidRPr="00474984">
        <w:rPr>
          <w:rFonts w:ascii="Arial" w:eastAsia="Arial" w:hAnsi="Arial" w:cs="Times New Roman"/>
          <w:szCs w:val="20"/>
          <w:lang w:eastAsia="en-AU"/>
        </w:rPr>
        <w:t>, with no comparatives required for the first period to which these changes apply.  As a result, all NFP public sector entities will be required to disclose related party transactions in the same way as pri</w:t>
      </w:r>
      <w:bookmarkStart w:id="318" w:name="kapish_twa_bkm_0"/>
      <w:bookmarkEnd w:id="318"/>
      <w:r w:rsidRPr="00474984">
        <w:rPr>
          <w:rFonts w:ascii="Arial" w:eastAsia="Arial" w:hAnsi="Arial" w:cs="Times New Roman"/>
          <w:szCs w:val="20"/>
          <w:lang w:eastAsia="en-AU"/>
        </w:rPr>
        <w:t>vate sector entities.</w:t>
      </w:r>
    </w:p>
    <w:p w:rsidR="00474984" w:rsidRPr="00474984" w:rsidRDefault="00474984" w:rsidP="00474984">
      <w:pPr>
        <w:keepLines w:val="0"/>
        <w:spacing w:before="160" w:after="100" w:line="276" w:lineRule="auto"/>
        <w:rPr>
          <w:rFonts w:ascii="Arial" w:eastAsia="Arial" w:hAnsi="Arial" w:cs="Times New Roman"/>
          <w:szCs w:val="20"/>
          <w:lang w:eastAsia="en-AU"/>
        </w:rPr>
      </w:pPr>
      <w:r w:rsidRPr="00474984">
        <w:rPr>
          <w:rFonts w:ascii="Arial" w:eastAsia="Arial" w:hAnsi="Arial" w:cs="Times New Roman"/>
          <w:szCs w:val="20"/>
          <w:lang w:eastAsia="en-AU"/>
        </w:rPr>
        <w:t xml:space="preserve">The standard defines KMP as those people with the authority and responsibility for planning, directing and controlling the activities of the entity, directly or indirectly i.e. those charged with decision making responsibilities. </w:t>
      </w:r>
      <w:r w:rsidRPr="00474984">
        <w:rPr>
          <w:rFonts w:ascii="Arial" w:eastAsia="Times New Roman" w:hAnsi="Arial" w:cs="Times New Roman"/>
          <w:szCs w:val="20"/>
          <w:lang w:eastAsia="en-AU"/>
        </w:rPr>
        <w:t xml:space="preserve">AASB 124(9) </w:t>
      </w:r>
      <w:r w:rsidRPr="00474984">
        <w:rPr>
          <w:rFonts w:ascii="Arial" w:eastAsia="Times New Roman" w:hAnsi="Arial" w:cs="Times New Roman"/>
          <w:i/>
          <w:szCs w:val="20"/>
          <w:lang w:eastAsia="en-AU"/>
        </w:rPr>
        <w:t>Related Party Disclosures</w:t>
      </w:r>
      <w:r w:rsidRPr="00474984">
        <w:rPr>
          <w:rFonts w:ascii="Arial" w:eastAsia="Times New Roman" w:hAnsi="Arial" w:cs="Times New Roman"/>
          <w:szCs w:val="20"/>
          <w:lang w:eastAsia="en-AU"/>
        </w:rPr>
        <w:t xml:space="preserve"> defines a person who has significant influence or a close member of that person’s family to be related to a reporting entity if that person is a member of the KMP of the entity or a parent of the entity.</w:t>
      </w:r>
    </w:p>
    <w:p w:rsidR="00474984" w:rsidRPr="00474984" w:rsidRDefault="00474984" w:rsidP="00474984">
      <w:pPr>
        <w:keepNext/>
        <w:spacing w:before="240" w:after="120" w:line="276" w:lineRule="auto"/>
        <w:outlineLvl w:val="2"/>
        <w:rPr>
          <w:rFonts w:ascii="Arial" w:eastAsia="Times New Roman" w:hAnsi="Arial" w:cs="Times New Roman"/>
          <w:b/>
          <w:bCs/>
          <w:color w:val="0063A6"/>
          <w:sz w:val="22"/>
          <w:szCs w:val="22"/>
          <w:lang w:eastAsia="en-AU"/>
        </w:rPr>
      </w:pPr>
      <w:r w:rsidRPr="00474984">
        <w:rPr>
          <w:rFonts w:ascii="Arial" w:eastAsia="Times New Roman" w:hAnsi="Arial" w:cs="Times New Roman"/>
          <w:b/>
          <w:bCs/>
          <w:color w:val="0063A6"/>
          <w:sz w:val="22"/>
          <w:szCs w:val="22"/>
          <w:lang w:eastAsia="en-AU"/>
        </w:rPr>
        <w:t>What needs to be collected from the KMP?</w:t>
      </w:r>
    </w:p>
    <w:p w:rsidR="00474984" w:rsidRPr="00474984" w:rsidRDefault="00474984" w:rsidP="00474984">
      <w:pPr>
        <w:keepLines w:val="0"/>
        <w:spacing w:before="160" w:after="100" w:line="276" w:lineRule="auto"/>
        <w:rPr>
          <w:rFonts w:ascii="Arial" w:eastAsia="Arial" w:hAnsi="Arial" w:cs="Times New Roman"/>
          <w:szCs w:val="20"/>
          <w:lang w:eastAsia="en-AU"/>
        </w:rPr>
      </w:pPr>
      <w:r w:rsidRPr="00474984">
        <w:rPr>
          <w:rFonts w:ascii="Arial" w:eastAsia="Arial" w:hAnsi="Arial" w:cs="Times New Roman"/>
          <w:szCs w:val="20"/>
          <w:lang w:eastAsia="en-AU"/>
        </w:rPr>
        <w:t>Information regarding all related party transactions will need to be collected by the KMP, except for those transactions where the KMP and their related parties are acting as public citizens (e.g. payment of tax, or accessing a community service available to all citizens like services from a public hospital).</w:t>
      </w:r>
    </w:p>
    <w:p w:rsidR="00474984" w:rsidRPr="00474984" w:rsidRDefault="00474984" w:rsidP="00474984">
      <w:pPr>
        <w:keepLines w:val="0"/>
        <w:spacing w:before="160" w:after="100" w:line="276" w:lineRule="auto"/>
        <w:rPr>
          <w:rFonts w:ascii="Arial" w:eastAsia="Arial" w:hAnsi="Arial" w:cs="Times New Roman"/>
          <w:szCs w:val="20"/>
          <w:lang w:eastAsia="en-AU"/>
        </w:rPr>
      </w:pPr>
      <w:r w:rsidRPr="00474984">
        <w:rPr>
          <w:rFonts w:ascii="Arial" w:eastAsia="Arial" w:hAnsi="Arial" w:cs="Times New Roman"/>
          <w:szCs w:val="20"/>
          <w:lang w:eastAsia="en-AU"/>
        </w:rPr>
        <w:t>We acknowledge that while KMP such as executive officers are currently required to declare their private interests, AASB 124 requires more extensive disclosures of related party transactions that are not collected in the declaration of private interests form.</w:t>
      </w:r>
    </w:p>
    <w:p w:rsidR="00474984" w:rsidRPr="00474984" w:rsidRDefault="00474984" w:rsidP="00474984">
      <w:pPr>
        <w:keepNext/>
        <w:spacing w:before="240" w:after="120" w:line="276" w:lineRule="auto"/>
        <w:outlineLvl w:val="2"/>
        <w:rPr>
          <w:rFonts w:ascii="Arial" w:eastAsia="Times New Roman" w:hAnsi="Arial" w:cs="Times New Roman"/>
          <w:b/>
          <w:bCs/>
          <w:color w:val="0063A6"/>
          <w:sz w:val="22"/>
          <w:szCs w:val="22"/>
          <w:lang w:eastAsia="en-AU"/>
        </w:rPr>
      </w:pPr>
      <w:r w:rsidRPr="00474984">
        <w:rPr>
          <w:rFonts w:ascii="Arial" w:eastAsia="Times New Roman" w:hAnsi="Arial" w:cs="Times New Roman"/>
          <w:b/>
          <w:bCs/>
          <w:color w:val="0063A6"/>
          <w:sz w:val="22"/>
          <w:szCs w:val="22"/>
          <w:lang w:eastAsia="en-AU"/>
        </w:rPr>
        <w:t>How the information collected will be disclosed in the relevant financial reports</w:t>
      </w:r>
    </w:p>
    <w:p w:rsidR="00474984" w:rsidRPr="00474984" w:rsidRDefault="00474984" w:rsidP="00474984">
      <w:pPr>
        <w:keepLines w:val="0"/>
        <w:spacing w:before="160" w:after="100" w:line="276" w:lineRule="auto"/>
        <w:rPr>
          <w:rFonts w:ascii="Arial" w:eastAsia="Arial" w:hAnsi="Arial" w:cs="Times New Roman"/>
          <w:szCs w:val="20"/>
          <w:lang w:eastAsia="en-AU"/>
        </w:rPr>
      </w:pPr>
      <w:r w:rsidRPr="00474984">
        <w:rPr>
          <w:rFonts w:ascii="Arial" w:eastAsia="Arial" w:hAnsi="Arial" w:cs="Times New Roman"/>
          <w:szCs w:val="20"/>
          <w:lang w:eastAsia="en-AU"/>
        </w:rPr>
        <w:t>Not all information collected will be disclosed in the respective entity’s annual financial report. This is because the accounting standards only require the disclosure of material related party transactions and outstanding balances. Materiality is subject to professional judgement and goes beyond the dollar value of the transaction or balance.</w:t>
      </w:r>
    </w:p>
    <w:p w:rsidR="00474984" w:rsidRPr="00474984" w:rsidRDefault="00474984" w:rsidP="00474984">
      <w:pPr>
        <w:keepLines w:val="0"/>
        <w:spacing w:before="160" w:after="100" w:line="276" w:lineRule="auto"/>
        <w:rPr>
          <w:rFonts w:ascii="Arial" w:eastAsia="Arial" w:hAnsi="Arial" w:cs="Times New Roman"/>
          <w:szCs w:val="20"/>
          <w:lang w:eastAsia="en-AU"/>
        </w:rPr>
      </w:pPr>
      <w:r w:rsidRPr="00474984">
        <w:rPr>
          <w:rFonts w:ascii="Arial" w:eastAsia="Arial" w:hAnsi="Arial" w:cs="Times New Roman"/>
          <w:szCs w:val="20"/>
          <w:lang w:eastAsia="en-AU"/>
        </w:rPr>
        <w:t xml:space="preserve">However, it is important to note that all KMP should disclose all relevant related party transactions, noting that typical citizen transactions are not required to be declared. A threshold of $100 000 may be applied for standard commercial contracts in an effort to ease the reporting burden on KMP. This is because a transaction that may appear immaterial on its own, may in combination with other like transactions have a material effect on the entity’s financial statements and warrants disclosure. Items of a similar nature may be </w:t>
      </w:r>
      <w:r w:rsidRPr="00474984">
        <w:rPr>
          <w:rFonts w:ascii="Arial" w:eastAsia="Arial" w:hAnsi="Arial" w:cs="Times New Roman"/>
          <w:b/>
          <w:szCs w:val="20"/>
          <w:lang w:eastAsia="en-AU"/>
        </w:rPr>
        <w:t>disclosed in aggregate</w:t>
      </w:r>
      <w:r w:rsidRPr="00474984">
        <w:rPr>
          <w:rFonts w:ascii="Arial" w:eastAsia="Arial" w:hAnsi="Arial" w:cs="Times New Roman"/>
          <w:szCs w:val="20"/>
          <w:lang w:eastAsia="en-AU"/>
        </w:rPr>
        <w:t xml:space="preserve"> except where separate disclosure is necessary for an understanding of the effects of related party transactions on the financial statements of the department or entity. If you are unsure whether there are any related party transactions your close family members have with the entity that you are a KMP of, or with any entity controlled by the entity that you are a KMP of, you are encouraged to include their details in the certificate for completeness.</w:t>
      </w:r>
    </w:p>
    <w:p w:rsidR="00474984" w:rsidRPr="00474984" w:rsidRDefault="00474984" w:rsidP="00474984">
      <w:pPr>
        <w:keepLines w:val="0"/>
        <w:spacing w:before="160" w:after="100" w:line="276" w:lineRule="auto"/>
        <w:rPr>
          <w:rFonts w:ascii="Arial" w:eastAsia="Arial" w:hAnsi="Arial" w:cs="Times New Roman"/>
          <w:szCs w:val="20"/>
          <w:lang w:eastAsia="en-AU"/>
        </w:rPr>
      </w:pPr>
      <w:r w:rsidRPr="00474984">
        <w:rPr>
          <w:rFonts w:ascii="Arial" w:eastAsia="Arial" w:hAnsi="Arial" w:cs="Times New Roman"/>
          <w:szCs w:val="20"/>
          <w:lang w:eastAsia="en-AU"/>
        </w:rPr>
        <w:t>Due to the sensitive nature of the information, all information collected will be stored in a secured manner.</w:t>
      </w:r>
    </w:p>
    <w:p w:rsidR="00474984" w:rsidRDefault="00474984">
      <w:pPr>
        <w:keepLines w:val="0"/>
        <w:rPr>
          <w:rFonts w:ascii="Arial" w:eastAsia="Times New Roman" w:hAnsi="Arial" w:cs="Times New Roman"/>
          <w:b/>
          <w:bCs/>
          <w:color w:val="0063A6"/>
          <w:sz w:val="24"/>
          <w:szCs w:val="22"/>
          <w:lang w:eastAsia="en-AU"/>
        </w:rPr>
      </w:pPr>
      <w:r>
        <w:rPr>
          <w:rFonts w:ascii="Arial" w:eastAsia="Times New Roman" w:hAnsi="Arial" w:cs="Times New Roman"/>
          <w:b/>
          <w:bCs/>
          <w:color w:val="0063A6"/>
          <w:sz w:val="24"/>
          <w:szCs w:val="22"/>
          <w:lang w:eastAsia="en-AU"/>
        </w:rPr>
        <w:br w:type="page"/>
      </w:r>
    </w:p>
    <w:p w:rsidR="00474984" w:rsidRPr="00474984" w:rsidRDefault="00474984" w:rsidP="00474984">
      <w:pPr>
        <w:keepNext/>
        <w:spacing w:before="240" w:after="120" w:line="276" w:lineRule="auto"/>
        <w:outlineLvl w:val="2"/>
        <w:rPr>
          <w:rFonts w:ascii="Arial" w:eastAsia="Times New Roman" w:hAnsi="Arial" w:cs="Times New Roman"/>
          <w:b/>
          <w:bCs/>
          <w:color w:val="0063A6"/>
          <w:sz w:val="24"/>
          <w:szCs w:val="22"/>
          <w:lang w:eastAsia="en-AU"/>
        </w:rPr>
      </w:pPr>
      <w:r w:rsidRPr="00474984">
        <w:rPr>
          <w:rFonts w:ascii="Arial" w:eastAsia="Times New Roman" w:hAnsi="Arial" w:cs="Times New Roman"/>
          <w:b/>
          <w:bCs/>
          <w:color w:val="0063A6"/>
          <w:sz w:val="24"/>
          <w:szCs w:val="22"/>
          <w:lang w:eastAsia="en-AU"/>
        </w:rPr>
        <w:t>Certification completion process</w:t>
      </w:r>
    </w:p>
    <w:p w:rsidR="00474984" w:rsidRPr="00474984" w:rsidRDefault="00474984" w:rsidP="00474984">
      <w:pPr>
        <w:keepNext/>
        <w:spacing w:before="200" w:line="276" w:lineRule="auto"/>
        <w:outlineLvl w:val="3"/>
        <w:rPr>
          <w:rFonts w:ascii="Arial" w:eastAsia="Arial" w:hAnsi="Arial" w:cs="Times New Roman"/>
          <w:b/>
          <w:bCs/>
          <w:iCs/>
          <w:sz w:val="20"/>
          <w:szCs w:val="20"/>
          <w:lang w:eastAsia="en-AU"/>
        </w:rPr>
      </w:pPr>
      <w:r w:rsidRPr="00474984">
        <w:rPr>
          <w:rFonts w:ascii="Arial" w:eastAsia="Arial" w:hAnsi="Arial" w:cs="Times New Roman"/>
          <w:b/>
          <w:bCs/>
          <w:iCs/>
          <w:sz w:val="20"/>
          <w:szCs w:val="20"/>
          <w:lang w:eastAsia="en-AU"/>
        </w:rPr>
        <w:t xml:space="preserve">Process for Ministers </w:t>
      </w:r>
    </w:p>
    <w:p w:rsidR="00474984" w:rsidRPr="00474984" w:rsidRDefault="00474984" w:rsidP="00474984">
      <w:pPr>
        <w:keepLines w:val="0"/>
        <w:spacing w:before="160" w:after="100" w:line="276" w:lineRule="auto"/>
        <w:rPr>
          <w:rFonts w:ascii="Arial" w:eastAsia="Times New Roman" w:hAnsi="Arial" w:cs="Times New Roman"/>
          <w:szCs w:val="20"/>
          <w:lang w:eastAsia="en-AU"/>
        </w:rPr>
      </w:pPr>
      <w:r w:rsidRPr="00474984">
        <w:rPr>
          <w:rFonts w:ascii="Arial" w:eastAsia="Times New Roman" w:hAnsi="Arial" w:cs="Times New Roman"/>
          <w:szCs w:val="20"/>
          <w:lang w:eastAsia="en-AU"/>
        </w:rPr>
        <w:t>As not all not-for-profit public sector entities within the State has 30 June year ends i.e. TAFES and schools have 31</w:t>
      </w:r>
      <w:r w:rsidR="00567370">
        <w:rPr>
          <w:rFonts w:ascii="Arial" w:eastAsia="Times New Roman" w:hAnsi="Arial" w:cs="Times New Roman"/>
          <w:szCs w:val="20"/>
          <w:lang w:eastAsia="en-AU"/>
        </w:rPr>
        <w:t> </w:t>
      </w:r>
      <w:r w:rsidRPr="00474984">
        <w:rPr>
          <w:rFonts w:ascii="Arial" w:eastAsia="Times New Roman" w:hAnsi="Arial" w:cs="Times New Roman"/>
          <w:szCs w:val="20"/>
          <w:lang w:eastAsia="en-AU"/>
        </w:rPr>
        <w:t xml:space="preserve">December year ends, the State has to collect information from Cabinet ministers more frequently. </w:t>
      </w:r>
    </w:p>
    <w:p w:rsidR="00474984" w:rsidRPr="00474984" w:rsidRDefault="00474984" w:rsidP="00474984">
      <w:pPr>
        <w:keepLines w:val="0"/>
        <w:spacing w:before="160" w:after="100" w:line="276" w:lineRule="auto"/>
        <w:rPr>
          <w:rFonts w:ascii="Arial" w:eastAsia="Times New Roman" w:hAnsi="Arial" w:cs="Times New Roman"/>
          <w:szCs w:val="20"/>
          <w:lang w:eastAsia="en-AU"/>
        </w:rPr>
      </w:pPr>
      <w:r w:rsidRPr="00474984">
        <w:rPr>
          <w:rFonts w:ascii="Arial" w:eastAsia="Times New Roman" w:hAnsi="Arial" w:cs="Times New Roman"/>
          <w:szCs w:val="20"/>
          <w:lang w:eastAsia="en-AU"/>
        </w:rPr>
        <w:t xml:space="preserve">The first submission will cover the period 1 July 2016 to 31 March 2017. All Cabinet ministers will be expected to complete and submit their certificates by </w:t>
      </w:r>
      <w:r w:rsidRPr="00474984">
        <w:rPr>
          <w:rFonts w:ascii="Arial" w:eastAsia="Times New Roman" w:hAnsi="Arial" w:cs="Times New Roman"/>
          <w:b/>
          <w:szCs w:val="20"/>
          <w:lang w:eastAsia="en-AU"/>
        </w:rPr>
        <w:t>28 April 2017</w:t>
      </w:r>
      <w:r w:rsidRPr="00474984">
        <w:rPr>
          <w:rFonts w:ascii="Arial" w:eastAsia="Times New Roman" w:hAnsi="Arial" w:cs="Times New Roman"/>
          <w:szCs w:val="20"/>
          <w:lang w:eastAsia="en-AU"/>
        </w:rPr>
        <w:t xml:space="preserve">. </w:t>
      </w:r>
    </w:p>
    <w:p w:rsidR="00474984" w:rsidRPr="00474984" w:rsidRDefault="00474984" w:rsidP="00474984">
      <w:pPr>
        <w:keepLines w:val="0"/>
        <w:spacing w:before="160" w:after="100" w:line="276" w:lineRule="auto"/>
        <w:rPr>
          <w:rFonts w:ascii="Arial" w:eastAsia="Times New Roman" w:hAnsi="Arial" w:cs="Times New Roman"/>
          <w:szCs w:val="20"/>
          <w:lang w:eastAsia="en-AU"/>
        </w:rPr>
      </w:pPr>
      <w:r w:rsidRPr="00474984">
        <w:rPr>
          <w:rFonts w:ascii="Arial" w:eastAsia="Times New Roman" w:hAnsi="Arial" w:cs="Times New Roman"/>
          <w:szCs w:val="20"/>
          <w:lang w:eastAsia="en-AU"/>
        </w:rPr>
        <w:t>Cabinet ministers will return their certificates to the Department of Premier and Cabinet (DPC).</w:t>
      </w:r>
    </w:p>
    <w:p w:rsidR="00474984" w:rsidRPr="00474984" w:rsidRDefault="00474984" w:rsidP="00474984">
      <w:pPr>
        <w:keepLines w:val="0"/>
        <w:spacing w:before="160" w:after="100" w:line="276" w:lineRule="auto"/>
        <w:rPr>
          <w:rFonts w:ascii="Arial" w:eastAsia="Times New Roman" w:hAnsi="Arial" w:cs="Times New Roman"/>
          <w:b/>
          <w:szCs w:val="20"/>
          <w:lang w:eastAsia="en-AU"/>
        </w:rPr>
      </w:pPr>
      <w:r w:rsidRPr="00474984">
        <w:rPr>
          <w:rFonts w:ascii="Arial" w:eastAsia="Times New Roman" w:hAnsi="Arial" w:cs="Times New Roman"/>
          <w:szCs w:val="20"/>
          <w:lang w:eastAsia="en-AU"/>
        </w:rPr>
        <w:t xml:space="preserve">The final submission will cover the remaining period 1 April 2017 to 30 June 2017 to report on any additional transactions that may have occurred during the quarter. The previous certificate will be included to facilitate completion of their final submission for the 2016-17 financial year. All Cabinet ministers will be expected to complete and submit their certificates by </w:t>
      </w:r>
      <w:r w:rsidRPr="00474984">
        <w:rPr>
          <w:rFonts w:ascii="Arial" w:eastAsia="Times New Roman" w:hAnsi="Arial" w:cs="Times New Roman"/>
          <w:b/>
          <w:szCs w:val="20"/>
          <w:lang w:eastAsia="en-AU"/>
        </w:rPr>
        <w:t>14 July 2017.</w:t>
      </w:r>
    </w:p>
    <w:p w:rsidR="00474984" w:rsidRPr="00474984" w:rsidRDefault="00474984" w:rsidP="00474984">
      <w:pPr>
        <w:keepLines w:val="0"/>
        <w:spacing w:before="160" w:after="100" w:line="276" w:lineRule="auto"/>
        <w:rPr>
          <w:rFonts w:ascii="Arial" w:eastAsia="Times New Roman" w:hAnsi="Arial" w:cs="Times New Roman"/>
          <w:szCs w:val="20"/>
          <w:lang w:eastAsia="en-AU"/>
        </w:rPr>
      </w:pPr>
      <w:r w:rsidRPr="00474984">
        <w:rPr>
          <w:rFonts w:ascii="Arial" w:eastAsia="Times New Roman" w:hAnsi="Arial" w:cs="Times New Roman"/>
          <w:szCs w:val="20"/>
          <w:lang w:eastAsia="en-AU"/>
        </w:rPr>
        <w:t>The information collected will enable DPC</w:t>
      </w:r>
      <w:r w:rsidR="00811F01">
        <w:rPr>
          <w:rFonts w:ascii="Arial" w:eastAsia="Times New Roman" w:hAnsi="Arial" w:cs="Times New Roman"/>
          <w:szCs w:val="20"/>
          <w:lang w:eastAsia="en-AU"/>
        </w:rPr>
        <w:t xml:space="preserve"> and DTF</w:t>
      </w:r>
      <w:r w:rsidRPr="00474984">
        <w:rPr>
          <w:rFonts w:ascii="Arial" w:eastAsia="Times New Roman" w:hAnsi="Arial" w:cs="Times New Roman"/>
          <w:szCs w:val="20"/>
          <w:lang w:eastAsia="en-AU"/>
        </w:rPr>
        <w:t xml:space="preserve"> and the respective departments and agencies to review the information received from Cabinet ministers to support the drafting of the related party disclosures for inclusion in the relevant departments’ and agencies’ related party note. The Department of Treasury and Finance (DTF) team will provide an overview and support role in facilitating the completion of the related party disclosures and ensuring consistency across the board.</w:t>
      </w:r>
    </w:p>
    <w:p w:rsidR="00474984" w:rsidRPr="00474984" w:rsidRDefault="00474984" w:rsidP="00474984">
      <w:pPr>
        <w:keepNext/>
        <w:spacing w:before="200" w:line="276" w:lineRule="auto"/>
        <w:outlineLvl w:val="3"/>
        <w:rPr>
          <w:rFonts w:ascii="Arial" w:eastAsia="Arial" w:hAnsi="Arial" w:cs="Times New Roman"/>
          <w:b/>
          <w:bCs/>
          <w:iCs/>
          <w:sz w:val="20"/>
          <w:szCs w:val="20"/>
          <w:lang w:eastAsia="en-AU"/>
        </w:rPr>
      </w:pPr>
      <w:r w:rsidRPr="00474984">
        <w:rPr>
          <w:rFonts w:ascii="Arial" w:eastAsia="Arial" w:hAnsi="Arial" w:cs="Times New Roman"/>
          <w:b/>
          <w:bCs/>
          <w:iCs/>
          <w:sz w:val="20"/>
          <w:szCs w:val="20"/>
          <w:lang w:eastAsia="en-AU"/>
        </w:rPr>
        <w:t xml:space="preserve">Process for executive KMP  </w:t>
      </w:r>
    </w:p>
    <w:p w:rsidR="00474984" w:rsidRPr="00474984" w:rsidRDefault="00474984" w:rsidP="00474984">
      <w:pPr>
        <w:keepLines w:val="0"/>
        <w:spacing w:before="160" w:after="100" w:line="276" w:lineRule="auto"/>
        <w:rPr>
          <w:rFonts w:ascii="Arial" w:eastAsia="Times New Roman" w:hAnsi="Arial" w:cs="Times New Roman"/>
          <w:szCs w:val="20"/>
          <w:lang w:eastAsia="en-AU"/>
        </w:rPr>
      </w:pPr>
      <w:r w:rsidRPr="00474984">
        <w:rPr>
          <w:rFonts w:ascii="Arial" w:eastAsia="Times New Roman" w:hAnsi="Arial" w:cs="Times New Roman"/>
          <w:szCs w:val="20"/>
          <w:lang w:eastAsia="en-AU"/>
        </w:rPr>
        <w:t xml:space="preserve">Entities are encouraged to adopt a collection frequency that is appropriate for their needs, and may consider the process designed for Ministers as a guide.  </w:t>
      </w:r>
    </w:p>
    <w:p w:rsidR="00474984" w:rsidRPr="00474984" w:rsidRDefault="00474984" w:rsidP="00474984">
      <w:pPr>
        <w:keepLines w:val="0"/>
        <w:spacing w:before="160" w:after="100" w:line="276" w:lineRule="auto"/>
        <w:rPr>
          <w:rFonts w:ascii="Arial" w:eastAsia="Times New Roman" w:hAnsi="Arial" w:cs="Times New Roman"/>
          <w:szCs w:val="20"/>
          <w:lang w:eastAsia="en-AU"/>
        </w:rPr>
      </w:pPr>
      <w:r w:rsidRPr="00474984">
        <w:rPr>
          <w:rFonts w:ascii="Arial" w:eastAsia="Times New Roman" w:hAnsi="Arial" w:cs="Times New Roman"/>
          <w:szCs w:val="20"/>
          <w:lang w:eastAsia="en-AU"/>
        </w:rPr>
        <w:t>All executive KMP will return their certificates to their respective department or agency who will co-ordinate the collection of the certificates.</w:t>
      </w:r>
    </w:p>
    <w:p w:rsidR="00474984" w:rsidRDefault="00474984">
      <w:pPr>
        <w:keepLines w:val="0"/>
      </w:pPr>
      <w:r>
        <w:br w:type="page"/>
      </w:r>
    </w:p>
    <w:p w:rsidR="00474984" w:rsidRPr="00474984" w:rsidRDefault="00474984" w:rsidP="00474984">
      <w:pPr>
        <w:pStyle w:val="Heading30"/>
        <w:ind w:left="0" w:firstLine="0"/>
        <w:rPr>
          <w:rFonts w:eastAsiaTheme="minorHAnsi"/>
          <w:sz w:val="24"/>
          <w:szCs w:val="32"/>
        </w:rPr>
      </w:pPr>
      <w:r w:rsidRPr="00474984">
        <w:rPr>
          <w:rFonts w:eastAsiaTheme="minorHAnsi"/>
          <w:sz w:val="24"/>
          <w:szCs w:val="32"/>
        </w:rPr>
        <w:t>Declaration Checklist for executives - Related party transaction identification</w:t>
      </w:r>
    </w:p>
    <w:p w:rsidR="00474984" w:rsidRPr="00892DE3" w:rsidRDefault="00474984" w:rsidP="00B03939"/>
    <w:tbl>
      <w:tblPr>
        <w:tblStyle w:val="DTFTextTable"/>
        <w:tblW w:w="9639"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6A0" w:firstRow="1" w:lastRow="0" w:firstColumn="1" w:lastColumn="0" w:noHBand="1" w:noVBand="1"/>
      </w:tblPr>
      <w:tblGrid>
        <w:gridCol w:w="3039"/>
        <w:gridCol w:w="3086"/>
        <w:gridCol w:w="3514"/>
      </w:tblGrid>
      <w:tr w:rsidR="00AD47C0" w:rsidRPr="00892DE3" w:rsidTr="00051D0D">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3039" w:type="dxa"/>
            <w:shd w:val="clear" w:color="auto" w:fill="BFBFBF" w:themeFill="background1" w:themeFillShade="BF"/>
            <w:vAlign w:val="center"/>
          </w:tcPr>
          <w:p w:rsidR="00AD47C0" w:rsidRPr="00BA1E01" w:rsidRDefault="00AD47C0" w:rsidP="00BA1E01">
            <w:pPr>
              <w:rPr>
                <w:b/>
                <w:i w:val="0"/>
                <w:szCs w:val="18"/>
              </w:rPr>
            </w:pPr>
            <w:r w:rsidRPr="00BA1E01">
              <w:rPr>
                <w:b/>
                <w:i w:val="0"/>
                <w:szCs w:val="18"/>
              </w:rPr>
              <w:t>Name of executive</w:t>
            </w:r>
          </w:p>
        </w:tc>
        <w:tc>
          <w:tcPr>
            <w:tcW w:w="6600" w:type="dxa"/>
            <w:gridSpan w:val="2"/>
            <w:shd w:val="clear" w:color="auto" w:fill="FFFFFF" w:themeFill="background1"/>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rPr>
                <w:szCs w:val="18"/>
              </w:rPr>
            </w:pPr>
          </w:p>
        </w:tc>
      </w:tr>
      <w:tr w:rsidR="00AD47C0" w:rsidRPr="00892DE3" w:rsidTr="00051D0D">
        <w:trPr>
          <w:trHeight w:val="682"/>
        </w:trPr>
        <w:tc>
          <w:tcPr>
            <w:cnfStyle w:val="001000000000" w:firstRow="0" w:lastRow="0" w:firstColumn="1" w:lastColumn="0" w:oddVBand="0" w:evenVBand="0" w:oddHBand="0" w:evenHBand="0" w:firstRowFirstColumn="0" w:firstRowLastColumn="0" w:lastRowFirstColumn="0" w:lastRowLastColumn="0"/>
            <w:tcW w:w="3039" w:type="dxa"/>
            <w:shd w:val="clear" w:color="auto" w:fill="BFBFBF" w:themeFill="background1" w:themeFillShade="BF"/>
            <w:vAlign w:val="center"/>
          </w:tcPr>
          <w:p w:rsidR="00AD47C0" w:rsidRPr="00BA1E01" w:rsidRDefault="00AD47C0" w:rsidP="00BA1E01">
            <w:pPr>
              <w:ind w:left="0" w:firstLine="0"/>
              <w:rPr>
                <w:b/>
                <w:szCs w:val="18"/>
              </w:rPr>
            </w:pPr>
            <w:r w:rsidRPr="00BA1E01">
              <w:rPr>
                <w:b/>
                <w:szCs w:val="18"/>
              </w:rPr>
              <w:t>Portfolio and entity name</w:t>
            </w:r>
          </w:p>
        </w:tc>
        <w:tc>
          <w:tcPr>
            <w:tcW w:w="6600" w:type="dxa"/>
            <w:gridSpan w:val="2"/>
          </w:tcPr>
          <w:p w:rsidR="00AD47C0" w:rsidRPr="00892DE3" w:rsidRDefault="00AD47C0" w:rsidP="00F042B6">
            <w:pPr>
              <w:cnfStyle w:val="000000000000" w:firstRow="0" w:lastRow="0" w:firstColumn="0" w:lastColumn="0" w:oddVBand="0" w:evenVBand="0" w:oddHBand="0" w:evenHBand="0" w:firstRowFirstColumn="0" w:firstRowLastColumn="0" w:lastRowFirstColumn="0" w:lastRowLastColumn="0"/>
              <w:rPr>
                <w:szCs w:val="18"/>
              </w:rPr>
            </w:pPr>
          </w:p>
        </w:tc>
      </w:tr>
      <w:tr w:rsidR="00BA1E01" w:rsidRPr="00892DE3" w:rsidTr="00EC0147">
        <w:trPr>
          <w:trHeight w:val="545"/>
        </w:trPr>
        <w:tc>
          <w:tcPr>
            <w:cnfStyle w:val="001000000000" w:firstRow="0" w:lastRow="0" w:firstColumn="1" w:lastColumn="0" w:oddVBand="0" w:evenVBand="0" w:oddHBand="0" w:evenHBand="0" w:firstRowFirstColumn="0" w:firstRowLastColumn="0" w:lastRowFirstColumn="0" w:lastRowLastColumn="0"/>
            <w:tcW w:w="3039" w:type="dxa"/>
            <w:shd w:val="clear" w:color="auto" w:fill="BFBFBF" w:themeFill="background1" w:themeFillShade="BF"/>
            <w:vAlign w:val="center"/>
          </w:tcPr>
          <w:p w:rsidR="00BA1E01" w:rsidRPr="00BA1E01" w:rsidRDefault="00BA1E01" w:rsidP="00BA1E01">
            <w:pPr>
              <w:ind w:left="0" w:firstLine="0"/>
              <w:rPr>
                <w:b/>
                <w:szCs w:val="18"/>
              </w:rPr>
            </w:pPr>
            <w:r w:rsidRPr="00BA1E01">
              <w:rPr>
                <w:b/>
                <w:szCs w:val="18"/>
              </w:rPr>
              <w:t>Period covered</w:t>
            </w:r>
          </w:p>
        </w:tc>
        <w:tc>
          <w:tcPr>
            <w:tcW w:w="3086" w:type="dxa"/>
          </w:tcPr>
          <w:p w:rsidR="00BA1E01" w:rsidRPr="00892DE3" w:rsidRDefault="003C212D" w:rsidP="00BA1E01">
            <w:pPr>
              <w:spacing w:line="480" w:lineRule="auto"/>
              <w:cnfStyle w:val="000000000000" w:firstRow="0" w:lastRow="0" w:firstColumn="0" w:lastColumn="0" w:oddVBand="0" w:evenVBand="0" w:oddHBand="0" w:evenHBand="0" w:firstRowFirstColumn="0" w:firstRowLastColumn="0" w:lastRowFirstColumn="0" w:lastRowLastColumn="0"/>
              <w:rPr>
                <w:szCs w:val="18"/>
              </w:rPr>
            </w:pPr>
            <w:sdt>
              <w:sdtPr>
                <w:id w:val="-1809396951"/>
                <w14:checkbox>
                  <w14:checked w14:val="0"/>
                  <w14:checkedState w14:val="2612" w14:font="MS Gothic"/>
                  <w14:uncheckedState w14:val="2610" w14:font="MS Gothic"/>
                </w14:checkbox>
              </w:sdtPr>
              <w:sdtEndPr/>
              <w:sdtContent>
                <w:r w:rsidR="00BA1E01" w:rsidRPr="00892DE3">
                  <w:rPr>
                    <w:rFonts w:ascii="MS Gothic" w:eastAsia="MS Gothic" w:hAnsi="MS Gothic" w:cs="MS Gothic" w:hint="eastAsia"/>
                    <w:szCs w:val="18"/>
                  </w:rPr>
                  <w:t>☐</w:t>
                </w:r>
              </w:sdtContent>
            </w:sdt>
            <w:r w:rsidR="00BA1E01" w:rsidRPr="00892DE3">
              <w:rPr>
                <w:szCs w:val="18"/>
              </w:rPr>
              <w:t xml:space="preserve"> First submission</w:t>
            </w:r>
          </w:p>
          <w:p w:rsidR="00BA1E01" w:rsidRPr="00892DE3" w:rsidRDefault="00BA1E01" w:rsidP="00BA1E01">
            <w:pPr>
              <w:spacing w:line="480" w:lineRule="auto"/>
              <w:cnfStyle w:val="000000000000" w:firstRow="0" w:lastRow="0" w:firstColumn="0" w:lastColumn="0" w:oddVBand="0" w:evenVBand="0" w:oddHBand="0" w:evenHBand="0" w:firstRowFirstColumn="0" w:firstRowLastColumn="0" w:lastRowFirstColumn="0" w:lastRowLastColumn="0"/>
              <w:rPr>
                <w:szCs w:val="18"/>
              </w:rPr>
            </w:pPr>
            <w:r w:rsidRPr="00892DE3">
              <w:rPr>
                <w:szCs w:val="18"/>
              </w:rPr>
              <w:t>1 July 2016 – 31 Mar 2017</w:t>
            </w:r>
          </w:p>
          <w:p w:rsidR="00BA1E01" w:rsidRPr="00892DE3" w:rsidRDefault="00BA1E01" w:rsidP="00BA1E01">
            <w:pPr>
              <w:spacing w:line="480" w:lineRule="auto"/>
              <w:cnfStyle w:val="000000000000" w:firstRow="0" w:lastRow="0" w:firstColumn="0" w:lastColumn="0" w:oddVBand="0" w:evenVBand="0" w:oddHBand="0" w:evenHBand="0" w:firstRowFirstColumn="0" w:firstRowLastColumn="0" w:lastRowFirstColumn="0" w:lastRowLastColumn="0"/>
              <w:rPr>
                <w:szCs w:val="18"/>
              </w:rPr>
            </w:pPr>
            <w:r w:rsidRPr="00892DE3">
              <w:rPr>
                <w:b/>
                <w:szCs w:val="18"/>
              </w:rPr>
              <w:t>Due: Friday 28 Apr 2017</w:t>
            </w:r>
          </w:p>
        </w:tc>
        <w:tc>
          <w:tcPr>
            <w:tcW w:w="3514" w:type="dxa"/>
          </w:tcPr>
          <w:p w:rsidR="00BA1E01" w:rsidRPr="00892DE3" w:rsidRDefault="003C212D" w:rsidP="00BA1E01">
            <w:pPr>
              <w:spacing w:line="480" w:lineRule="auto"/>
              <w:cnfStyle w:val="000000000000" w:firstRow="0" w:lastRow="0" w:firstColumn="0" w:lastColumn="0" w:oddVBand="0" w:evenVBand="0" w:oddHBand="0" w:evenHBand="0" w:firstRowFirstColumn="0" w:firstRowLastColumn="0" w:lastRowFirstColumn="0" w:lastRowLastColumn="0"/>
              <w:rPr>
                <w:szCs w:val="18"/>
              </w:rPr>
            </w:pPr>
            <w:sdt>
              <w:sdtPr>
                <w:id w:val="1187020272"/>
                <w14:checkbox>
                  <w14:checked w14:val="0"/>
                  <w14:checkedState w14:val="2612" w14:font="MS Gothic"/>
                  <w14:uncheckedState w14:val="2610" w14:font="MS Gothic"/>
                </w14:checkbox>
              </w:sdtPr>
              <w:sdtEndPr/>
              <w:sdtContent>
                <w:r w:rsidR="00EC0147">
                  <w:rPr>
                    <w:rFonts w:ascii="MS Gothic" w:eastAsia="MS Gothic" w:hAnsi="MS Gothic" w:hint="eastAsia"/>
                  </w:rPr>
                  <w:t>☐</w:t>
                </w:r>
              </w:sdtContent>
            </w:sdt>
            <w:r w:rsidR="00BA1E01" w:rsidRPr="00892DE3">
              <w:rPr>
                <w:szCs w:val="18"/>
              </w:rPr>
              <w:t xml:space="preserve"> Second submission</w:t>
            </w:r>
          </w:p>
          <w:p w:rsidR="00BA1E01" w:rsidRPr="00892DE3" w:rsidRDefault="00BA1E01" w:rsidP="00BA1E01">
            <w:pPr>
              <w:spacing w:line="480" w:lineRule="auto"/>
              <w:cnfStyle w:val="000000000000" w:firstRow="0" w:lastRow="0" w:firstColumn="0" w:lastColumn="0" w:oddVBand="0" w:evenVBand="0" w:oddHBand="0" w:evenHBand="0" w:firstRowFirstColumn="0" w:firstRowLastColumn="0" w:lastRowFirstColumn="0" w:lastRowLastColumn="0"/>
              <w:rPr>
                <w:szCs w:val="18"/>
              </w:rPr>
            </w:pPr>
            <w:r w:rsidRPr="00892DE3">
              <w:rPr>
                <w:szCs w:val="18"/>
              </w:rPr>
              <w:t>1 Apr 2017 – 30 Jun 2017</w:t>
            </w:r>
          </w:p>
          <w:p w:rsidR="00BA1E01" w:rsidRPr="00892DE3" w:rsidRDefault="00BA1E01" w:rsidP="00BA1E01">
            <w:pPr>
              <w:spacing w:line="480" w:lineRule="auto"/>
              <w:cnfStyle w:val="000000000000" w:firstRow="0" w:lastRow="0" w:firstColumn="0" w:lastColumn="0" w:oddVBand="0" w:evenVBand="0" w:oddHBand="0" w:evenHBand="0" w:firstRowFirstColumn="0" w:firstRowLastColumn="0" w:lastRowFirstColumn="0" w:lastRowLastColumn="0"/>
              <w:rPr>
                <w:b/>
                <w:szCs w:val="18"/>
              </w:rPr>
            </w:pPr>
            <w:r w:rsidRPr="00892DE3">
              <w:rPr>
                <w:b/>
                <w:szCs w:val="18"/>
              </w:rPr>
              <w:t>Due: Friday 14 Jul 2017</w:t>
            </w:r>
          </w:p>
        </w:tc>
      </w:tr>
      <w:tr w:rsidR="00AD47C0" w:rsidRPr="00892DE3" w:rsidTr="00051D0D">
        <w:trPr>
          <w:trHeight w:val="998"/>
        </w:trPr>
        <w:tc>
          <w:tcPr>
            <w:cnfStyle w:val="001000000000" w:firstRow="0" w:lastRow="0" w:firstColumn="1" w:lastColumn="0" w:oddVBand="0" w:evenVBand="0" w:oddHBand="0" w:evenHBand="0" w:firstRowFirstColumn="0" w:firstRowLastColumn="0" w:lastRowFirstColumn="0" w:lastRowLastColumn="0"/>
            <w:tcW w:w="3039" w:type="dxa"/>
            <w:shd w:val="clear" w:color="auto" w:fill="BFBFBF" w:themeFill="background1" w:themeFillShade="BF"/>
            <w:vAlign w:val="center"/>
          </w:tcPr>
          <w:p w:rsidR="00AD47C0" w:rsidRPr="00BA1E01" w:rsidRDefault="00AD47C0" w:rsidP="00BA1E01">
            <w:pPr>
              <w:spacing w:before="0"/>
              <w:ind w:left="0" w:firstLine="0"/>
              <w:rPr>
                <w:b/>
                <w:i/>
                <w:szCs w:val="18"/>
              </w:rPr>
            </w:pPr>
            <w:r w:rsidRPr="00BA1E01">
              <w:rPr>
                <w:b/>
                <w:i/>
                <w:szCs w:val="18"/>
              </w:rPr>
              <w:t>Or alternative reporting period:</w:t>
            </w:r>
          </w:p>
        </w:tc>
        <w:tc>
          <w:tcPr>
            <w:tcW w:w="6600" w:type="dxa"/>
            <w:gridSpan w:val="2"/>
            <w:vAlign w:val="center"/>
          </w:tcPr>
          <w:p w:rsidR="00AD47C0" w:rsidRDefault="00AD47C0" w:rsidP="00BA1E01">
            <w:pPr>
              <w:spacing w:before="0"/>
              <w:cnfStyle w:val="000000000000" w:firstRow="0" w:lastRow="0" w:firstColumn="0" w:lastColumn="0" w:oddVBand="0" w:evenVBand="0" w:oddHBand="0" w:evenHBand="0" w:firstRowFirstColumn="0" w:firstRowLastColumn="0" w:lastRowFirstColumn="0" w:lastRowLastColumn="0"/>
              <w:rPr>
                <w:i/>
                <w:szCs w:val="18"/>
              </w:rPr>
            </w:pPr>
            <w:r w:rsidRPr="00892DE3">
              <w:rPr>
                <w:i/>
                <w:szCs w:val="18"/>
              </w:rPr>
              <w:t>(please state the alternative reporting period covered)</w:t>
            </w:r>
          </w:p>
          <w:p w:rsidR="00567370" w:rsidRDefault="00567370" w:rsidP="00BA1E01">
            <w:pPr>
              <w:spacing w:before="0"/>
              <w:cnfStyle w:val="000000000000" w:firstRow="0" w:lastRow="0" w:firstColumn="0" w:lastColumn="0" w:oddVBand="0" w:evenVBand="0" w:oddHBand="0" w:evenHBand="0" w:firstRowFirstColumn="0" w:firstRowLastColumn="0" w:lastRowFirstColumn="0" w:lastRowLastColumn="0"/>
              <w:rPr>
                <w:i/>
                <w:szCs w:val="18"/>
              </w:rPr>
            </w:pPr>
          </w:p>
          <w:p w:rsidR="00567370" w:rsidRDefault="00567370" w:rsidP="00BA1E01">
            <w:pPr>
              <w:spacing w:before="0"/>
              <w:cnfStyle w:val="000000000000" w:firstRow="0" w:lastRow="0" w:firstColumn="0" w:lastColumn="0" w:oddVBand="0" w:evenVBand="0" w:oddHBand="0" w:evenHBand="0" w:firstRowFirstColumn="0" w:firstRowLastColumn="0" w:lastRowFirstColumn="0" w:lastRowLastColumn="0"/>
              <w:rPr>
                <w:i/>
                <w:szCs w:val="18"/>
              </w:rPr>
            </w:pPr>
          </w:p>
          <w:p w:rsidR="00567370" w:rsidRPr="00BA1E01" w:rsidRDefault="00567370" w:rsidP="00BA1E01">
            <w:pPr>
              <w:spacing w:before="0"/>
              <w:cnfStyle w:val="000000000000" w:firstRow="0" w:lastRow="0" w:firstColumn="0" w:lastColumn="0" w:oddVBand="0" w:evenVBand="0" w:oddHBand="0" w:evenHBand="0" w:firstRowFirstColumn="0" w:firstRowLastColumn="0" w:lastRowFirstColumn="0" w:lastRowLastColumn="0"/>
              <w:rPr>
                <w:i/>
                <w:szCs w:val="18"/>
              </w:rPr>
            </w:pPr>
          </w:p>
        </w:tc>
      </w:tr>
    </w:tbl>
    <w:p w:rsidR="00AD47C0" w:rsidRPr="00892DE3" w:rsidRDefault="00AD47C0" w:rsidP="00AD47C0">
      <w:pPr>
        <w:keepLines w:val="0"/>
        <w:spacing w:line="240" w:lineRule="atLeast"/>
        <w:rPr>
          <w:rFonts w:asciiTheme="majorHAnsi" w:hAnsiTheme="majorHAnsi"/>
        </w:rPr>
      </w:pPr>
    </w:p>
    <w:p w:rsidR="00AD47C0" w:rsidRPr="00892DE3" w:rsidRDefault="00AD47C0" w:rsidP="00474984">
      <w:pPr>
        <w:keepLines w:val="0"/>
        <w:spacing w:line="276" w:lineRule="auto"/>
        <w:rPr>
          <w:rFonts w:asciiTheme="majorHAnsi" w:hAnsiTheme="majorHAnsi"/>
        </w:rPr>
      </w:pPr>
      <w:r w:rsidRPr="00892DE3">
        <w:rPr>
          <w:rFonts w:asciiTheme="majorHAnsi" w:hAnsiTheme="majorHAnsi"/>
        </w:rPr>
        <w:t>Did you, your close family members</w:t>
      </w:r>
      <w:r w:rsidR="008B71C4">
        <w:rPr>
          <w:rStyle w:val="FootnoteReference"/>
          <w:rFonts w:asciiTheme="majorHAnsi" w:hAnsiTheme="majorHAnsi"/>
        </w:rPr>
        <w:footnoteReference w:id="5"/>
      </w:r>
      <w:r w:rsidRPr="00892DE3">
        <w:rPr>
          <w:rFonts w:asciiTheme="majorHAnsi" w:hAnsiTheme="majorHAnsi"/>
        </w:rPr>
        <w:t xml:space="preserve"> or entities controlled</w:t>
      </w:r>
      <w:r w:rsidR="008B71C4">
        <w:rPr>
          <w:rStyle w:val="FootnoteReference"/>
          <w:rFonts w:asciiTheme="majorHAnsi" w:hAnsiTheme="majorHAnsi"/>
        </w:rPr>
        <w:footnoteReference w:id="6"/>
      </w:r>
      <w:r w:rsidRPr="00892DE3">
        <w:rPr>
          <w:rFonts w:asciiTheme="majorHAnsi" w:hAnsiTheme="majorHAnsi"/>
        </w:rPr>
        <w:t xml:space="preserve"> or jointly controlled by you or a close family member have any related party transactions with the entity that you are a KMP of, or any entity controlled by the entity that you are a KMP of, during the year ended 30 June 201X? </w:t>
      </w:r>
      <w:r w:rsidRPr="00892DE3">
        <w:rPr>
          <w:rFonts w:asciiTheme="majorHAnsi" w:hAnsiTheme="majorHAnsi"/>
          <w:b/>
        </w:rPr>
        <w:t>Please declare all related party transactions, noting that typical citizen transactions</w:t>
      </w:r>
      <w:r w:rsidR="008B71C4">
        <w:rPr>
          <w:rStyle w:val="FootnoteReference"/>
          <w:rFonts w:asciiTheme="majorHAnsi" w:hAnsiTheme="majorHAnsi"/>
          <w:b/>
        </w:rPr>
        <w:footnoteReference w:id="7"/>
      </w:r>
      <w:r w:rsidRPr="00892DE3">
        <w:rPr>
          <w:rFonts w:asciiTheme="majorHAnsi" w:hAnsiTheme="majorHAnsi"/>
          <w:b/>
        </w:rPr>
        <w:t xml:space="preserve"> </w:t>
      </w:r>
      <w:r w:rsidR="00BD57B8" w:rsidRPr="00892DE3">
        <w:rPr>
          <w:rFonts w:asciiTheme="majorHAnsi" w:hAnsiTheme="majorHAnsi"/>
          <w:b/>
        </w:rPr>
        <w:t>are not required to be declared.</w:t>
      </w:r>
      <w:r w:rsidRPr="00892DE3">
        <w:rPr>
          <w:rFonts w:asciiTheme="majorHAnsi" w:hAnsiTheme="majorHAnsi"/>
        </w:rPr>
        <w:t xml:space="preserve"> </w:t>
      </w:r>
      <w:r w:rsidR="00BD57B8" w:rsidRPr="00892DE3">
        <w:rPr>
          <w:rFonts w:asciiTheme="majorHAnsi" w:hAnsiTheme="majorHAnsi"/>
        </w:rPr>
        <w:t xml:space="preserve">(Please refer to the definitions and guidance </w:t>
      </w:r>
      <w:r w:rsidR="00845DC8">
        <w:rPr>
          <w:rFonts w:asciiTheme="majorHAnsi" w:hAnsiTheme="majorHAnsi"/>
        </w:rPr>
        <w:t>on page 291</w:t>
      </w:r>
      <w:r w:rsidR="00BD57B8" w:rsidRPr="00892DE3">
        <w:rPr>
          <w:rFonts w:asciiTheme="majorHAnsi" w:hAnsiTheme="majorHAnsi"/>
        </w:rPr>
        <w:t xml:space="preserve"> for further details).</w:t>
      </w:r>
    </w:p>
    <w:p w:rsidR="00AD47C0" w:rsidRPr="00892DE3" w:rsidRDefault="00AD47C0" w:rsidP="00474984">
      <w:pPr>
        <w:keepLines w:val="0"/>
        <w:spacing w:line="276" w:lineRule="auto"/>
        <w:rPr>
          <w:rFonts w:asciiTheme="majorHAnsi" w:hAnsiTheme="majorHAnsi"/>
        </w:rPr>
      </w:pPr>
      <w:r w:rsidRPr="00892DE3">
        <w:rPr>
          <w:rFonts w:asciiTheme="majorHAnsi" w:hAnsiTheme="majorHAnsi"/>
        </w:rPr>
        <w:t xml:space="preserve">In using this checklist, if you answer ‘yes’ to any of the following questions, then those transactions must be declared. The objective of the checklist is to assist you with identifying related party transactions that need to be declared in the following declaration form. Questions 1 to 9 are designed to broaden your consideration of transactions that are non-standard transactions or agreements, and Question 10 requires declaration of standard commercial transactions to which a </w:t>
      </w:r>
      <w:r w:rsidRPr="00892DE3">
        <w:rPr>
          <w:rFonts w:asciiTheme="majorHAnsi" w:hAnsiTheme="majorHAnsi"/>
          <w:b/>
        </w:rPr>
        <w:t>threshold of $100 000 (excl. GST)</w:t>
      </w:r>
      <w:r w:rsidRPr="00892DE3">
        <w:rPr>
          <w:rFonts w:asciiTheme="majorHAnsi" w:hAnsiTheme="majorHAnsi"/>
        </w:rPr>
        <w:t xml:space="preserve"> may be applied in an effort to ease the reporting burden on KMPs.   </w:t>
      </w:r>
    </w:p>
    <w:p w:rsidR="00AD47C0" w:rsidRPr="00892DE3" w:rsidRDefault="00AD47C0" w:rsidP="00474984">
      <w:pPr>
        <w:keepLines w:val="0"/>
        <w:spacing w:line="276" w:lineRule="auto"/>
        <w:rPr>
          <w:rFonts w:asciiTheme="majorHAnsi" w:hAnsiTheme="majorHAnsi"/>
        </w:rPr>
      </w:pPr>
      <w:r w:rsidRPr="00892DE3">
        <w:rPr>
          <w:rFonts w:asciiTheme="majorHAnsi" w:hAnsiTheme="majorHAnsi"/>
        </w:rPr>
        <w:t xml:space="preserve">If in doubt, you are encouraged to declare the transaction, as your reporting entity will assist in determining whether disclosure of the transaction is required, to minimise the risk of potential omissions of transactions that should be declared. </w:t>
      </w:r>
    </w:p>
    <w:p w:rsidR="00B03939" w:rsidRPr="00892DE3" w:rsidRDefault="00AD47C0" w:rsidP="00474984">
      <w:pPr>
        <w:spacing w:line="276" w:lineRule="auto"/>
        <w:rPr>
          <w:rFonts w:asciiTheme="majorHAnsi" w:hAnsiTheme="majorHAnsi"/>
        </w:rPr>
      </w:pPr>
      <w:r w:rsidRPr="00892DE3">
        <w:rPr>
          <w:rFonts w:asciiTheme="majorHAnsi" w:hAnsiTheme="majorHAnsi"/>
        </w:rPr>
        <w:t>It should be noted that during the normal course of VAGO audits and entity management due diligence, related party transactions below $100 000 may be identified which may warrant disclosure in an entity’s financial report, as materiality must be assessed on an entity-by-entity basis. Should such transactions be identified, any information relating to executives and their related parties that are proposed to be disclosed by entities in their financial reports will be submitted to the relevant executive for review and approval prior to finalisation of the relevant entity’s related party disclosure.</w:t>
      </w:r>
    </w:p>
    <w:p w:rsidR="00BA1E01" w:rsidRDefault="00BA1E01">
      <w:pPr>
        <w:keepLines w:val="0"/>
        <w:rPr>
          <w:rFonts w:asciiTheme="majorHAnsi" w:hAnsiTheme="majorHAnsi"/>
        </w:rPr>
      </w:pPr>
      <w:r>
        <w:rPr>
          <w:rFonts w:asciiTheme="majorHAnsi" w:hAnsiTheme="majorHAnsi"/>
        </w:rPr>
        <w:br w:type="page"/>
      </w:r>
    </w:p>
    <w:p w:rsidR="00AD47C0" w:rsidRPr="00892DE3" w:rsidRDefault="00AD47C0" w:rsidP="00AD47C0">
      <w:pPr>
        <w:rPr>
          <w:rFonts w:asciiTheme="majorHAnsi" w:hAnsiTheme="majorHAnsi"/>
        </w:rPr>
      </w:pPr>
    </w:p>
    <w:tbl>
      <w:tblPr>
        <w:tblStyle w:val="DTFtexttable0"/>
        <w:tblW w:w="9696" w:type="dxa"/>
        <w:tblBorders>
          <w:bottom w:val="single" w:sz="12" w:space="0" w:color="000000" w:themeColor="text1"/>
        </w:tblBorders>
        <w:tblLayout w:type="fixed"/>
        <w:tblLook w:val="0620" w:firstRow="1" w:lastRow="0" w:firstColumn="0" w:lastColumn="0" w:noHBand="1" w:noVBand="1"/>
      </w:tblPr>
      <w:tblGrid>
        <w:gridCol w:w="4197"/>
        <w:gridCol w:w="900"/>
        <w:gridCol w:w="900"/>
        <w:gridCol w:w="3699"/>
      </w:tblGrid>
      <w:tr w:rsidR="00571F08" w:rsidRPr="00BA1E01" w:rsidTr="00BA1E01">
        <w:trPr>
          <w:cnfStyle w:val="100000000000" w:firstRow="1" w:lastRow="0" w:firstColumn="0" w:lastColumn="0" w:oddVBand="0" w:evenVBand="0" w:oddHBand="0" w:evenHBand="0" w:firstRowFirstColumn="0" w:firstRowLastColumn="0" w:lastRowFirstColumn="0" w:lastRowLastColumn="0"/>
          <w:tblHeader/>
        </w:trPr>
        <w:tc>
          <w:tcPr>
            <w:tcW w:w="4197" w:type="dxa"/>
            <w:vMerge w:val="restart"/>
            <w:shd w:val="clear" w:color="auto" w:fill="404040" w:themeFill="text1" w:themeFillTint="BF"/>
          </w:tcPr>
          <w:p w:rsidR="00AD47C0" w:rsidRPr="00BA1E01" w:rsidRDefault="00AD47C0" w:rsidP="00571F08">
            <w:pPr>
              <w:rPr>
                <w:color w:val="FFFFFF" w:themeColor="background1"/>
                <w:sz w:val="18"/>
                <w:szCs w:val="18"/>
              </w:rPr>
            </w:pPr>
            <w:r w:rsidRPr="00BA1E01">
              <w:rPr>
                <w:color w:val="FFFFFF" w:themeColor="background1"/>
                <w:sz w:val="18"/>
                <w:szCs w:val="18"/>
              </w:rPr>
              <w:t>Question</w:t>
            </w:r>
          </w:p>
        </w:tc>
        <w:tc>
          <w:tcPr>
            <w:tcW w:w="1800" w:type="dxa"/>
            <w:gridSpan w:val="2"/>
            <w:shd w:val="clear" w:color="auto" w:fill="404040" w:themeFill="text1" w:themeFillTint="BF"/>
          </w:tcPr>
          <w:p w:rsidR="00AD47C0" w:rsidRPr="00BA1E01" w:rsidRDefault="00AD47C0" w:rsidP="00571F08">
            <w:pPr>
              <w:jc w:val="center"/>
              <w:rPr>
                <w:color w:val="FFFFFF" w:themeColor="background1"/>
                <w:sz w:val="18"/>
                <w:szCs w:val="18"/>
              </w:rPr>
            </w:pPr>
            <w:r w:rsidRPr="00BA1E01">
              <w:rPr>
                <w:color w:val="FFFFFF" w:themeColor="background1"/>
                <w:sz w:val="18"/>
                <w:szCs w:val="18"/>
              </w:rPr>
              <w:t>Please tick your response below</w:t>
            </w:r>
          </w:p>
        </w:tc>
        <w:tc>
          <w:tcPr>
            <w:tcW w:w="3699" w:type="dxa"/>
            <w:vMerge w:val="restart"/>
            <w:shd w:val="clear" w:color="auto" w:fill="404040" w:themeFill="text1" w:themeFillTint="BF"/>
          </w:tcPr>
          <w:p w:rsidR="00AD47C0" w:rsidRPr="00BA1E01" w:rsidRDefault="00AD47C0" w:rsidP="00571F08">
            <w:pPr>
              <w:rPr>
                <w:color w:val="FFFFFF" w:themeColor="background1"/>
                <w:sz w:val="18"/>
                <w:szCs w:val="18"/>
              </w:rPr>
            </w:pPr>
            <w:r w:rsidRPr="00BA1E01">
              <w:rPr>
                <w:color w:val="FFFFFF" w:themeColor="background1"/>
                <w:sz w:val="18"/>
                <w:szCs w:val="18"/>
              </w:rPr>
              <w:t>Instructions</w:t>
            </w:r>
          </w:p>
        </w:tc>
      </w:tr>
      <w:tr w:rsidR="00571F08" w:rsidRPr="00BA1E01" w:rsidTr="00BA1E01">
        <w:trPr>
          <w:cnfStyle w:val="100000000000" w:firstRow="1" w:lastRow="0" w:firstColumn="0" w:lastColumn="0" w:oddVBand="0" w:evenVBand="0" w:oddHBand="0" w:evenHBand="0" w:firstRowFirstColumn="0" w:firstRowLastColumn="0" w:lastRowFirstColumn="0" w:lastRowLastColumn="0"/>
          <w:trHeight w:val="318"/>
          <w:tblHeader/>
        </w:trPr>
        <w:tc>
          <w:tcPr>
            <w:tcW w:w="4197" w:type="dxa"/>
            <w:vMerge/>
            <w:tcBorders>
              <w:bottom w:val="nil"/>
            </w:tcBorders>
            <w:shd w:val="clear" w:color="auto" w:fill="000000" w:themeFill="text1"/>
          </w:tcPr>
          <w:p w:rsidR="00AD47C0" w:rsidRPr="00BA1E01" w:rsidRDefault="00AD47C0" w:rsidP="00571F08">
            <w:pPr>
              <w:jc w:val="center"/>
              <w:rPr>
                <w:b w:val="0"/>
                <w:i/>
                <w:color w:val="FFFFFF" w:themeColor="background1"/>
                <w:sz w:val="18"/>
                <w:szCs w:val="18"/>
              </w:rPr>
            </w:pPr>
          </w:p>
        </w:tc>
        <w:tc>
          <w:tcPr>
            <w:tcW w:w="900" w:type="dxa"/>
            <w:tcBorders>
              <w:bottom w:val="nil"/>
            </w:tcBorders>
            <w:shd w:val="clear" w:color="auto" w:fill="404040" w:themeFill="text1" w:themeFillTint="BF"/>
          </w:tcPr>
          <w:p w:rsidR="00AD47C0" w:rsidRPr="00BA1E01" w:rsidRDefault="00AD47C0" w:rsidP="00571F08">
            <w:pPr>
              <w:jc w:val="center"/>
              <w:rPr>
                <w:i/>
                <w:color w:val="FFFFFF" w:themeColor="background1"/>
                <w:sz w:val="18"/>
                <w:szCs w:val="18"/>
              </w:rPr>
            </w:pPr>
            <w:r w:rsidRPr="00BA1E01">
              <w:rPr>
                <w:i/>
                <w:color w:val="FFFFFF" w:themeColor="background1"/>
                <w:sz w:val="18"/>
                <w:szCs w:val="18"/>
              </w:rPr>
              <w:t>Yes</w:t>
            </w:r>
          </w:p>
        </w:tc>
        <w:tc>
          <w:tcPr>
            <w:tcW w:w="900" w:type="dxa"/>
            <w:tcBorders>
              <w:bottom w:val="nil"/>
            </w:tcBorders>
            <w:shd w:val="clear" w:color="auto" w:fill="404040" w:themeFill="text1" w:themeFillTint="BF"/>
          </w:tcPr>
          <w:p w:rsidR="00AD47C0" w:rsidRPr="00BA1E01" w:rsidRDefault="00AD47C0" w:rsidP="00571F08">
            <w:pPr>
              <w:jc w:val="center"/>
              <w:rPr>
                <w:i/>
                <w:color w:val="FFFFFF" w:themeColor="background1"/>
                <w:sz w:val="18"/>
                <w:szCs w:val="18"/>
              </w:rPr>
            </w:pPr>
            <w:r w:rsidRPr="00BA1E01">
              <w:rPr>
                <w:i/>
                <w:color w:val="FFFFFF" w:themeColor="background1"/>
                <w:sz w:val="18"/>
                <w:szCs w:val="18"/>
              </w:rPr>
              <w:t>No</w:t>
            </w:r>
          </w:p>
        </w:tc>
        <w:tc>
          <w:tcPr>
            <w:tcW w:w="3699" w:type="dxa"/>
            <w:vMerge/>
            <w:tcBorders>
              <w:bottom w:val="nil"/>
            </w:tcBorders>
            <w:shd w:val="clear" w:color="auto" w:fill="000000" w:themeFill="text1"/>
          </w:tcPr>
          <w:p w:rsidR="00AD47C0" w:rsidRPr="00BA1E01" w:rsidRDefault="00AD47C0" w:rsidP="00571F08">
            <w:pPr>
              <w:jc w:val="center"/>
              <w:rPr>
                <w:b w:val="0"/>
                <w:i/>
                <w:color w:val="FFFFFF" w:themeColor="background1"/>
                <w:sz w:val="18"/>
                <w:szCs w:val="18"/>
              </w:rPr>
            </w:pPr>
          </w:p>
        </w:tc>
      </w:tr>
      <w:tr w:rsidR="00AD47C0" w:rsidRPr="00BA1E01" w:rsidTr="00B03939">
        <w:tc>
          <w:tcPr>
            <w:tcW w:w="4197" w:type="dxa"/>
            <w:tcBorders>
              <w:bottom w:val="single" w:sz="4" w:space="0" w:color="808080" w:themeColor="background1" w:themeShade="80"/>
            </w:tcBorders>
          </w:tcPr>
          <w:p w:rsidR="00AD47C0" w:rsidRPr="00BA1E01" w:rsidRDefault="00AD47C0" w:rsidP="0052741D">
            <w:pPr>
              <w:pStyle w:val="ListNumber"/>
              <w:numPr>
                <w:ilvl w:val="0"/>
                <w:numId w:val="42"/>
              </w:numPr>
              <w:rPr>
                <w:sz w:val="18"/>
                <w:szCs w:val="18"/>
              </w:rPr>
            </w:pPr>
            <w:r w:rsidRPr="00BA1E01">
              <w:rPr>
                <w:sz w:val="18"/>
                <w:szCs w:val="18"/>
              </w:rPr>
              <w:t xml:space="preserve">Are you, or any of your </w:t>
            </w:r>
            <w:r w:rsidRPr="00567370">
              <w:rPr>
                <w:b/>
                <w:sz w:val="18"/>
                <w:szCs w:val="18"/>
              </w:rPr>
              <w:t>close family members employed</w:t>
            </w:r>
            <w:r w:rsidRPr="00BA1E01">
              <w:rPr>
                <w:sz w:val="18"/>
                <w:szCs w:val="18"/>
              </w:rPr>
              <w:t xml:space="preserve"> in a </w:t>
            </w:r>
            <w:r w:rsidRPr="00567370">
              <w:rPr>
                <w:b/>
                <w:sz w:val="18"/>
                <w:szCs w:val="18"/>
              </w:rPr>
              <w:t>senior position</w:t>
            </w:r>
            <w:r w:rsidRPr="00BA1E01">
              <w:rPr>
                <w:sz w:val="18"/>
                <w:szCs w:val="18"/>
              </w:rPr>
              <w:t xml:space="preserve"> by any Victorian Government entity in the current declaration period?</w:t>
            </w:r>
          </w:p>
          <w:p w:rsidR="00AD47C0" w:rsidRPr="00BA1E01" w:rsidRDefault="00AD47C0" w:rsidP="00B03939">
            <w:pPr>
              <w:pStyle w:val="ListContinue"/>
              <w:rPr>
                <w:rFonts w:asciiTheme="majorHAnsi" w:hAnsiTheme="majorHAnsi"/>
                <w:sz w:val="18"/>
                <w:szCs w:val="18"/>
              </w:rPr>
            </w:pPr>
            <w:r w:rsidRPr="00BA1E01">
              <w:rPr>
                <w:sz w:val="18"/>
                <w:szCs w:val="18"/>
              </w:rPr>
              <w:t>A senior position is a position that has decision making responsibility of a KMP of an entity.</w:t>
            </w:r>
          </w:p>
        </w:tc>
        <w:tc>
          <w:tcPr>
            <w:tcW w:w="900" w:type="dxa"/>
            <w:tcBorders>
              <w:bottom w:val="single" w:sz="4" w:space="0" w:color="808080" w:themeColor="background1" w:themeShade="80"/>
            </w:tcBorders>
          </w:tcPr>
          <w:p w:rsidR="00AD47C0"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Borders>
              <w:bottom w:val="single" w:sz="4" w:space="0" w:color="808080" w:themeColor="background1" w:themeShade="80"/>
            </w:tcBorders>
          </w:tcPr>
          <w:p w:rsidR="00AD47C0"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3699" w:type="dxa"/>
            <w:tcBorders>
              <w:bottom w:val="single" w:sz="4" w:space="0" w:color="808080" w:themeColor="background1" w:themeShade="80"/>
            </w:tcBorders>
          </w:tcPr>
          <w:p w:rsidR="00AD47C0" w:rsidRPr="00BA1E01" w:rsidRDefault="00AD47C0" w:rsidP="00F042B6">
            <w:pPr>
              <w:rPr>
                <w:rFonts w:asciiTheme="majorHAnsi" w:hAnsiTheme="majorHAnsi"/>
                <w:sz w:val="18"/>
                <w:szCs w:val="18"/>
              </w:rPr>
            </w:pPr>
            <w:r w:rsidRPr="00BA1E01">
              <w:rPr>
                <w:rFonts w:asciiTheme="majorHAnsi" w:hAnsiTheme="majorHAnsi"/>
                <w:sz w:val="18"/>
                <w:szCs w:val="18"/>
              </w:rPr>
              <w:t>If you have answered yes, please provide:</w:t>
            </w:r>
          </w:p>
          <w:p w:rsidR="00AD47C0" w:rsidRPr="00BA1E01" w:rsidRDefault="00AD47C0" w:rsidP="00571F08">
            <w:pPr>
              <w:pStyle w:val="ListBullet"/>
              <w:rPr>
                <w:sz w:val="18"/>
                <w:szCs w:val="18"/>
              </w:rPr>
            </w:pPr>
            <w:r w:rsidRPr="00BA1E01">
              <w:rPr>
                <w:sz w:val="18"/>
                <w:szCs w:val="18"/>
              </w:rPr>
              <w:t xml:space="preserve">details of your position and the department or agency you are employed by; </w:t>
            </w:r>
          </w:p>
          <w:p w:rsidR="00AD47C0" w:rsidRPr="00BA1E01" w:rsidRDefault="00AD47C0" w:rsidP="00571F08">
            <w:pPr>
              <w:pStyle w:val="ListBullet"/>
              <w:rPr>
                <w:sz w:val="18"/>
                <w:szCs w:val="18"/>
              </w:rPr>
            </w:pPr>
            <w:r w:rsidRPr="00BA1E01">
              <w:rPr>
                <w:sz w:val="18"/>
                <w:szCs w:val="18"/>
              </w:rPr>
              <w:t>details of your close family member, their position and the department or agency they are employed by and any involvement that you may have had in their appointment (if applicable); and</w:t>
            </w:r>
          </w:p>
          <w:p w:rsidR="00AD47C0" w:rsidRPr="00BA1E01" w:rsidRDefault="00AD47C0" w:rsidP="00571F08">
            <w:pPr>
              <w:pStyle w:val="ListBullet"/>
              <w:rPr>
                <w:sz w:val="18"/>
                <w:szCs w:val="18"/>
              </w:rPr>
            </w:pPr>
            <w:r w:rsidRPr="00BA1E01">
              <w:rPr>
                <w:sz w:val="18"/>
                <w:szCs w:val="18"/>
              </w:rPr>
              <w:t xml:space="preserve">details of any transactions </w:t>
            </w:r>
            <w:r w:rsidRPr="00567370">
              <w:rPr>
                <w:b/>
                <w:sz w:val="18"/>
                <w:szCs w:val="18"/>
              </w:rPr>
              <w:t>influenced by the existence of the relationships</w:t>
            </w:r>
            <w:r w:rsidRPr="00BA1E01">
              <w:rPr>
                <w:sz w:val="18"/>
                <w:szCs w:val="18"/>
              </w:rPr>
              <w:t xml:space="preserve"> between the entities that you are KMP of and/or the entity that your close family member is employed by. Please provide details of the transaction in the form provided (e.g. nature of transaction, amount, terms and conditions of transaction, etc.).</w:t>
            </w:r>
          </w:p>
        </w:tc>
      </w:tr>
      <w:tr w:rsidR="00AD47C0" w:rsidRPr="00BA1E01" w:rsidTr="00EC0147">
        <w:tc>
          <w:tcPr>
            <w:tcW w:w="4197"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AD47C0" w:rsidRPr="00BA1E01" w:rsidRDefault="00AD47C0" w:rsidP="00571F08">
            <w:pPr>
              <w:pStyle w:val="ListNumber"/>
              <w:rPr>
                <w:sz w:val="18"/>
                <w:szCs w:val="18"/>
              </w:rPr>
            </w:pPr>
            <w:r w:rsidRPr="00BA1E01">
              <w:rPr>
                <w:sz w:val="18"/>
                <w:szCs w:val="18"/>
              </w:rPr>
              <w:t xml:space="preserve">Have you, your close family members, or entities controlled or jointly controlled by you or your close family members had a transaction that was </w:t>
            </w:r>
            <w:r w:rsidRPr="00BA1E01">
              <w:rPr>
                <w:b/>
                <w:sz w:val="18"/>
                <w:szCs w:val="18"/>
              </w:rPr>
              <w:t>a non-standard contract or agreement</w:t>
            </w:r>
            <w:r w:rsidRPr="00BA1E01">
              <w:rPr>
                <w:sz w:val="18"/>
                <w:szCs w:val="18"/>
              </w:rPr>
              <w:t xml:space="preserve"> with the entity that you are a KMP of, or any entity controlled by the entity that you are a KMP of?</w:t>
            </w:r>
          </w:p>
        </w:tc>
        <w:tc>
          <w:tcPr>
            <w:tcW w:w="900"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AD47C0"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AD47C0"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3699"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AD47C0" w:rsidRPr="00BA1E01" w:rsidRDefault="00AD47C0"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p w:rsidR="00AD47C0" w:rsidRPr="00BA1E01" w:rsidRDefault="00AD47C0" w:rsidP="00F042B6">
            <w:pPr>
              <w:rPr>
                <w:rFonts w:asciiTheme="majorHAnsi" w:hAnsiTheme="majorHAnsi"/>
                <w:sz w:val="18"/>
                <w:szCs w:val="18"/>
              </w:rPr>
            </w:pPr>
            <w:r w:rsidRPr="00BA1E01">
              <w:rPr>
                <w:rFonts w:asciiTheme="majorHAnsi" w:hAnsiTheme="majorHAnsi"/>
                <w:sz w:val="18"/>
                <w:szCs w:val="18"/>
              </w:rPr>
              <w:t>A non-standard contract or agreement has terms that have been varied or negotiated on more favourable terms than generally contracted at arms-length with other suppliers.</w:t>
            </w:r>
          </w:p>
        </w:tc>
      </w:tr>
      <w:tr w:rsidR="00B03939" w:rsidRPr="00BA1E01" w:rsidTr="00B03939">
        <w:tc>
          <w:tcPr>
            <w:tcW w:w="4197" w:type="dxa"/>
            <w:tcBorders>
              <w:top w:val="single" w:sz="4" w:space="0" w:color="808080" w:themeColor="background1" w:themeShade="80"/>
              <w:bottom w:val="single" w:sz="4" w:space="0" w:color="808080" w:themeColor="background1" w:themeShade="80"/>
            </w:tcBorders>
          </w:tcPr>
          <w:p w:rsidR="00B03939" w:rsidRPr="00BA1E01" w:rsidRDefault="00B03939" w:rsidP="00571F08">
            <w:pPr>
              <w:pStyle w:val="ListNumber"/>
              <w:rPr>
                <w:sz w:val="18"/>
                <w:szCs w:val="18"/>
              </w:rPr>
            </w:pPr>
            <w:r w:rsidRPr="00BA1E01">
              <w:rPr>
                <w:sz w:val="18"/>
                <w:szCs w:val="18"/>
              </w:rPr>
              <w:t xml:space="preserve">Have you, your close family members, or entities controlled or jointly controlled by you or your close family members received or provided any </w:t>
            </w:r>
            <w:r w:rsidRPr="00BA1E01">
              <w:rPr>
                <w:b/>
                <w:sz w:val="18"/>
                <w:szCs w:val="18"/>
              </w:rPr>
              <w:t>transfers under finance arrangement</w:t>
            </w:r>
            <w:r w:rsidRPr="00BA1E01">
              <w:rPr>
                <w:sz w:val="18"/>
                <w:szCs w:val="18"/>
              </w:rPr>
              <w:t xml:space="preserve"> i.e. loans, equity contributions to the entity that you are a KMP of, or any entity controlled by the entity that you are a KMP of?</w:t>
            </w:r>
          </w:p>
        </w:tc>
        <w:tc>
          <w:tcPr>
            <w:tcW w:w="900" w:type="dxa"/>
            <w:tcBorders>
              <w:top w:val="single" w:sz="4" w:space="0" w:color="808080" w:themeColor="background1" w:themeShade="80"/>
              <w:bottom w:val="single" w:sz="4" w:space="0" w:color="808080" w:themeColor="background1" w:themeShade="80"/>
            </w:tcBorders>
          </w:tcPr>
          <w:p w:rsidR="00B03939"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Borders>
              <w:top w:val="single" w:sz="4" w:space="0" w:color="808080" w:themeColor="background1" w:themeShade="80"/>
              <w:bottom w:val="single" w:sz="4" w:space="0" w:color="808080" w:themeColor="background1" w:themeShade="80"/>
            </w:tcBorders>
          </w:tcPr>
          <w:p w:rsidR="00B03939" w:rsidRPr="00BA1E01" w:rsidRDefault="00B03939" w:rsidP="00B03939">
            <w:pPr>
              <w:jc w:val="center"/>
              <w:rPr>
                <w:sz w:val="18"/>
                <w:szCs w:val="18"/>
              </w:rPr>
            </w:pPr>
            <w:r w:rsidRPr="00BA1E01">
              <w:rPr>
                <w:rFonts w:asciiTheme="majorHAnsi" w:hAnsiTheme="majorHAnsi"/>
                <w:sz w:val="18"/>
                <w:szCs w:val="18"/>
              </w:rPr>
              <w:sym w:font="Wingdings" w:char="F0A8"/>
            </w:r>
          </w:p>
        </w:tc>
        <w:tc>
          <w:tcPr>
            <w:tcW w:w="3699" w:type="dxa"/>
            <w:tcBorders>
              <w:top w:val="single" w:sz="4" w:space="0" w:color="808080" w:themeColor="background1" w:themeShade="80"/>
              <w:bottom w:val="single" w:sz="4" w:space="0" w:color="808080" w:themeColor="background1" w:themeShade="80"/>
            </w:tcBorders>
          </w:tcPr>
          <w:p w:rsidR="00B03939" w:rsidRPr="00BA1E01" w:rsidRDefault="00B03939"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tc>
      </w:tr>
      <w:tr w:rsidR="00B03939" w:rsidRPr="00BA1E01" w:rsidTr="00EC0147">
        <w:tc>
          <w:tcPr>
            <w:tcW w:w="4197"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B03939" w:rsidRPr="00BA1E01" w:rsidRDefault="00B03939" w:rsidP="00571F08">
            <w:pPr>
              <w:pStyle w:val="ListNumber"/>
              <w:rPr>
                <w:sz w:val="18"/>
                <w:szCs w:val="18"/>
              </w:rPr>
            </w:pPr>
            <w:r w:rsidRPr="00BA1E01">
              <w:rPr>
                <w:sz w:val="18"/>
                <w:szCs w:val="18"/>
              </w:rPr>
              <w:t xml:space="preserve">Have you, your close family members, or entities controlled or jointly controlled by you or your close family members had any </w:t>
            </w:r>
            <w:r w:rsidRPr="00BA1E01">
              <w:rPr>
                <w:b/>
                <w:sz w:val="18"/>
                <w:szCs w:val="18"/>
              </w:rPr>
              <w:t>debts forgiven or partially forgiven</w:t>
            </w:r>
            <w:r w:rsidR="008B71C4">
              <w:rPr>
                <w:rStyle w:val="FootnoteReference"/>
                <w:b/>
                <w:sz w:val="18"/>
                <w:szCs w:val="18"/>
              </w:rPr>
              <w:footnoteReference w:id="8"/>
            </w:r>
            <w:r w:rsidRPr="00BA1E01">
              <w:rPr>
                <w:sz w:val="18"/>
                <w:szCs w:val="18"/>
              </w:rPr>
              <w:t xml:space="preserve">  by the entity that you are a KMP of, or any entity controlled by the entity that you are a KMP of?</w:t>
            </w:r>
          </w:p>
        </w:tc>
        <w:tc>
          <w:tcPr>
            <w:tcW w:w="900"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B03939"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B03939" w:rsidRPr="00BA1E01" w:rsidRDefault="00B03939" w:rsidP="00B03939">
            <w:pPr>
              <w:jc w:val="center"/>
              <w:rPr>
                <w:sz w:val="18"/>
                <w:szCs w:val="18"/>
              </w:rPr>
            </w:pPr>
            <w:r w:rsidRPr="00BA1E01">
              <w:rPr>
                <w:rFonts w:asciiTheme="majorHAnsi" w:hAnsiTheme="majorHAnsi"/>
                <w:sz w:val="18"/>
                <w:szCs w:val="18"/>
              </w:rPr>
              <w:sym w:font="Wingdings" w:char="F0A8"/>
            </w:r>
          </w:p>
        </w:tc>
        <w:tc>
          <w:tcPr>
            <w:tcW w:w="3699"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B03939" w:rsidRPr="00BA1E01" w:rsidRDefault="00B03939" w:rsidP="00571F08">
            <w:pPr>
              <w:rPr>
                <w:sz w:val="18"/>
                <w:szCs w:val="18"/>
              </w:rPr>
            </w:pPr>
            <w:r w:rsidRPr="00BA1E01">
              <w:rPr>
                <w:sz w:val="18"/>
                <w:szCs w:val="18"/>
              </w:rPr>
              <w:t>If you have answered yes, please provide details of the transaction in the form attached.</w:t>
            </w:r>
          </w:p>
        </w:tc>
      </w:tr>
      <w:tr w:rsidR="00B03939" w:rsidRPr="00BA1E01" w:rsidTr="00B03939">
        <w:tc>
          <w:tcPr>
            <w:tcW w:w="4197" w:type="dxa"/>
            <w:tcBorders>
              <w:top w:val="single" w:sz="4" w:space="0" w:color="808080" w:themeColor="background1" w:themeShade="80"/>
              <w:bottom w:val="single" w:sz="4" w:space="0" w:color="808080" w:themeColor="background1" w:themeShade="80"/>
            </w:tcBorders>
          </w:tcPr>
          <w:p w:rsidR="00B03939" w:rsidRPr="00BA1E01" w:rsidRDefault="00B03939" w:rsidP="008B71C4">
            <w:pPr>
              <w:pStyle w:val="ListNumber"/>
              <w:rPr>
                <w:sz w:val="18"/>
                <w:szCs w:val="18"/>
              </w:rPr>
            </w:pPr>
            <w:r w:rsidRPr="00BA1E01">
              <w:rPr>
                <w:sz w:val="18"/>
                <w:szCs w:val="18"/>
              </w:rPr>
              <w:t xml:space="preserve">Have you, your close family members, or entities controlled or jointly controlled by you or your close family members received any </w:t>
            </w:r>
            <w:r w:rsidRPr="00BA1E01">
              <w:rPr>
                <w:b/>
                <w:sz w:val="18"/>
                <w:szCs w:val="18"/>
              </w:rPr>
              <w:t>collateral, indemnity or guarantee</w:t>
            </w:r>
            <w:r w:rsidR="008B71C4">
              <w:rPr>
                <w:rStyle w:val="FootnoteReference"/>
                <w:b/>
                <w:sz w:val="18"/>
                <w:szCs w:val="18"/>
              </w:rPr>
              <w:footnoteReference w:id="9"/>
            </w:r>
            <w:r w:rsidRPr="00BA1E01">
              <w:rPr>
                <w:sz w:val="18"/>
                <w:szCs w:val="18"/>
              </w:rPr>
              <w:t xml:space="preserve"> or given any collateral, indemnity or guarantee to the entity that you are a KMP of, or any entity controlled by the entity that you are KMP of?</w:t>
            </w:r>
          </w:p>
        </w:tc>
        <w:tc>
          <w:tcPr>
            <w:tcW w:w="900" w:type="dxa"/>
            <w:tcBorders>
              <w:top w:val="single" w:sz="4" w:space="0" w:color="808080" w:themeColor="background1" w:themeShade="80"/>
              <w:bottom w:val="single" w:sz="4" w:space="0" w:color="808080" w:themeColor="background1" w:themeShade="80"/>
            </w:tcBorders>
          </w:tcPr>
          <w:p w:rsidR="00B03939"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Borders>
              <w:top w:val="single" w:sz="4" w:space="0" w:color="808080" w:themeColor="background1" w:themeShade="80"/>
              <w:bottom w:val="single" w:sz="4" w:space="0" w:color="808080" w:themeColor="background1" w:themeShade="80"/>
            </w:tcBorders>
          </w:tcPr>
          <w:p w:rsidR="00B03939" w:rsidRPr="00BA1E01" w:rsidRDefault="00B03939" w:rsidP="00B03939">
            <w:pPr>
              <w:jc w:val="center"/>
              <w:rPr>
                <w:sz w:val="18"/>
                <w:szCs w:val="18"/>
              </w:rPr>
            </w:pPr>
            <w:r w:rsidRPr="00BA1E01">
              <w:rPr>
                <w:rFonts w:asciiTheme="majorHAnsi" w:hAnsiTheme="majorHAnsi"/>
                <w:sz w:val="18"/>
                <w:szCs w:val="18"/>
              </w:rPr>
              <w:sym w:font="Wingdings" w:char="F0A8"/>
            </w:r>
          </w:p>
        </w:tc>
        <w:tc>
          <w:tcPr>
            <w:tcW w:w="3699" w:type="dxa"/>
            <w:tcBorders>
              <w:top w:val="single" w:sz="4" w:space="0" w:color="808080" w:themeColor="background1" w:themeShade="80"/>
              <w:bottom w:val="single" w:sz="4" w:space="0" w:color="808080" w:themeColor="background1" w:themeShade="80"/>
            </w:tcBorders>
          </w:tcPr>
          <w:p w:rsidR="00B03939" w:rsidRPr="00BA1E01" w:rsidRDefault="00B03939"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tc>
      </w:tr>
      <w:tr w:rsidR="00B64436" w:rsidRPr="00BA1E01" w:rsidTr="00567370">
        <w:tc>
          <w:tcPr>
            <w:tcW w:w="4197" w:type="dxa"/>
            <w:tcBorders>
              <w:top w:val="single" w:sz="4" w:space="0" w:color="808080" w:themeColor="background1" w:themeShade="80"/>
              <w:bottom w:val="nil"/>
            </w:tcBorders>
            <w:shd w:val="clear" w:color="auto" w:fill="BFBFBF" w:themeFill="background1" w:themeFillShade="BF"/>
          </w:tcPr>
          <w:p w:rsidR="00B64436" w:rsidRPr="00B64436" w:rsidRDefault="00B64436" w:rsidP="00B64436">
            <w:pPr>
              <w:pStyle w:val="ListNumber"/>
              <w:rPr>
                <w:sz w:val="18"/>
                <w:szCs w:val="18"/>
              </w:rPr>
            </w:pPr>
            <w:r w:rsidRPr="00BA1E01">
              <w:rPr>
                <w:sz w:val="18"/>
                <w:szCs w:val="18"/>
              </w:rPr>
              <w:t xml:space="preserve">Have you, your close family members, or entities controlled or jointly controlled by you or your close family members </w:t>
            </w:r>
            <w:r w:rsidRPr="00BA1E01">
              <w:rPr>
                <w:b/>
                <w:sz w:val="18"/>
                <w:szCs w:val="18"/>
              </w:rPr>
              <w:t xml:space="preserve">settled a liability </w:t>
            </w:r>
            <w:r w:rsidRPr="00BA1E01">
              <w:rPr>
                <w:sz w:val="18"/>
                <w:szCs w:val="18"/>
              </w:rPr>
              <w:t xml:space="preserve">on behalf of the entity that you are a KMP of, or any entity controlled by the entity that you are a KMP of?  </w:t>
            </w:r>
          </w:p>
        </w:tc>
        <w:tc>
          <w:tcPr>
            <w:tcW w:w="900" w:type="dxa"/>
            <w:tcBorders>
              <w:top w:val="single" w:sz="4" w:space="0" w:color="808080" w:themeColor="background1" w:themeShade="80"/>
              <w:bottom w:val="nil"/>
            </w:tcBorders>
            <w:shd w:val="clear" w:color="auto" w:fill="BFBFBF" w:themeFill="background1" w:themeFillShade="BF"/>
          </w:tcPr>
          <w:p w:rsidR="00B64436" w:rsidRPr="00BA1E01" w:rsidRDefault="00B64436" w:rsidP="00CF5FE1">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Borders>
              <w:top w:val="single" w:sz="4" w:space="0" w:color="808080" w:themeColor="background1" w:themeShade="80"/>
              <w:bottom w:val="nil"/>
            </w:tcBorders>
            <w:shd w:val="clear" w:color="auto" w:fill="BFBFBF" w:themeFill="background1" w:themeFillShade="BF"/>
          </w:tcPr>
          <w:p w:rsidR="00B64436" w:rsidRPr="00BA1E01" w:rsidRDefault="00B64436" w:rsidP="00CF5FE1">
            <w:pPr>
              <w:jc w:val="center"/>
              <w:rPr>
                <w:sz w:val="18"/>
                <w:szCs w:val="18"/>
              </w:rPr>
            </w:pPr>
            <w:r w:rsidRPr="00BA1E01">
              <w:rPr>
                <w:rFonts w:asciiTheme="majorHAnsi" w:hAnsiTheme="majorHAnsi"/>
                <w:sz w:val="18"/>
                <w:szCs w:val="18"/>
              </w:rPr>
              <w:sym w:font="Wingdings" w:char="F0A8"/>
            </w:r>
          </w:p>
        </w:tc>
        <w:tc>
          <w:tcPr>
            <w:tcW w:w="3699" w:type="dxa"/>
            <w:tcBorders>
              <w:top w:val="single" w:sz="4" w:space="0" w:color="808080" w:themeColor="background1" w:themeShade="80"/>
              <w:bottom w:val="nil"/>
            </w:tcBorders>
            <w:shd w:val="clear" w:color="auto" w:fill="BFBFBF" w:themeFill="background1" w:themeFillShade="BF"/>
          </w:tcPr>
          <w:p w:rsidR="00B64436" w:rsidRPr="00BA1E01" w:rsidRDefault="00B64436" w:rsidP="00F042B6">
            <w:pPr>
              <w:rPr>
                <w:rFonts w:asciiTheme="majorHAnsi" w:hAnsiTheme="majorHAnsi"/>
              </w:rPr>
            </w:pPr>
            <w:r w:rsidRPr="00BA1E01">
              <w:rPr>
                <w:rFonts w:asciiTheme="majorHAnsi" w:hAnsiTheme="majorHAnsi"/>
                <w:sz w:val="18"/>
                <w:szCs w:val="18"/>
              </w:rPr>
              <w:t>If you have answered yes, please provide details of the transaction in the form attached.</w:t>
            </w:r>
          </w:p>
        </w:tc>
      </w:tr>
      <w:tr w:rsidR="00B64436" w:rsidRPr="00BA1E01" w:rsidTr="00567370">
        <w:tc>
          <w:tcPr>
            <w:tcW w:w="4197" w:type="dxa"/>
            <w:tcBorders>
              <w:top w:val="nil"/>
              <w:bottom w:val="single" w:sz="4" w:space="0" w:color="808080" w:themeColor="background1" w:themeShade="80"/>
            </w:tcBorders>
            <w:shd w:val="clear" w:color="auto" w:fill="BFBFBF" w:themeFill="background1" w:themeFillShade="BF"/>
          </w:tcPr>
          <w:p w:rsidR="00B64436" w:rsidRPr="00BA1E01" w:rsidRDefault="00B64436" w:rsidP="00567370">
            <w:pPr>
              <w:pStyle w:val="ListNumber"/>
              <w:numPr>
                <w:ilvl w:val="0"/>
                <w:numId w:val="0"/>
              </w:numPr>
              <w:ind w:left="284"/>
              <w:rPr>
                <w:sz w:val="18"/>
                <w:szCs w:val="18"/>
              </w:rPr>
            </w:pPr>
            <w:r w:rsidRPr="00BA1E01">
              <w:rPr>
                <w:sz w:val="18"/>
                <w:szCs w:val="18"/>
              </w:rPr>
              <w:t>Has the entity that you are a KMP of, or any entity controlled by the entity that you are a KMP of, settled a liability on behalf of you, your close family members or entities controlled or jointly controlled by you and your close family members?</w:t>
            </w:r>
          </w:p>
        </w:tc>
        <w:tc>
          <w:tcPr>
            <w:tcW w:w="900" w:type="dxa"/>
            <w:tcBorders>
              <w:top w:val="nil"/>
              <w:bottom w:val="single" w:sz="4" w:space="0" w:color="808080" w:themeColor="background1" w:themeShade="80"/>
            </w:tcBorders>
            <w:shd w:val="clear" w:color="auto" w:fill="BFBFBF" w:themeFill="background1" w:themeFillShade="BF"/>
          </w:tcPr>
          <w:p w:rsidR="00B64436" w:rsidRPr="00BA1E01" w:rsidRDefault="00B64436" w:rsidP="00F042B6">
            <w:pPr>
              <w:jc w:val="center"/>
              <w:rPr>
                <w:rFonts w:asciiTheme="majorHAnsi" w:hAnsiTheme="majorHAnsi"/>
                <w:sz w:val="18"/>
                <w:szCs w:val="18"/>
              </w:rPr>
            </w:pPr>
          </w:p>
        </w:tc>
        <w:tc>
          <w:tcPr>
            <w:tcW w:w="900" w:type="dxa"/>
            <w:tcBorders>
              <w:top w:val="nil"/>
              <w:bottom w:val="single" w:sz="4" w:space="0" w:color="808080" w:themeColor="background1" w:themeShade="80"/>
            </w:tcBorders>
            <w:shd w:val="clear" w:color="auto" w:fill="BFBFBF" w:themeFill="background1" w:themeFillShade="BF"/>
          </w:tcPr>
          <w:p w:rsidR="00B64436" w:rsidRPr="00BA1E01" w:rsidRDefault="00B64436" w:rsidP="00B03939">
            <w:pPr>
              <w:jc w:val="center"/>
              <w:rPr>
                <w:sz w:val="18"/>
                <w:szCs w:val="18"/>
              </w:rPr>
            </w:pPr>
          </w:p>
        </w:tc>
        <w:tc>
          <w:tcPr>
            <w:tcW w:w="3699" w:type="dxa"/>
            <w:tcBorders>
              <w:top w:val="nil"/>
              <w:bottom w:val="single" w:sz="4" w:space="0" w:color="808080" w:themeColor="background1" w:themeShade="80"/>
            </w:tcBorders>
            <w:shd w:val="clear" w:color="auto" w:fill="BFBFBF" w:themeFill="background1" w:themeFillShade="BF"/>
          </w:tcPr>
          <w:p w:rsidR="00B64436" w:rsidRPr="00BA1E01" w:rsidRDefault="00B64436" w:rsidP="00F042B6">
            <w:pPr>
              <w:rPr>
                <w:rFonts w:asciiTheme="majorHAnsi" w:hAnsiTheme="majorHAnsi"/>
                <w:sz w:val="18"/>
                <w:szCs w:val="18"/>
              </w:rPr>
            </w:pPr>
          </w:p>
        </w:tc>
      </w:tr>
      <w:tr w:rsidR="00B64436" w:rsidRPr="00BA1E01" w:rsidTr="00567370">
        <w:tc>
          <w:tcPr>
            <w:tcW w:w="4197" w:type="dxa"/>
            <w:tcBorders>
              <w:top w:val="single" w:sz="4" w:space="0" w:color="808080" w:themeColor="background1" w:themeShade="80"/>
              <w:bottom w:val="single" w:sz="4" w:space="0" w:color="808080" w:themeColor="background1" w:themeShade="80"/>
            </w:tcBorders>
            <w:shd w:val="clear" w:color="auto" w:fill="FFFFFF" w:themeFill="background1"/>
          </w:tcPr>
          <w:p w:rsidR="00B64436" w:rsidRPr="00BA1E01" w:rsidRDefault="00B64436" w:rsidP="00571F08">
            <w:pPr>
              <w:pStyle w:val="ListNumber"/>
              <w:rPr>
                <w:sz w:val="18"/>
                <w:szCs w:val="18"/>
              </w:rPr>
            </w:pPr>
            <w:r w:rsidRPr="00BA1E01">
              <w:rPr>
                <w:sz w:val="18"/>
                <w:szCs w:val="18"/>
              </w:rPr>
              <w:t xml:space="preserve">Have you, your close family members, or entities controlled or jointly controlled by you or your close family members received or given any </w:t>
            </w:r>
            <w:r w:rsidRPr="00BA1E01">
              <w:rPr>
                <w:b/>
                <w:sz w:val="18"/>
                <w:szCs w:val="18"/>
              </w:rPr>
              <w:t>ex-gratia payments or</w:t>
            </w:r>
            <w:r w:rsidRPr="00BA1E01">
              <w:rPr>
                <w:sz w:val="18"/>
                <w:szCs w:val="18"/>
              </w:rPr>
              <w:t xml:space="preserve"> </w:t>
            </w:r>
            <w:r w:rsidRPr="00BA1E01">
              <w:rPr>
                <w:b/>
                <w:sz w:val="18"/>
                <w:szCs w:val="18"/>
              </w:rPr>
              <w:t>received grants or subsidies greater than $5,000</w:t>
            </w:r>
            <w:r w:rsidRPr="00BA1E01">
              <w:rPr>
                <w:sz w:val="18"/>
                <w:szCs w:val="18"/>
              </w:rPr>
              <w:t xml:space="preserve"> (individually) to/from the entity that you are a KMP of, or any entity controlled by the entity that you are a KMP of?</w:t>
            </w:r>
          </w:p>
        </w:tc>
        <w:tc>
          <w:tcPr>
            <w:tcW w:w="900" w:type="dxa"/>
            <w:tcBorders>
              <w:top w:val="single" w:sz="4" w:space="0" w:color="808080" w:themeColor="background1" w:themeShade="80"/>
              <w:bottom w:val="single" w:sz="4" w:space="0" w:color="808080" w:themeColor="background1" w:themeShade="80"/>
            </w:tcBorders>
            <w:shd w:val="clear" w:color="auto" w:fill="FFFFFF" w:themeFill="background1"/>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900" w:type="dxa"/>
            <w:tcBorders>
              <w:top w:val="single" w:sz="4" w:space="0" w:color="808080" w:themeColor="background1" w:themeShade="80"/>
              <w:bottom w:val="single" w:sz="4" w:space="0" w:color="808080" w:themeColor="background1" w:themeShade="80"/>
            </w:tcBorders>
            <w:shd w:val="clear" w:color="auto" w:fill="FFFFFF" w:themeFill="background1"/>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3699" w:type="dxa"/>
            <w:tcBorders>
              <w:top w:val="single" w:sz="4" w:space="0" w:color="808080" w:themeColor="background1" w:themeShade="80"/>
              <w:bottom w:val="single" w:sz="4" w:space="0" w:color="808080" w:themeColor="background1" w:themeShade="80"/>
            </w:tcBorders>
            <w:shd w:val="clear" w:color="auto" w:fill="FFFFFF" w:themeFill="background1"/>
          </w:tcPr>
          <w:p w:rsidR="00B64436" w:rsidRPr="00BA1E01" w:rsidRDefault="00B64436"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tc>
      </w:tr>
      <w:tr w:rsidR="00B64436" w:rsidRPr="00BA1E01" w:rsidTr="00567370">
        <w:tc>
          <w:tcPr>
            <w:tcW w:w="4197"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B64436" w:rsidRPr="00BA1E01" w:rsidRDefault="00B64436" w:rsidP="00571F08">
            <w:pPr>
              <w:pStyle w:val="ListNumber"/>
              <w:rPr>
                <w:sz w:val="18"/>
                <w:szCs w:val="18"/>
              </w:rPr>
            </w:pPr>
            <w:r w:rsidRPr="00BA1E01">
              <w:rPr>
                <w:sz w:val="18"/>
                <w:szCs w:val="18"/>
              </w:rPr>
              <w:t xml:space="preserve">Have you, your close family members, or entities controlled or jointly controlled by you or your close family members received/obtained the right to receive </w:t>
            </w:r>
            <w:r w:rsidRPr="00BA1E01">
              <w:rPr>
                <w:b/>
                <w:sz w:val="18"/>
                <w:szCs w:val="18"/>
              </w:rPr>
              <w:t>interest/dividend income</w:t>
            </w:r>
            <w:r w:rsidRPr="00BA1E01">
              <w:rPr>
                <w:sz w:val="18"/>
                <w:szCs w:val="18"/>
              </w:rPr>
              <w:t xml:space="preserve"> from, or paid/recognised the obligation to pay </w:t>
            </w:r>
            <w:r w:rsidRPr="00BA1E01">
              <w:rPr>
                <w:b/>
                <w:sz w:val="18"/>
                <w:szCs w:val="18"/>
              </w:rPr>
              <w:t>interest expense/dividends</w:t>
            </w:r>
            <w:r w:rsidRPr="00BA1E01">
              <w:rPr>
                <w:sz w:val="18"/>
                <w:szCs w:val="18"/>
              </w:rPr>
              <w:t xml:space="preserve"> to the entity that you are a KMP of, or any entity controlled by the entity that you are a KMP of?</w:t>
            </w:r>
          </w:p>
        </w:tc>
        <w:tc>
          <w:tcPr>
            <w:tcW w:w="900"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900"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3699" w:type="dxa"/>
            <w:tcBorders>
              <w:top w:val="single" w:sz="4" w:space="0" w:color="808080" w:themeColor="background1" w:themeShade="80"/>
              <w:bottom w:val="single" w:sz="4" w:space="0" w:color="808080" w:themeColor="background1" w:themeShade="80"/>
            </w:tcBorders>
            <w:shd w:val="clear" w:color="auto" w:fill="BFBFBF" w:themeFill="background1" w:themeFillShade="BF"/>
          </w:tcPr>
          <w:p w:rsidR="00B64436" w:rsidRPr="00BA1E01" w:rsidRDefault="00B64436"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tc>
      </w:tr>
      <w:tr w:rsidR="00B64436" w:rsidRPr="00BA1E01" w:rsidTr="00567370">
        <w:tc>
          <w:tcPr>
            <w:tcW w:w="4197" w:type="dxa"/>
            <w:tcBorders>
              <w:top w:val="single" w:sz="4" w:space="0" w:color="808080" w:themeColor="background1" w:themeShade="80"/>
              <w:bottom w:val="single" w:sz="4" w:space="0" w:color="808080" w:themeColor="background1" w:themeShade="80"/>
            </w:tcBorders>
            <w:shd w:val="clear" w:color="auto" w:fill="FFFFFF" w:themeFill="background1"/>
          </w:tcPr>
          <w:p w:rsidR="00B64436" w:rsidRPr="00BA1E01" w:rsidRDefault="00B64436" w:rsidP="00571F08">
            <w:pPr>
              <w:pStyle w:val="ListNumber"/>
              <w:rPr>
                <w:sz w:val="18"/>
                <w:szCs w:val="18"/>
              </w:rPr>
            </w:pPr>
            <w:r w:rsidRPr="00BA1E01">
              <w:rPr>
                <w:sz w:val="18"/>
                <w:szCs w:val="18"/>
              </w:rPr>
              <w:t xml:space="preserve">Have you, your close family members, or entities controlled or jointly controlled by you or your close family members </w:t>
            </w:r>
            <w:r w:rsidRPr="00BA1E01">
              <w:rPr>
                <w:b/>
                <w:sz w:val="18"/>
                <w:szCs w:val="18"/>
              </w:rPr>
              <w:t>committed to a transaction</w:t>
            </w:r>
            <w:r w:rsidRPr="00BA1E01">
              <w:rPr>
                <w:sz w:val="18"/>
                <w:szCs w:val="18"/>
              </w:rPr>
              <w:t xml:space="preserve"> contingent upon whether an event occurs or does not occur in the future, with the entity that you are a KMP of, or any entity controlled by the entity that you are a KMP of?</w:t>
            </w:r>
          </w:p>
        </w:tc>
        <w:tc>
          <w:tcPr>
            <w:tcW w:w="900" w:type="dxa"/>
            <w:tcBorders>
              <w:top w:val="single" w:sz="4" w:space="0" w:color="808080" w:themeColor="background1" w:themeShade="80"/>
              <w:bottom w:val="single" w:sz="4" w:space="0" w:color="808080" w:themeColor="background1" w:themeShade="80"/>
            </w:tcBorders>
            <w:shd w:val="clear" w:color="auto" w:fill="FFFFFF" w:themeFill="background1"/>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900" w:type="dxa"/>
            <w:tcBorders>
              <w:top w:val="single" w:sz="4" w:space="0" w:color="808080" w:themeColor="background1" w:themeShade="80"/>
              <w:bottom w:val="single" w:sz="4" w:space="0" w:color="808080" w:themeColor="background1" w:themeShade="80"/>
            </w:tcBorders>
            <w:shd w:val="clear" w:color="auto" w:fill="FFFFFF" w:themeFill="background1"/>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3699" w:type="dxa"/>
            <w:tcBorders>
              <w:top w:val="single" w:sz="4" w:space="0" w:color="808080" w:themeColor="background1" w:themeShade="80"/>
              <w:bottom w:val="single" w:sz="4" w:space="0" w:color="808080" w:themeColor="background1" w:themeShade="80"/>
            </w:tcBorders>
            <w:shd w:val="clear" w:color="auto" w:fill="FFFFFF" w:themeFill="background1"/>
          </w:tcPr>
          <w:p w:rsidR="00B64436" w:rsidRPr="00BA1E01" w:rsidRDefault="00B64436"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tc>
      </w:tr>
      <w:tr w:rsidR="00B64436" w:rsidRPr="00BA1E01" w:rsidTr="00567370">
        <w:tc>
          <w:tcPr>
            <w:tcW w:w="4197" w:type="dxa"/>
            <w:tcBorders>
              <w:top w:val="single" w:sz="4" w:space="0" w:color="808080" w:themeColor="background1" w:themeShade="80"/>
              <w:bottom w:val="single" w:sz="12" w:space="0" w:color="000000" w:themeColor="text1"/>
            </w:tcBorders>
            <w:shd w:val="clear" w:color="auto" w:fill="BFBFBF" w:themeFill="background1" w:themeFillShade="BF"/>
          </w:tcPr>
          <w:p w:rsidR="00B64436" w:rsidRPr="00BA1E01" w:rsidRDefault="00B64436" w:rsidP="00571F08">
            <w:pPr>
              <w:pStyle w:val="ListNumber"/>
              <w:rPr>
                <w:sz w:val="18"/>
                <w:szCs w:val="18"/>
              </w:rPr>
            </w:pPr>
            <w:r w:rsidRPr="00BA1E01">
              <w:rPr>
                <w:sz w:val="18"/>
                <w:szCs w:val="18"/>
              </w:rPr>
              <w:t xml:space="preserve">Have you, your close family members, or entities controlled or jointly controlled by you or your close family members </w:t>
            </w:r>
            <w:r w:rsidRPr="00BA1E01">
              <w:rPr>
                <w:b/>
                <w:sz w:val="18"/>
                <w:szCs w:val="18"/>
              </w:rPr>
              <w:t>leased assets with annual rent</w:t>
            </w:r>
            <w:r w:rsidRPr="00BA1E01">
              <w:rPr>
                <w:sz w:val="18"/>
                <w:szCs w:val="18"/>
              </w:rPr>
              <w:t xml:space="preserve">, provided or purchased </w:t>
            </w:r>
            <w:r w:rsidRPr="00BA1E01">
              <w:rPr>
                <w:b/>
                <w:sz w:val="18"/>
                <w:szCs w:val="18"/>
              </w:rPr>
              <w:t>goods or services</w:t>
            </w:r>
            <w:r w:rsidR="00BF13F7">
              <w:rPr>
                <w:rStyle w:val="FootnoteReference"/>
                <w:b/>
                <w:sz w:val="18"/>
                <w:szCs w:val="18"/>
              </w:rPr>
              <w:footnoteReference w:id="10"/>
            </w:r>
            <w:r w:rsidRPr="00BA1E01">
              <w:rPr>
                <w:sz w:val="18"/>
                <w:szCs w:val="18"/>
              </w:rPr>
              <w:t xml:space="preserve"> , or </w:t>
            </w:r>
            <w:r w:rsidRPr="00BA1E01">
              <w:rPr>
                <w:b/>
                <w:sz w:val="18"/>
                <w:szCs w:val="18"/>
              </w:rPr>
              <w:t>assets</w:t>
            </w:r>
            <w:r w:rsidR="00BF13F7">
              <w:rPr>
                <w:rStyle w:val="FootnoteReference"/>
                <w:b/>
                <w:sz w:val="18"/>
                <w:szCs w:val="18"/>
              </w:rPr>
              <w:footnoteReference w:id="11"/>
            </w:r>
            <w:r w:rsidRPr="00BA1E01">
              <w:rPr>
                <w:b/>
                <w:sz w:val="18"/>
                <w:szCs w:val="18"/>
              </w:rPr>
              <w:t xml:space="preserve"> </w:t>
            </w:r>
            <w:r w:rsidRPr="00BA1E01">
              <w:rPr>
                <w:sz w:val="18"/>
                <w:szCs w:val="18"/>
              </w:rPr>
              <w:t xml:space="preserve"> (including intangible assets) , to/from the entity that you are a KMP of, or any entity controlled by the entity that you are a KMP of?</w:t>
            </w:r>
          </w:p>
        </w:tc>
        <w:tc>
          <w:tcPr>
            <w:tcW w:w="900" w:type="dxa"/>
            <w:tcBorders>
              <w:top w:val="single" w:sz="4" w:space="0" w:color="808080" w:themeColor="background1" w:themeShade="80"/>
              <w:bottom w:val="single" w:sz="12" w:space="0" w:color="000000" w:themeColor="text1"/>
            </w:tcBorders>
            <w:shd w:val="clear" w:color="auto" w:fill="BFBFBF" w:themeFill="background1" w:themeFillShade="BF"/>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900" w:type="dxa"/>
            <w:tcBorders>
              <w:top w:val="single" w:sz="4" w:space="0" w:color="808080" w:themeColor="background1" w:themeShade="80"/>
              <w:bottom w:val="single" w:sz="12" w:space="0" w:color="000000" w:themeColor="text1"/>
            </w:tcBorders>
            <w:shd w:val="clear" w:color="auto" w:fill="BFBFBF" w:themeFill="background1" w:themeFillShade="BF"/>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3699" w:type="dxa"/>
            <w:tcBorders>
              <w:top w:val="single" w:sz="4" w:space="0" w:color="808080" w:themeColor="background1" w:themeShade="80"/>
              <w:bottom w:val="single" w:sz="12" w:space="0" w:color="000000" w:themeColor="text1"/>
            </w:tcBorders>
            <w:shd w:val="clear" w:color="auto" w:fill="BFBFBF" w:themeFill="background1" w:themeFillShade="BF"/>
          </w:tcPr>
          <w:p w:rsidR="00B64436" w:rsidRPr="00BA1E01" w:rsidRDefault="00B64436"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p w:rsidR="00B64436" w:rsidRPr="00BA1E01" w:rsidRDefault="00B64436" w:rsidP="00F042B6">
            <w:pPr>
              <w:rPr>
                <w:rFonts w:asciiTheme="majorHAnsi" w:hAnsiTheme="majorHAnsi"/>
                <w:sz w:val="18"/>
                <w:szCs w:val="18"/>
              </w:rPr>
            </w:pPr>
            <w:r w:rsidRPr="00BA1E01">
              <w:rPr>
                <w:rFonts w:asciiTheme="majorHAnsi" w:hAnsiTheme="majorHAnsi"/>
                <w:sz w:val="18"/>
                <w:szCs w:val="18"/>
              </w:rPr>
              <w:t>For transactions on standard terms and conditions, a $100 000 threshold may be applied for the declaration of these transactions; otherwise they should be declared regardless of the financial quantum of the transaction.</w:t>
            </w:r>
          </w:p>
        </w:tc>
      </w:tr>
    </w:tbl>
    <w:p w:rsidR="00027667" w:rsidRPr="00892DE3" w:rsidRDefault="00027667" w:rsidP="00027667">
      <w:pPr>
        <w:rPr>
          <w:rFonts w:asciiTheme="majorHAnsi" w:hAnsiTheme="majorHAnsi"/>
        </w:rPr>
      </w:pPr>
      <w:r w:rsidRPr="00892DE3">
        <w:rPr>
          <w:rFonts w:asciiTheme="majorHAnsi" w:hAnsiTheme="majorHAnsi"/>
        </w:rPr>
        <w:t xml:space="preserve">Please also include any </w:t>
      </w:r>
      <w:r w:rsidRPr="00892DE3">
        <w:rPr>
          <w:rFonts w:asciiTheme="majorHAnsi" w:hAnsiTheme="majorHAnsi"/>
          <w:b/>
        </w:rPr>
        <w:t>outstanding balances as of 30 June 201X</w:t>
      </w:r>
      <w:r w:rsidRPr="00892DE3">
        <w:rPr>
          <w:rFonts w:asciiTheme="majorHAnsi" w:hAnsiTheme="majorHAnsi"/>
        </w:rPr>
        <w:t xml:space="preserve"> that have been carried forward from related party transactions incurred from previous years.</w:t>
      </w:r>
    </w:p>
    <w:p w:rsidR="00AD47C0" w:rsidRPr="00892DE3" w:rsidRDefault="00AD47C0" w:rsidP="00AD47C0">
      <w:pPr>
        <w:rPr>
          <w:rFonts w:asciiTheme="majorHAnsi" w:hAnsiTheme="majorHAnsi"/>
        </w:rPr>
        <w:sectPr w:rsidR="00AD47C0" w:rsidRPr="00892DE3" w:rsidSect="002C2301">
          <w:headerReference w:type="even" r:id="rId218"/>
          <w:headerReference w:type="default" r:id="rId219"/>
          <w:footerReference w:type="first" r:id="rId220"/>
          <w:footnotePr>
            <w:numRestart w:val="eachSect"/>
          </w:footnotePr>
          <w:type w:val="continuous"/>
          <w:pgSz w:w="11906" w:h="16838" w:code="9"/>
          <w:pgMar w:top="1134" w:right="1134" w:bottom="1134" w:left="1134" w:header="624" w:footer="567" w:gutter="0"/>
          <w:cols w:space="708"/>
          <w:titlePg/>
          <w:docGrid w:linePitch="360"/>
        </w:sectPr>
      </w:pPr>
    </w:p>
    <w:p w:rsidR="00AD47C0" w:rsidRPr="00892DE3" w:rsidRDefault="00AD47C0" w:rsidP="00720EB9">
      <w:pPr>
        <w:pStyle w:val="Heading2nonTOC"/>
      </w:pPr>
      <w:r w:rsidRPr="00892DE3">
        <w:t>Form to be completed – Example of details of related party transactions</w:t>
      </w:r>
    </w:p>
    <w:p w:rsidR="00AD47C0" w:rsidRPr="00892DE3" w:rsidRDefault="00AD47C0" w:rsidP="00AD47C0">
      <w:pPr>
        <w:spacing w:before="0"/>
        <w:rPr>
          <w:rFonts w:asciiTheme="majorHAnsi" w:hAnsiTheme="majorHAnsi"/>
        </w:rPr>
      </w:pPr>
    </w:p>
    <w:tbl>
      <w:tblPr>
        <w:tblStyle w:val="DTFTextTable"/>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2" w:space="0" w:color="BFBFBF" w:themeColor="background1" w:themeShade="BF"/>
          <w:insideV w:val="single" w:sz="2" w:space="0" w:color="BFBFBF" w:themeColor="background1" w:themeShade="BF"/>
        </w:tblBorders>
        <w:tblLook w:val="06A0" w:firstRow="1" w:lastRow="0" w:firstColumn="1" w:lastColumn="0" w:noHBand="1" w:noVBand="1"/>
      </w:tblPr>
      <w:tblGrid>
        <w:gridCol w:w="3857"/>
        <w:gridCol w:w="5385"/>
      </w:tblGrid>
      <w:tr w:rsidR="00AD47C0" w:rsidRPr="00892DE3" w:rsidTr="00B23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AD47C0" w:rsidRPr="00B64436" w:rsidRDefault="00AD47C0" w:rsidP="00F042B6">
            <w:pPr>
              <w:rPr>
                <w:b/>
                <w:i w:val="0"/>
              </w:rPr>
            </w:pPr>
            <w:r w:rsidRPr="00B64436">
              <w:rPr>
                <w:b/>
                <w:i w:val="0"/>
              </w:rPr>
              <w:t>Name of KMP</w:t>
            </w:r>
          </w:p>
        </w:tc>
        <w:tc>
          <w:tcPr>
            <w:tcW w:w="5385" w:type="dxa"/>
            <w:shd w:val="clear" w:color="auto" w:fill="auto"/>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rPr>
                <w:i w:val="0"/>
              </w:rPr>
            </w:pPr>
            <w:r w:rsidRPr="00892DE3">
              <w:rPr>
                <w:i w:val="0"/>
              </w:rPr>
              <w:t>John Doe, Secretary</w:t>
            </w:r>
          </w:p>
        </w:tc>
      </w:tr>
      <w:tr w:rsidR="00AD47C0" w:rsidRPr="00892DE3" w:rsidTr="00B23498">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AD47C0" w:rsidRPr="00B64436" w:rsidRDefault="00AD47C0" w:rsidP="00F042B6">
            <w:pPr>
              <w:spacing w:after="20"/>
              <w:rPr>
                <w:b/>
              </w:rPr>
            </w:pPr>
            <w:r w:rsidRPr="00B64436">
              <w:rPr>
                <w:b/>
              </w:rPr>
              <w:t>Portfolio and name of department/agency</w:t>
            </w:r>
          </w:p>
        </w:tc>
        <w:tc>
          <w:tcPr>
            <w:tcW w:w="5385" w:type="dxa"/>
            <w:shd w:val="clear" w:color="auto" w:fill="auto"/>
          </w:tcPr>
          <w:p w:rsidR="00AD47C0" w:rsidRPr="00892DE3" w:rsidRDefault="00AD47C0" w:rsidP="00F042B6">
            <w:pPr>
              <w:spacing w:after="20"/>
              <w:cnfStyle w:val="000000000000" w:firstRow="0" w:lastRow="0" w:firstColumn="0" w:lastColumn="0" w:oddVBand="0" w:evenVBand="0" w:oddHBand="0" w:evenHBand="0" w:firstRowFirstColumn="0" w:firstRowLastColumn="0" w:lastRowFirstColumn="0" w:lastRowLastColumn="0"/>
            </w:pPr>
            <w:r w:rsidRPr="00892DE3">
              <w:t>Department of Treasury and Finance</w:t>
            </w:r>
          </w:p>
        </w:tc>
      </w:tr>
      <w:tr w:rsidR="00AD47C0" w:rsidRPr="00892DE3" w:rsidTr="00B23498">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AD47C0" w:rsidRPr="00B64436" w:rsidRDefault="00AD47C0" w:rsidP="00F042B6">
            <w:pPr>
              <w:spacing w:after="20"/>
              <w:rPr>
                <w:b/>
              </w:rPr>
            </w:pPr>
            <w:r w:rsidRPr="00B64436">
              <w:rPr>
                <w:b/>
              </w:rPr>
              <w:t>Period covered by this Declaration</w:t>
            </w:r>
          </w:p>
        </w:tc>
        <w:tc>
          <w:tcPr>
            <w:tcW w:w="5385" w:type="dxa"/>
            <w:shd w:val="clear" w:color="auto" w:fill="auto"/>
          </w:tcPr>
          <w:p w:rsidR="00AD47C0" w:rsidRPr="00892DE3" w:rsidRDefault="00AD47C0" w:rsidP="00F042B6">
            <w:pPr>
              <w:spacing w:after="20"/>
              <w:cnfStyle w:val="000000000000" w:firstRow="0" w:lastRow="0" w:firstColumn="0" w:lastColumn="0" w:oddVBand="0" w:evenVBand="0" w:oddHBand="0" w:evenHBand="0" w:firstRowFirstColumn="0" w:firstRowLastColumn="0" w:lastRowFirstColumn="0" w:lastRowLastColumn="0"/>
            </w:pPr>
            <w:r w:rsidRPr="00892DE3">
              <w:t>1 July 2016 to 31 March 2017</w:t>
            </w:r>
          </w:p>
        </w:tc>
      </w:tr>
    </w:tbl>
    <w:p w:rsidR="00AD47C0" w:rsidRPr="006F1D22" w:rsidRDefault="00AD47C0" w:rsidP="00B03939">
      <w:pPr>
        <w:spacing w:after="120"/>
        <w:rPr>
          <w:rFonts w:asciiTheme="majorHAnsi" w:hAnsiTheme="majorHAnsi"/>
          <w:color w:val="0063A6" w:themeColor="accent1"/>
          <w:szCs w:val="20"/>
        </w:rPr>
      </w:pPr>
      <w:r w:rsidRPr="000D7AD4">
        <w:rPr>
          <w:rFonts w:asciiTheme="majorHAnsi" w:hAnsiTheme="majorHAnsi"/>
          <w:szCs w:val="20"/>
        </w:rPr>
        <w:t>Please include all transactions. Note that a threshold may be applied for standard commercial related party contracts</w:t>
      </w:r>
      <w:r w:rsidR="00B64436" w:rsidRPr="000D7AD4">
        <w:rPr>
          <w:rFonts w:asciiTheme="majorHAnsi" w:hAnsiTheme="majorHAnsi"/>
          <w:szCs w:val="20"/>
        </w:rPr>
        <w:t>.</w:t>
      </w:r>
      <w:r w:rsidR="006E7DF2" w:rsidRPr="006F1D22">
        <w:rPr>
          <w:rFonts w:asciiTheme="majorHAnsi" w:hAnsiTheme="majorHAnsi"/>
          <w:color w:val="0063A6" w:themeColor="accent1"/>
          <w:szCs w:val="20"/>
        </w:rPr>
        <w:br/>
      </w:r>
      <w:r w:rsidR="000D7AD4">
        <w:rPr>
          <w:rFonts w:asciiTheme="majorHAnsi" w:hAnsiTheme="majorHAnsi"/>
          <w:color w:val="0063A6" w:themeColor="accent1"/>
          <w:szCs w:val="20"/>
        </w:rPr>
        <w:t>(</w:t>
      </w:r>
      <w:r w:rsidRPr="006F1D22">
        <w:rPr>
          <w:rFonts w:asciiTheme="majorHAnsi" w:hAnsiTheme="majorHAnsi"/>
          <w:color w:val="0063A6" w:themeColor="accent1"/>
          <w:szCs w:val="20"/>
        </w:rPr>
        <w:t>Please refer to the Declaration Checklist</w:t>
      </w:r>
      <w:r w:rsidR="00567370">
        <w:rPr>
          <w:rFonts w:asciiTheme="majorHAnsi" w:hAnsiTheme="majorHAnsi"/>
          <w:color w:val="0063A6" w:themeColor="accent1"/>
          <w:szCs w:val="20"/>
        </w:rPr>
        <w:t xml:space="preserve"> on page 280</w:t>
      </w:r>
      <w:r w:rsidRPr="006F1D22">
        <w:rPr>
          <w:rFonts w:asciiTheme="majorHAnsi" w:hAnsiTheme="majorHAnsi"/>
          <w:color w:val="0063A6" w:themeColor="accent1"/>
          <w:szCs w:val="20"/>
        </w:rPr>
        <w:t xml:space="preserve"> for further guidance</w:t>
      </w:r>
      <w:r w:rsidR="00B64436" w:rsidRPr="006F1D22">
        <w:rPr>
          <w:rFonts w:asciiTheme="majorHAnsi" w:hAnsiTheme="majorHAnsi"/>
          <w:color w:val="0063A6" w:themeColor="accent1"/>
          <w:szCs w:val="20"/>
        </w:rPr>
        <w:t>)</w:t>
      </w:r>
    </w:p>
    <w:tbl>
      <w:tblPr>
        <w:tblStyle w:val="DTFTextTable"/>
        <w:tblW w:w="14680" w:type="dxa"/>
        <w:tblLayout w:type="fixed"/>
        <w:tblLook w:val="0620" w:firstRow="1" w:lastRow="0" w:firstColumn="0" w:lastColumn="0" w:noHBand="1" w:noVBand="1"/>
      </w:tblPr>
      <w:tblGrid>
        <w:gridCol w:w="1497"/>
        <w:gridCol w:w="1800"/>
        <w:gridCol w:w="1800"/>
        <w:gridCol w:w="1823"/>
        <w:gridCol w:w="1596"/>
        <w:gridCol w:w="1531"/>
        <w:gridCol w:w="1464"/>
        <w:gridCol w:w="1572"/>
        <w:gridCol w:w="1597"/>
      </w:tblGrid>
      <w:tr w:rsidR="00AD47C0" w:rsidRPr="00B64436" w:rsidTr="00C846AA">
        <w:trPr>
          <w:cnfStyle w:val="100000000000" w:firstRow="1" w:lastRow="0" w:firstColumn="0" w:lastColumn="0" w:oddVBand="0" w:evenVBand="0" w:oddHBand="0" w:evenHBand="0" w:firstRowFirstColumn="0" w:firstRowLastColumn="0" w:lastRowFirstColumn="0" w:lastRowLastColumn="0"/>
        </w:trPr>
        <w:tc>
          <w:tcPr>
            <w:tcW w:w="1497" w:type="dxa"/>
            <w:shd w:val="clear" w:color="auto" w:fill="262626" w:themeFill="text1" w:themeFillTint="D9"/>
          </w:tcPr>
          <w:p w:rsidR="00AD47C0" w:rsidRPr="00BF13F7" w:rsidRDefault="00AD47C0" w:rsidP="00B64436">
            <w:pPr>
              <w:spacing w:line="276" w:lineRule="auto"/>
              <w:rPr>
                <w:b/>
                <w:i w:val="0"/>
                <w:szCs w:val="18"/>
              </w:rPr>
            </w:pPr>
            <w:r w:rsidRPr="00BF13F7">
              <w:rPr>
                <w:b/>
                <w:i w:val="0"/>
                <w:szCs w:val="18"/>
              </w:rPr>
              <w:t xml:space="preserve">Nature of transaction </w:t>
            </w:r>
          </w:p>
          <w:p w:rsidR="00AD47C0" w:rsidRPr="00BF13F7" w:rsidRDefault="00AD47C0" w:rsidP="00845DC8">
            <w:pPr>
              <w:spacing w:line="276" w:lineRule="auto"/>
              <w:rPr>
                <w:b/>
                <w:i w:val="0"/>
                <w:szCs w:val="18"/>
              </w:rPr>
            </w:pPr>
            <w:r w:rsidRPr="00BF13F7">
              <w:rPr>
                <w:b/>
                <w:i w:val="0"/>
                <w:szCs w:val="18"/>
              </w:rPr>
              <w:t>(select from Selection List</w:t>
            </w:r>
            <w:r w:rsidR="00BF13F7" w:rsidRPr="00BF13F7">
              <w:rPr>
                <w:b/>
                <w:i w:val="0"/>
                <w:szCs w:val="18"/>
              </w:rPr>
              <w:t xml:space="preserve"> I </w:t>
            </w:r>
            <w:r w:rsidR="00845DC8">
              <w:rPr>
                <w:b/>
                <w:i w:val="0"/>
                <w:szCs w:val="18"/>
              </w:rPr>
              <w:t>on page 289</w:t>
            </w:r>
            <w:r w:rsidRPr="00BF13F7">
              <w:rPr>
                <w:b/>
                <w:i w:val="0"/>
                <w:szCs w:val="18"/>
              </w:rPr>
              <w:t>)</w:t>
            </w:r>
          </w:p>
        </w:tc>
        <w:tc>
          <w:tcPr>
            <w:tcW w:w="1800" w:type="dxa"/>
            <w:shd w:val="clear" w:color="auto" w:fill="262626" w:themeFill="text1" w:themeFillTint="D9"/>
          </w:tcPr>
          <w:p w:rsidR="00AD47C0" w:rsidRPr="00BF13F7" w:rsidRDefault="00AD47C0" w:rsidP="00B64436">
            <w:pPr>
              <w:spacing w:line="276" w:lineRule="auto"/>
              <w:rPr>
                <w:b/>
                <w:i w:val="0"/>
                <w:szCs w:val="18"/>
              </w:rPr>
            </w:pPr>
            <w:r w:rsidRPr="00BF13F7">
              <w:rPr>
                <w:b/>
                <w:i w:val="0"/>
                <w:szCs w:val="18"/>
              </w:rPr>
              <w:t>Name of entity that you are a KMP of, or any entity controlled by the entity that you are a KMP of</w:t>
            </w:r>
          </w:p>
        </w:tc>
        <w:tc>
          <w:tcPr>
            <w:tcW w:w="1800" w:type="dxa"/>
            <w:shd w:val="clear" w:color="auto" w:fill="262626" w:themeFill="text1" w:themeFillTint="D9"/>
          </w:tcPr>
          <w:p w:rsidR="00AD47C0" w:rsidRPr="00BF13F7" w:rsidRDefault="00AD47C0" w:rsidP="00B64436">
            <w:pPr>
              <w:spacing w:line="276" w:lineRule="auto"/>
              <w:rPr>
                <w:b/>
                <w:i w:val="0"/>
                <w:szCs w:val="18"/>
              </w:rPr>
            </w:pPr>
            <w:r w:rsidRPr="00BF13F7">
              <w:rPr>
                <w:b/>
                <w:i w:val="0"/>
                <w:szCs w:val="18"/>
              </w:rPr>
              <w:t xml:space="preserve">Nature of </w:t>
            </w:r>
            <w:r w:rsidR="006E7DF2" w:rsidRPr="00BF13F7">
              <w:rPr>
                <w:b/>
                <w:i w:val="0"/>
                <w:szCs w:val="18"/>
              </w:rPr>
              <w:br/>
            </w:r>
            <w:r w:rsidRPr="00BF13F7">
              <w:rPr>
                <w:b/>
                <w:i w:val="0"/>
                <w:szCs w:val="18"/>
              </w:rPr>
              <w:t xml:space="preserve">relationship </w:t>
            </w:r>
            <w:r w:rsidR="006E7DF2" w:rsidRPr="00BF13F7">
              <w:rPr>
                <w:b/>
                <w:i w:val="0"/>
                <w:szCs w:val="18"/>
              </w:rPr>
              <w:br/>
            </w:r>
            <w:r w:rsidRPr="00BF13F7">
              <w:rPr>
                <w:b/>
                <w:i w:val="0"/>
                <w:szCs w:val="18"/>
              </w:rPr>
              <w:t xml:space="preserve">between the counterparty </w:t>
            </w:r>
            <w:r w:rsidR="006E7DF2" w:rsidRPr="00BF13F7">
              <w:rPr>
                <w:b/>
                <w:i w:val="0"/>
                <w:szCs w:val="18"/>
              </w:rPr>
              <w:br/>
            </w:r>
            <w:r w:rsidRPr="00BF13F7">
              <w:rPr>
                <w:b/>
                <w:i w:val="0"/>
                <w:szCs w:val="18"/>
              </w:rPr>
              <w:t>and KMP</w:t>
            </w:r>
            <w:r w:rsidR="00BF13F7" w:rsidRPr="00BF13F7">
              <w:rPr>
                <w:b/>
                <w:i w:val="0"/>
                <w:szCs w:val="18"/>
              </w:rPr>
              <w:t xml:space="preserve"> (select from Selection List II </w:t>
            </w:r>
            <w:r w:rsidR="00845DC8">
              <w:rPr>
                <w:b/>
                <w:i w:val="0"/>
                <w:szCs w:val="18"/>
              </w:rPr>
              <w:t>on page 289</w:t>
            </w:r>
            <w:r w:rsidR="00BF13F7" w:rsidRPr="00BF13F7">
              <w:rPr>
                <w:b/>
                <w:i w:val="0"/>
                <w:szCs w:val="18"/>
              </w:rPr>
              <w:t>)</w:t>
            </w:r>
          </w:p>
        </w:tc>
        <w:tc>
          <w:tcPr>
            <w:tcW w:w="1823" w:type="dxa"/>
            <w:shd w:val="clear" w:color="auto" w:fill="262626" w:themeFill="text1" w:themeFillTint="D9"/>
          </w:tcPr>
          <w:p w:rsidR="00AD47C0" w:rsidRPr="00BF13F7" w:rsidRDefault="00AD47C0" w:rsidP="00B64436">
            <w:pPr>
              <w:spacing w:line="276" w:lineRule="auto"/>
              <w:rPr>
                <w:b/>
                <w:i w:val="0"/>
                <w:szCs w:val="18"/>
              </w:rPr>
            </w:pPr>
            <w:r w:rsidRPr="00BF13F7">
              <w:rPr>
                <w:b/>
                <w:i w:val="0"/>
                <w:szCs w:val="18"/>
              </w:rPr>
              <w:t xml:space="preserve">Name of </w:t>
            </w:r>
            <w:r w:rsidR="006E7DF2" w:rsidRPr="00BF13F7">
              <w:rPr>
                <w:b/>
                <w:i w:val="0"/>
                <w:szCs w:val="18"/>
              </w:rPr>
              <w:br/>
            </w:r>
            <w:r w:rsidRPr="00BF13F7">
              <w:rPr>
                <w:b/>
                <w:i w:val="0"/>
                <w:szCs w:val="18"/>
              </w:rPr>
              <w:t xml:space="preserve">counterparty </w:t>
            </w:r>
          </w:p>
        </w:tc>
        <w:tc>
          <w:tcPr>
            <w:tcW w:w="1596" w:type="dxa"/>
            <w:shd w:val="clear" w:color="auto" w:fill="262626" w:themeFill="text1" w:themeFillTint="D9"/>
          </w:tcPr>
          <w:p w:rsidR="00AD47C0" w:rsidRPr="00BF13F7" w:rsidRDefault="00AD47C0" w:rsidP="00B64436">
            <w:pPr>
              <w:spacing w:line="276" w:lineRule="auto"/>
              <w:rPr>
                <w:b/>
                <w:i w:val="0"/>
                <w:szCs w:val="18"/>
              </w:rPr>
            </w:pPr>
            <w:r w:rsidRPr="00BF13F7">
              <w:rPr>
                <w:b/>
                <w:i w:val="0"/>
                <w:szCs w:val="18"/>
              </w:rPr>
              <w:t>Details of transaction</w:t>
            </w:r>
          </w:p>
        </w:tc>
        <w:tc>
          <w:tcPr>
            <w:tcW w:w="1531" w:type="dxa"/>
            <w:shd w:val="clear" w:color="auto" w:fill="262626" w:themeFill="text1" w:themeFillTint="D9"/>
          </w:tcPr>
          <w:p w:rsidR="00AD47C0" w:rsidRPr="00BF13F7" w:rsidRDefault="00AD47C0" w:rsidP="00B64436">
            <w:pPr>
              <w:spacing w:line="276" w:lineRule="auto"/>
              <w:rPr>
                <w:b/>
                <w:i w:val="0"/>
                <w:szCs w:val="18"/>
              </w:rPr>
            </w:pPr>
            <w:r w:rsidRPr="00BF13F7">
              <w:rPr>
                <w:b/>
                <w:i w:val="0"/>
                <w:szCs w:val="18"/>
              </w:rPr>
              <w:t>Total value of transactions incurred during the period covered by this declaration (GST included)</w:t>
            </w:r>
          </w:p>
        </w:tc>
        <w:tc>
          <w:tcPr>
            <w:tcW w:w="1464" w:type="dxa"/>
            <w:shd w:val="clear" w:color="auto" w:fill="262626" w:themeFill="text1" w:themeFillTint="D9"/>
          </w:tcPr>
          <w:p w:rsidR="00AD47C0" w:rsidRPr="00BF13F7" w:rsidRDefault="00AD47C0" w:rsidP="00B64436">
            <w:pPr>
              <w:spacing w:line="276" w:lineRule="auto"/>
              <w:rPr>
                <w:b/>
                <w:i w:val="0"/>
                <w:szCs w:val="18"/>
              </w:rPr>
            </w:pPr>
            <w:r w:rsidRPr="00BF13F7">
              <w:rPr>
                <w:b/>
                <w:i w:val="0"/>
                <w:szCs w:val="18"/>
              </w:rPr>
              <w:t>Outstanding balances as at the end of the declaration period</w:t>
            </w:r>
          </w:p>
        </w:tc>
        <w:tc>
          <w:tcPr>
            <w:tcW w:w="1572" w:type="dxa"/>
            <w:shd w:val="clear" w:color="auto" w:fill="262626" w:themeFill="text1" w:themeFillTint="D9"/>
          </w:tcPr>
          <w:p w:rsidR="00AD47C0" w:rsidRPr="00BF13F7" w:rsidRDefault="00AD47C0" w:rsidP="00B64436">
            <w:pPr>
              <w:spacing w:line="276" w:lineRule="auto"/>
              <w:rPr>
                <w:b/>
                <w:i w:val="0"/>
                <w:szCs w:val="18"/>
              </w:rPr>
            </w:pPr>
            <w:r w:rsidRPr="00BF13F7">
              <w:rPr>
                <w:b/>
                <w:i w:val="0"/>
                <w:szCs w:val="18"/>
              </w:rPr>
              <w:t>Committed amount as at the end of the declaration period to be incurred in the following years</w:t>
            </w:r>
          </w:p>
        </w:tc>
        <w:tc>
          <w:tcPr>
            <w:tcW w:w="1597" w:type="dxa"/>
            <w:shd w:val="clear" w:color="auto" w:fill="262626" w:themeFill="text1" w:themeFillTint="D9"/>
          </w:tcPr>
          <w:p w:rsidR="00AD47C0" w:rsidRPr="00BF13F7" w:rsidRDefault="00AD47C0" w:rsidP="00B64436">
            <w:pPr>
              <w:spacing w:line="276" w:lineRule="auto"/>
              <w:rPr>
                <w:b/>
                <w:i w:val="0"/>
                <w:szCs w:val="18"/>
              </w:rPr>
            </w:pPr>
            <w:r w:rsidRPr="00BF13F7">
              <w:rPr>
                <w:b/>
                <w:i w:val="0"/>
                <w:szCs w:val="18"/>
              </w:rPr>
              <w:t>Terms and conditions</w:t>
            </w:r>
          </w:p>
          <w:p w:rsidR="00AD47C0" w:rsidRPr="00BF13F7" w:rsidRDefault="00AD47C0" w:rsidP="00845DC8">
            <w:pPr>
              <w:spacing w:line="276" w:lineRule="auto"/>
              <w:rPr>
                <w:b/>
                <w:i w:val="0"/>
                <w:szCs w:val="18"/>
              </w:rPr>
            </w:pPr>
            <w:r w:rsidRPr="00BF13F7">
              <w:rPr>
                <w:b/>
                <w:i w:val="0"/>
                <w:szCs w:val="18"/>
              </w:rPr>
              <w:t xml:space="preserve">(select from Selection Lists III  and IV </w:t>
            </w:r>
            <w:r w:rsidR="00845DC8">
              <w:rPr>
                <w:b/>
                <w:i w:val="0"/>
                <w:szCs w:val="18"/>
              </w:rPr>
              <w:t>on pages 289-290</w:t>
            </w:r>
            <w:r w:rsidRPr="00BF13F7">
              <w:rPr>
                <w:b/>
                <w:i w:val="0"/>
                <w:szCs w:val="18"/>
              </w:rPr>
              <w:t>)</w:t>
            </w:r>
          </w:p>
        </w:tc>
      </w:tr>
      <w:tr w:rsidR="00AD47C0" w:rsidRPr="00B64436" w:rsidTr="00BF13F7">
        <w:tc>
          <w:tcPr>
            <w:tcW w:w="1497" w:type="dxa"/>
            <w:tcBorders>
              <w:bottom w:val="single" w:sz="4" w:space="0" w:color="BFBFBF" w:themeColor="background1" w:themeShade="BF"/>
            </w:tcBorders>
            <w:shd w:val="clear" w:color="auto" w:fill="D9D9D9" w:themeFill="background1" w:themeFillShade="D9"/>
          </w:tcPr>
          <w:p w:rsidR="00AD47C0" w:rsidRPr="00B64436" w:rsidRDefault="00AD47C0" w:rsidP="00B03939">
            <w:pPr>
              <w:spacing w:after="0"/>
              <w:rPr>
                <w:szCs w:val="18"/>
              </w:rPr>
            </w:pPr>
            <w:r w:rsidRPr="00B64436">
              <w:rPr>
                <w:szCs w:val="18"/>
              </w:rPr>
              <w:t>AASB124(24)</w:t>
            </w:r>
          </w:p>
        </w:tc>
        <w:tc>
          <w:tcPr>
            <w:tcW w:w="1800" w:type="dxa"/>
            <w:tcBorders>
              <w:bottom w:val="single" w:sz="4" w:space="0" w:color="BFBFBF" w:themeColor="background1" w:themeShade="BF"/>
            </w:tcBorders>
            <w:shd w:val="clear" w:color="auto" w:fill="D9D9D9" w:themeFill="background1" w:themeFillShade="D9"/>
          </w:tcPr>
          <w:p w:rsidR="00AD47C0" w:rsidRPr="00B64436" w:rsidRDefault="00AD47C0" w:rsidP="00B03939">
            <w:pPr>
              <w:spacing w:after="0"/>
              <w:rPr>
                <w:szCs w:val="18"/>
              </w:rPr>
            </w:pPr>
            <w:r w:rsidRPr="00B64436">
              <w:rPr>
                <w:szCs w:val="18"/>
              </w:rPr>
              <w:t>(refer to Appendix 3)</w:t>
            </w:r>
          </w:p>
        </w:tc>
        <w:tc>
          <w:tcPr>
            <w:tcW w:w="1800" w:type="dxa"/>
            <w:tcBorders>
              <w:bottom w:val="single" w:sz="4" w:space="0" w:color="BFBFBF" w:themeColor="background1" w:themeShade="BF"/>
            </w:tcBorders>
            <w:shd w:val="clear" w:color="auto" w:fill="D9D9D9" w:themeFill="background1" w:themeFillShade="D9"/>
          </w:tcPr>
          <w:p w:rsidR="00AD47C0" w:rsidRPr="00B64436" w:rsidRDefault="00AD47C0" w:rsidP="00B03939">
            <w:pPr>
              <w:spacing w:after="0"/>
              <w:rPr>
                <w:szCs w:val="18"/>
              </w:rPr>
            </w:pPr>
            <w:r w:rsidRPr="00B64436">
              <w:rPr>
                <w:szCs w:val="18"/>
              </w:rPr>
              <w:t>AASB124(19)</w:t>
            </w:r>
          </w:p>
        </w:tc>
        <w:tc>
          <w:tcPr>
            <w:tcW w:w="1823" w:type="dxa"/>
            <w:tcBorders>
              <w:bottom w:val="single" w:sz="4" w:space="0" w:color="BFBFBF" w:themeColor="background1" w:themeShade="BF"/>
            </w:tcBorders>
            <w:shd w:val="clear" w:color="auto" w:fill="D9D9D9" w:themeFill="background1" w:themeFillShade="D9"/>
          </w:tcPr>
          <w:p w:rsidR="00AD47C0" w:rsidRPr="00B64436" w:rsidRDefault="00AD47C0" w:rsidP="00B03939">
            <w:pPr>
              <w:spacing w:after="0"/>
              <w:rPr>
                <w:szCs w:val="18"/>
              </w:rPr>
            </w:pPr>
            <w:r w:rsidRPr="00B64436">
              <w:rPr>
                <w:szCs w:val="18"/>
              </w:rPr>
              <w:t>(Please include ABN details)</w:t>
            </w:r>
          </w:p>
        </w:tc>
        <w:tc>
          <w:tcPr>
            <w:tcW w:w="1596" w:type="dxa"/>
            <w:tcBorders>
              <w:bottom w:val="single" w:sz="4" w:space="0" w:color="BFBFBF" w:themeColor="background1" w:themeShade="BF"/>
            </w:tcBorders>
            <w:shd w:val="clear" w:color="auto" w:fill="D9D9D9" w:themeFill="background1" w:themeFillShade="D9"/>
          </w:tcPr>
          <w:p w:rsidR="00AD47C0" w:rsidRPr="00B64436" w:rsidRDefault="00AD47C0" w:rsidP="00B03939">
            <w:pPr>
              <w:spacing w:after="0"/>
              <w:rPr>
                <w:szCs w:val="18"/>
              </w:rPr>
            </w:pPr>
            <w:r w:rsidRPr="00B64436">
              <w:rPr>
                <w:szCs w:val="18"/>
              </w:rPr>
              <w:t>(please specify the nature of the transaction)</w:t>
            </w:r>
          </w:p>
        </w:tc>
        <w:tc>
          <w:tcPr>
            <w:tcW w:w="1531" w:type="dxa"/>
            <w:tcBorders>
              <w:bottom w:val="single" w:sz="4" w:space="0" w:color="BFBFBF" w:themeColor="background1" w:themeShade="BF"/>
            </w:tcBorders>
            <w:shd w:val="clear" w:color="auto" w:fill="D9D9D9" w:themeFill="background1" w:themeFillShade="D9"/>
          </w:tcPr>
          <w:p w:rsidR="00AD47C0" w:rsidRPr="00B64436" w:rsidRDefault="00AD47C0" w:rsidP="00B03939">
            <w:pPr>
              <w:spacing w:after="0"/>
              <w:rPr>
                <w:szCs w:val="18"/>
              </w:rPr>
            </w:pPr>
            <w:r w:rsidRPr="00B64436">
              <w:rPr>
                <w:szCs w:val="18"/>
              </w:rPr>
              <w:t>AASB124(18)(a)</w:t>
            </w:r>
          </w:p>
        </w:tc>
        <w:tc>
          <w:tcPr>
            <w:tcW w:w="1464" w:type="dxa"/>
            <w:tcBorders>
              <w:bottom w:val="single" w:sz="4" w:space="0" w:color="BFBFBF" w:themeColor="background1" w:themeShade="BF"/>
            </w:tcBorders>
            <w:shd w:val="clear" w:color="auto" w:fill="D9D9D9" w:themeFill="background1" w:themeFillShade="D9"/>
          </w:tcPr>
          <w:p w:rsidR="00AD47C0" w:rsidRPr="00B64436" w:rsidRDefault="00AD47C0" w:rsidP="00B03939">
            <w:pPr>
              <w:spacing w:after="0"/>
              <w:rPr>
                <w:szCs w:val="18"/>
              </w:rPr>
            </w:pPr>
            <w:r w:rsidRPr="00B64436">
              <w:rPr>
                <w:szCs w:val="18"/>
              </w:rPr>
              <w:t>AASB124(18)(b)</w:t>
            </w:r>
          </w:p>
        </w:tc>
        <w:tc>
          <w:tcPr>
            <w:tcW w:w="1572" w:type="dxa"/>
            <w:tcBorders>
              <w:bottom w:val="single" w:sz="4" w:space="0" w:color="BFBFBF" w:themeColor="background1" w:themeShade="BF"/>
            </w:tcBorders>
            <w:shd w:val="clear" w:color="auto" w:fill="D9D9D9" w:themeFill="background1" w:themeFillShade="D9"/>
          </w:tcPr>
          <w:p w:rsidR="00AD47C0" w:rsidRPr="00B64436" w:rsidRDefault="00AD47C0" w:rsidP="00B03939">
            <w:pPr>
              <w:spacing w:after="0"/>
              <w:rPr>
                <w:szCs w:val="18"/>
              </w:rPr>
            </w:pPr>
            <w:r w:rsidRPr="00B64436">
              <w:rPr>
                <w:szCs w:val="18"/>
              </w:rPr>
              <w:t>AASB124 (18)(b)</w:t>
            </w:r>
          </w:p>
        </w:tc>
        <w:tc>
          <w:tcPr>
            <w:tcW w:w="1597" w:type="dxa"/>
            <w:tcBorders>
              <w:bottom w:val="single" w:sz="4" w:space="0" w:color="BFBFBF" w:themeColor="background1" w:themeShade="BF"/>
            </w:tcBorders>
            <w:shd w:val="clear" w:color="auto" w:fill="D9D9D9" w:themeFill="background1" w:themeFillShade="D9"/>
          </w:tcPr>
          <w:p w:rsidR="00AD47C0" w:rsidRPr="00B64436" w:rsidRDefault="00AD47C0" w:rsidP="00F042B6">
            <w:pPr>
              <w:spacing w:after="0"/>
              <w:rPr>
                <w:szCs w:val="18"/>
              </w:rPr>
            </w:pPr>
            <w:r w:rsidRPr="00B64436">
              <w:rPr>
                <w:szCs w:val="18"/>
              </w:rPr>
              <w:t>AASB124 (18)(b)</w:t>
            </w:r>
          </w:p>
        </w:tc>
      </w:tr>
      <w:tr w:rsidR="00AD47C0" w:rsidRPr="00B64436" w:rsidTr="00EC0147">
        <w:tc>
          <w:tcPr>
            <w:tcW w:w="1497"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Example 7A</w:t>
            </w:r>
          </w:p>
        </w:tc>
        <w:tc>
          <w:tcPr>
            <w:tcW w:w="1800"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 xml:space="preserve">Department of Treasury and Finance (DTF) </w:t>
            </w:r>
          </w:p>
          <w:p w:rsidR="00AD47C0" w:rsidRPr="00B64436" w:rsidRDefault="00AD47C0" w:rsidP="00B03939">
            <w:pPr>
              <w:pStyle w:val="Tabletext"/>
              <w:ind w:left="0" w:firstLine="0"/>
              <w:rPr>
                <w:sz w:val="18"/>
                <w:szCs w:val="18"/>
              </w:rPr>
            </w:pPr>
            <w:r w:rsidRPr="00B64436">
              <w:rPr>
                <w:sz w:val="18"/>
                <w:szCs w:val="18"/>
              </w:rPr>
              <w:t>(the entity that you are KMP of)</w:t>
            </w:r>
          </w:p>
        </w:tc>
        <w:tc>
          <w:tcPr>
            <w:tcW w:w="1800"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A company wholly owned by my son provided consultancy services to DTF</w:t>
            </w:r>
          </w:p>
        </w:tc>
        <w:tc>
          <w:tcPr>
            <w:tcW w:w="1823"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iCs/>
                <w:sz w:val="18"/>
                <w:szCs w:val="18"/>
              </w:rPr>
            </w:pPr>
            <w:r w:rsidRPr="00B64436">
              <w:rPr>
                <w:iCs/>
                <w:sz w:val="18"/>
                <w:szCs w:val="18"/>
              </w:rPr>
              <w:t>Spencer &amp; Jeffrey Consultancy Company Pty Ltd</w:t>
            </w:r>
          </w:p>
          <w:p w:rsidR="00AD47C0" w:rsidRPr="00B64436" w:rsidRDefault="00AD47C0" w:rsidP="00B03939">
            <w:pPr>
              <w:pStyle w:val="Tabletext"/>
              <w:ind w:left="0" w:firstLine="0"/>
              <w:rPr>
                <w:sz w:val="18"/>
                <w:szCs w:val="18"/>
              </w:rPr>
            </w:pPr>
            <w:r w:rsidRPr="00B64436">
              <w:rPr>
                <w:sz w:val="18"/>
                <w:szCs w:val="18"/>
              </w:rPr>
              <w:t>(ABN:12 345 345 345)</w:t>
            </w:r>
          </w:p>
        </w:tc>
        <w:tc>
          <w:tcPr>
            <w:tcW w:w="1596"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Provision of IT consultancy service to the department</w:t>
            </w:r>
          </w:p>
        </w:tc>
        <w:tc>
          <w:tcPr>
            <w:tcW w:w="1531"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$300</w:t>
            </w:r>
            <w:r w:rsidR="00B03939" w:rsidRPr="00B64436">
              <w:rPr>
                <w:sz w:val="18"/>
                <w:szCs w:val="18"/>
              </w:rPr>
              <w:t xml:space="preserve"> </w:t>
            </w:r>
            <w:r w:rsidRPr="00B64436">
              <w:rPr>
                <w:sz w:val="18"/>
                <w:szCs w:val="18"/>
              </w:rPr>
              <w:t>000</w:t>
            </w:r>
          </w:p>
        </w:tc>
        <w:tc>
          <w:tcPr>
            <w:tcW w:w="1464"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$50</w:t>
            </w:r>
            <w:r w:rsidR="00B03939" w:rsidRPr="00B64436">
              <w:rPr>
                <w:sz w:val="18"/>
                <w:szCs w:val="18"/>
              </w:rPr>
              <w:t xml:space="preserve"> </w:t>
            </w:r>
            <w:r w:rsidRPr="00B64436">
              <w:rPr>
                <w:sz w:val="18"/>
                <w:szCs w:val="18"/>
              </w:rPr>
              <w:t>000 prepayment by DTF to the entity</w:t>
            </w:r>
          </w:p>
        </w:tc>
        <w:tc>
          <w:tcPr>
            <w:tcW w:w="1572"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567370">
            <w:pPr>
              <w:pStyle w:val="Tabletext"/>
              <w:ind w:left="0" w:firstLine="0"/>
              <w:rPr>
                <w:sz w:val="18"/>
                <w:szCs w:val="18"/>
              </w:rPr>
            </w:pPr>
            <w:r w:rsidRPr="00B64436">
              <w:rPr>
                <w:sz w:val="18"/>
                <w:szCs w:val="18"/>
              </w:rPr>
              <w:t>IT consultancy service of $50</w:t>
            </w:r>
            <w:r w:rsidR="00567370">
              <w:rPr>
                <w:sz w:val="18"/>
                <w:szCs w:val="18"/>
              </w:rPr>
              <w:t> </w:t>
            </w:r>
            <w:r w:rsidRPr="00B64436">
              <w:rPr>
                <w:sz w:val="18"/>
                <w:szCs w:val="18"/>
              </w:rPr>
              <w:t>000 will be provided to the department in the following year.</w:t>
            </w:r>
          </w:p>
        </w:tc>
        <w:tc>
          <w:tcPr>
            <w:tcW w:w="1597"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ListBullet"/>
              <w:rPr>
                <w:szCs w:val="18"/>
              </w:rPr>
            </w:pPr>
            <w:r w:rsidRPr="00B64436">
              <w:rPr>
                <w:szCs w:val="18"/>
              </w:rPr>
              <w:t>Open tender</w:t>
            </w:r>
          </w:p>
          <w:p w:rsidR="00AD47C0" w:rsidRPr="00B64436" w:rsidRDefault="00AD47C0" w:rsidP="00B03939">
            <w:pPr>
              <w:pStyle w:val="ListBullet"/>
              <w:rPr>
                <w:szCs w:val="18"/>
              </w:rPr>
            </w:pPr>
            <w:r w:rsidRPr="00B64436">
              <w:rPr>
                <w:szCs w:val="18"/>
              </w:rPr>
              <w:t>Unsecured</w:t>
            </w:r>
          </w:p>
          <w:p w:rsidR="00AD47C0" w:rsidRPr="00B64436" w:rsidRDefault="00AD47C0" w:rsidP="00B03939">
            <w:pPr>
              <w:pStyle w:val="ListBullet"/>
              <w:rPr>
                <w:szCs w:val="18"/>
              </w:rPr>
            </w:pPr>
            <w:r w:rsidRPr="00B64436">
              <w:rPr>
                <w:szCs w:val="18"/>
              </w:rPr>
              <w:t>Standard terms</w:t>
            </w:r>
          </w:p>
          <w:p w:rsidR="00AD47C0" w:rsidRPr="00B64436" w:rsidRDefault="00AD47C0" w:rsidP="00B03939">
            <w:pPr>
              <w:pStyle w:val="ListBullet"/>
              <w:rPr>
                <w:szCs w:val="18"/>
              </w:rPr>
            </w:pPr>
            <w:r w:rsidRPr="00B64436">
              <w:rPr>
                <w:szCs w:val="18"/>
              </w:rPr>
              <w:t>Settlement by bank transfer</w:t>
            </w:r>
          </w:p>
        </w:tc>
      </w:tr>
      <w:tr w:rsidR="00AD47C0" w:rsidRPr="00B64436" w:rsidTr="00EC0147">
        <w:tc>
          <w:tcPr>
            <w:tcW w:w="1497"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Example 7A</w:t>
            </w:r>
          </w:p>
        </w:tc>
        <w:tc>
          <w:tcPr>
            <w:tcW w:w="1800"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 xml:space="preserve">Department of Treasury and Finance (DTF) </w:t>
            </w:r>
          </w:p>
          <w:p w:rsidR="00AD47C0" w:rsidRPr="00B64436" w:rsidRDefault="00AD47C0" w:rsidP="00B03939">
            <w:pPr>
              <w:pStyle w:val="Tabletext"/>
              <w:ind w:left="0" w:firstLine="0"/>
              <w:rPr>
                <w:sz w:val="18"/>
                <w:szCs w:val="18"/>
              </w:rPr>
            </w:pPr>
            <w:r w:rsidRPr="00B64436">
              <w:rPr>
                <w:sz w:val="18"/>
                <w:szCs w:val="18"/>
              </w:rPr>
              <w:t>(the entity that you are KMP of)</w:t>
            </w:r>
          </w:p>
        </w:tc>
        <w:tc>
          <w:tcPr>
            <w:tcW w:w="1800"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A company owned by my wife and myself provided technology support for DTF.</w:t>
            </w:r>
          </w:p>
        </w:tc>
        <w:tc>
          <w:tcPr>
            <w:tcW w:w="1823"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iCs/>
                <w:sz w:val="18"/>
                <w:szCs w:val="18"/>
              </w:rPr>
            </w:pPr>
            <w:r w:rsidRPr="00B64436">
              <w:rPr>
                <w:iCs/>
                <w:sz w:val="18"/>
                <w:szCs w:val="18"/>
              </w:rPr>
              <w:t>Golden Age Technology Company Pty Ltd</w:t>
            </w:r>
          </w:p>
          <w:p w:rsidR="00AD47C0" w:rsidRPr="00B64436" w:rsidRDefault="00AD47C0" w:rsidP="00B03939">
            <w:pPr>
              <w:pStyle w:val="Tabletext"/>
              <w:ind w:left="0" w:firstLine="0"/>
              <w:rPr>
                <w:iCs/>
                <w:sz w:val="18"/>
                <w:szCs w:val="18"/>
              </w:rPr>
            </w:pPr>
            <w:r w:rsidRPr="00B64436">
              <w:rPr>
                <w:iCs/>
                <w:sz w:val="18"/>
                <w:szCs w:val="18"/>
              </w:rPr>
              <w:t>(ABN:13 567 567 567)</w:t>
            </w:r>
          </w:p>
        </w:tc>
        <w:tc>
          <w:tcPr>
            <w:tcW w:w="1596"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iCs/>
                <w:sz w:val="18"/>
                <w:szCs w:val="18"/>
              </w:rPr>
              <w:t>Sale of software licences to the department</w:t>
            </w:r>
          </w:p>
        </w:tc>
        <w:tc>
          <w:tcPr>
            <w:tcW w:w="1531"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$570</w:t>
            </w:r>
            <w:r w:rsidR="00B03939" w:rsidRPr="00B64436">
              <w:rPr>
                <w:sz w:val="18"/>
                <w:szCs w:val="18"/>
              </w:rPr>
              <w:t xml:space="preserve"> </w:t>
            </w:r>
            <w:r w:rsidRPr="00B64436">
              <w:rPr>
                <w:sz w:val="18"/>
                <w:szCs w:val="18"/>
              </w:rPr>
              <w:t>000</w:t>
            </w:r>
          </w:p>
        </w:tc>
        <w:tc>
          <w:tcPr>
            <w:tcW w:w="1464"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$10</w:t>
            </w:r>
            <w:r w:rsidR="00B03939" w:rsidRPr="00B64436">
              <w:rPr>
                <w:sz w:val="18"/>
                <w:szCs w:val="18"/>
              </w:rPr>
              <w:t xml:space="preserve"> </w:t>
            </w:r>
            <w:r w:rsidRPr="00B64436">
              <w:rPr>
                <w:sz w:val="18"/>
                <w:szCs w:val="18"/>
              </w:rPr>
              <w:t>000 payable by DTF to the entity</w:t>
            </w:r>
          </w:p>
        </w:tc>
        <w:tc>
          <w:tcPr>
            <w:tcW w:w="1572"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The contract was renewed for a further year for $570</w:t>
            </w:r>
            <w:r w:rsidR="00B03939" w:rsidRPr="00B64436">
              <w:rPr>
                <w:sz w:val="18"/>
                <w:szCs w:val="18"/>
              </w:rPr>
              <w:t xml:space="preserve"> </w:t>
            </w:r>
            <w:r w:rsidRPr="00B64436">
              <w:rPr>
                <w:sz w:val="18"/>
                <w:szCs w:val="18"/>
              </w:rPr>
              <w:t>000</w:t>
            </w:r>
          </w:p>
        </w:tc>
        <w:tc>
          <w:tcPr>
            <w:tcW w:w="1597" w:type="dxa"/>
            <w:tcBorders>
              <w:top w:val="single" w:sz="4" w:space="0" w:color="BFBFBF" w:themeColor="background1" w:themeShade="BF"/>
            </w:tcBorders>
            <w:shd w:val="clear" w:color="auto" w:fill="FFFFFF" w:themeFill="background1"/>
          </w:tcPr>
          <w:p w:rsidR="00AD47C0" w:rsidRPr="00B64436" w:rsidRDefault="00AD47C0" w:rsidP="00B03939">
            <w:pPr>
              <w:pStyle w:val="ListBullet"/>
              <w:rPr>
                <w:szCs w:val="18"/>
              </w:rPr>
            </w:pPr>
            <w:r w:rsidRPr="00B64436">
              <w:rPr>
                <w:szCs w:val="18"/>
              </w:rPr>
              <w:t>Unsolicited proposal</w:t>
            </w:r>
          </w:p>
          <w:p w:rsidR="00AD47C0" w:rsidRPr="00B64436" w:rsidRDefault="00AD47C0" w:rsidP="00B03939">
            <w:pPr>
              <w:pStyle w:val="ListBullet"/>
              <w:rPr>
                <w:szCs w:val="18"/>
              </w:rPr>
            </w:pPr>
            <w:r w:rsidRPr="00B64436">
              <w:rPr>
                <w:szCs w:val="18"/>
              </w:rPr>
              <w:t>Unsecured</w:t>
            </w:r>
          </w:p>
          <w:p w:rsidR="00AD47C0" w:rsidRPr="00B64436" w:rsidRDefault="00AD47C0" w:rsidP="00B03939">
            <w:pPr>
              <w:pStyle w:val="ListBullet"/>
              <w:rPr>
                <w:szCs w:val="18"/>
              </w:rPr>
            </w:pPr>
            <w:r w:rsidRPr="00B64436">
              <w:rPr>
                <w:szCs w:val="18"/>
              </w:rPr>
              <w:t>Standard terms except that the unit price is 10% off the standard price as an incentive to win a new customer</w:t>
            </w:r>
          </w:p>
          <w:p w:rsidR="00AD47C0" w:rsidRPr="00B64436" w:rsidRDefault="00AD47C0" w:rsidP="00B03939">
            <w:pPr>
              <w:pStyle w:val="ListBullet"/>
              <w:rPr>
                <w:szCs w:val="18"/>
              </w:rPr>
            </w:pPr>
            <w:r w:rsidRPr="00B64436">
              <w:rPr>
                <w:szCs w:val="18"/>
              </w:rPr>
              <w:t>Settlement by bank transfer</w:t>
            </w:r>
          </w:p>
        </w:tc>
      </w:tr>
    </w:tbl>
    <w:p w:rsidR="00571F08" w:rsidRPr="00892DE3" w:rsidRDefault="00571F08" w:rsidP="00720EB9"/>
    <w:p w:rsidR="00571F08" w:rsidRPr="00892DE3" w:rsidRDefault="00571F08" w:rsidP="00720EB9">
      <w:pPr>
        <w:rPr>
          <w:rFonts w:asciiTheme="majorHAnsi" w:eastAsiaTheme="majorEastAsia" w:hAnsiTheme="majorHAnsi" w:cstheme="majorBidi"/>
          <w:spacing w:val="-2"/>
          <w:szCs w:val="26"/>
        </w:rPr>
      </w:pPr>
      <w:r w:rsidRPr="00892DE3">
        <w:br w:type="page"/>
      </w:r>
    </w:p>
    <w:p w:rsidR="006E7DF2" w:rsidRPr="00892DE3" w:rsidRDefault="006E7DF2" w:rsidP="006E7DF2">
      <w:pPr>
        <w:pStyle w:val="Heading2nonTOC"/>
      </w:pPr>
      <w:r w:rsidRPr="00892DE3">
        <w:t xml:space="preserve">Form to be completed – </w:t>
      </w:r>
      <w:r w:rsidR="00567370">
        <w:t>Provide</w:t>
      </w:r>
      <w:r w:rsidRPr="00892DE3">
        <w:t xml:space="preserve"> details of related party transactions</w:t>
      </w:r>
    </w:p>
    <w:p w:rsidR="006E7DF2" w:rsidRPr="00892DE3" w:rsidRDefault="006E7DF2" w:rsidP="006E7DF2">
      <w:pPr>
        <w:spacing w:before="0"/>
        <w:rPr>
          <w:rFonts w:asciiTheme="majorHAnsi" w:hAnsiTheme="majorHAnsi"/>
        </w:rPr>
      </w:pPr>
    </w:p>
    <w:tbl>
      <w:tblPr>
        <w:tblStyle w:val="DTFTextTable"/>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2" w:space="0" w:color="BFBFBF" w:themeColor="background1" w:themeShade="BF"/>
          <w:insideV w:val="single" w:sz="2" w:space="0" w:color="BFBFBF" w:themeColor="background1" w:themeShade="BF"/>
        </w:tblBorders>
        <w:tblLook w:val="06A0" w:firstRow="1" w:lastRow="0" w:firstColumn="1" w:lastColumn="0" w:noHBand="1" w:noVBand="1"/>
      </w:tblPr>
      <w:tblGrid>
        <w:gridCol w:w="3857"/>
        <w:gridCol w:w="5385"/>
      </w:tblGrid>
      <w:tr w:rsidR="00B23498" w:rsidRPr="00892DE3" w:rsidTr="00625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B23498" w:rsidRPr="00B64436" w:rsidRDefault="00B23498" w:rsidP="00625E30">
            <w:pPr>
              <w:rPr>
                <w:b/>
                <w:i w:val="0"/>
              </w:rPr>
            </w:pPr>
            <w:r w:rsidRPr="00B64436">
              <w:rPr>
                <w:b/>
                <w:i w:val="0"/>
              </w:rPr>
              <w:t>Name of KMP</w:t>
            </w:r>
          </w:p>
        </w:tc>
        <w:tc>
          <w:tcPr>
            <w:tcW w:w="5385" w:type="dxa"/>
            <w:shd w:val="clear" w:color="auto" w:fill="auto"/>
          </w:tcPr>
          <w:p w:rsidR="00B23498" w:rsidRPr="00892DE3" w:rsidRDefault="00B23498" w:rsidP="00625E30">
            <w:pPr>
              <w:cnfStyle w:val="100000000000" w:firstRow="1" w:lastRow="0" w:firstColumn="0" w:lastColumn="0" w:oddVBand="0" w:evenVBand="0" w:oddHBand="0" w:evenHBand="0" w:firstRowFirstColumn="0" w:firstRowLastColumn="0" w:lastRowFirstColumn="0" w:lastRowLastColumn="0"/>
              <w:rPr>
                <w:i w:val="0"/>
              </w:rPr>
            </w:pPr>
          </w:p>
        </w:tc>
      </w:tr>
      <w:tr w:rsidR="00B23498" w:rsidRPr="00892DE3" w:rsidTr="00625E30">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B23498" w:rsidRPr="00B64436" w:rsidRDefault="00B23498" w:rsidP="00625E30">
            <w:pPr>
              <w:spacing w:after="20"/>
              <w:rPr>
                <w:b/>
              </w:rPr>
            </w:pPr>
            <w:r w:rsidRPr="00B64436">
              <w:rPr>
                <w:b/>
              </w:rPr>
              <w:t>Portfolio and name of department/agency</w:t>
            </w:r>
          </w:p>
        </w:tc>
        <w:tc>
          <w:tcPr>
            <w:tcW w:w="5385" w:type="dxa"/>
            <w:shd w:val="clear" w:color="auto" w:fill="auto"/>
          </w:tcPr>
          <w:p w:rsidR="00B23498" w:rsidRPr="00892DE3" w:rsidRDefault="00B23498" w:rsidP="00625E30">
            <w:pPr>
              <w:spacing w:after="20"/>
              <w:cnfStyle w:val="000000000000" w:firstRow="0" w:lastRow="0" w:firstColumn="0" w:lastColumn="0" w:oddVBand="0" w:evenVBand="0" w:oddHBand="0" w:evenHBand="0" w:firstRowFirstColumn="0" w:firstRowLastColumn="0" w:lastRowFirstColumn="0" w:lastRowLastColumn="0"/>
            </w:pPr>
          </w:p>
        </w:tc>
      </w:tr>
      <w:tr w:rsidR="00B23498" w:rsidRPr="00892DE3" w:rsidTr="00625E30">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B23498" w:rsidRPr="00B64436" w:rsidRDefault="00B23498" w:rsidP="00625E30">
            <w:pPr>
              <w:spacing w:after="20"/>
              <w:rPr>
                <w:b/>
              </w:rPr>
            </w:pPr>
            <w:r w:rsidRPr="00B64436">
              <w:rPr>
                <w:b/>
              </w:rPr>
              <w:t>Period covered by this Declaration</w:t>
            </w:r>
          </w:p>
        </w:tc>
        <w:tc>
          <w:tcPr>
            <w:tcW w:w="5385" w:type="dxa"/>
            <w:shd w:val="clear" w:color="auto" w:fill="auto"/>
          </w:tcPr>
          <w:p w:rsidR="00B23498" w:rsidRPr="00892DE3" w:rsidRDefault="00B23498" w:rsidP="00625E30">
            <w:pPr>
              <w:spacing w:after="20"/>
              <w:cnfStyle w:val="000000000000" w:firstRow="0" w:lastRow="0" w:firstColumn="0" w:lastColumn="0" w:oddVBand="0" w:evenVBand="0" w:oddHBand="0" w:evenHBand="0" w:firstRowFirstColumn="0" w:firstRowLastColumn="0" w:lastRowFirstColumn="0" w:lastRowLastColumn="0"/>
            </w:pPr>
          </w:p>
        </w:tc>
      </w:tr>
    </w:tbl>
    <w:p w:rsidR="000D7AD4" w:rsidRPr="006F1D22" w:rsidRDefault="000D7AD4" w:rsidP="000D7AD4">
      <w:pPr>
        <w:spacing w:after="120"/>
        <w:rPr>
          <w:rFonts w:asciiTheme="majorHAnsi" w:hAnsiTheme="majorHAnsi"/>
          <w:color w:val="0063A6" w:themeColor="accent1"/>
          <w:szCs w:val="20"/>
        </w:rPr>
      </w:pPr>
      <w:r w:rsidRPr="000D7AD4">
        <w:rPr>
          <w:rFonts w:asciiTheme="majorHAnsi" w:hAnsiTheme="majorHAnsi"/>
          <w:szCs w:val="20"/>
        </w:rPr>
        <w:t>Please include all transactions. Note that a threshold may be applied for standard commercial related party contracts.</w:t>
      </w:r>
      <w:r w:rsidRPr="006F1D22">
        <w:rPr>
          <w:rFonts w:asciiTheme="majorHAnsi" w:hAnsiTheme="majorHAnsi"/>
          <w:color w:val="0063A6" w:themeColor="accent1"/>
          <w:szCs w:val="20"/>
        </w:rPr>
        <w:br/>
      </w:r>
      <w:r>
        <w:rPr>
          <w:rFonts w:asciiTheme="majorHAnsi" w:hAnsiTheme="majorHAnsi"/>
          <w:color w:val="0063A6" w:themeColor="accent1"/>
          <w:szCs w:val="20"/>
        </w:rPr>
        <w:t>(</w:t>
      </w:r>
      <w:r w:rsidRPr="006F1D22">
        <w:rPr>
          <w:rFonts w:asciiTheme="majorHAnsi" w:hAnsiTheme="majorHAnsi"/>
          <w:color w:val="0063A6" w:themeColor="accent1"/>
          <w:szCs w:val="20"/>
        </w:rPr>
        <w:t>Please refer to the Declaration Checklist</w:t>
      </w:r>
      <w:r w:rsidR="00051D0D" w:rsidRPr="00051D0D">
        <w:rPr>
          <w:rFonts w:asciiTheme="majorHAnsi" w:hAnsiTheme="majorHAnsi"/>
          <w:color w:val="0063A6" w:themeColor="accent1"/>
          <w:szCs w:val="20"/>
        </w:rPr>
        <w:t xml:space="preserve"> </w:t>
      </w:r>
      <w:r w:rsidR="00051D0D">
        <w:rPr>
          <w:rFonts w:asciiTheme="majorHAnsi" w:hAnsiTheme="majorHAnsi"/>
          <w:color w:val="0063A6" w:themeColor="accent1"/>
          <w:szCs w:val="20"/>
        </w:rPr>
        <w:t>on page 280</w:t>
      </w:r>
      <w:r w:rsidRPr="006F1D22">
        <w:rPr>
          <w:rFonts w:asciiTheme="majorHAnsi" w:hAnsiTheme="majorHAnsi"/>
          <w:color w:val="0063A6" w:themeColor="accent1"/>
          <w:szCs w:val="20"/>
        </w:rPr>
        <w:t xml:space="preserve"> for further guidance)</w:t>
      </w:r>
    </w:p>
    <w:tbl>
      <w:tblPr>
        <w:tblStyle w:val="DTFTextTable"/>
        <w:tblW w:w="14680" w:type="dxa"/>
        <w:tblLayout w:type="fixed"/>
        <w:tblLook w:val="0620" w:firstRow="1" w:lastRow="0" w:firstColumn="0" w:lastColumn="0" w:noHBand="1" w:noVBand="1"/>
      </w:tblPr>
      <w:tblGrid>
        <w:gridCol w:w="1497"/>
        <w:gridCol w:w="1800"/>
        <w:gridCol w:w="1800"/>
        <w:gridCol w:w="1823"/>
        <w:gridCol w:w="1596"/>
        <w:gridCol w:w="1531"/>
        <w:gridCol w:w="1440"/>
        <w:gridCol w:w="1596"/>
        <w:gridCol w:w="1597"/>
      </w:tblGrid>
      <w:tr w:rsidR="00BF13F7" w:rsidRPr="00BF13F7" w:rsidTr="007231FB">
        <w:trPr>
          <w:cnfStyle w:val="100000000000" w:firstRow="1" w:lastRow="0" w:firstColumn="0" w:lastColumn="0" w:oddVBand="0" w:evenVBand="0" w:oddHBand="0" w:evenHBand="0" w:firstRowFirstColumn="0" w:firstRowLastColumn="0" w:lastRowFirstColumn="0" w:lastRowLastColumn="0"/>
        </w:trPr>
        <w:tc>
          <w:tcPr>
            <w:tcW w:w="1497" w:type="dxa"/>
            <w:tcBorders>
              <w:bottom w:val="nil"/>
            </w:tcBorders>
            <w:shd w:val="clear" w:color="auto" w:fill="262626" w:themeFill="text1" w:themeFillTint="D9"/>
          </w:tcPr>
          <w:p w:rsidR="00BF13F7" w:rsidRPr="00BF13F7" w:rsidRDefault="00BF13F7" w:rsidP="00217306">
            <w:pPr>
              <w:spacing w:line="276" w:lineRule="auto"/>
              <w:rPr>
                <w:b/>
                <w:i w:val="0"/>
                <w:szCs w:val="18"/>
              </w:rPr>
            </w:pPr>
            <w:r w:rsidRPr="00BF13F7">
              <w:rPr>
                <w:b/>
                <w:i w:val="0"/>
                <w:szCs w:val="18"/>
              </w:rPr>
              <w:t xml:space="preserve">Nature of transaction </w:t>
            </w:r>
          </w:p>
          <w:p w:rsidR="00BF13F7" w:rsidRPr="00BF13F7" w:rsidRDefault="00BF13F7" w:rsidP="00217306">
            <w:pPr>
              <w:spacing w:line="276" w:lineRule="auto"/>
              <w:rPr>
                <w:b/>
                <w:i w:val="0"/>
                <w:szCs w:val="18"/>
              </w:rPr>
            </w:pPr>
            <w:r w:rsidRPr="00BF13F7">
              <w:rPr>
                <w:b/>
                <w:i w:val="0"/>
                <w:szCs w:val="18"/>
              </w:rPr>
              <w:t>(select from Selection List I attached)</w:t>
            </w:r>
          </w:p>
        </w:tc>
        <w:tc>
          <w:tcPr>
            <w:tcW w:w="1800" w:type="dxa"/>
            <w:tcBorders>
              <w:bottom w:val="nil"/>
            </w:tcBorders>
            <w:shd w:val="clear" w:color="auto" w:fill="262626" w:themeFill="text1" w:themeFillTint="D9"/>
          </w:tcPr>
          <w:p w:rsidR="00BF13F7" w:rsidRPr="00BF13F7" w:rsidRDefault="00BF13F7" w:rsidP="00217306">
            <w:pPr>
              <w:spacing w:line="276" w:lineRule="auto"/>
              <w:rPr>
                <w:b/>
                <w:i w:val="0"/>
                <w:szCs w:val="18"/>
              </w:rPr>
            </w:pPr>
            <w:r w:rsidRPr="00BF13F7">
              <w:rPr>
                <w:b/>
                <w:i w:val="0"/>
                <w:szCs w:val="18"/>
              </w:rPr>
              <w:t>Name of entity that you are a KMP of, or any entity controlled by the entity that you are a KMP of</w:t>
            </w:r>
          </w:p>
        </w:tc>
        <w:tc>
          <w:tcPr>
            <w:tcW w:w="1800" w:type="dxa"/>
            <w:tcBorders>
              <w:bottom w:val="nil"/>
            </w:tcBorders>
            <w:shd w:val="clear" w:color="auto" w:fill="262626" w:themeFill="text1" w:themeFillTint="D9"/>
          </w:tcPr>
          <w:p w:rsidR="00BF13F7" w:rsidRPr="00BF13F7" w:rsidRDefault="00BF13F7" w:rsidP="00217306">
            <w:pPr>
              <w:spacing w:line="276" w:lineRule="auto"/>
              <w:rPr>
                <w:b/>
                <w:i w:val="0"/>
                <w:szCs w:val="18"/>
              </w:rPr>
            </w:pPr>
            <w:r w:rsidRPr="00BF13F7">
              <w:rPr>
                <w:b/>
                <w:i w:val="0"/>
                <w:szCs w:val="18"/>
              </w:rPr>
              <w:t xml:space="preserve">Nature of </w:t>
            </w:r>
            <w:r w:rsidRPr="00BF13F7">
              <w:rPr>
                <w:b/>
                <w:i w:val="0"/>
                <w:szCs w:val="18"/>
              </w:rPr>
              <w:br/>
              <w:t xml:space="preserve">relationship </w:t>
            </w:r>
            <w:r w:rsidRPr="00BF13F7">
              <w:rPr>
                <w:b/>
                <w:i w:val="0"/>
                <w:szCs w:val="18"/>
              </w:rPr>
              <w:br/>
              <w:t xml:space="preserve">between the counterparty </w:t>
            </w:r>
            <w:r w:rsidRPr="00BF13F7">
              <w:rPr>
                <w:b/>
                <w:i w:val="0"/>
                <w:szCs w:val="18"/>
              </w:rPr>
              <w:br/>
              <w:t>and KMP (select from Selection List II attached)</w:t>
            </w:r>
          </w:p>
        </w:tc>
        <w:tc>
          <w:tcPr>
            <w:tcW w:w="1823" w:type="dxa"/>
            <w:tcBorders>
              <w:bottom w:val="nil"/>
            </w:tcBorders>
            <w:shd w:val="clear" w:color="auto" w:fill="262626" w:themeFill="text1" w:themeFillTint="D9"/>
          </w:tcPr>
          <w:p w:rsidR="00BF13F7" w:rsidRPr="00BF13F7" w:rsidRDefault="00BF13F7" w:rsidP="00217306">
            <w:pPr>
              <w:spacing w:line="276" w:lineRule="auto"/>
              <w:rPr>
                <w:b/>
                <w:i w:val="0"/>
                <w:szCs w:val="18"/>
              </w:rPr>
            </w:pPr>
            <w:r w:rsidRPr="00BF13F7">
              <w:rPr>
                <w:b/>
                <w:i w:val="0"/>
                <w:szCs w:val="18"/>
              </w:rPr>
              <w:t xml:space="preserve">Name of </w:t>
            </w:r>
            <w:r w:rsidRPr="00BF13F7">
              <w:rPr>
                <w:b/>
                <w:i w:val="0"/>
                <w:szCs w:val="18"/>
              </w:rPr>
              <w:br/>
              <w:t xml:space="preserve">counterparty </w:t>
            </w:r>
          </w:p>
        </w:tc>
        <w:tc>
          <w:tcPr>
            <w:tcW w:w="1596" w:type="dxa"/>
            <w:tcBorders>
              <w:bottom w:val="nil"/>
            </w:tcBorders>
            <w:shd w:val="clear" w:color="auto" w:fill="262626" w:themeFill="text1" w:themeFillTint="D9"/>
          </w:tcPr>
          <w:p w:rsidR="00BF13F7" w:rsidRPr="00BF13F7" w:rsidRDefault="00BF13F7" w:rsidP="00217306">
            <w:pPr>
              <w:spacing w:line="276" w:lineRule="auto"/>
              <w:rPr>
                <w:b/>
                <w:i w:val="0"/>
                <w:szCs w:val="18"/>
              </w:rPr>
            </w:pPr>
            <w:r w:rsidRPr="00BF13F7">
              <w:rPr>
                <w:b/>
                <w:i w:val="0"/>
                <w:szCs w:val="18"/>
              </w:rPr>
              <w:t>Details of transaction</w:t>
            </w:r>
          </w:p>
        </w:tc>
        <w:tc>
          <w:tcPr>
            <w:tcW w:w="1531" w:type="dxa"/>
            <w:tcBorders>
              <w:bottom w:val="nil"/>
            </w:tcBorders>
            <w:shd w:val="clear" w:color="auto" w:fill="262626" w:themeFill="text1" w:themeFillTint="D9"/>
          </w:tcPr>
          <w:p w:rsidR="00BF13F7" w:rsidRPr="00BF13F7" w:rsidRDefault="00BF13F7" w:rsidP="00217306">
            <w:pPr>
              <w:spacing w:line="276" w:lineRule="auto"/>
              <w:rPr>
                <w:b/>
                <w:i w:val="0"/>
                <w:szCs w:val="18"/>
              </w:rPr>
            </w:pPr>
            <w:r w:rsidRPr="00BF13F7">
              <w:rPr>
                <w:b/>
                <w:i w:val="0"/>
                <w:szCs w:val="18"/>
              </w:rPr>
              <w:t>Total value of transactions incurred during the period covered by this declaration (GST included)</w:t>
            </w:r>
          </w:p>
        </w:tc>
        <w:tc>
          <w:tcPr>
            <w:tcW w:w="1440" w:type="dxa"/>
            <w:tcBorders>
              <w:bottom w:val="nil"/>
            </w:tcBorders>
            <w:shd w:val="clear" w:color="auto" w:fill="262626" w:themeFill="text1" w:themeFillTint="D9"/>
          </w:tcPr>
          <w:p w:rsidR="00BF13F7" w:rsidRPr="00BF13F7" w:rsidRDefault="00BF13F7" w:rsidP="00217306">
            <w:pPr>
              <w:spacing w:line="276" w:lineRule="auto"/>
              <w:rPr>
                <w:b/>
                <w:i w:val="0"/>
                <w:szCs w:val="18"/>
              </w:rPr>
            </w:pPr>
            <w:r w:rsidRPr="00BF13F7">
              <w:rPr>
                <w:b/>
                <w:i w:val="0"/>
                <w:szCs w:val="18"/>
              </w:rPr>
              <w:t>Outstanding balances as at the end of the declaration period</w:t>
            </w:r>
          </w:p>
        </w:tc>
        <w:tc>
          <w:tcPr>
            <w:tcW w:w="1596" w:type="dxa"/>
            <w:tcBorders>
              <w:bottom w:val="nil"/>
            </w:tcBorders>
            <w:shd w:val="clear" w:color="auto" w:fill="262626" w:themeFill="text1" w:themeFillTint="D9"/>
          </w:tcPr>
          <w:p w:rsidR="00BF13F7" w:rsidRPr="00BF13F7" w:rsidRDefault="00BF13F7" w:rsidP="00217306">
            <w:pPr>
              <w:spacing w:line="276" w:lineRule="auto"/>
              <w:rPr>
                <w:b/>
                <w:i w:val="0"/>
                <w:szCs w:val="18"/>
              </w:rPr>
            </w:pPr>
            <w:r w:rsidRPr="00BF13F7">
              <w:rPr>
                <w:b/>
                <w:i w:val="0"/>
                <w:szCs w:val="18"/>
              </w:rPr>
              <w:t>Committed amount as at the end of the declaration period to be incurred in the following years</w:t>
            </w:r>
          </w:p>
        </w:tc>
        <w:tc>
          <w:tcPr>
            <w:tcW w:w="1597" w:type="dxa"/>
            <w:tcBorders>
              <w:bottom w:val="nil"/>
            </w:tcBorders>
            <w:shd w:val="clear" w:color="auto" w:fill="262626" w:themeFill="text1" w:themeFillTint="D9"/>
          </w:tcPr>
          <w:p w:rsidR="00BF13F7" w:rsidRPr="00BF13F7" w:rsidRDefault="00BF13F7" w:rsidP="00217306">
            <w:pPr>
              <w:spacing w:line="276" w:lineRule="auto"/>
              <w:rPr>
                <w:b/>
                <w:i w:val="0"/>
                <w:szCs w:val="18"/>
              </w:rPr>
            </w:pPr>
            <w:r w:rsidRPr="00BF13F7">
              <w:rPr>
                <w:b/>
                <w:i w:val="0"/>
                <w:szCs w:val="18"/>
              </w:rPr>
              <w:t>Terms and conditions</w:t>
            </w:r>
          </w:p>
          <w:p w:rsidR="00BF13F7" w:rsidRPr="00BF13F7" w:rsidRDefault="00BF13F7" w:rsidP="00217306">
            <w:pPr>
              <w:spacing w:line="276" w:lineRule="auto"/>
              <w:rPr>
                <w:b/>
                <w:i w:val="0"/>
                <w:szCs w:val="18"/>
              </w:rPr>
            </w:pPr>
            <w:r w:rsidRPr="00BF13F7">
              <w:rPr>
                <w:b/>
                <w:i w:val="0"/>
                <w:szCs w:val="18"/>
              </w:rPr>
              <w:t>(select from Selection Lists III  and IV attached)</w:t>
            </w:r>
          </w:p>
        </w:tc>
      </w:tr>
      <w:tr w:rsidR="006E7DF2" w:rsidRPr="00892DE3" w:rsidTr="006E7DF2">
        <w:tc>
          <w:tcPr>
            <w:tcW w:w="1497" w:type="dxa"/>
            <w:tcBorders>
              <w:bottom w:val="single" w:sz="4" w:space="0" w:color="BFBFBF" w:themeColor="background1" w:themeShade="BF"/>
            </w:tcBorders>
          </w:tcPr>
          <w:p w:rsidR="006E7DF2" w:rsidRPr="00892DE3" w:rsidRDefault="006E7DF2" w:rsidP="006E7DF2"/>
        </w:tc>
        <w:tc>
          <w:tcPr>
            <w:tcW w:w="1800" w:type="dxa"/>
            <w:tcBorders>
              <w:bottom w:val="single" w:sz="4" w:space="0" w:color="BFBFBF" w:themeColor="background1" w:themeShade="BF"/>
            </w:tcBorders>
          </w:tcPr>
          <w:p w:rsidR="006E7DF2" w:rsidRPr="00892DE3" w:rsidRDefault="006E7DF2" w:rsidP="006E7DF2"/>
        </w:tc>
        <w:tc>
          <w:tcPr>
            <w:tcW w:w="1800" w:type="dxa"/>
            <w:tcBorders>
              <w:bottom w:val="single" w:sz="4" w:space="0" w:color="BFBFBF" w:themeColor="background1" w:themeShade="BF"/>
            </w:tcBorders>
          </w:tcPr>
          <w:p w:rsidR="006E7DF2" w:rsidRPr="00892DE3" w:rsidRDefault="006E7DF2" w:rsidP="006E7DF2"/>
        </w:tc>
        <w:tc>
          <w:tcPr>
            <w:tcW w:w="1823" w:type="dxa"/>
            <w:tcBorders>
              <w:bottom w:val="single" w:sz="4" w:space="0" w:color="BFBFBF" w:themeColor="background1" w:themeShade="BF"/>
            </w:tcBorders>
          </w:tcPr>
          <w:p w:rsidR="006E7DF2" w:rsidRPr="00892DE3" w:rsidRDefault="006E7DF2" w:rsidP="006E7DF2"/>
        </w:tc>
        <w:tc>
          <w:tcPr>
            <w:tcW w:w="1596" w:type="dxa"/>
            <w:tcBorders>
              <w:bottom w:val="single" w:sz="4" w:space="0" w:color="BFBFBF" w:themeColor="background1" w:themeShade="BF"/>
            </w:tcBorders>
          </w:tcPr>
          <w:p w:rsidR="006E7DF2" w:rsidRPr="00892DE3" w:rsidRDefault="006E7DF2" w:rsidP="006E7DF2"/>
        </w:tc>
        <w:tc>
          <w:tcPr>
            <w:tcW w:w="1531" w:type="dxa"/>
            <w:tcBorders>
              <w:bottom w:val="single" w:sz="4" w:space="0" w:color="BFBFBF" w:themeColor="background1" w:themeShade="BF"/>
            </w:tcBorders>
          </w:tcPr>
          <w:p w:rsidR="006E7DF2" w:rsidRPr="00892DE3" w:rsidRDefault="006E7DF2" w:rsidP="006E7DF2"/>
        </w:tc>
        <w:tc>
          <w:tcPr>
            <w:tcW w:w="1440" w:type="dxa"/>
            <w:tcBorders>
              <w:bottom w:val="single" w:sz="4" w:space="0" w:color="BFBFBF" w:themeColor="background1" w:themeShade="BF"/>
            </w:tcBorders>
          </w:tcPr>
          <w:p w:rsidR="006E7DF2" w:rsidRPr="00892DE3" w:rsidRDefault="006E7DF2" w:rsidP="006E7DF2"/>
        </w:tc>
        <w:tc>
          <w:tcPr>
            <w:tcW w:w="1596" w:type="dxa"/>
            <w:tcBorders>
              <w:bottom w:val="single" w:sz="4" w:space="0" w:color="BFBFBF" w:themeColor="background1" w:themeShade="BF"/>
            </w:tcBorders>
          </w:tcPr>
          <w:p w:rsidR="006E7DF2" w:rsidRPr="00892DE3" w:rsidRDefault="006E7DF2" w:rsidP="006E7DF2"/>
        </w:tc>
        <w:tc>
          <w:tcPr>
            <w:tcW w:w="1597" w:type="dxa"/>
            <w:tcBorders>
              <w:bottom w:val="single" w:sz="4" w:space="0" w:color="BFBFBF" w:themeColor="background1" w:themeShade="BF"/>
            </w:tcBorders>
          </w:tcPr>
          <w:p w:rsidR="006E7DF2" w:rsidRPr="00892DE3" w:rsidRDefault="006E7DF2" w:rsidP="006E7DF2"/>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6E7DF2"/>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12" w:space="0" w:color="auto"/>
            </w:tcBorders>
          </w:tcPr>
          <w:p w:rsidR="006E7DF2" w:rsidRPr="00892DE3" w:rsidRDefault="006E7DF2" w:rsidP="006E7DF2"/>
        </w:tc>
        <w:tc>
          <w:tcPr>
            <w:tcW w:w="1800" w:type="dxa"/>
            <w:tcBorders>
              <w:top w:val="single" w:sz="4" w:space="0" w:color="BFBFBF" w:themeColor="background1" w:themeShade="BF"/>
              <w:bottom w:val="single" w:sz="12" w:space="0" w:color="auto"/>
            </w:tcBorders>
          </w:tcPr>
          <w:p w:rsidR="006E7DF2" w:rsidRPr="00892DE3" w:rsidRDefault="006E7DF2" w:rsidP="006E7DF2"/>
        </w:tc>
        <w:tc>
          <w:tcPr>
            <w:tcW w:w="1800" w:type="dxa"/>
            <w:tcBorders>
              <w:top w:val="single" w:sz="4" w:space="0" w:color="BFBFBF" w:themeColor="background1" w:themeShade="BF"/>
              <w:bottom w:val="single" w:sz="12" w:space="0" w:color="auto"/>
            </w:tcBorders>
          </w:tcPr>
          <w:p w:rsidR="006E7DF2" w:rsidRPr="00892DE3" w:rsidRDefault="006E7DF2" w:rsidP="006E7DF2"/>
        </w:tc>
        <w:tc>
          <w:tcPr>
            <w:tcW w:w="1823" w:type="dxa"/>
            <w:tcBorders>
              <w:top w:val="single" w:sz="4" w:space="0" w:color="BFBFBF" w:themeColor="background1" w:themeShade="BF"/>
              <w:bottom w:val="single" w:sz="12" w:space="0" w:color="auto"/>
            </w:tcBorders>
          </w:tcPr>
          <w:p w:rsidR="006E7DF2" w:rsidRPr="00892DE3" w:rsidRDefault="006E7DF2" w:rsidP="006E7DF2"/>
        </w:tc>
        <w:tc>
          <w:tcPr>
            <w:tcW w:w="1596" w:type="dxa"/>
            <w:tcBorders>
              <w:top w:val="single" w:sz="4" w:space="0" w:color="BFBFBF" w:themeColor="background1" w:themeShade="BF"/>
              <w:bottom w:val="single" w:sz="12" w:space="0" w:color="auto"/>
            </w:tcBorders>
          </w:tcPr>
          <w:p w:rsidR="006E7DF2" w:rsidRPr="00892DE3" w:rsidRDefault="006E7DF2" w:rsidP="006E7DF2"/>
        </w:tc>
        <w:tc>
          <w:tcPr>
            <w:tcW w:w="1531" w:type="dxa"/>
            <w:tcBorders>
              <w:top w:val="single" w:sz="4" w:space="0" w:color="BFBFBF" w:themeColor="background1" w:themeShade="BF"/>
              <w:bottom w:val="single" w:sz="12" w:space="0" w:color="auto"/>
            </w:tcBorders>
          </w:tcPr>
          <w:p w:rsidR="006E7DF2" w:rsidRPr="00892DE3" w:rsidRDefault="006E7DF2" w:rsidP="006E7DF2"/>
        </w:tc>
        <w:tc>
          <w:tcPr>
            <w:tcW w:w="1440" w:type="dxa"/>
            <w:tcBorders>
              <w:top w:val="single" w:sz="4" w:space="0" w:color="BFBFBF" w:themeColor="background1" w:themeShade="BF"/>
              <w:bottom w:val="single" w:sz="12" w:space="0" w:color="auto"/>
            </w:tcBorders>
          </w:tcPr>
          <w:p w:rsidR="006E7DF2" w:rsidRPr="00892DE3" w:rsidRDefault="006E7DF2" w:rsidP="006E7DF2"/>
        </w:tc>
        <w:tc>
          <w:tcPr>
            <w:tcW w:w="1596" w:type="dxa"/>
            <w:tcBorders>
              <w:top w:val="single" w:sz="4" w:space="0" w:color="BFBFBF" w:themeColor="background1" w:themeShade="BF"/>
              <w:bottom w:val="single" w:sz="12" w:space="0" w:color="auto"/>
            </w:tcBorders>
          </w:tcPr>
          <w:p w:rsidR="006E7DF2" w:rsidRPr="00892DE3" w:rsidRDefault="006E7DF2" w:rsidP="006E7DF2"/>
        </w:tc>
        <w:tc>
          <w:tcPr>
            <w:tcW w:w="1597" w:type="dxa"/>
            <w:tcBorders>
              <w:top w:val="single" w:sz="4" w:space="0" w:color="BFBFBF" w:themeColor="background1" w:themeShade="BF"/>
              <w:bottom w:val="single" w:sz="12" w:space="0" w:color="auto"/>
            </w:tcBorders>
          </w:tcPr>
          <w:p w:rsidR="006E7DF2" w:rsidRPr="00892DE3" w:rsidRDefault="006E7DF2" w:rsidP="006E7DF2"/>
        </w:tc>
      </w:tr>
    </w:tbl>
    <w:p w:rsidR="000D7AD4" w:rsidRDefault="000D7AD4" w:rsidP="00AD47C0">
      <w:pPr>
        <w:rPr>
          <w:rFonts w:asciiTheme="majorHAnsi" w:hAnsiTheme="majorHAnsi"/>
          <w:szCs w:val="20"/>
        </w:rPr>
      </w:pPr>
    </w:p>
    <w:p w:rsidR="00AD47C0" w:rsidRPr="000D7AD4" w:rsidRDefault="00AD47C0" w:rsidP="00AD47C0">
      <w:pPr>
        <w:rPr>
          <w:rFonts w:asciiTheme="majorHAnsi" w:hAnsiTheme="majorHAnsi"/>
          <w:szCs w:val="20"/>
        </w:rPr>
      </w:pPr>
      <w:r w:rsidRPr="000D7AD4">
        <w:rPr>
          <w:rFonts w:asciiTheme="majorHAnsi" w:hAnsiTheme="majorHAnsi"/>
          <w:szCs w:val="20"/>
        </w:rPr>
        <w:t>Please note that departments and entities are also required under AASB 124 to disclose any provisions for doubtful debts and bad debt expenses associated with the declared related party transactions. Such information will need to be retrieved from the entity’s own financial system, rather than from the declaration form of the KMP.</w:t>
      </w:r>
    </w:p>
    <w:p w:rsidR="00AD47C0" w:rsidRPr="00892DE3" w:rsidRDefault="00AD47C0" w:rsidP="00AD47C0">
      <w:pPr>
        <w:pStyle w:val="Heading10"/>
      </w:pPr>
      <w:r w:rsidRPr="00892DE3">
        <w:br w:type="page"/>
      </w:r>
    </w:p>
    <w:p w:rsidR="00AD47C0" w:rsidRPr="00892DE3" w:rsidRDefault="00AD47C0" w:rsidP="006E7DF2">
      <w:pPr>
        <w:pStyle w:val="Heading2nonTOC"/>
      </w:pPr>
      <w:r w:rsidRPr="00892DE3">
        <w:t>Privacy Notice</w:t>
      </w:r>
    </w:p>
    <w:p w:rsidR="00AD47C0" w:rsidRPr="00892DE3" w:rsidRDefault="00AD47C0" w:rsidP="007231FB">
      <w:pPr>
        <w:spacing w:after="240" w:line="276" w:lineRule="auto"/>
      </w:pPr>
      <w:r w:rsidRPr="00892DE3">
        <w:t xml:space="preserve">This form asks for information about related party transactions between yourself, your family members or entities under your control with the entity that you are a KMP of, or any entity controlled by the entity that you are a KMP of. The main purpose for collecting this information is to help users of financial statements understand the impacts of any related party transactions on an entity’s financial position and performance. </w:t>
      </w:r>
    </w:p>
    <w:p w:rsidR="00AD47C0" w:rsidRPr="00892DE3" w:rsidRDefault="00AD47C0" w:rsidP="007231FB">
      <w:pPr>
        <w:spacing w:after="240" w:line="276" w:lineRule="auto"/>
      </w:pPr>
      <w:r w:rsidRPr="00892DE3">
        <w:t xml:space="preserve">The information is being collected pursuant to the </w:t>
      </w:r>
      <w:r w:rsidRPr="00892DE3">
        <w:rPr>
          <w:i/>
        </w:rPr>
        <w:t>Australian Accounting Standard AASB 124 – Related Party Disclosures</w:t>
      </w:r>
      <w:r w:rsidRPr="00892DE3">
        <w:t xml:space="preserve"> and section 4.2 of the </w:t>
      </w:r>
      <w:r w:rsidRPr="00892DE3">
        <w:rPr>
          <w:i/>
        </w:rPr>
        <w:t>Standing Directions of the Minister for Finance</w:t>
      </w:r>
      <w:r w:rsidRPr="00892DE3">
        <w:t>. Departments/portfolio agencies are required to comply with these requirements when preparing their annual financial statements. The information collected will form the basis of an entity’s disclosures in relation to related party transactions.</w:t>
      </w:r>
    </w:p>
    <w:p w:rsidR="00AD47C0" w:rsidRPr="00892DE3" w:rsidRDefault="00AD47C0" w:rsidP="007231FB">
      <w:pPr>
        <w:spacing w:after="240" w:line="276" w:lineRule="auto"/>
        <w:rPr>
          <w:b/>
        </w:rPr>
      </w:pPr>
      <w:r w:rsidRPr="00892DE3">
        <w:t xml:space="preserve">The State of Victoria collects information in accordance with the </w:t>
      </w:r>
      <w:r w:rsidRPr="00892DE3">
        <w:rPr>
          <w:i/>
        </w:rPr>
        <w:t>Privacy and Data Protection Act 2014</w:t>
      </w:r>
      <w:r w:rsidRPr="00892DE3">
        <w:t xml:space="preserve">. All staff within the relevant department/portfolio agency will be required by law to protect the information you provide on this form. </w:t>
      </w:r>
      <w:r w:rsidRPr="00892DE3">
        <w:rPr>
          <w:b/>
        </w:rPr>
        <w:t>Any information collected that discloses a related party transaction will be collated to form part of the relevant department’s/portfolio agency’s financial statements, which will be tabled in Parliament. This means that personal information will be disclosed by the relevant department/portfolio agency when required.</w:t>
      </w:r>
    </w:p>
    <w:p w:rsidR="00AD47C0" w:rsidRPr="00892DE3" w:rsidRDefault="00AD47C0" w:rsidP="007231FB">
      <w:pPr>
        <w:spacing w:after="240" w:line="276" w:lineRule="auto"/>
        <w:rPr>
          <w:rFonts w:asciiTheme="majorHAnsi" w:hAnsiTheme="majorHAnsi"/>
        </w:rPr>
      </w:pPr>
      <w:r w:rsidRPr="00892DE3">
        <w:rPr>
          <w:rFonts w:asciiTheme="majorHAnsi" w:hAnsiTheme="majorHAnsi"/>
        </w:rPr>
        <w:t xml:space="preserve">In most circumstances you can access and correct the information you provide on this form by contacting the Privacy Officer within the relevant department/portfolio agency. If the relevant department/portfolio agency receives personal information about a third party, such as a close family member, then </w:t>
      </w:r>
      <w:r w:rsidRPr="00892DE3">
        <w:rPr>
          <w:rFonts w:asciiTheme="majorHAnsi" w:hAnsiTheme="majorHAnsi"/>
          <w:b/>
        </w:rPr>
        <w:t>that relevant department/agency</w:t>
      </w:r>
      <w:r w:rsidRPr="00892DE3">
        <w:rPr>
          <w:rFonts w:asciiTheme="majorHAnsi" w:hAnsiTheme="majorHAnsi"/>
        </w:rPr>
        <w:t xml:space="preserve"> will take reasonable steps to ensure that the close family member is aware of their rights as described in the </w:t>
      </w:r>
      <w:r w:rsidRPr="00892DE3">
        <w:rPr>
          <w:rFonts w:asciiTheme="majorHAnsi" w:hAnsiTheme="majorHAnsi"/>
          <w:i/>
        </w:rPr>
        <w:t>Privacy and Data Protection Act 2014</w:t>
      </w:r>
      <w:r w:rsidRPr="00892DE3">
        <w:rPr>
          <w:rFonts w:asciiTheme="majorHAnsi" w:hAnsiTheme="majorHAnsi"/>
        </w:rPr>
        <w:t xml:space="preserve">, through the provision of the Privacy Fact Sheet, as provided by the KMP to their related party.   </w:t>
      </w:r>
    </w:p>
    <w:p w:rsidR="00AD47C0" w:rsidRPr="00892DE3" w:rsidRDefault="006E7DF2" w:rsidP="007231FB">
      <w:pPr>
        <w:tabs>
          <w:tab w:val="left" w:pos="426"/>
        </w:tabs>
        <w:spacing w:after="240" w:line="276" w:lineRule="auto"/>
        <w:ind w:left="425" w:hanging="425"/>
        <w:rPr>
          <w:rFonts w:asciiTheme="majorHAnsi" w:hAnsiTheme="majorHAnsi"/>
        </w:rPr>
      </w:pPr>
      <w:r w:rsidRPr="00892DE3">
        <w:rPr>
          <w:rFonts w:asciiTheme="majorHAnsi" w:hAnsiTheme="majorHAnsi"/>
          <w:sz w:val="28"/>
        </w:rPr>
        <w:sym w:font="Wingdings" w:char="F0A8"/>
      </w:r>
      <w:r w:rsidRPr="00892DE3">
        <w:rPr>
          <w:rFonts w:asciiTheme="majorHAnsi" w:hAnsiTheme="majorHAnsi"/>
          <w:i/>
        </w:rPr>
        <w:t xml:space="preserve"> </w:t>
      </w:r>
      <w:r w:rsidRPr="00892DE3">
        <w:rPr>
          <w:rFonts w:asciiTheme="majorHAnsi" w:hAnsiTheme="majorHAnsi"/>
          <w:i/>
        </w:rPr>
        <w:tab/>
      </w:r>
      <w:r w:rsidR="00AD47C0" w:rsidRPr="00892DE3">
        <w:rPr>
          <w:rFonts w:asciiTheme="majorHAnsi" w:hAnsiTheme="majorHAnsi"/>
          <w:i/>
        </w:rPr>
        <w:t xml:space="preserve">(Please tick to confirm acknowledgement and consent of family members and other related parties) </w:t>
      </w:r>
      <w:r w:rsidR="00AD47C0" w:rsidRPr="00892DE3">
        <w:rPr>
          <w:rFonts w:asciiTheme="majorHAnsi" w:hAnsiTheme="majorHAnsi"/>
        </w:rPr>
        <w:t>I also acknowledge that I have obtained consent from any family member or other related party to the disclosure of any personal information with regard to the transactions that have been reported by me in the certificate and have provided them with information outlined in the Privacy Fact Sheet</w:t>
      </w:r>
      <w:r w:rsidR="000407EE" w:rsidRPr="00892DE3">
        <w:rPr>
          <w:rFonts w:asciiTheme="majorHAnsi" w:hAnsiTheme="majorHAnsi"/>
        </w:rPr>
        <w:t xml:space="preserve"> (attached)</w:t>
      </w:r>
      <w:r w:rsidR="00AD47C0" w:rsidRPr="00892DE3">
        <w:rPr>
          <w:rFonts w:asciiTheme="majorHAnsi" w:hAnsiTheme="majorHAnsi"/>
        </w:rPr>
        <w:t>.</w:t>
      </w:r>
    </w:p>
    <w:p w:rsidR="00AD47C0" w:rsidRPr="00892DE3" w:rsidRDefault="00AD47C0" w:rsidP="007231FB">
      <w:pPr>
        <w:pStyle w:val="Heading2nonTOC"/>
        <w:spacing w:after="240" w:line="276" w:lineRule="auto"/>
      </w:pPr>
      <w:r w:rsidRPr="00892DE3">
        <w:t>KMP signoff and declaration</w:t>
      </w:r>
    </w:p>
    <w:p w:rsidR="00AD47C0" w:rsidRPr="00892DE3" w:rsidRDefault="00AD47C0" w:rsidP="00B64436">
      <w:pPr>
        <w:tabs>
          <w:tab w:val="left" w:pos="2552"/>
          <w:tab w:val="left" w:leader="dot" w:pos="10206"/>
          <w:tab w:val="left" w:pos="11340"/>
          <w:tab w:val="right" w:leader="dot" w:pos="14310"/>
        </w:tabs>
        <w:spacing w:afterLines="120" w:after="288" w:line="276" w:lineRule="auto"/>
        <w:rPr>
          <w:rFonts w:asciiTheme="majorHAnsi" w:hAnsiTheme="majorHAnsi"/>
        </w:rPr>
      </w:pPr>
      <w:r w:rsidRPr="00892DE3">
        <w:rPr>
          <w:rFonts w:asciiTheme="majorHAnsi" w:hAnsiTheme="majorHAnsi"/>
        </w:rPr>
        <w:t>I have made inquiries of my close family members and to the best of my knowledge the information provided in this certificate is complete and accurate. I understand the information is collected for the purpose of preparing disclosures in the notes to the financial statements of the controlled entities of the State of Victoria and consolidated State Annual Financial Report. I give permission to the relevant department/agency to disseminate the information provided in the certificate to the relevant departments and agencies.</w:t>
      </w:r>
    </w:p>
    <w:p w:rsidR="00AD47C0" w:rsidRPr="00892DE3" w:rsidRDefault="00AD47C0" w:rsidP="004A0F52">
      <w:pPr>
        <w:tabs>
          <w:tab w:val="left" w:pos="2552"/>
          <w:tab w:val="left" w:leader="dot" w:pos="10206"/>
          <w:tab w:val="left" w:pos="11340"/>
          <w:tab w:val="right" w:leader="dot" w:pos="14310"/>
        </w:tabs>
        <w:spacing w:afterLines="120" w:after="288"/>
        <w:rPr>
          <w:rFonts w:asciiTheme="majorHAnsi" w:hAnsiTheme="majorHAnsi" w:cs="Arial"/>
          <w:b/>
        </w:rPr>
      </w:pPr>
      <w:r w:rsidRPr="00892DE3">
        <w:rPr>
          <w:rFonts w:asciiTheme="majorHAnsi" w:hAnsiTheme="majorHAnsi" w:cs="Arial"/>
          <w:b/>
        </w:rPr>
        <w:t>Print and sign name:</w:t>
      </w:r>
      <w:r w:rsidRPr="00892DE3">
        <w:rPr>
          <w:rFonts w:asciiTheme="majorHAnsi" w:hAnsiTheme="majorHAnsi" w:cs="Arial"/>
          <w:b/>
        </w:rPr>
        <w:tab/>
      </w:r>
      <w:r w:rsidRPr="00892DE3">
        <w:rPr>
          <w:rFonts w:asciiTheme="majorHAnsi" w:hAnsiTheme="majorHAnsi" w:cs="Arial"/>
          <w:b/>
        </w:rPr>
        <w:tab/>
      </w:r>
      <w:r w:rsidRPr="00892DE3">
        <w:rPr>
          <w:rFonts w:asciiTheme="majorHAnsi" w:hAnsiTheme="majorHAnsi" w:cs="Arial"/>
          <w:b/>
        </w:rPr>
        <w:tab/>
        <w:t>Date:</w:t>
      </w:r>
      <w:r w:rsidRPr="00892DE3">
        <w:rPr>
          <w:rFonts w:asciiTheme="majorHAnsi" w:hAnsiTheme="majorHAnsi" w:cs="Arial"/>
          <w:b/>
        </w:rPr>
        <w:tab/>
      </w:r>
    </w:p>
    <w:p w:rsidR="00AD47C0" w:rsidRPr="00892DE3" w:rsidRDefault="00AD47C0" w:rsidP="00AD47C0">
      <w:pPr>
        <w:tabs>
          <w:tab w:val="left" w:pos="2070"/>
          <w:tab w:val="right" w:pos="10080"/>
          <w:tab w:val="left" w:pos="10440"/>
          <w:tab w:val="right" w:pos="14310"/>
        </w:tabs>
        <w:spacing w:afterLines="120" w:after="288"/>
        <w:rPr>
          <w:rFonts w:ascii="Arial" w:hAnsi="Arial" w:cs="Arial"/>
          <w:b/>
        </w:rPr>
      </w:pPr>
    </w:p>
    <w:p w:rsidR="00AD47C0" w:rsidRPr="00892DE3" w:rsidRDefault="00AD47C0" w:rsidP="00AD47C0">
      <w:pPr>
        <w:pStyle w:val="Heading10"/>
        <w:sectPr w:rsidR="00AD47C0" w:rsidRPr="00892DE3" w:rsidSect="00644EB2">
          <w:headerReference w:type="even" r:id="rId221"/>
          <w:headerReference w:type="default" r:id="rId222"/>
          <w:footerReference w:type="even" r:id="rId223"/>
          <w:footerReference w:type="default" r:id="rId224"/>
          <w:pgSz w:w="16838" w:h="11906" w:orient="landscape" w:code="9"/>
          <w:pgMar w:top="1134" w:right="1134" w:bottom="1134" w:left="1134" w:header="624" w:footer="567" w:gutter="0"/>
          <w:cols w:space="708"/>
          <w:docGrid w:linePitch="360"/>
        </w:sectPr>
      </w:pPr>
    </w:p>
    <w:p w:rsidR="00A509E0" w:rsidRPr="007231FB" w:rsidRDefault="00A509E0" w:rsidP="00A509E0">
      <w:pPr>
        <w:pStyle w:val="Heading2nonTOC"/>
        <w:rPr>
          <w:sz w:val="28"/>
        </w:rPr>
      </w:pPr>
      <w:r w:rsidRPr="007231FB">
        <w:rPr>
          <w:sz w:val="28"/>
        </w:rPr>
        <w:t>Privacy Fact Sheet</w:t>
      </w:r>
    </w:p>
    <w:p w:rsidR="00A509E0" w:rsidRPr="00892DE3" w:rsidRDefault="00A509E0" w:rsidP="00A509E0">
      <w:pPr>
        <w:pStyle w:val="Heading2nonTOC"/>
      </w:pPr>
      <w:r w:rsidRPr="00892DE3">
        <w:t xml:space="preserve">Related Party Disclosures for Victorian Public Sector Financial Reports </w:t>
      </w:r>
    </w:p>
    <w:p w:rsidR="00A509E0" w:rsidRPr="006F1D22" w:rsidRDefault="00A509E0" w:rsidP="00A509E0">
      <w:pPr>
        <w:pStyle w:val="Heading3unnumbered"/>
        <w:rPr>
          <w:color w:val="0063A6" w:themeColor="accent1"/>
        </w:rPr>
      </w:pPr>
      <w:r w:rsidRPr="006F1D22">
        <w:rPr>
          <w:color w:val="0063A6" w:themeColor="accent1"/>
        </w:rPr>
        <w:t>Purpose of this Fact Sheet</w:t>
      </w:r>
    </w:p>
    <w:p w:rsidR="00A509E0" w:rsidRPr="00892DE3" w:rsidRDefault="00A509E0" w:rsidP="00A509E0">
      <w:r w:rsidRPr="00892DE3">
        <w:t xml:space="preserve">This Fact Sheet has been provided to ensure that close family members are aware of their rights as described in the </w:t>
      </w:r>
      <w:r w:rsidRPr="00567370">
        <w:rPr>
          <w:i/>
        </w:rPr>
        <w:t>Privacy and Data Protection Act 2014</w:t>
      </w:r>
      <w:r w:rsidRPr="00892DE3">
        <w:t>.</w:t>
      </w:r>
    </w:p>
    <w:p w:rsidR="00A509E0" w:rsidRPr="006F1D22" w:rsidRDefault="00A509E0" w:rsidP="00A509E0">
      <w:pPr>
        <w:pStyle w:val="Heading3unnumbered"/>
        <w:rPr>
          <w:color w:val="0063A6" w:themeColor="accent1"/>
        </w:rPr>
      </w:pPr>
      <w:r w:rsidRPr="006F1D22">
        <w:rPr>
          <w:color w:val="0063A6" w:themeColor="accent1"/>
        </w:rPr>
        <w:t>Related Party Disclosures</w:t>
      </w:r>
    </w:p>
    <w:p w:rsidR="00A509E0" w:rsidRPr="00892DE3" w:rsidRDefault="00A509E0" w:rsidP="00A509E0">
      <w:r w:rsidRPr="00892DE3">
        <w:t xml:space="preserve">Under Australian Accounting Standard AASB 124 </w:t>
      </w:r>
      <w:r w:rsidRPr="00567370">
        <w:rPr>
          <w:i/>
        </w:rPr>
        <w:t>Related Party Disclosures</w:t>
      </w:r>
      <w:r w:rsidRPr="00892DE3">
        <w:t xml:space="preserve"> (AASB124), all public sector entities are required to disclose their related party transactions. This means any transactions that involves a Key Management Personnel (KMP), their close family members and entities under their control. This requirement came into effect 1</w:t>
      </w:r>
      <w:r w:rsidR="00567370">
        <w:t> </w:t>
      </w:r>
      <w:r w:rsidRPr="00892DE3">
        <w:t>July</w:t>
      </w:r>
      <w:r w:rsidR="00567370">
        <w:t> </w:t>
      </w:r>
      <w:r w:rsidRPr="00892DE3">
        <w:t>2016.</w:t>
      </w:r>
    </w:p>
    <w:p w:rsidR="00A509E0" w:rsidRPr="00892DE3" w:rsidRDefault="00A509E0" w:rsidP="00A509E0">
      <w:r w:rsidRPr="00892DE3">
        <w:t>The objective of AASB 124 is to ensure that the department or entity’s financial statements contain disclosures necessary to draw attention to the possibility that its financial position and profit or loss may have been affected by the existence of related parties, and by transactions and outstanding balances, including commitments, with such parties.</w:t>
      </w:r>
    </w:p>
    <w:p w:rsidR="00A509E0" w:rsidRPr="00892DE3" w:rsidRDefault="00A509E0" w:rsidP="00A509E0">
      <w:r w:rsidRPr="00892DE3">
        <w:t>To give effect to this, the adoption of AASB 124 requires you to submit information about related party transactions between yourself, your family members or entities under your control with an entity that you are a KMP of, or any entity controlled by the entity that you are a KMP of.</w:t>
      </w:r>
    </w:p>
    <w:p w:rsidR="00A509E0" w:rsidRPr="00892DE3" w:rsidRDefault="00A509E0" w:rsidP="00A509E0">
      <w:r w:rsidRPr="00892DE3">
        <w:t xml:space="preserve">The State of Victoria collects information in accordance with the </w:t>
      </w:r>
      <w:r w:rsidRPr="00567370">
        <w:rPr>
          <w:i/>
        </w:rPr>
        <w:t>Privacy and Data Protection Act 2014</w:t>
      </w:r>
      <w:r w:rsidRPr="00892DE3">
        <w:t xml:space="preserve">. This fact sheet meets the requirements of relevant Information Privacy Principles under that Act. </w:t>
      </w:r>
    </w:p>
    <w:p w:rsidR="00A509E0" w:rsidRPr="006F1D22" w:rsidRDefault="00A509E0" w:rsidP="00A509E0">
      <w:pPr>
        <w:pStyle w:val="Heading3unnumbered"/>
        <w:rPr>
          <w:color w:val="0063A6" w:themeColor="accent1"/>
        </w:rPr>
      </w:pPr>
      <w:r w:rsidRPr="006F1D22">
        <w:rPr>
          <w:color w:val="0063A6" w:themeColor="accent1"/>
        </w:rPr>
        <w:t>Who is a KMP?</w:t>
      </w:r>
    </w:p>
    <w:p w:rsidR="00A509E0" w:rsidRPr="00892DE3" w:rsidRDefault="00A509E0" w:rsidP="00A509E0">
      <w:r w:rsidRPr="00892DE3">
        <w:t xml:space="preserve">Under AASB 124, a KMP is a person with the authority and responsibility for planning, directing and controlling the activities of an entity, directly or indirectly. </w:t>
      </w:r>
    </w:p>
    <w:p w:rsidR="00A509E0" w:rsidRPr="00892DE3" w:rsidRDefault="00A509E0" w:rsidP="00A509E0">
      <w:r w:rsidRPr="00892DE3">
        <w:t>All Cabinet Ministers are regarded as KMP of the State. The accounting standard also defines a person who has significant influence or a close member of that person’s family to be related to a reporting entity if that person is a member of the KMP of the entity or a parent of the entity. Portfolio ministers are responsible for the oversight of their relevant portfolio departments and entities. So, the portfolio ministers will be considered KMP of their relevant portfolio departments and agencies9.</w:t>
      </w:r>
    </w:p>
    <w:p w:rsidR="00A509E0" w:rsidRPr="00892DE3" w:rsidRDefault="00A509E0" w:rsidP="00A509E0">
      <w:r w:rsidRPr="00892DE3">
        <w:t xml:space="preserve">In addition, departments and agencies will need to assess who are the relevant executives that meet the definition of a KMP and their respective related parties. </w:t>
      </w:r>
    </w:p>
    <w:p w:rsidR="00A509E0" w:rsidRPr="00892DE3" w:rsidRDefault="00A509E0" w:rsidP="00A509E0">
      <w:r w:rsidRPr="00892DE3">
        <w:t>In general, members forming an entity’s governing board will typically be considered KMP of the entity as they are considered as having the strategic decision making authority for the planning, directing and controlling of the overall activities of the entity. Executives or senior managers that have been delegated the operational authority for specific functions of the entity would not be considered KMP for the purposes of AASB 124.</w:t>
      </w:r>
    </w:p>
    <w:p w:rsidR="00F97E48" w:rsidRDefault="00F97E48">
      <w:pPr>
        <w:keepLines w:val="0"/>
        <w:rPr>
          <w:rFonts w:ascii="Arial" w:eastAsiaTheme="majorEastAsia" w:hAnsi="Arial" w:cstheme="majorBidi"/>
          <w:b/>
          <w:bCs/>
          <w:color w:val="0063A6" w:themeColor="accent1"/>
          <w:spacing w:val="-2"/>
          <w:sz w:val="20"/>
          <w:szCs w:val="26"/>
        </w:rPr>
      </w:pPr>
      <w:r>
        <w:rPr>
          <w:color w:val="0063A6" w:themeColor="accent1"/>
        </w:rPr>
        <w:br w:type="page"/>
      </w:r>
    </w:p>
    <w:p w:rsidR="001230AD" w:rsidRPr="006F1D22" w:rsidRDefault="001230AD" w:rsidP="007231FB">
      <w:pPr>
        <w:pStyle w:val="Heading3unnumbered"/>
        <w:rPr>
          <w:color w:val="0063A6" w:themeColor="accent1"/>
        </w:rPr>
      </w:pPr>
      <w:r w:rsidRPr="006F1D22">
        <w:rPr>
          <w:color w:val="0063A6" w:themeColor="accent1"/>
        </w:rPr>
        <w:t xml:space="preserve">What is a related party transaction? </w:t>
      </w:r>
    </w:p>
    <w:p w:rsidR="001230AD" w:rsidRPr="00892DE3" w:rsidRDefault="001230AD" w:rsidP="007231FB">
      <w:pPr>
        <w:spacing w:after="240"/>
      </w:pPr>
      <w:r w:rsidRPr="00892DE3">
        <w:t>Under AASB 124, examples of related party transactions include the following:</w:t>
      </w:r>
    </w:p>
    <w:tbl>
      <w:tblPr>
        <w:tblStyle w:val="DTFTable"/>
        <w:tblW w:w="0" w:type="auto"/>
        <w:tblLook w:val="04A0" w:firstRow="1" w:lastRow="0" w:firstColumn="1" w:lastColumn="0" w:noHBand="0" w:noVBand="1"/>
      </w:tblPr>
      <w:tblGrid>
        <w:gridCol w:w="4870"/>
        <w:gridCol w:w="4854"/>
      </w:tblGrid>
      <w:tr w:rsidR="00F801D8" w:rsidRPr="007231FB" w:rsidTr="00723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4" w:type="dxa"/>
            <w:gridSpan w:val="2"/>
            <w:tcBorders>
              <w:bottom w:val="nil"/>
            </w:tcBorders>
            <w:shd w:val="clear" w:color="auto" w:fill="262626" w:themeFill="text1" w:themeFillTint="D9"/>
          </w:tcPr>
          <w:p w:rsidR="00F801D8" w:rsidRPr="007231FB" w:rsidRDefault="00F801D8" w:rsidP="007231FB">
            <w:pPr>
              <w:spacing w:line="276" w:lineRule="auto"/>
              <w:rPr>
                <w:b/>
                <w:i w:val="0"/>
                <w:sz w:val="18"/>
                <w:szCs w:val="18"/>
              </w:rPr>
            </w:pPr>
            <w:r w:rsidRPr="007231FB">
              <w:rPr>
                <w:b/>
                <w:i w:val="0"/>
                <w:sz w:val="18"/>
                <w:szCs w:val="18"/>
              </w:rPr>
              <w:t xml:space="preserve">Related party transactions under AASB 124: </w:t>
            </w:r>
          </w:p>
        </w:tc>
      </w:tr>
      <w:tr w:rsidR="0087436A" w:rsidRPr="007231FB" w:rsidTr="00F97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bottom w:val="single" w:sz="2" w:space="0" w:color="808080" w:themeColor="background1" w:themeShade="80"/>
              <w:right w:val="single" w:sz="2" w:space="0" w:color="808080" w:themeColor="background1" w:themeShade="80"/>
            </w:tcBorders>
            <w:shd w:val="clear" w:color="auto" w:fill="BFBFBF" w:themeFill="background1" w:themeFillShade="BF"/>
          </w:tcPr>
          <w:p w:rsidR="0087436A" w:rsidRPr="0087436A" w:rsidRDefault="0087436A" w:rsidP="0087436A">
            <w:pPr>
              <w:spacing w:line="276" w:lineRule="auto"/>
              <w:ind w:left="0" w:firstLine="0"/>
              <w:rPr>
                <w:sz w:val="18"/>
              </w:rPr>
            </w:pPr>
            <w:r w:rsidRPr="0087436A">
              <w:rPr>
                <w:sz w:val="18"/>
              </w:rPr>
              <w:t>Close family members employed in a senior position by the Victorian Government. A senior position is a position that has decision making responsibility of a KMP.</w:t>
            </w:r>
          </w:p>
        </w:tc>
        <w:tc>
          <w:tcPr>
            <w:tcW w:w="4854" w:type="dxa"/>
            <w:tcBorders>
              <w:left w:val="single" w:sz="2" w:space="0" w:color="808080" w:themeColor="background1" w:themeShade="80"/>
              <w:bottom w:val="single" w:sz="2" w:space="0" w:color="808080" w:themeColor="background1" w:themeShade="80"/>
            </w:tcBorders>
            <w:shd w:val="clear" w:color="auto" w:fill="BFBFBF" w:themeFill="background1" w:themeFillShade="BF"/>
          </w:tcPr>
          <w:p w:rsidR="0087436A" w:rsidRPr="0087436A" w:rsidRDefault="0087436A" w:rsidP="0087436A">
            <w:pPr>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87436A">
              <w:rPr>
                <w:sz w:val="18"/>
              </w:rPr>
              <w:t>Any transactions by the KMP, close family members or related entity that comprise of a non-standard contract or agreement with the entity that you are a KMP of, or any entity controlled by the entity that you are a KMP of.</w:t>
            </w:r>
          </w:p>
        </w:tc>
      </w:tr>
      <w:tr w:rsidR="0087436A" w:rsidRPr="007231FB" w:rsidTr="00F97E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rsidR="0087436A" w:rsidRPr="0087436A" w:rsidRDefault="0087436A" w:rsidP="0087436A">
            <w:pPr>
              <w:spacing w:line="276" w:lineRule="auto"/>
              <w:ind w:left="0" w:firstLine="0"/>
              <w:rPr>
                <w:sz w:val="18"/>
              </w:rPr>
            </w:pPr>
            <w:r w:rsidRPr="0087436A">
              <w:rPr>
                <w:sz w:val="18"/>
              </w:rPr>
              <w:t>Loans to/from the entity that you are a KMP of, or any entity controlled by the entity that you are a KMP of.</w:t>
            </w:r>
          </w:p>
        </w:tc>
        <w:tc>
          <w:tcPr>
            <w:tcW w:w="4854"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rsidR="0087436A" w:rsidRPr="0087436A" w:rsidRDefault="0087436A" w:rsidP="0087436A">
            <w:pPr>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87436A">
              <w:rPr>
                <w:sz w:val="18"/>
              </w:rPr>
              <w:t>Equity contribution from an entity that you are a KMP of, or any entity controlled by the entity that you are a KMP of, to a related party entity.</w:t>
            </w:r>
          </w:p>
        </w:tc>
      </w:tr>
      <w:tr w:rsidR="0087436A" w:rsidRPr="007231FB" w:rsidTr="00F97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hemeFill="background1" w:themeFillShade="BF"/>
          </w:tcPr>
          <w:p w:rsidR="0087436A" w:rsidRPr="0087436A" w:rsidRDefault="0087436A" w:rsidP="0087436A">
            <w:pPr>
              <w:spacing w:line="276" w:lineRule="auto"/>
              <w:ind w:left="0" w:firstLine="0"/>
              <w:rPr>
                <w:sz w:val="18"/>
              </w:rPr>
            </w:pPr>
            <w:r w:rsidRPr="0087436A">
              <w:rPr>
                <w:sz w:val="18"/>
              </w:rPr>
              <w:t>Debts forgiven or partially forgiven by the entity that you are a KMP of, or any entity controlled by the entity that you are a KMP of.</w:t>
            </w:r>
          </w:p>
        </w:tc>
        <w:tc>
          <w:tcPr>
            <w:tcW w:w="485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auto" w:fill="BFBFBF" w:themeFill="background1" w:themeFillShade="BF"/>
          </w:tcPr>
          <w:p w:rsidR="0087436A" w:rsidRPr="0087436A" w:rsidRDefault="0087436A" w:rsidP="0087436A">
            <w:pPr>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87436A">
              <w:rPr>
                <w:sz w:val="18"/>
              </w:rPr>
              <w:t>Collateral, indemnity or guarantee received from/given to the entity that you are a KMP of, or any entity controlled by the entity that you are a KMP of.</w:t>
            </w:r>
          </w:p>
        </w:tc>
      </w:tr>
      <w:tr w:rsidR="0087436A" w:rsidRPr="007231FB" w:rsidTr="00F97E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rsidR="0087436A" w:rsidRPr="0087436A" w:rsidRDefault="0087436A" w:rsidP="0087436A">
            <w:pPr>
              <w:spacing w:line="276" w:lineRule="auto"/>
              <w:ind w:left="0" w:firstLine="0"/>
              <w:rPr>
                <w:sz w:val="18"/>
              </w:rPr>
            </w:pPr>
            <w:r w:rsidRPr="0087436A">
              <w:rPr>
                <w:sz w:val="18"/>
              </w:rPr>
              <w:t>Settlement of liabilities on behalf of you, your close family members or entities controlled or jointly controlled by you and your close family members, by the entity that you are a KMP of, or any entity controlled by the entity that you are a KMP of.</w:t>
            </w:r>
          </w:p>
        </w:tc>
        <w:tc>
          <w:tcPr>
            <w:tcW w:w="4854"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rsidR="0087436A" w:rsidRPr="0087436A" w:rsidRDefault="0087436A" w:rsidP="0087436A">
            <w:pPr>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87436A">
              <w:rPr>
                <w:sz w:val="18"/>
              </w:rPr>
              <w:t>Receipt/payment of ex-gratia payments or receipt of grants or subsidies greater than $5,000 (individually) from/to the entity that you are a KMP of, or any entity controlled by the entity that you are a KMP of.</w:t>
            </w:r>
          </w:p>
        </w:tc>
      </w:tr>
      <w:tr w:rsidR="0087436A" w:rsidRPr="007231FB" w:rsidTr="00F97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hemeFill="background1" w:themeFillShade="BF"/>
          </w:tcPr>
          <w:p w:rsidR="0087436A" w:rsidRPr="0087436A" w:rsidRDefault="0087436A" w:rsidP="0087436A">
            <w:pPr>
              <w:spacing w:line="276" w:lineRule="auto"/>
              <w:ind w:left="0" w:firstLine="0"/>
              <w:rPr>
                <w:sz w:val="18"/>
              </w:rPr>
            </w:pPr>
            <w:r w:rsidRPr="0087436A">
              <w:rPr>
                <w:sz w:val="18"/>
              </w:rPr>
              <w:t>Receipt of dividend income from, or payment of dividends to, an entity that you are a KMP of, or any entity controlled by the entity that you are a KMP of.</w:t>
            </w:r>
          </w:p>
        </w:tc>
        <w:tc>
          <w:tcPr>
            <w:tcW w:w="485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auto" w:fill="BFBFBF" w:themeFill="background1" w:themeFillShade="BF"/>
          </w:tcPr>
          <w:p w:rsidR="0087436A" w:rsidRPr="0087436A" w:rsidRDefault="0087436A" w:rsidP="0087436A">
            <w:pPr>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87436A">
              <w:rPr>
                <w:sz w:val="18"/>
              </w:rPr>
              <w:t>Receipt/recognition of entitlement of interest income from or incurrence of interest expense to the entity that you are a KMP of, or any entity controlled by the entity that you are a KMP of.</w:t>
            </w:r>
          </w:p>
        </w:tc>
      </w:tr>
      <w:tr w:rsidR="0087436A" w:rsidRPr="007231FB" w:rsidTr="00F97E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rsidR="0087436A" w:rsidRPr="0087436A" w:rsidRDefault="0087436A" w:rsidP="0087436A">
            <w:pPr>
              <w:spacing w:line="276" w:lineRule="auto"/>
              <w:ind w:left="0" w:firstLine="0"/>
              <w:rPr>
                <w:sz w:val="18"/>
              </w:rPr>
            </w:pPr>
            <w:r w:rsidRPr="0087436A">
              <w:rPr>
                <w:sz w:val="18"/>
              </w:rPr>
              <w:t>Lease of an asset to/from an entity that you are a KMP of, or any entity controlled by the entity that you are a KMP of.</w:t>
            </w:r>
          </w:p>
        </w:tc>
        <w:tc>
          <w:tcPr>
            <w:tcW w:w="4854"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rsidR="0087436A" w:rsidRPr="0087436A" w:rsidRDefault="0087436A" w:rsidP="0087436A">
            <w:pPr>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87436A">
              <w:rPr>
                <w:sz w:val="18"/>
              </w:rPr>
              <w:t>Provision/purchase of goods/services to/from the entity that you are a KMP of, or any entity controlled by the entity that you are a KMP of.</w:t>
            </w:r>
          </w:p>
        </w:tc>
      </w:tr>
      <w:tr w:rsidR="0087436A" w:rsidRPr="007231FB" w:rsidTr="00F97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right w:val="single" w:sz="2" w:space="0" w:color="808080" w:themeColor="background1" w:themeShade="80"/>
            </w:tcBorders>
            <w:shd w:val="clear" w:color="auto" w:fill="BFBFBF" w:themeFill="background1" w:themeFillShade="BF"/>
          </w:tcPr>
          <w:p w:rsidR="0087436A" w:rsidRPr="0087436A" w:rsidRDefault="0087436A" w:rsidP="0087436A">
            <w:pPr>
              <w:spacing w:line="276" w:lineRule="auto"/>
              <w:ind w:left="0" w:firstLine="0"/>
              <w:rPr>
                <w:sz w:val="18"/>
              </w:rPr>
            </w:pPr>
            <w:r w:rsidRPr="0087436A">
              <w:rPr>
                <w:sz w:val="18"/>
              </w:rPr>
              <w:t>Purchase or sale of non-financial assets from/to an entity that you are a KMP of, or any entity controlled by the entity that you are a KMP of e.g. land, buildings, intangibles.</w:t>
            </w:r>
          </w:p>
        </w:tc>
        <w:tc>
          <w:tcPr>
            <w:tcW w:w="4854" w:type="dxa"/>
            <w:tcBorders>
              <w:top w:val="single" w:sz="2" w:space="0" w:color="808080" w:themeColor="background1" w:themeShade="80"/>
              <w:left w:val="single" w:sz="2" w:space="0" w:color="808080" w:themeColor="background1" w:themeShade="80"/>
              <w:bottom w:val="single" w:sz="12" w:space="0" w:color="auto"/>
            </w:tcBorders>
            <w:shd w:val="clear" w:color="auto" w:fill="BFBFBF" w:themeFill="background1" w:themeFillShade="BF"/>
          </w:tcPr>
          <w:p w:rsidR="0087436A" w:rsidRPr="0087436A" w:rsidRDefault="0087436A" w:rsidP="0087436A">
            <w:pPr>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87436A">
              <w:rPr>
                <w:sz w:val="18"/>
              </w:rPr>
              <w:t>Commitment to execute a transaction contingent upon whether an event occurs or does not occur in the future with the entity that you are a KMP of, or any entity controlled by the entity that you are a KMP of.</w:t>
            </w:r>
          </w:p>
        </w:tc>
      </w:tr>
    </w:tbl>
    <w:p w:rsidR="00BA6283" w:rsidRPr="006F1D22" w:rsidRDefault="00BA6283" w:rsidP="000948B9">
      <w:pPr>
        <w:pStyle w:val="Heading3unnumbered"/>
        <w:spacing w:line="276" w:lineRule="auto"/>
        <w:rPr>
          <w:color w:val="0063A6" w:themeColor="accent1"/>
        </w:rPr>
      </w:pPr>
      <w:r w:rsidRPr="006F1D22">
        <w:rPr>
          <w:color w:val="0063A6" w:themeColor="accent1"/>
        </w:rPr>
        <w:t xml:space="preserve">What kinds of transactions are not required to be disclosed? </w:t>
      </w:r>
    </w:p>
    <w:p w:rsidR="00BA6283" w:rsidRPr="00892DE3" w:rsidRDefault="00BA6283" w:rsidP="000948B9">
      <w:pPr>
        <w:keepLines w:val="0"/>
        <w:tabs>
          <w:tab w:val="left" w:pos="142"/>
        </w:tabs>
        <w:spacing w:line="276" w:lineRule="auto"/>
      </w:pPr>
      <w:r w:rsidRPr="00892DE3">
        <w:t>Typical citizen transactions are not required to be disclosed. These transactions are where you or a close family member interacts with a government entity in the capacity as a citizen. Some examples include paying personal tax or receiving tax refunds, receiving a social welfare benefit, receiving public health services, receiving education or student allowances, purchasing government bonds directly from the market, and obtaining a Medicare rebate when visiting the GP.</w:t>
      </w:r>
    </w:p>
    <w:p w:rsidR="00BA6283" w:rsidRPr="006F1D22" w:rsidRDefault="00BA6283" w:rsidP="000948B9">
      <w:pPr>
        <w:pStyle w:val="Heading3unnumbered"/>
        <w:spacing w:line="276" w:lineRule="auto"/>
        <w:rPr>
          <w:color w:val="0063A6" w:themeColor="accent1"/>
        </w:rPr>
      </w:pPr>
      <w:r w:rsidRPr="006F1D22">
        <w:rPr>
          <w:color w:val="0063A6" w:themeColor="accent1"/>
        </w:rPr>
        <w:t>What information is being collected?</w:t>
      </w:r>
    </w:p>
    <w:p w:rsidR="00BA6283" w:rsidRPr="00892DE3" w:rsidRDefault="00BA6283" w:rsidP="000948B9">
      <w:pPr>
        <w:keepLines w:val="0"/>
        <w:tabs>
          <w:tab w:val="left" w:pos="142"/>
        </w:tabs>
        <w:spacing w:line="276" w:lineRule="auto"/>
      </w:pPr>
      <w:r w:rsidRPr="00892DE3">
        <w:t xml:space="preserve">You have received this privacy fact sheet because your personal information may be collected as part of the entity’s obligations in relation to the disclosure of related party transactions as required under AASB 124. Personal information collected includes: </w:t>
      </w:r>
    </w:p>
    <w:p w:rsidR="00BA6283" w:rsidRPr="00892DE3" w:rsidRDefault="00BA6283" w:rsidP="000948B9">
      <w:pPr>
        <w:keepLines w:val="0"/>
        <w:tabs>
          <w:tab w:val="left" w:pos="142"/>
        </w:tabs>
        <w:spacing w:line="276" w:lineRule="auto"/>
      </w:pPr>
      <w:r w:rsidRPr="00892DE3">
        <w:t>•</w:t>
      </w:r>
      <w:r w:rsidRPr="00892DE3">
        <w:tab/>
        <w:t>your name or your business name;</w:t>
      </w:r>
    </w:p>
    <w:p w:rsidR="00BA6283" w:rsidRPr="00892DE3" w:rsidRDefault="00BA6283" w:rsidP="000948B9">
      <w:pPr>
        <w:keepLines w:val="0"/>
        <w:tabs>
          <w:tab w:val="left" w:pos="142"/>
        </w:tabs>
        <w:spacing w:line="276" w:lineRule="auto"/>
      </w:pPr>
      <w:r w:rsidRPr="00892DE3">
        <w:t>•</w:t>
      </w:r>
      <w:r w:rsidRPr="00892DE3">
        <w:tab/>
        <w:t xml:space="preserve">details of any relevant transactions with the entity or it’s controlled entity; </w:t>
      </w:r>
    </w:p>
    <w:p w:rsidR="00BA6283" w:rsidRPr="00892DE3" w:rsidRDefault="00BA6283" w:rsidP="000948B9">
      <w:pPr>
        <w:keepLines w:val="0"/>
        <w:tabs>
          <w:tab w:val="left" w:pos="142"/>
        </w:tabs>
        <w:spacing w:line="276" w:lineRule="auto"/>
      </w:pPr>
      <w:r w:rsidRPr="00892DE3">
        <w:t>•</w:t>
      </w:r>
      <w:r w:rsidRPr="00892DE3">
        <w:tab/>
        <w:t xml:space="preserve">total value of transactions with the entity or it’s controlled entity, for the relevant financial year; </w:t>
      </w:r>
    </w:p>
    <w:p w:rsidR="00BA6283" w:rsidRPr="00892DE3" w:rsidRDefault="00BA6283" w:rsidP="000948B9">
      <w:pPr>
        <w:keepLines w:val="0"/>
        <w:tabs>
          <w:tab w:val="left" w:pos="142"/>
        </w:tabs>
        <w:spacing w:line="276" w:lineRule="auto"/>
      </w:pPr>
      <w:r w:rsidRPr="00892DE3">
        <w:t>•</w:t>
      </w:r>
      <w:r w:rsidRPr="00892DE3">
        <w:tab/>
        <w:t xml:space="preserve">outstanding balances as at the end of the financial year; </w:t>
      </w:r>
    </w:p>
    <w:p w:rsidR="00BA6283" w:rsidRPr="00892DE3" w:rsidRDefault="00BA6283" w:rsidP="000948B9">
      <w:pPr>
        <w:keepLines w:val="0"/>
        <w:tabs>
          <w:tab w:val="left" w:pos="142"/>
        </w:tabs>
        <w:spacing w:line="276" w:lineRule="auto"/>
      </w:pPr>
      <w:r w:rsidRPr="00892DE3">
        <w:t>•</w:t>
      </w:r>
      <w:r w:rsidRPr="00892DE3">
        <w:tab/>
        <w:t>terms and conditions related to the transaction.</w:t>
      </w:r>
    </w:p>
    <w:p w:rsidR="00BA6283" w:rsidRPr="006F1D22" w:rsidRDefault="00BA6283" w:rsidP="000948B9">
      <w:pPr>
        <w:pStyle w:val="Heading3unnumbered"/>
        <w:spacing w:line="276" w:lineRule="auto"/>
        <w:rPr>
          <w:color w:val="0063A6" w:themeColor="accent1"/>
        </w:rPr>
      </w:pPr>
      <w:r w:rsidRPr="006F1D22">
        <w:rPr>
          <w:color w:val="0063A6" w:themeColor="accent1"/>
        </w:rPr>
        <w:t>Who will be collecting this information?</w:t>
      </w:r>
    </w:p>
    <w:p w:rsidR="00BA6283" w:rsidRPr="00892DE3" w:rsidRDefault="00BA6283" w:rsidP="000948B9">
      <w:pPr>
        <w:keepLines w:val="0"/>
        <w:tabs>
          <w:tab w:val="left" w:pos="142"/>
        </w:tabs>
        <w:spacing w:line="276" w:lineRule="auto"/>
      </w:pPr>
      <w:r w:rsidRPr="00892DE3">
        <w:t xml:space="preserve">The relevant department or agency will be collecting the personal information from Key Management Personnel of the department or agency. </w:t>
      </w:r>
    </w:p>
    <w:p w:rsidR="00BA6283" w:rsidRPr="006F1D22" w:rsidRDefault="00BA6283" w:rsidP="000948B9">
      <w:pPr>
        <w:pStyle w:val="Heading3unnumbered"/>
        <w:spacing w:line="276" w:lineRule="auto"/>
        <w:rPr>
          <w:color w:val="0063A6" w:themeColor="accent1"/>
        </w:rPr>
      </w:pPr>
      <w:r w:rsidRPr="006F1D22">
        <w:rPr>
          <w:color w:val="0063A6" w:themeColor="accent1"/>
        </w:rPr>
        <w:t>Will my information be disclosed?</w:t>
      </w:r>
    </w:p>
    <w:p w:rsidR="00BA6283" w:rsidRPr="00892DE3" w:rsidRDefault="00BA6283" w:rsidP="000948B9">
      <w:pPr>
        <w:keepLines w:val="0"/>
        <w:tabs>
          <w:tab w:val="left" w:pos="142"/>
        </w:tabs>
        <w:spacing w:line="276" w:lineRule="auto"/>
      </w:pPr>
      <w:r w:rsidRPr="00892DE3">
        <w:t xml:space="preserve">Yes, the department or entity will need to disclose personal information to a relevant department or portfolio agency in order for the entity to comply with the reporting requirements of AASB 124. </w:t>
      </w:r>
    </w:p>
    <w:p w:rsidR="00BA6283" w:rsidRPr="006F1D22" w:rsidRDefault="00BA6283" w:rsidP="000948B9">
      <w:pPr>
        <w:pStyle w:val="Heading3unnumbered"/>
        <w:spacing w:line="276" w:lineRule="auto"/>
        <w:rPr>
          <w:color w:val="0063A6" w:themeColor="accent1"/>
        </w:rPr>
      </w:pPr>
      <w:r w:rsidRPr="006F1D22">
        <w:rPr>
          <w:color w:val="0063A6" w:themeColor="accent1"/>
        </w:rPr>
        <w:t>What will this information be used for?</w:t>
      </w:r>
    </w:p>
    <w:p w:rsidR="00BA6283" w:rsidRPr="00892DE3" w:rsidRDefault="00BA6283" w:rsidP="000948B9">
      <w:pPr>
        <w:keepLines w:val="0"/>
        <w:tabs>
          <w:tab w:val="left" w:pos="142"/>
        </w:tabs>
        <w:spacing w:line="276" w:lineRule="auto"/>
      </w:pPr>
      <w:r w:rsidRPr="00892DE3">
        <w:t xml:space="preserve">In most instances, the information received by the department or entity will be de-identified, unless required to be disclosed separately and collated with other data for inclusion in relevant public sector entities’ financial statements, and tabled in Parliament. Please be advised that your personal information will be protected in accordance with the </w:t>
      </w:r>
      <w:r w:rsidRPr="0087436A">
        <w:rPr>
          <w:i/>
        </w:rPr>
        <w:t>Privacy and Data Protection Act 2014</w:t>
      </w:r>
      <w:r w:rsidRPr="00892DE3">
        <w:t>.</w:t>
      </w:r>
    </w:p>
    <w:p w:rsidR="00BA6283" w:rsidRPr="006F1D22" w:rsidRDefault="00BA6283" w:rsidP="000948B9">
      <w:pPr>
        <w:pStyle w:val="Heading3unnumbered"/>
        <w:spacing w:line="276" w:lineRule="auto"/>
        <w:rPr>
          <w:color w:val="0063A6" w:themeColor="accent1"/>
        </w:rPr>
      </w:pPr>
      <w:r w:rsidRPr="006F1D22">
        <w:rPr>
          <w:color w:val="0063A6" w:themeColor="accent1"/>
        </w:rPr>
        <w:t>Can I access or correct my own information?</w:t>
      </w:r>
    </w:p>
    <w:p w:rsidR="00BA6283" w:rsidRPr="00892DE3" w:rsidRDefault="00BA6283" w:rsidP="000948B9">
      <w:pPr>
        <w:keepLines w:val="0"/>
        <w:tabs>
          <w:tab w:val="left" w:pos="142"/>
        </w:tabs>
        <w:spacing w:line="276" w:lineRule="auto"/>
      </w:pPr>
      <w:r w:rsidRPr="00892DE3">
        <w:t xml:space="preserve">Yes, by contacting the Privacy Officer within the relevant department or portfolio agency. </w:t>
      </w:r>
    </w:p>
    <w:p w:rsidR="00BA6283" w:rsidRPr="006F1D22" w:rsidRDefault="00BA6283" w:rsidP="000948B9">
      <w:pPr>
        <w:pStyle w:val="Heading3unnumbered"/>
        <w:spacing w:line="276" w:lineRule="auto"/>
        <w:rPr>
          <w:color w:val="0063A6" w:themeColor="accent1"/>
        </w:rPr>
      </w:pPr>
      <w:r w:rsidRPr="006F1D22">
        <w:rPr>
          <w:color w:val="0063A6" w:themeColor="accent1"/>
        </w:rPr>
        <w:t>What if information is received about a third party, such as a close family member?</w:t>
      </w:r>
    </w:p>
    <w:p w:rsidR="00BA6283" w:rsidRPr="00892DE3" w:rsidRDefault="00BA6283" w:rsidP="000948B9">
      <w:pPr>
        <w:keepLines w:val="0"/>
        <w:tabs>
          <w:tab w:val="left" w:pos="142"/>
        </w:tabs>
        <w:spacing w:line="276" w:lineRule="auto"/>
      </w:pPr>
      <w:r w:rsidRPr="00892DE3">
        <w:t xml:space="preserve">The relevant department or agency will take reasonable steps to ensure that the close family member is aware of their rights as described in the </w:t>
      </w:r>
      <w:r w:rsidRPr="008B71C4">
        <w:rPr>
          <w:i/>
        </w:rPr>
        <w:t>Privacy and Data Protection Act 2014</w:t>
      </w:r>
      <w:r w:rsidRPr="00892DE3">
        <w:t xml:space="preserve">, through the provision of this Privacy Fact Sheet. </w:t>
      </w:r>
    </w:p>
    <w:p w:rsidR="00BA6283" w:rsidRPr="006F1D22" w:rsidRDefault="00BA6283" w:rsidP="000948B9">
      <w:pPr>
        <w:pStyle w:val="Heading3unnumbered"/>
        <w:spacing w:line="276" w:lineRule="auto"/>
        <w:rPr>
          <w:color w:val="0063A6" w:themeColor="accent1"/>
        </w:rPr>
      </w:pPr>
      <w:r w:rsidRPr="006F1D22">
        <w:rPr>
          <w:color w:val="0063A6" w:themeColor="accent1"/>
        </w:rPr>
        <w:t>Where can I go for further information?</w:t>
      </w:r>
    </w:p>
    <w:p w:rsidR="00BA6283" w:rsidRPr="00892DE3" w:rsidRDefault="00BA6283" w:rsidP="000948B9">
      <w:pPr>
        <w:keepLines w:val="0"/>
        <w:tabs>
          <w:tab w:val="left" w:pos="142"/>
        </w:tabs>
        <w:spacing w:line="276" w:lineRule="auto"/>
      </w:pPr>
      <w:r w:rsidRPr="00892DE3">
        <w:t>By contacting the Privacy Officer within that department or portfolio agency.</w:t>
      </w:r>
    </w:p>
    <w:p w:rsidR="00503BEC" w:rsidRPr="00892DE3" w:rsidRDefault="00503BEC" w:rsidP="000948B9">
      <w:pPr>
        <w:pStyle w:val="Heading2nonTOC"/>
        <w:spacing w:line="276" w:lineRule="auto"/>
        <w:sectPr w:rsidR="00503BEC" w:rsidRPr="00892DE3" w:rsidSect="00DE6A24">
          <w:headerReference w:type="even" r:id="rId225"/>
          <w:headerReference w:type="default" r:id="rId226"/>
          <w:footerReference w:type="even" r:id="rId227"/>
          <w:footerReference w:type="default" r:id="rId228"/>
          <w:headerReference w:type="first" r:id="rId229"/>
          <w:pgSz w:w="11906" w:h="16838" w:code="9"/>
          <w:pgMar w:top="1134" w:right="1134" w:bottom="1134" w:left="1134" w:header="624" w:footer="567" w:gutter="0"/>
          <w:cols w:space="708"/>
          <w:docGrid w:linePitch="360"/>
        </w:sectPr>
      </w:pPr>
    </w:p>
    <w:p w:rsidR="007231FB" w:rsidRDefault="007231FB" w:rsidP="000948B9">
      <w:pPr>
        <w:keepLines w:val="0"/>
        <w:spacing w:line="276" w:lineRule="auto"/>
        <w:rPr>
          <w:rFonts w:asciiTheme="majorHAnsi" w:eastAsiaTheme="majorEastAsia" w:hAnsiTheme="majorHAnsi" w:cstheme="majorBidi"/>
          <w:b/>
          <w:spacing w:val="-2"/>
          <w:sz w:val="24"/>
          <w:szCs w:val="26"/>
        </w:rPr>
      </w:pPr>
      <w:r>
        <w:br w:type="page"/>
      </w:r>
    </w:p>
    <w:p w:rsidR="00503BEC" w:rsidRPr="00BF13F7" w:rsidRDefault="00503BEC" w:rsidP="00503BEC">
      <w:pPr>
        <w:pStyle w:val="Heading2nonTOC"/>
        <w:rPr>
          <w:i/>
        </w:rPr>
      </w:pPr>
      <w:r w:rsidRPr="00BF13F7">
        <w:rPr>
          <w:i/>
        </w:rPr>
        <w:t>Reference for completing Declaration Certificate</w:t>
      </w:r>
    </w:p>
    <w:p w:rsidR="00503BEC" w:rsidRPr="00BF13F7" w:rsidRDefault="00503BEC" w:rsidP="00503BEC">
      <w:pPr>
        <w:pStyle w:val="Heading3unnumbered"/>
        <w:rPr>
          <w:color w:val="0063A6" w:themeColor="accent1"/>
          <w:sz w:val="24"/>
        </w:rPr>
      </w:pPr>
      <w:r w:rsidRPr="00BF13F7">
        <w:rPr>
          <w:color w:val="0063A6" w:themeColor="accent1"/>
          <w:sz w:val="24"/>
        </w:rPr>
        <w:t xml:space="preserve">Details of related party transactions </w:t>
      </w:r>
      <w:r w:rsidRPr="00BF13F7">
        <w:rPr>
          <w:color w:val="0063A6" w:themeColor="accent1"/>
          <w:sz w:val="24"/>
          <w:u w:val="single"/>
        </w:rPr>
        <w:t>selection list</w:t>
      </w:r>
    </w:p>
    <w:tbl>
      <w:tblPr>
        <w:tblStyle w:val="DTFTable"/>
        <w:tblW w:w="9955" w:type="dxa"/>
        <w:tblInd w:w="0" w:type="dxa"/>
        <w:tblLook w:val="04A0" w:firstRow="1" w:lastRow="0" w:firstColumn="1" w:lastColumn="0" w:noHBand="0" w:noVBand="1"/>
      </w:tblPr>
      <w:tblGrid>
        <w:gridCol w:w="815"/>
        <w:gridCol w:w="9140"/>
      </w:tblGrid>
      <w:tr w:rsidR="003E7389" w:rsidRPr="003E7389" w:rsidTr="003E7389">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7052D4">
            <w:pPr>
              <w:pStyle w:val="Heading3unnumbered"/>
              <w:spacing w:line="276" w:lineRule="auto"/>
              <w:ind w:left="0" w:firstLine="0"/>
              <w:rPr>
                <w:i w:val="0"/>
              </w:rPr>
            </w:pPr>
            <w:r w:rsidRPr="003E7389">
              <w:rPr>
                <w:i w:val="0"/>
              </w:rPr>
              <w:t>I.</w:t>
            </w:r>
          </w:p>
        </w:tc>
        <w:tc>
          <w:tcPr>
            <w:tcW w:w="9140" w:type="dxa"/>
          </w:tcPr>
          <w:p w:rsidR="003E7389" w:rsidRPr="003E7389" w:rsidRDefault="003E7389" w:rsidP="003E7389">
            <w:pPr>
              <w:pStyle w:val="Heading3unnumbered"/>
              <w:spacing w:line="276" w:lineRule="auto"/>
              <w:ind w:left="0" w:firstLine="0"/>
              <w:jc w:val="left"/>
              <w:cnfStyle w:val="100000000000" w:firstRow="1" w:lastRow="0" w:firstColumn="0" w:lastColumn="0" w:oddVBand="0" w:evenVBand="0" w:oddHBand="0" w:evenHBand="0" w:firstRowFirstColumn="0" w:firstRowLastColumn="0" w:lastRowFirstColumn="0" w:lastRowLastColumn="0"/>
              <w:rPr>
                <w:i w:val="0"/>
              </w:rPr>
            </w:pPr>
            <w:r w:rsidRPr="003E7389">
              <w:rPr>
                <w:i w:val="0"/>
              </w:rPr>
              <w:t>Nature of transactions</w:t>
            </w:r>
          </w:p>
        </w:tc>
      </w:tr>
      <w:tr w:rsidR="003E7389" w:rsidRPr="003E7389" w:rsidTr="0087436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1A</w:t>
            </w:r>
          </w:p>
        </w:tc>
        <w:tc>
          <w:tcPr>
            <w:tcW w:w="9140"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87436A">
              <w:rPr>
                <w:b/>
                <w:sz w:val="18"/>
              </w:rPr>
              <w:t>Loans</w:t>
            </w:r>
            <w:r w:rsidRPr="003E7389">
              <w:rPr>
                <w:sz w:val="18"/>
              </w:rPr>
              <w:t xml:space="preserve"> to/from the entity that you are a KMP of, or any entity controlled by the entity that you are a KMP of</w:t>
            </w:r>
          </w:p>
        </w:tc>
      </w:tr>
      <w:tr w:rsidR="003E7389" w:rsidRPr="003E7389" w:rsidTr="0087436A">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1B.</w:t>
            </w:r>
          </w:p>
        </w:tc>
        <w:tc>
          <w:tcPr>
            <w:tcW w:w="9140"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87436A">
              <w:rPr>
                <w:b/>
                <w:sz w:val="18"/>
              </w:rPr>
              <w:t>Equity contribution</w:t>
            </w:r>
            <w:r w:rsidRPr="003E7389">
              <w:rPr>
                <w:sz w:val="18"/>
              </w:rPr>
              <w:t xml:space="preserve"> from the entity that you are a KMP of, or any entity controlled by the entity that you are a KMP of</w:t>
            </w:r>
          </w:p>
        </w:tc>
      </w:tr>
      <w:tr w:rsidR="003E7389" w:rsidRPr="003E7389" w:rsidTr="0087436A">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2.</w:t>
            </w:r>
          </w:p>
        </w:tc>
        <w:tc>
          <w:tcPr>
            <w:tcW w:w="9140"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87436A">
              <w:rPr>
                <w:b/>
                <w:sz w:val="18"/>
              </w:rPr>
              <w:t>Debts forgiven or partially forgiven</w:t>
            </w:r>
            <w:r w:rsidRPr="003E7389">
              <w:rPr>
                <w:sz w:val="18"/>
              </w:rPr>
              <w:t xml:space="preserve"> by the entity that you are a KMP of, or any entity controlled by the entity that you are a KMP of  </w:t>
            </w:r>
          </w:p>
        </w:tc>
      </w:tr>
      <w:tr w:rsidR="003E7389" w:rsidRPr="003E7389" w:rsidTr="0087436A">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3.</w:t>
            </w:r>
          </w:p>
        </w:tc>
        <w:tc>
          <w:tcPr>
            <w:tcW w:w="9140"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87436A">
              <w:rPr>
                <w:b/>
                <w:sz w:val="18"/>
              </w:rPr>
              <w:t>A collateral, indemnity or guarantee received from/given</w:t>
            </w:r>
            <w:r w:rsidRPr="003E7389">
              <w:rPr>
                <w:sz w:val="18"/>
              </w:rPr>
              <w:t xml:space="preserve"> to an entity controlled by the entity that you are a KMP of, or any entity controlled by the entity that you are a KMP of</w:t>
            </w:r>
          </w:p>
        </w:tc>
      </w:tr>
      <w:tr w:rsidR="003E7389" w:rsidRPr="003E7389" w:rsidTr="0087436A">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4.</w:t>
            </w:r>
          </w:p>
        </w:tc>
        <w:tc>
          <w:tcPr>
            <w:tcW w:w="9140"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87436A">
              <w:rPr>
                <w:b/>
                <w:sz w:val="18"/>
              </w:rPr>
              <w:t>Settlement of liabilities</w:t>
            </w:r>
            <w:r w:rsidRPr="003E7389">
              <w:rPr>
                <w:sz w:val="18"/>
              </w:rPr>
              <w:t xml:space="preserve"> on behalf of you, your close family members or entities controlled or jointly controlled by you and your close family members, by the entity that you are a KMP of, or any entity controlled by the entity that you are a KMP of</w:t>
            </w:r>
          </w:p>
        </w:tc>
      </w:tr>
      <w:tr w:rsidR="003E7389" w:rsidRPr="003E7389" w:rsidTr="0087436A">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5.</w:t>
            </w:r>
          </w:p>
        </w:tc>
        <w:tc>
          <w:tcPr>
            <w:tcW w:w="9140"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3E7389">
              <w:rPr>
                <w:sz w:val="18"/>
              </w:rPr>
              <w:t>Receipt/payment of ex-gratia payments, or receipt of grants or subsidies greater than $5,000 (individually) from/to the entity that you are a KMP of, or any entity controlled by the entity that you are a KMP of</w:t>
            </w:r>
          </w:p>
        </w:tc>
      </w:tr>
      <w:tr w:rsidR="003E7389" w:rsidRPr="003E7389" w:rsidTr="0087436A">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6A.</w:t>
            </w:r>
          </w:p>
        </w:tc>
        <w:tc>
          <w:tcPr>
            <w:tcW w:w="9140"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87436A">
              <w:rPr>
                <w:b/>
                <w:sz w:val="18"/>
              </w:rPr>
              <w:t>Receipt/recognition of entitlement of interest income from, or incurrence of interest expense to</w:t>
            </w:r>
            <w:r w:rsidRPr="003E7389">
              <w:rPr>
                <w:sz w:val="18"/>
              </w:rPr>
              <w:t>, the entity that you are a KMP of, or any entity controlled by the entity that you are a KMP of</w:t>
            </w:r>
          </w:p>
        </w:tc>
      </w:tr>
      <w:tr w:rsidR="003E7389" w:rsidRPr="003E7389" w:rsidTr="0087436A">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6B.</w:t>
            </w:r>
          </w:p>
        </w:tc>
        <w:tc>
          <w:tcPr>
            <w:tcW w:w="9140"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87436A">
              <w:rPr>
                <w:b/>
                <w:sz w:val="18"/>
              </w:rPr>
              <w:t>Receipt of dividend income from, or payment of dividends to</w:t>
            </w:r>
            <w:r w:rsidRPr="003E7389">
              <w:rPr>
                <w:sz w:val="18"/>
              </w:rPr>
              <w:t>, the entity that you are a KMP of, or any entity controlled by the entity that you are a KMP of</w:t>
            </w:r>
          </w:p>
        </w:tc>
      </w:tr>
      <w:tr w:rsidR="003E7389" w:rsidRPr="003E7389" w:rsidTr="0087436A">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7A.</w:t>
            </w:r>
          </w:p>
        </w:tc>
        <w:tc>
          <w:tcPr>
            <w:tcW w:w="9140"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87436A">
              <w:rPr>
                <w:b/>
                <w:sz w:val="18"/>
              </w:rPr>
              <w:t>Provision/purchase of goods/services</w:t>
            </w:r>
            <w:r w:rsidRPr="003E7389">
              <w:rPr>
                <w:sz w:val="18"/>
              </w:rPr>
              <w:t xml:space="preserve"> to/from an entity that you are a KMP of, or any entity controlled by the entity that you are a KMP of</w:t>
            </w:r>
          </w:p>
        </w:tc>
      </w:tr>
      <w:tr w:rsidR="003E7389" w:rsidRPr="003E7389" w:rsidTr="0087436A">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7B.</w:t>
            </w:r>
          </w:p>
        </w:tc>
        <w:tc>
          <w:tcPr>
            <w:tcW w:w="9140"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87436A">
              <w:rPr>
                <w:b/>
                <w:sz w:val="18"/>
              </w:rPr>
              <w:t>Purchase or sale of non-financial assets</w:t>
            </w:r>
            <w:r w:rsidRPr="003E7389">
              <w:rPr>
                <w:sz w:val="18"/>
              </w:rPr>
              <w:t xml:space="preserve"> from/to the entity that you are a KMP of, or any entity controlled by the entity that you are a KMP of e.g. land, buildings.</w:t>
            </w:r>
          </w:p>
        </w:tc>
      </w:tr>
      <w:tr w:rsidR="003E7389" w:rsidRPr="003E7389" w:rsidTr="0087436A">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8.</w:t>
            </w:r>
          </w:p>
        </w:tc>
        <w:tc>
          <w:tcPr>
            <w:tcW w:w="9140"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87436A">
              <w:rPr>
                <w:b/>
                <w:sz w:val="18"/>
              </w:rPr>
              <w:t>Lease of an asset</w:t>
            </w:r>
            <w:r w:rsidRPr="003E7389">
              <w:rPr>
                <w:sz w:val="18"/>
              </w:rPr>
              <w:t xml:space="preserve"> to/from the entity that you are a KMP of, or any entity controlled by the entity that you are a KMP of</w:t>
            </w:r>
          </w:p>
        </w:tc>
      </w:tr>
      <w:tr w:rsidR="003E7389" w:rsidRPr="003E7389" w:rsidTr="0087436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5" w:type="dxa"/>
          </w:tcPr>
          <w:p w:rsidR="003E7389" w:rsidRPr="003E7389" w:rsidRDefault="003E7389" w:rsidP="0087436A">
            <w:pPr>
              <w:keepLines w:val="0"/>
              <w:spacing w:line="276" w:lineRule="auto"/>
              <w:rPr>
                <w:sz w:val="18"/>
              </w:rPr>
            </w:pPr>
            <w:r w:rsidRPr="003E7389">
              <w:rPr>
                <w:sz w:val="18"/>
              </w:rPr>
              <w:t>9.</w:t>
            </w:r>
          </w:p>
        </w:tc>
        <w:tc>
          <w:tcPr>
            <w:tcW w:w="9140"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87436A">
              <w:rPr>
                <w:b/>
                <w:sz w:val="18"/>
              </w:rPr>
              <w:t>Commitment to execute a transaction</w:t>
            </w:r>
            <w:r w:rsidRPr="003E7389">
              <w:rPr>
                <w:sz w:val="18"/>
              </w:rPr>
              <w:t xml:space="preserve"> contingent upon whether an event occurs or does not occur in the future, with the entity that you are a KMP of, or any entity controlled by the entity that you are a KMP of</w:t>
            </w:r>
          </w:p>
        </w:tc>
      </w:tr>
    </w:tbl>
    <w:p w:rsidR="00503BEC" w:rsidRPr="00892DE3" w:rsidRDefault="00503BEC" w:rsidP="000948B9">
      <w:pPr>
        <w:keepLines w:val="0"/>
        <w:tabs>
          <w:tab w:val="left" w:pos="142"/>
        </w:tabs>
        <w:spacing w:line="276" w:lineRule="auto"/>
      </w:pPr>
    </w:p>
    <w:tbl>
      <w:tblPr>
        <w:tblStyle w:val="DTFTable"/>
        <w:tblW w:w="9996" w:type="dxa"/>
        <w:tblInd w:w="0" w:type="dxa"/>
        <w:tblLook w:val="04A0" w:firstRow="1" w:lastRow="0" w:firstColumn="1" w:lastColumn="0" w:noHBand="0" w:noVBand="1"/>
      </w:tblPr>
      <w:tblGrid>
        <w:gridCol w:w="908"/>
        <w:gridCol w:w="9088"/>
      </w:tblGrid>
      <w:tr w:rsidR="003E7389" w:rsidRPr="003E7389" w:rsidTr="003E7389">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08" w:type="dxa"/>
          </w:tcPr>
          <w:p w:rsidR="003E7389" w:rsidRPr="003E7389" w:rsidRDefault="003E7389" w:rsidP="007052D4">
            <w:pPr>
              <w:pStyle w:val="Heading3unnumbered"/>
              <w:spacing w:line="276" w:lineRule="auto"/>
              <w:ind w:left="0" w:firstLine="0"/>
              <w:rPr>
                <w:i w:val="0"/>
              </w:rPr>
            </w:pPr>
            <w:r w:rsidRPr="003E7389">
              <w:rPr>
                <w:i w:val="0"/>
              </w:rPr>
              <w:t>II.</w:t>
            </w:r>
          </w:p>
        </w:tc>
        <w:tc>
          <w:tcPr>
            <w:tcW w:w="9088" w:type="dxa"/>
          </w:tcPr>
          <w:p w:rsidR="003E7389" w:rsidRPr="003E7389" w:rsidRDefault="003E7389" w:rsidP="003E7389">
            <w:pPr>
              <w:pStyle w:val="Heading3unnumbered"/>
              <w:spacing w:line="276" w:lineRule="auto"/>
              <w:ind w:left="0" w:firstLine="0"/>
              <w:jc w:val="left"/>
              <w:cnfStyle w:val="100000000000" w:firstRow="1" w:lastRow="0" w:firstColumn="0" w:lastColumn="0" w:oddVBand="0" w:evenVBand="0" w:oddHBand="0" w:evenHBand="0" w:firstRowFirstColumn="0" w:firstRowLastColumn="0" w:lastRowFirstColumn="0" w:lastRowLastColumn="0"/>
              <w:rPr>
                <w:i w:val="0"/>
              </w:rPr>
            </w:pPr>
            <w:r w:rsidRPr="003E7389">
              <w:rPr>
                <w:i w:val="0"/>
              </w:rPr>
              <w:t>Nature of the relationship between the counterparty of the transaction and the KMP</w:t>
            </w:r>
          </w:p>
        </w:tc>
      </w:tr>
      <w:tr w:rsidR="003E7389" w:rsidRPr="003E7389" w:rsidTr="003E738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8" w:type="dxa"/>
          </w:tcPr>
          <w:p w:rsidR="003E7389" w:rsidRPr="003E7389" w:rsidRDefault="003E7389" w:rsidP="007052D4">
            <w:pPr>
              <w:keepLines w:val="0"/>
              <w:spacing w:line="276" w:lineRule="auto"/>
              <w:rPr>
                <w:sz w:val="18"/>
              </w:rPr>
            </w:pPr>
            <w:r w:rsidRPr="003E7389">
              <w:rPr>
                <w:sz w:val="18"/>
              </w:rPr>
              <w:t>A.</w:t>
            </w:r>
          </w:p>
        </w:tc>
        <w:tc>
          <w:tcPr>
            <w:tcW w:w="9088" w:type="dxa"/>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3E7389">
              <w:rPr>
                <w:sz w:val="18"/>
              </w:rPr>
              <w:t>Yourself</w:t>
            </w:r>
          </w:p>
        </w:tc>
      </w:tr>
      <w:tr w:rsidR="003E7389" w:rsidRPr="003E7389" w:rsidTr="003E7389">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08" w:type="dxa"/>
          </w:tcPr>
          <w:p w:rsidR="003E7389" w:rsidRPr="003E7389" w:rsidRDefault="003E7389" w:rsidP="007052D4">
            <w:pPr>
              <w:keepLines w:val="0"/>
              <w:spacing w:line="276" w:lineRule="auto"/>
              <w:rPr>
                <w:sz w:val="18"/>
              </w:rPr>
            </w:pPr>
            <w:r w:rsidRPr="003E7389">
              <w:rPr>
                <w:sz w:val="18"/>
              </w:rPr>
              <w:t>B.</w:t>
            </w:r>
          </w:p>
        </w:tc>
        <w:tc>
          <w:tcPr>
            <w:tcW w:w="9088" w:type="dxa"/>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3E7389">
              <w:rPr>
                <w:sz w:val="18"/>
              </w:rPr>
              <w:t>Your spouse or domestic partner (as a close family member)</w:t>
            </w:r>
          </w:p>
        </w:tc>
      </w:tr>
      <w:tr w:rsidR="003E7389" w:rsidRPr="003E7389" w:rsidTr="003E738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8" w:type="dxa"/>
          </w:tcPr>
          <w:p w:rsidR="003E7389" w:rsidRPr="003E7389" w:rsidRDefault="003E7389" w:rsidP="007052D4">
            <w:pPr>
              <w:keepLines w:val="0"/>
              <w:spacing w:line="276" w:lineRule="auto"/>
              <w:rPr>
                <w:sz w:val="18"/>
              </w:rPr>
            </w:pPr>
            <w:r w:rsidRPr="003E7389">
              <w:rPr>
                <w:sz w:val="18"/>
              </w:rPr>
              <w:t>C.</w:t>
            </w:r>
          </w:p>
        </w:tc>
        <w:tc>
          <w:tcPr>
            <w:tcW w:w="9088" w:type="dxa"/>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3E7389">
              <w:rPr>
                <w:sz w:val="18"/>
              </w:rPr>
              <w:t>Your children (as close family members)</w:t>
            </w:r>
          </w:p>
        </w:tc>
      </w:tr>
      <w:tr w:rsidR="003E7389" w:rsidRPr="003E7389" w:rsidTr="003E7389">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08" w:type="dxa"/>
          </w:tcPr>
          <w:p w:rsidR="003E7389" w:rsidRPr="003E7389" w:rsidRDefault="003E7389" w:rsidP="007052D4">
            <w:pPr>
              <w:keepLines w:val="0"/>
              <w:spacing w:line="276" w:lineRule="auto"/>
              <w:rPr>
                <w:sz w:val="18"/>
              </w:rPr>
            </w:pPr>
            <w:r w:rsidRPr="003E7389">
              <w:rPr>
                <w:sz w:val="18"/>
              </w:rPr>
              <w:t>D.</w:t>
            </w:r>
          </w:p>
        </w:tc>
        <w:tc>
          <w:tcPr>
            <w:tcW w:w="9088" w:type="dxa"/>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3E7389">
              <w:rPr>
                <w:sz w:val="18"/>
              </w:rPr>
              <w:t>Your spouse or domestic partner’s children (as close family members)</w:t>
            </w:r>
          </w:p>
        </w:tc>
      </w:tr>
      <w:tr w:rsidR="003E7389" w:rsidRPr="003E7389" w:rsidTr="003E738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8" w:type="dxa"/>
          </w:tcPr>
          <w:p w:rsidR="003E7389" w:rsidRPr="003E7389" w:rsidRDefault="003E7389" w:rsidP="007052D4">
            <w:pPr>
              <w:keepLines w:val="0"/>
              <w:spacing w:line="276" w:lineRule="auto"/>
              <w:rPr>
                <w:sz w:val="18"/>
              </w:rPr>
            </w:pPr>
            <w:r w:rsidRPr="003E7389">
              <w:rPr>
                <w:sz w:val="18"/>
              </w:rPr>
              <w:t>E.</w:t>
            </w:r>
          </w:p>
        </w:tc>
        <w:tc>
          <w:tcPr>
            <w:tcW w:w="9088" w:type="dxa"/>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3E7389">
              <w:rPr>
                <w:sz w:val="18"/>
              </w:rPr>
              <w:t>Other dependent family members (please specify) (as close family members)</w:t>
            </w:r>
          </w:p>
        </w:tc>
      </w:tr>
      <w:tr w:rsidR="003E7389" w:rsidRPr="003E7389" w:rsidTr="003E7389">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08" w:type="dxa"/>
          </w:tcPr>
          <w:p w:rsidR="003E7389" w:rsidRPr="003E7389" w:rsidRDefault="003E7389" w:rsidP="007052D4">
            <w:pPr>
              <w:keepLines w:val="0"/>
              <w:spacing w:line="276" w:lineRule="auto"/>
              <w:rPr>
                <w:sz w:val="18"/>
              </w:rPr>
            </w:pPr>
            <w:r w:rsidRPr="003E7389">
              <w:rPr>
                <w:sz w:val="18"/>
              </w:rPr>
              <w:t>F.</w:t>
            </w:r>
          </w:p>
        </w:tc>
        <w:tc>
          <w:tcPr>
            <w:tcW w:w="9088" w:type="dxa"/>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3E7389">
              <w:rPr>
                <w:sz w:val="18"/>
              </w:rPr>
              <w:t>Other close family members who are expected to influence, or be influenced by, you (please specify)</w:t>
            </w:r>
          </w:p>
        </w:tc>
      </w:tr>
      <w:tr w:rsidR="003E7389" w:rsidRPr="003E7389" w:rsidTr="003E7389">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08" w:type="dxa"/>
          </w:tcPr>
          <w:p w:rsidR="003E7389" w:rsidRPr="003E7389" w:rsidRDefault="003E7389" w:rsidP="007052D4">
            <w:pPr>
              <w:keepLines w:val="0"/>
              <w:spacing w:line="276" w:lineRule="auto"/>
              <w:rPr>
                <w:sz w:val="18"/>
              </w:rPr>
            </w:pPr>
            <w:r w:rsidRPr="003E7389">
              <w:rPr>
                <w:sz w:val="18"/>
              </w:rPr>
              <w:t>G.</w:t>
            </w:r>
          </w:p>
        </w:tc>
        <w:tc>
          <w:tcPr>
            <w:tcW w:w="9088" w:type="dxa"/>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3E7389">
              <w:rPr>
                <w:sz w:val="18"/>
              </w:rPr>
              <w:t>An entity controlled by you or your close family members (please specify the name of the entity and control power by you or your close family members)</w:t>
            </w:r>
          </w:p>
        </w:tc>
      </w:tr>
      <w:tr w:rsidR="003E7389" w:rsidRPr="003E7389" w:rsidTr="003E7389">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08" w:type="dxa"/>
          </w:tcPr>
          <w:p w:rsidR="003E7389" w:rsidRPr="003E7389" w:rsidRDefault="003E7389" w:rsidP="007052D4">
            <w:pPr>
              <w:keepLines w:val="0"/>
              <w:spacing w:line="276" w:lineRule="auto"/>
              <w:rPr>
                <w:sz w:val="18"/>
              </w:rPr>
            </w:pPr>
            <w:r w:rsidRPr="003E7389">
              <w:rPr>
                <w:sz w:val="18"/>
              </w:rPr>
              <w:t xml:space="preserve">H. </w:t>
            </w:r>
          </w:p>
        </w:tc>
        <w:tc>
          <w:tcPr>
            <w:tcW w:w="9088" w:type="dxa"/>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3E7389">
              <w:rPr>
                <w:sz w:val="18"/>
              </w:rPr>
              <w:t>An entity that you or your close family members have significant influence over (please specify the name of the entity and influence by you or your close family members)</w:t>
            </w:r>
          </w:p>
        </w:tc>
      </w:tr>
    </w:tbl>
    <w:p w:rsidR="00503BEC" w:rsidRPr="00892DE3" w:rsidRDefault="00F152A2" w:rsidP="000948B9">
      <w:pPr>
        <w:keepLines w:val="0"/>
        <w:tabs>
          <w:tab w:val="left" w:pos="142"/>
        </w:tabs>
        <w:spacing w:line="276" w:lineRule="auto"/>
      </w:pPr>
      <w:r w:rsidRPr="00892DE3">
        <w:tab/>
      </w:r>
    </w:p>
    <w:tbl>
      <w:tblPr>
        <w:tblStyle w:val="DTFTable"/>
        <w:tblW w:w="9996" w:type="dxa"/>
        <w:tblInd w:w="0" w:type="dxa"/>
        <w:tblLook w:val="04A0" w:firstRow="1" w:lastRow="0" w:firstColumn="1" w:lastColumn="0" w:noHBand="0" w:noVBand="1"/>
      </w:tblPr>
      <w:tblGrid>
        <w:gridCol w:w="908"/>
        <w:gridCol w:w="9088"/>
      </w:tblGrid>
      <w:tr w:rsidR="003E7389" w:rsidRPr="003E7389" w:rsidTr="003E7389">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08" w:type="dxa"/>
          </w:tcPr>
          <w:p w:rsidR="003E7389" w:rsidRPr="003E7389" w:rsidRDefault="003E7389" w:rsidP="007052D4">
            <w:pPr>
              <w:pStyle w:val="Heading3unnumbered"/>
              <w:spacing w:line="276" w:lineRule="auto"/>
              <w:ind w:left="0" w:firstLine="0"/>
              <w:rPr>
                <w:i w:val="0"/>
              </w:rPr>
            </w:pPr>
            <w:r w:rsidRPr="003E7389">
              <w:rPr>
                <w:i w:val="0"/>
              </w:rPr>
              <w:t>III.</w:t>
            </w:r>
          </w:p>
        </w:tc>
        <w:tc>
          <w:tcPr>
            <w:tcW w:w="9088" w:type="dxa"/>
          </w:tcPr>
          <w:p w:rsidR="003E7389" w:rsidRPr="003E7389" w:rsidRDefault="003E7389" w:rsidP="003E7389">
            <w:pPr>
              <w:pStyle w:val="Heading3unnumbered"/>
              <w:spacing w:line="276" w:lineRule="auto"/>
              <w:ind w:left="0" w:firstLine="0"/>
              <w:jc w:val="left"/>
              <w:cnfStyle w:val="100000000000" w:firstRow="1" w:lastRow="0" w:firstColumn="0" w:lastColumn="0" w:oddVBand="0" w:evenVBand="0" w:oddHBand="0" w:evenHBand="0" w:firstRowFirstColumn="0" w:firstRowLastColumn="0" w:lastRowFirstColumn="0" w:lastRowLastColumn="0"/>
              <w:rPr>
                <w:i w:val="0"/>
              </w:rPr>
            </w:pPr>
            <w:r w:rsidRPr="003E7389">
              <w:rPr>
                <w:i w:val="0"/>
              </w:rPr>
              <w:t>Common terms and conditions</w:t>
            </w:r>
          </w:p>
        </w:tc>
      </w:tr>
      <w:tr w:rsidR="003E7389" w:rsidRPr="003E7389" w:rsidTr="003E7389">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908" w:type="dxa"/>
            <w:vAlign w:val="center"/>
          </w:tcPr>
          <w:p w:rsidR="003E7389" w:rsidRPr="003E7389" w:rsidRDefault="003E7389" w:rsidP="003E7389">
            <w:pPr>
              <w:keepLines w:val="0"/>
              <w:spacing w:line="276" w:lineRule="auto"/>
            </w:pPr>
            <w:r w:rsidRPr="003E7389">
              <w:t>A.</w:t>
            </w:r>
          </w:p>
        </w:tc>
        <w:tc>
          <w:tcPr>
            <w:tcW w:w="9088"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pPr>
            <w:r w:rsidRPr="0087436A">
              <w:rPr>
                <w:b/>
              </w:rPr>
              <w:t>Standard terms or non-standard terms</w:t>
            </w:r>
            <w:r w:rsidRPr="003E7389">
              <w:t xml:space="preserve"> (standard terms are standard procurement terms and conditions of the State. Non-standard terms are terms and conditions that are favourable, negotiated/varied or unusual – please provide details about non-standard terms).</w:t>
            </w:r>
          </w:p>
        </w:tc>
      </w:tr>
      <w:tr w:rsidR="003E7389" w:rsidRPr="003E7389" w:rsidTr="003E7389">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08" w:type="dxa"/>
            <w:vAlign w:val="center"/>
          </w:tcPr>
          <w:p w:rsidR="003E7389" w:rsidRPr="003E7389" w:rsidRDefault="003E7389" w:rsidP="003E7389">
            <w:pPr>
              <w:keepLines w:val="0"/>
              <w:spacing w:line="276" w:lineRule="auto"/>
            </w:pPr>
            <w:r w:rsidRPr="003E7389">
              <w:t>B.</w:t>
            </w:r>
          </w:p>
        </w:tc>
        <w:tc>
          <w:tcPr>
            <w:tcW w:w="9088"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pPr>
            <w:r w:rsidRPr="0087436A">
              <w:rPr>
                <w:b/>
              </w:rPr>
              <w:t>Secured or unsecured</w:t>
            </w:r>
            <w:r w:rsidRPr="003E7389">
              <w:t>.</w:t>
            </w:r>
          </w:p>
        </w:tc>
      </w:tr>
      <w:tr w:rsidR="003E7389" w:rsidRPr="003E7389" w:rsidTr="003E738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8" w:type="dxa"/>
            <w:vAlign w:val="center"/>
          </w:tcPr>
          <w:p w:rsidR="003E7389" w:rsidRPr="003E7389" w:rsidRDefault="003E7389" w:rsidP="003E7389">
            <w:pPr>
              <w:keepLines w:val="0"/>
              <w:spacing w:line="276" w:lineRule="auto"/>
            </w:pPr>
            <w:r w:rsidRPr="003E7389">
              <w:t>C.</w:t>
            </w:r>
          </w:p>
        </w:tc>
        <w:tc>
          <w:tcPr>
            <w:tcW w:w="9088"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pPr>
            <w:r w:rsidRPr="003E7389">
              <w:t xml:space="preserve">The </w:t>
            </w:r>
            <w:r w:rsidRPr="0087436A">
              <w:rPr>
                <w:b/>
              </w:rPr>
              <w:t>nature of the consideration</w:t>
            </w:r>
            <w:r w:rsidRPr="003E7389">
              <w:t xml:space="preserve"> for settlement of the outstanding balances, i.e. bank transfers or payment in kind.</w:t>
            </w:r>
          </w:p>
        </w:tc>
      </w:tr>
    </w:tbl>
    <w:p w:rsidR="00503BEC" w:rsidRPr="00892DE3" w:rsidRDefault="00503BEC" w:rsidP="000948B9">
      <w:pPr>
        <w:keepLines w:val="0"/>
        <w:tabs>
          <w:tab w:val="left" w:pos="142"/>
        </w:tabs>
        <w:spacing w:line="276" w:lineRule="auto"/>
      </w:pPr>
    </w:p>
    <w:tbl>
      <w:tblPr>
        <w:tblStyle w:val="DTFTable"/>
        <w:tblW w:w="9923" w:type="dxa"/>
        <w:tblInd w:w="57" w:type="dxa"/>
        <w:tblLook w:val="04A0" w:firstRow="1" w:lastRow="0" w:firstColumn="1" w:lastColumn="0" w:noHBand="0" w:noVBand="1"/>
      </w:tblPr>
      <w:tblGrid>
        <w:gridCol w:w="851"/>
        <w:gridCol w:w="9072"/>
      </w:tblGrid>
      <w:tr w:rsidR="003E7389" w:rsidRPr="003E7389" w:rsidTr="003E7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3E7389" w:rsidRPr="003E7389" w:rsidRDefault="003E7389" w:rsidP="007052D4">
            <w:pPr>
              <w:pStyle w:val="Heading3unnumbered"/>
              <w:spacing w:line="276" w:lineRule="auto"/>
              <w:ind w:left="0" w:firstLine="0"/>
            </w:pPr>
            <w:r w:rsidRPr="004F03A2">
              <w:rPr>
                <w:i w:val="0"/>
              </w:rPr>
              <w:t>IV</w:t>
            </w:r>
            <w:r w:rsidRPr="003E7389">
              <w:t>.</w:t>
            </w:r>
          </w:p>
        </w:tc>
        <w:tc>
          <w:tcPr>
            <w:tcW w:w="9072" w:type="dxa"/>
          </w:tcPr>
          <w:p w:rsidR="003E7389" w:rsidRPr="000B04D5" w:rsidRDefault="003E7389" w:rsidP="003E7389">
            <w:pPr>
              <w:pStyle w:val="Heading3unnumbered"/>
              <w:spacing w:line="276" w:lineRule="auto"/>
              <w:ind w:left="0" w:firstLine="0"/>
              <w:jc w:val="left"/>
              <w:cnfStyle w:val="100000000000" w:firstRow="1" w:lastRow="0" w:firstColumn="0" w:lastColumn="0" w:oddVBand="0" w:evenVBand="0" w:oddHBand="0" w:evenHBand="0" w:firstRowFirstColumn="0" w:firstRowLastColumn="0" w:lastRowFirstColumn="0" w:lastRowLastColumn="0"/>
              <w:rPr>
                <w:i w:val="0"/>
              </w:rPr>
            </w:pPr>
            <w:r w:rsidRPr="000B04D5">
              <w:rPr>
                <w:i w:val="0"/>
              </w:rPr>
              <w:t>Procurement approach to be included in terms and conditions</w:t>
            </w:r>
            <w:r w:rsidR="000B04D5">
              <w:rPr>
                <w:rStyle w:val="FootnoteReference"/>
                <w:i w:val="0"/>
              </w:rPr>
              <w:footnoteReference w:id="12"/>
            </w:r>
          </w:p>
        </w:tc>
      </w:tr>
      <w:tr w:rsidR="003E7389" w:rsidRPr="003E7389" w:rsidTr="003E7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rsidR="003E7389" w:rsidRPr="003E7389" w:rsidRDefault="003E7389" w:rsidP="003E7389">
            <w:pPr>
              <w:keepLines w:val="0"/>
              <w:spacing w:line="276" w:lineRule="auto"/>
            </w:pPr>
            <w:r w:rsidRPr="003E7389">
              <w:t>A.</w:t>
            </w:r>
          </w:p>
        </w:tc>
        <w:tc>
          <w:tcPr>
            <w:tcW w:w="9072"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pPr>
            <w:r w:rsidRPr="0087436A">
              <w:rPr>
                <w:b/>
              </w:rPr>
              <w:t>Open tender</w:t>
            </w:r>
            <w:r w:rsidRPr="003E7389">
              <w:t>: an arrangement where an advertisement is placed in local newspapers / trade journals inviting contractors to apply.</w:t>
            </w:r>
          </w:p>
        </w:tc>
      </w:tr>
      <w:tr w:rsidR="003E7389" w:rsidRPr="003E7389" w:rsidTr="003E7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rsidR="003E7389" w:rsidRPr="003E7389" w:rsidRDefault="003E7389" w:rsidP="003E7389">
            <w:pPr>
              <w:keepLines w:val="0"/>
              <w:spacing w:line="276" w:lineRule="auto"/>
            </w:pPr>
            <w:r w:rsidRPr="003E7389">
              <w:t>B.</w:t>
            </w:r>
          </w:p>
        </w:tc>
        <w:tc>
          <w:tcPr>
            <w:tcW w:w="9072"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pPr>
            <w:r w:rsidRPr="0087436A">
              <w:rPr>
                <w:b/>
              </w:rPr>
              <w:t>Limited or closed tender/selective tender</w:t>
            </w:r>
            <w:r w:rsidRPr="003E7389">
              <w:t>: only pre-qualified or known bidders are allowed to participate.</w:t>
            </w:r>
          </w:p>
        </w:tc>
      </w:tr>
      <w:tr w:rsidR="003E7389" w:rsidRPr="003E7389" w:rsidTr="003E7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rsidR="003E7389" w:rsidRPr="003E7389" w:rsidRDefault="003E7389" w:rsidP="003E7389">
            <w:pPr>
              <w:keepLines w:val="0"/>
              <w:spacing w:line="276" w:lineRule="auto"/>
            </w:pPr>
            <w:r w:rsidRPr="003E7389">
              <w:t>C.</w:t>
            </w:r>
          </w:p>
        </w:tc>
        <w:tc>
          <w:tcPr>
            <w:tcW w:w="9072"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pPr>
            <w:r w:rsidRPr="0087436A">
              <w:rPr>
                <w:b/>
              </w:rPr>
              <w:t>Single tender</w:t>
            </w:r>
            <w:r w:rsidRPr="003E7389">
              <w:t>: the purchaser sends the tender to one particular party.</w:t>
            </w:r>
          </w:p>
        </w:tc>
      </w:tr>
      <w:tr w:rsidR="003E7389" w:rsidRPr="003E7389" w:rsidTr="003E7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rsidR="003E7389" w:rsidRPr="003E7389" w:rsidRDefault="003E7389" w:rsidP="003E7389">
            <w:pPr>
              <w:keepLines w:val="0"/>
              <w:spacing w:line="276" w:lineRule="auto"/>
            </w:pPr>
            <w:r w:rsidRPr="003E7389">
              <w:t>D.</w:t>
            </w:r>
          </w:p>
        </w:tc>
        <w:tc>
          <w:tcPr>
            <w:tcW w:w="9072"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pPr>
            <w:r w:rsidRPr="0087436A">
              <w:rPr>
                <w:b/>
              </w:rPr>
              <w:t>Negotiated tender</w:t>
            </w:r>
            <w:r w:rsidRPr="003E7389">
              <w:t>: normally one contractor is approached and the tender is mainly used for specialist work, e.g. lift system or airport project.</w:t>
            </w:r>
          </w:p>
        </w:tc>
      </w:tr>
      <w:tr w:rsidR="003E7389" w:rsidRPr="003E7389" w:rsidTr="003E7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rsidR="003E7389" w:rsidRPr="003E7389" w:rsidRDefault="003E7389" w:rsidP="003E7389">
            <w:pPr>
              <w:keepLines w:val="0"/>
              <w:spacing w:line="276" w:lineRule="auto"/>
            </w:pPr>
            <w:r w:rsidRPr="003E7389">
              <w:t>E.</w:t>
            </w:r>
          </w:p>
        </w:tc>
        <w:tc>
          <w:tcPr>
            <w:tcW w:w="9072"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pPr>
            <w:r w:rsidRPr="0087436A">
              <w:rPr>
                <w:b/>
              </w:rPr>
              <w:t>Invited tendering</w:t>
            </w:r>
            <w:r w:rsidRPr="003E7389">
              <w:t>: an organisation contacts a select number of suppliers directly to perform the contract. It is generally used for specialist work, emergency situations or for low value, low risk and off the shelf options.</w:t>
            </w:r>
          </w:p>
        </w:tc>
      </w:tr>
      <w:tr w:rsidR="003E7389" w:rsidRPr="003E7389" w:rsidTr="003E7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rsidR="003E7389" w:rsidRPr="003E7389" w:rsidRDefault="003E7389" w:rsidP="003E7389">
            <w:pPr>
              <w:keepLines w:val="0"/>
              <w:spacing w:line="276" w:lineRule="auto"/>
            </w:pPr>
            <w:r w:rsidRPr="003E7389">
              <w:t>F.</w:t>
            </w:r>
          </w:p>
        </w:tc>
        <w:tc>
          <w:tcPr>
            <w:tcW w:w="9072"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pPr>
            <w:r w:rsidRPr="0087436A">
              <w:rPr>
                <w:b/>
              </w:rPr>
              <w:t>Multi-stage tendering</w:t>
            </w:r>
            <w:r w:rsidRPr="003E7389">
              <w:t>: used when there are a large number of respondents. At each stage in the process, the suppliers are culled to those who are most suited to the specific contract requirements.</w:t>
            </w:r>
          </w:p>
        </w:tc>
      </w:tr>
      <w:tr w:rsidR="003E7389" w:rsidRPr="003E7389" w:rsidTr="003E7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rsidR="003E7389" w:rsidRPr="003E7389" w:rsidRDefault="003E7389" w:rsidP="003E7389">
            <w:pPr>
              <w:keepLines w:val="0"/>
              <w:spacing w:line="276" w:lineRule="auto"/>
            </w:pPr>
            <w:r w:rsidRPr="003E7389">
              <w:t>G.</w:t>
            </w:r>
          </w:p>
        </w:tc>
        <w:tc>
          <w:tcPr>
            <w:tcW w:w="9072" w:type="dxa"/>
            <w:vAlign w:val="center"/>
          </w:tcPr>
          <w:p w:rsidR="003E7389" w:rsidRPr="003E7389" w:rsidRDefault="003E7389" w:rsidP="003E7389">
            <w:pPr>
              <w:keepLines w:val="0"/>
              <w:spacing w:line="276" w:lineRule="auto"/>
              <w:jc w:val="left"/>
              <w:cnfStyle w:val="000000100000" w:firstRow="0" w:lastRow="0" w:firstColumn="0" w:lastColumn="0" w:oddVBand="0" w:evenVBand="0" w:oddHBand="1" w:evenHBand="0" w:firstRowFirstColumn="0" w:firstRowLastColumn="0" w:lastRowFirstColumn="0" w:lastRowLastColumn="0"/>
            </w:pPr>
            <w:r w:rsidRPr="0087436A">
              <w:rPr>
                <w:b/>
              </w:rPr>
              <w:t>Unsolicited proposal</w:t>
            </w:r>
            <w:r w:rsidRPr="003E7389">
              <w:t xml:space="preserve">: a proposal that is not in response to a government request. These ideas can often contain qualities that are new, unique and innovative with considerable benefits to the State. </w:t>
            </w:r>
          </w:p>
        </w:tc>
      </w:tr>
      <w:tr w:rsidR="003E7389" w:rsidRPr="003E7389" w:rsidTr="003E7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rsidR="003E7389" w:rsidRPr="003E7389" w:rsidRDefault="003E7389" w:rsidP="003E7389">
            <w:pPr>
              <w:keepLines w:val="0"/>
              <w:spacing w:line="276" w:lineRule="auto"/>
            </w:pPr>
            <w:r w:rsidRPr="003E7389">
              <w:t>H.</w:t>
            </w:r>
          </w:p>
        </w:tc>
        <w:tc>
          <w:tcPr>
            <w:tcW w:w="9072" w:type="dxa"/>
            <w:vAlign w:val="center"/>
          </w:tcPr>
          <w:p w:rsidR="003E7389" w:rsidRPr="003E7389" w:rsidRDefault="003E7389" w:rsidP="003E7389">
            <w:pPr>
              <w:keepLines w:val="0"/>
              <w:spacing w:line="276" w:lineRule="auto"/>
              <w:jc w:val="left"/>
              <w:cnfStyle w:val="000000010000" w:firstRow="0" w:lastRow="0" w:firstColumn="0" w:lastColumn="0" w:oddVBand="0" w:evenVBand="0" w:oddHBand="0" w:evenHBand="1" w:firstRowFirstColumn="0" w:firstRowLastColumn="0" w:lastRowFirstColumn="0" w:lastRowLastColumn="0"/>
            </w:pPr>
            <w:r w:rsidRPr="0087436A">
              <w:rPr>
                <w:b/>
              </w:rPr>
              <w:t>Other approach</w:t>
            </w:r>
            <w:r w:rsidRPr="003E7389">
              <w:t xml:space="preserve"> (please specify)</w:t>
            </w:r>
          </w:p>
        </w:tc>
      </w:tr>
    </w:tbl>
    <w:p w:rsidR="007231FB" w:rsidRDefault="007231FB">
      <w:pPr>
        <w:keepLines w:val="0"/>
        <w:rPr>
          <w:rFonts w:asciiTheme="majorHAnsi" w:eastAsiaTheme="majorEastAsia" w:hAnsiTheme="majorHAnsi" w:cstheme="majorBidi"/>
          <w:b/>
          <w:spacing w:val="-2"/>
          <w:sz w:val="24"/>
          <w:szCs w:val="26"/>
        </w:rPr>
      </w:pPr>
      <w:r>
        <w:br w:type="page"/>
      </w:r>
    </w:p>
    <w:p w:rsidR="00503BEC" w:rsidRPr="00892DE3" w:rsidRDefault="00503BEC" w:rsidP="00D12685">
      <w:pPr>
        <w:pStyle w:val="Heading2nonTOC"/>
      </w:pPr>
      <w:r w:rsidRPr="00892DE3">
        <w:t>Definitions and guidance for AASB 124</w:t>
      </w:r>
    </w:p>
    <w:p w:rsidR="007231FB" w:rsidRPr="006F1D22" w:rsidRDefault="00845DC8" w:rsidP="000948B9">
      <w:pPr>
        <w:pStyle w:val="Heading30"/>
        <w:spacing w:line="276" w:lineRule="auto"/>
        <w:rPr>
          <w:color w:val="0063A6" w:themeColor="accent1"/>
          <w:szCs w:val="18"/>
        </w:rPr>
      </w:pPr>
      <w:r>
        <w:rPr>
          <w:color w:val="0063A6" w:themeColor="accent1"/>
          <w:szCs w:val="18"/>
        </w:rPr>
        <w:t>Item 1</w:t>
      </w:r>
      <w:r w:rsidR="00241ED0" w:rsidRPr="006F1D22">
        <w:rPr>
          <w:color w:val="0063A6" w:themeColor="accent1"/>
          <w:szCs w:val="18"/>
        </w:rPr>
        <w:t xml:space="preserve">. </w:t>
      </w:r>
      <w:r w:rsidR="006765FA">
        <w:rPr>
          <w:color w:val="0063A6" w:themeColor="accent1"/>
          <w:szCs w:val="18"/>
        </w:rPr>
        <w:t>Key Management Personnel (KMP)</w:t>
      </w:r>
    </w:p>
    <w:p w:rsidR="00503BEC" w:rsidRPr="000948B9" w:rsidRDefault="00503BEC" w:rsidP="000948B9">
      <w:pPr>
        <w:spacing w:line="276" w:lineRule="auto"/>
      </w:pPr>
      <w:r w:rsidRPr="000948B9">
        <w:rPr>
          <w:b/>
        </w:rPr>
        <w:t>KMP</w:t>
      </w:r>
      <w:r w:rsidRPr="000948B9">
        <w:t xml:space="preserve"> are those people with the authority and responsibility for planning, directing and controlling the activities of the entity, directly or indirectly i.e. those charged with decision making responsibilities.</w:t>
      </w:r>
    </w:p>
    <w:p w:rsidR="00503BEC" w:rsidRPr="000948B9" w:rsidRDefault="00503BEC" w:rsidP="000948B9">
      <w:pPr>
        <w:keepLines w:val="0"/>
        <w:tabs>
          <w:tab w:val="left" w:pos="142"/>
        </w:tabs>
        <w:spacing w:line="276" w:lineRule="auto"/>
        <w:rPr>
          <w:b/>
        </w:rPr>
      </w:pPr>
      <w:r w:rsidRPr="000948B9">
        <w:rPr>
          <w:b/>
        </w:rPr>
        <w:t>For the State</w:t>
      </w:r>
    </w:p>
    <w:p w:rsidR="00503BEC" w:rsidRPr="000948B9" w:rsidRDefault="00503BEC" w:rsidP="000948B9">
      <w:pPr>
        <w:spacing w:line="276" w:lineRule="auto"/>
      </w:pPr>
      <w:r w:rsidRPr="000948B9">
        <w:t xml:space="preserve">Cabinet is the principal decision making body of the government. All cabinet members will be considered KMP of the State. </w:t>
      </w:r>
    </w:p>
    <w:p w:rsidR="00503BEC" w:rsidRPr="000948B9" w:rsidRDefault="00503BEC" w:rsidP="000948B9">
      <w:pPr>
        <w:spacing w:line="276" w:lineRule="auto"/>
        <w:rPr>
          <w:b/>
        </w:rPr>
      </w:pPr>
      <w:r w:rsidRPr="000948B9">
        <w:rPr>
          <w:b/>
        </w:rPr>
        <w:t>For departments and agencies</w:t>
      </w:r>
    </w:p>
    <w:p w:rsidR="00503BEC" w:rsidRPr="000948B9" w:rsidRDefault="00503BEC" w:rsidP="000948B9">
      <w:pPr>
        <w:spacing w:line="276" w:lineRule="auto"/>
      </w:pPr>
      <w:r w:rsidRPr="000948B9">
        <w:t xml:space="preserve">Portfolio ministers are responsible for the oversight of their relevant portfolio departments and entities. So, the portfolio ministers will be considered KMP of their respective portfolio departments and agencies. </w:t>
      </w:r>
    </w:p>
    <w:p w:rsidR="00503BEC" w:rsidRPr="000948B9" w:rsidRDefault="00503BEC" w:rsidP="000948B9">
      <w:pPr>
        <w:spacing w:line="276" w:lineRule="auto"/>
      </w:pPr>
      <w:r w:rsidRPr="000948B9">
        <w:t>In addition, departments and agencies would also need to assess which executives meet the definition of a KMP for their respective department and agencies.</w:t>
      </w:r>
    </w:p>
    <w:p w:rsidR="00503BEC" w:rsidRPr="000948B9" w:rsidRDefault="00503BEC" w:rsidP="000948B9">
      <w:pPr>
        <w:spacing w:line="276" w:lineRule="auto"/>
      </w:pPr>
      <w:r w:rsidRPr="000948B9">
        <w:t>In general, members forming an entity’s governing board are considered having the strategic decision-making authority for the planning, directing and controlling of the overall activities of the entity. As a result, members of the governing board will typically be considered KMP of the entity. For executives or senior managers that have been delegated the operational authority for specific functions of the entity, they will generally not be considered as KMP for the purpose of AASB 124. Departments and entities should exercise judgement to determine who will be considered a KMP based on the specific facts and circumstances.  Attention should also be given to ‘de-facto’ decision makers. ‘De-facto’ decision makers are persons that are not part of the governing board, but have the strategic decision making authority. If such persons exist, they will be considered as KMP and should be disclosed in accordance with AASB 124. It should be noted that while it is rare to have ‘de facto’ decision makers in the public sector, departments and entities should undertake an assessment to determine whether the ‘de-facto’ decision makers exist or not.</w:t>
      </w:r>
    </w:p>
    <w:p w:rsidR="00503BEC" w:rsidRPr="000948B9" w:rsidRDefault="00503BEC" w:rsidP="000948B9">
      <w:pPr>
        <w:spacing w:line="276" w:lineRule="auto"/>
      </w:pPr>
      <w:r w:rsidRPr="000948B9">
        <w:t xml:space="preserve">A </w:t>
      </w:r>
      <w:r w:rsidRPr="000948B9">
        <w:rPr>
          <w:b/>
        </w:rPr>
        <w:t>related party</w:t>
      </w:r>
      <w:r w:rsidRPr="000948B9">
        <w:t>, as defined by the standard, includes:</w:t>
      </w:r>
    </w:p>
    <w:p w:rsidR="00027667" w:rsidRPr="000948B9" w:rsidRDefault="00027667" w:rsidP="000948B9">
      <w:pPr>
        <w:pStyle w:val="List"/>
        <w:spacing w:line="276" w:lineRule="auto"/>
      </w:pPr>
      <w:r w:rsidRPr="000948B9">
        <w:t>(a)</w:t>
      </w:r>
      <w:r w:rsidRPr="000948B9">
        <w:tab/>
        <w:t>a person and the close family member of that person, if that person has control or joint control over the entity; has significant influence over the entity; or is a KMP of the entity; and</w:t>
      </w:r>
    </w:p>
    <w:p w:rsidR="00027667" w:rsidRPr="000948B9" w:rsidRDefault="00027667" w:rsidP="000948B9">
      <w:pPr>
        <w:pStyle w:val="List"/>
        <w:spacing w:line="276" w:lineRule="auto"/>
      </w:pPr>
      <w:r w:rsidRPr="000948B9">
        <w:t>(b)</w:t>
      </w:r>
      <w:r w:rsidRPr="000948B9">
        <w:tab/>
        <w:t xml:space="preserve">an entity that is (i) a controlled entity of the State; (ii) an associate or joint venture of the entity; or (iii) controlled, jointly controlled or significantly influenced by a person identified in (a) above. </w:t>
      </w:r>
    </w:p>
    <w:p w:rsidR="00503BEC" w:rsidRPr="000948B9" w:rsidRDefault="00503BEC" w:rsidP="000948B9">
      <w:pPr>
        <w:spacing w:line="276" w:lineRule="auto"/>
      </w:pPr>
      <w:r w:rsidRPr="000948B9">
        <w:t>Significant influence is having the power to participate in or ability to affect the financial and operating policy decisions of the KMP.</w:t>
      </w:r>
    </w:p>
    <w:p w:rsidR="00503BEC" w:rsidRPr="000948B9" w:rsidRDefault="00503BEC" w:rsidP="000948B9">
      <w:pPr>
        <w:spacing w:line="276" w:lineRule="auto"/>
      </w:pPr>
      <w:r w:rsidRPr="000948B9">
        <w:t xml:space="preserve">As all cabinet ministers are considered KMP of the State, they are also related parties of the State and all its controlled entities (i.e. departments and agencies). </w:t>
      </w:r>
    </w:p>
    <w:p w:rsidR="00503BEC" w:rsidRPr="000948B9" w:rsidRDefault="00503BEC" w:rsidP="000948B9">
      <w:pPr>
        <w:spacing w:line="276" w:lineRule="auto"/>
      </w:pPr>
      <w:r w:rsidRPr="000948B9">
        <w:t>Note that the same assessment would also need to be done at the department and agency level for executives who are KMP of the entity.</w:t>
      </w:r>
    </w:p>
    <w:p w:rsidR="00503BEC" w:rsidRPr="000948B9" w:rsidRDefault="00503BEC" w:rsidP="000948B9">
      <w:pPr>
        <w:spacing w:line="276" w:lineRule="auto"/>
      </w:pPr>
      <w:r w:rsidRPr="000948B9">
        <w:rPr>
          <w:b/>
        </w:rPr>
        <w:t>Close family members</w:t>
      </w:r>
      <w:r w:rsidRPr="000948B9">
        <w:t xml:space="preserve"> are those family members who may be expected to influence, or be influenced by, that person in their dealings with the entity and include:</w:t>
      </w:r>
    </w:p>
    <w:p w:rsidR="00027667" w:rsidRPr="000948B9" w:rsidRDefault="00027667" w:rsidP="000948B9">
      <w:pPr>
        <w:pStyle w:val="List"/>
        <w:spacing w:line="276" w:lineRule="auto"/>
      </w:pPr>
      <w:r w:rsidRPr="000948B9">
        <w:t>(a)</w:t>
      </w:r>
      <w:r w:rsidRPr="000948B9">
        <w:tab/>
        <w:t>that person’s children and spouse or domestic partner;</w:t>
      </w:r>
    </w:p>
    <w:p w:rsidR="00027667" w:rsidRPr="000948B9" w:rsidRDefault="00027667" w:rsidP="000948B9">
      <w:pPr>
        <w:pStyle w:val="List"/>
        <w:spacing w:line="276" w:lineRule="auto"/>
      </w:pPr>
      <w:r w:rsidRPr="000948B9">
        <w:t>(b)</w:t>
      </w:r>
      <w:r w:rsidRPr="000948B9">
        <w:tab/>
        <w:t xml:space="preserve">children of that person’s spouse or domestic partner; and </w:t>
      </w:r>
    </w:p>
    <w:p w:rsidR="00027667" w:rsidRPr="000948B9" w:rsidRDefault="00027667" w:rsidP="000948B9">
      <w:pPr>
        <w:pStyle w:val="List"/>
        <w:spacing w:line="276" w:lineRule="auto"/>
      </w:pPr>
      <w:r w:rsidRPr="000948B9">
        <w:t>(c)</w:t>
      </w:r>
      <w:r w:rsidRPr="000948B9">
        <w:tab/>
        <w:t xml:space="preserve">dependants of that person or that person’s spouse or domestic partner. </w:t>
      </w:r>
    </w:p>
    <w:p w:rsidR="00503BEC" w:rsidRPr="000948B9" w:rsidRDefault="00027667" w:rsidP="000948B9">
      <w:pPr>
        <w:spacing w:line="276" w:lineRule="auto"/>
      </w:pPr>
      <w:r w:rsidRPr="000948B9">
        <w:t xml:space="preserve"> </w:t>
      </w:r>
      <w:r w:rsidR="00503BEC" w:rsidRPr="000948B9">
        <w:t>‘Children’ include step, adoptive, dependant, non-dependant, adult children and children not living at home (unless they are estranged).</w:t>
      </w:r>
    </w:p>
    <w:p w:rsidR="00503BEC" w:rsidRPr="000948B9" w:rsidRDefault="00503BEC" w:rsidP="000948B9">
      <w:pPr>
        <w:spacing w:line="276" w:lineRule="auto"/>
      </w:pPr>
      <w:r w:rsidRPr="000948B9">
        <w:t>‘Spouse’ or ‘domestic’ partner includes married, de facto, civil union partnerships, but excludes separated or divorced spouses or partners.</w:t>
      </w:r>
    </w:p>
    <w:p w:rsidR="00503BEC" w:rsidRPr="000948B9" w:rsidRDefault="00503BEC" w:rsidP="000948B9">
      <w:pPr>
        <w:spacing w:line="276" w:lineRule="auto"/>
      </w:pPr>
      <w:r w:rsidRPr="000948B9">
        <w:t xml:space="preserve">Dependants are any family members who are </w:t>
      </w:r>
      <w:r w:rsidRPr="000948B9">
        <w:rPr>
          <w:b/>
        </w:rPr>
        <w:t>financially supported</w:t>
      </w:r>
      <w:r w:rsidRPr="000948B9">
        <w:t xml:space="preserve"> by you, your spouse or domestic partner and may include siblings, parents, elderly dependants such as grandparents, or disabled family members.</w:t>
      </w:r>
    </w:p>
    <w:p w:rsidR="00503BEC" w:rsidRPr="000948B9" w:rsidRDefault="00503BEC" w:rsidP="000948B9">
      <w:pPr>
        <w:spacing w:line="276" w:lineRule="auto"/>
      </w:pPr>
      <w:r w:rsidRPr="000948B9">
        <w:t xml:space="preserve">It should be noted that while the definition of close family members does not specifically include siblings, parents and other extended family, it is expected that transactions with other family members outside the immediate family that the KMP is aware of are also taken into consideration for declaration on a case-by-case basis if the relationship can be reasonably expected to influence, or be influenced by the KMP’s dealing with the entity. </w:t>
      </w:r>
      <w:r w:rsidR="00027667" w:rsidRPr="000948B9">
        <w:t xml:space="preserve">This includes cousins, siblings and any other members of their extended family. </w:t>
      </w:r>
      <w:r w:rsidRPr="000948B9">
        <w:t>This will be a matter of judgement by respective parties.</w:t>
      </w:r>
    </w:p>
    <w:p w:rsidR="00A96EE5" w:rsidRPr="000948B9" w:rsidRDefault="00A96EE5" w:rsidP="000948B9">
      <w:pPr>
        <w:keepLines w:val="0"/>
        <w:tabs>
          <w:tab w:val="left" w:pos="142"/>
        </w:tabs>
        <w:spacing w:line="276" w:lineRule="auto"/>
        <w:rPr>
          <w:b/>
        </w:rPr>
      </w:pPr>
    </w:p>
    <w:p w:rsidR="00291D51" w:rsidRPr="006F1D22" w:rsidRDefault="00845DC8" w:rsidP="000948B9">
      <w:pPr>
        <w:keepLines w:val="0"/>
        <w:spacing w:line="276" w:lineRule="auto"/>
        <w:rPr>
          <w:rFonts w:asciiTheme="majorHAnsi" w:hAnsiTheme="majorHAnsi" w:cstheme="majorHAnsi"/>
          <w:b/>
          <w:color w:val="0063A6" w:themeColor="accent1"/>
          <w:sz w:val="20"/>
        </w:rPr>
      </w:pPr>
      <w:r>
        <w:rPr>
          <w:rFonts w:asciiTheme="majorHAnsi" w:hAnsiTheme="majorHAnsi" w:cstheme="majorHAnsi"/>
          <w:b/>
          <w:color w:val="0063A6" w:themeColor="accent1"/>
          <w:sz w:val="20"/>
        </w:rPr>
        <w:t xml:space="preserve">Item </w:t>
      </w:r>
      <w:r w:rsidR="00503BEC" w:rsidRPr="006F1D22">
        <w:rPr>
          <w:rFonts w:asciiTheme="majorHAnsi" w:hAnsiTheme="majorHAnsi" w:cstheme="majorHAnsi"/>
          <w:b/>
          <w:color w:val="0063A6" w:themeColor="accent1"/>
          <w:sz w:val="20"/>
        </w:rPr>
        <w:t>2.</w:t>
      </w:r>
      <w:r w:rsidR="00291D51" w:rsidRPr="006F1D22">
        <w:rPr>
          <w:rFonts w:asciiTheme="majorHAnsi" w:hAnsiTheme="majorHAnsi" w:cstheme="majorHAnsi"/>
          <w:b/>
          <w:color w:val="0063A6" w:themeColor="accent1"/>
          <w:sz w:val="20"/>
        </w:rPr>
        <w:t xml:space="preserve"> </w:t>
      </w:r>
      <w:r w:rsidR="00241ED0" w:rsidRPr="006F1D22">
        <w:rPr>
          <w:rFonts w:asciiTheme="majorHAnsi" w:hAnsiTheme="majorHAnsi" w:cstheme="majorHAnsi"/>
          <w:b/>
          <w:color w:val="0063A6" w:themeColor="accent1"/>
          <w:sz w:val="20"/>
        </w:rPr>
        <w:t>Control</w:t>
      </w:r>
    </w:p>
    <w:p w:rsidR="00503BEC" w:rsidRPr="000948B9" w:rsidRDefault="00503BEC" w:rsidP="000948B9">
      <w:pPr>
        <w:spacing w:line="276" w:lineRule="auto"/>
      </w:pPr>
      <w:r w:rsidRPr="000948B9">
        <w:rPr>
          <w:b/>
        </w:rPr>
        <w:t>Control</w:t>
      </w:r>
      <w:r w:rsidRPr="000948B9">
        <w:t xml:space="preserve"> is defined as the </w:t>
      </w:r>
      <w:r w:rsidRPr="000948B9">
        <w:rPr>
          <w:b/>
        </w:rPr>
        <w:t>power to govern the financial and operating policies</w:t>
      </w:r>
      <w:r w:rsidRPr="000948B9">
        <w:t xml:space="preserve"> of an entity so as to obtain benefits from its activities. </w:t>
      </w:r>
      <w:r w:rsidRPr="000948B9">
        <w:rPr>
          <w:b/>
        </w:rPr>
        <w:t>Joint control</w:t>
      </w:r>
      <w:r w:rsidRPr="000948B9">
        <w:t xml:space="preserve"> is the </w:t>
      </w:r>
      <w:r w:rsidRPr="000948B9">
        <w:rPr>
          <w:b/>
        </w:rPr>
        <w:t>contractually agreed sharing of control</w:t>
      </w:r>
      <w:r w:rsidRPr="000948B9">
        <w:t xml:space="preserve"> over an economic activity. An entity controlled or jointly controlled by you and your close family members means that you and/or any close family members have the ability or power to direct an entity’s relevant activities that can significantly affect its returns, and have rights or exposure to the financial and non-financial returns of the entity. </w:t>
      </w:r>
    </w:p>
    <w:p w:rsidR="00503BEC" w:rsidRPr="000948B9" w:rsidRDefault="00503BEC" w:rsidP="000948B9">
      <w:pPr>
        <w:spacing w:line="276" w:lineRule="auto"/>
      </w:pPr>
      <w:r w:rsidRPr="000948B9">
        <w:t>Types of entities include companies, partnerships, sole traders and trusts.</w:t>
      </w:r>
    </w:p>
    <w:p w:rsidR="00503BEC" w:rsidRPr="000948B9" w:rsidRDefault="00503BEC" w:rsidP="000948B9">
      <w:pPr>
        <w:spacing w:line="276" w:lineRule="auto"/>
        <w:rPr>
          <w:b/>
        </w:rPr>
      </w:pPr>
      <w:r w:rsidRPr="000948B9">
        <w:rPr>
          <w:b/>
        </w:rPr>
        <w:t>Examples</w:t>
      </w:r>
    </w:p>
    <w:p w:rsidR="00503BEC" w:rsidRPr="000948B9" w:rsidRDefault="00503BEC" w:rsidP="000948B9">
      <w:pPr>
        <w:spacing w:line="276" w:lineRule="auto"/>
      </w:pPr>
      <w:r w:rsidRPr="000948B9">
        <w:t xml:space="preserve">Entities controlled or jointly controlled by you and/or any close family members may include: </w:t>
      </w:r>
    </w:p>
    <w:p w:rsidR="00503BEC" w:rsidRPr="000948B9" w:rsidRDefault="00503BEC" w:rsidP="000948B9">
      <w:pPr>
        <w:pStyle w:val="ListBullet"/>
        <w:spacing w:line="276" w:lineRule="auto"/>
      </w:pPr>
      <w:r w:rsidRPr="000948B9">
        <w:t xml:space="preserve">A company where you have 30% voting shares and your spouse has a 30% voting shares </w:t>
      </w:r>
    </w:p>
    <w:p w:rsidR="00503BEC" w:rsidRPr="000948B9" w:rsidRDefault="00503BEC" w:rsidP="000948B9">
      <w:pPr>
        <w:pStyle w:val="ListBullet"/>
        <w:spacing w:line="276" w:lineRule="auto"/>
      </w:pPr>
      <w:r w:rsidRPr="000948B9">
        <w:t xml:space="preserve">A partnership of two people where your spouse is one of the partners </w:t>
      </w:r>
    </w:p>
    <w:p w:rsidR="00503BEC" w:rsidRPr="000948B9" w:rsidRDefault="00503BEC" w:rsidP="000948B9">
      <w:pPr>
        <w:pStyle w:val="ListBullet"/>
        <w:spacing w:line="276" w:lineRule="auto"/>
      </w:pPr>
      <w:r w:rsidRPr="000948B9">
        <w:t xml:space="preserve">A trust where you and your spouse are two of three trustees </w:t>
      </w:r>
    </w:p>
    <w:p w:rsidR="00503BEC" w:rsidRPr="000948B9" w:rsidRDefault="00503BEC" w:rsidP="000948B9">
      <w:pPr>
        <w:spacing w:line="276" w:lineRule="auto"/>
      </w:pPr>
      <w:r w:rsidRPr="000948B9">
        <w:t xml:space="preserve">Entities not controlled or jointly controlled by you and/or your close family members may include: </w:t>
      </w:r>
    </w:p>
    <w:p w:rsidR="00503BEC" w:rsidRPr="000948B9" w:rsidRDefault="00503BEC" w:rsidP="000948B9">
      <w:pPr>
        <w:pStyle w:val="ListBullet"/>
        <w:spacing w:line="276" w:lineRule="auto"/>
      </w:pPr>
      <w:r w:rsidRPr="000948B9">
        <w:t xml:space="preserve">A company where you have a 25% voting shares and your spouse has a 20% voting shares </w:t>
      </w:r>
    </w:p>
    <w:p w:rsidR="00503BEC" w:rsidRPr="000948B9" w:rsidRDefault="00503BEC" w:rsidP="000948B9">
      <w:pPr>
        <w:pStyle w:val="ListBullet"/>
        <w:spacing w:line="276" w:lineRule="auto"/>
      </w:pPr>
      <w:r w:rsidRPr="000948B9">
        <w:t xml:space="preserve">A partnership of three people where your spouse is one of the partners </w:t>
      </w:r>
    </w:p>
    <w:p w:rsidR="00503BEC" w:rsidRPr="000948B9" w:rsidRDefault="00503BEC" w:rsidP="000948B9">
      <w:pPr>
        <w:pStyle w:val="ListBullet"/>
        <w:spacing w:line="276" w:lineRule="auto"/>
      </w:pPr>
      <w:r w:rsidRPr="000948B9">
        <w:t xml:space="preserve">A large accountancy practice with multiple partners where your child is a partner </w:t>
      </w:r>
    </w:p>
    <w:p w:rsidR="00503BEC" w:rsidRPr="000948B9" w:rsidRDefault="00503BEC" w:rsidP="000948B9">
      <w:pPr>
        <w:pStyle w:val="ListBullet"/>
        <w:spacing w:line="276" w:lineRule="auto"/>
      </w:pPr>
      <w:r w:rsidRPr="000948B9">
        <w:t xml:space="preserve">A trust where you and your spouse are two of five or more trustees </w:t>
      </w:r>
    </w:p>
    <w:p w:rsidR="00503BEC" w:rsidRPr="000948B9" w:rsidRDefault="00503BEC" w:rsidP="000948B9">
      <w:pPr>
        <w:pStyle w:val="ListBullet"/>
        <w:spacing w:line="276" w:lineRule="auto"/>
      </w:pPr>
      <w:r w:rsidRPr="000948B9">
        <w:t xml:space="preserve">A non-government company where your son/daughter is the chief executive and has minor voting shares (i.e. less than 50% voting power in the company) </w:t>
      </w:r>
    </w:p>
    <w:p w:rsidR="00503BEC" w:rsidRPr="000948B9" w:rsidRDefault="00503BEC" w:rsidP="000948B9">
      <w:pPr>
        <w:pStyle w:val="ListBullet"/>
        <w:spacing w:after="240" w:line="276" w:lineRule="auto"/>
      </w:pPr>
      <w:r w:rsidRPr="000948B9">
        <w:t xml:space="preserve">A non-government company where your spouse is a director of the board and has minor voting shares (i.e. less than 50% voting power in the company) </w:t>
      </w:r>
    </w:p>
    <w:p w:rsidR="00503BEC" w:rsidRPr="006F1D22" w:rsidRDefault="00845DC8" w:rsidP="000948B9">
      <w:pPr>
        <w:pStyle w:val="Heading30"/>
        <w:spacing w:line="276" w:lineRule="auto"/>
        <w:rPr>
          <w:color w:val="0063A6" w:themeColor="accent1"/>
          <w:szCs w:val="18"/>
        </w:rPr>
      </w:pPr>
      <w:r>
        <w:rPr>
          <w:color w:val="0063A6" w:themeColor="accent1"/>
          <w:szCs w:val="18"/>
        </w:rPr>
        <w:t xml:space="preserve">Item </w:t>
      </w:r>
      <w:r w:rsidR="00503BEC" w:rsidRPr="006F1D22">
        <w:rPr>
          <w:color w:val="0063A6" w:themeColor="accent1"/>
          <w:szCs w:val="18"/>
        </w:rPr>
        <w:t>3.</w:t>
      </w:r>
      <w:r w:rsidR="00291D51" w:rsidRPr="006F1D22">
        <w:rPr>
          <w:color w:val="0063A6" w:themeColor="accent1"/>
          <w:szCs w:val="18"/>
        </w:rPr>
        <w:t xml:space="preserve"> </w:t>
      </w:r>
      <w:r w:rsidR="00503BEC" w:rsidRPr="006F1D22">
        <w:rPr>
          <w:color w:val="0063A6" w:themeColor="accent1"/>
          <w:szCs w:val="18"/>
        </w:rPr>
        <w:t>Typical citizen transactions</w:t>
      </w:r>
    </w:p>
    <w:p w:rsidR="00503BEC" w:rsidRPr="000948B9" w:rsidRDefault="00503BEC" w:rsidP="000948B9">
      <w:pPr>
        <w:spacing w:line="276" w:lineRule="auto"/>
      </w:pPr>
      <w:r w:rsidRPr="000948B9">
        <w:rPr>
          <w:b/>
        </w:rPr>
        <w:t>Typical citizen transactions are not required to be disclosed.</w:t>
      </w:r>
      <w:r w:rsidRPr="000948B9">
        <w:t xml:space="preserve"> These transactions are where you and/or any close family members interact with a government entity in the capacity of a citizen. </w:t>
      </w:r>
    </w:p>
    <w:p w:rsidR="00503BEC" w:rsidRPr="000948B9" w:rsidRDefault="00503BEC" w:rsidP="000948B9">
      <w:pPr>
        <w:spacing w:line="276" w:lineRule="auto"/>
        <w:rPr>
          <w:b/>
        </w:rPr>
      </w:pPr>
      <w:r w:rsidRPr="000948B9">
        <w:rPr>
          <w:b/>
        </w:rPr>
        <w:t>Examples</w:t>
      </w:r>
    </w:p>
    <w:p w:rsidR="00503BEC" w:rsidRPr="000948B9" w:rsidRDefault="00503BEC" w:rsidP="000948B9">
      <w:pPr>
        <w:pStyle w:val="ListBullet"/>
        <w:spacing w:line="276" w:lineRule="auto"/>
      </w:pPr>
      <w:r w:rsidRPr="000948B9">
        <w:t>Paying personal taxes or receiving tax refunds</w:t>
      </w:r>
      <w:r w:rsidR="00291D51" w:rsidRPr="000948B9">
        <w:t>;</w:t>
      </w:r>
    </w:p>
    <w:p w:rsidR="00503BEC" w:rsidRPr="000948B9" w:rsidRDefault="00503BEC" w:rsidP="000948B9">
      <w:pPr>
        <w:pStyle w:val="ListBullet"/>
        <w:spacing w:line="276" w:lineRule="auto"/>
      </w:pPr>
      <w:r w:rsidRPr="000948B9">
        <w:t>Paying taxes or receiving tax refunds by an entity controlled or jointly controlled by you and/or any close family members</w:t>
      </w:r>
      <w:r w:rsidR="00291D51" w:rsidRPr="000948B9">
        <w:t>;</w:t>
      </w:r>
    </w:p>
    <w:p w:rsidR="00503BEC" w:rsidRPr="000948B9" w:rsidRDefault="00503BEC" w:rsidP="000948B9">
      <w:pPr>
        <w:pStyle w:val="ListBullet"/>
        <w:spacing w:line="276" w:lineRule="auto"/>
      </w:pPr>
      <w:r w:rsidRPr="000948B9">
        <w:t>Receiving a social welfare benefit</w:t>
      </w:r>
      <w:r w:rsidR="00291D51" w:rsidRPr="000948B9">
        <w:t>;</w:t>
      </w:r>
    </w:p>
    <w:p w:rsidR="00503BEC" w:rsidRPr="000948B9" w:rsidRDefault="00503BEC" w:rsidP="000948B9">
      <w:pPr>
        <w:pStyle w:val="ListBullet"/>
        <w:spacing w:line="276" w:lineRule="auto"/>
      </w:pPr>
      <w:r w:rsidRPr="000948B9">
        <w:t>Receiving public health services</w:t>
      </w:r>
      <w:r w:rsidR="00291D51" w:rsidRPr="000948B9">
        <w:t>;</w:t>
      </w:r>
    </w:p>
    <w:p w:rsidR="00503BEC" w:rsidRPr="000948B9" w:rsidRDefault="00503BEC" w:rsidP="000948B9">
      <w:pPr>
        <w:pStyle w:val="ListBullet"/>
        <w:spacing w:line="276" w:lineRule="auto"/>
      </w:pPr>
      <w:r w:rsidRPr="000948B9">
        <w:t>Receiving public housing</w:t>
      </w:r>
      <w:r w:rsidR="00291D51" w:rsidRPr="000948B9">
        <w:t>;</w:t>
      </w:r>
    </w:p>
    <w:p w:rsidR="00503BEC" w:rsidRPr="000948B9" w:rsidRDefault="00503BEC" w:rsidP="000948B9">
      <w:pPr>
        <w:pStyle w:val="ListBullet"/>
        <w:spacing w:line="276" w:lineRule="auto"/>
      </w:pPr>
      <w:r w:rsidRPr="000948B9">
        <w:t>Receiving education services or student allowances</w:t>
      </w:r>
      <w:r w:rsidR="00291D51" w:rsidRPr="000948B9">
        <w:t>;</w:t>
      </w:r>
    </w:p>
    <w:p w:rsidR="00503BEC" w:rsidRPr="000948B9" w:rsidRDefault="00503BEC" w:rsidP="000948B9">
      <w:pPr>
        <w:pStyle w:val="ListBullet"/>
        <w:spacing w:line="276" w:lineRule="auto"/>
      </w:pPr>
      <w:r w:rsidRPr="000948B9">
        <w:t>Paying licence fees</w:t>
      </w:r>
      <w:r w:rsidR="00291D51" w:rsidRPr="000948B9">
        <w:t>;</w:t>
      </w:r>
    </w:p>
    <w:p w:rsidR="00503BEC" w:rsidRPr="000948B9" w:rsidRDefault="00503BEC" w:rsidP="000948B9">
      <w:pPr>
        <w:pStyle w:val="ListBullet"/>
        <w:spacing w:line="276" w:lineRule="auto"/>
      </w:pPr>
      <w:r w:rsidRPr="000948B9">
        <w:t>Utility supplied by entities controlled by State of Victoria, e.g. water supply</w:t>
      </w:r>
      <w:r w:rsidR="00291D51" w:rsidRPr="000948B9">
        <w:t>;</w:t>
      </w:r>
    </w:p>
    <w:p w:rsidR="00503BEC" w:rsidRPr="000948B9" w:rsidRDefault="00503BEC" w:rsidP="000948B9">
      <w:pPr>
        <w:pStyle w:val="ListBullet"/>
        <w:spacing w:line="276" w:lineRule="auto"/>
      </w:pPr>
      <w:r w:rsidRPr="000948B9">
        <w:t>Allowances and benefits from a department of the State of Victoria, e.g. unemployment / disability allowance</w:t>
      </w:r>
      <w:r w:rsidR="00291D51" w:rsidRPr="000948B9">
        <w:t>;</w:t>
      </w:r>
    </w:p>
    <w:p w:rsidR="00503BEC" w:rsidRPr="000948B9" w:rsidRDefault="00503BEC" w:rsidP="000948B9">
      <w:pPr>
        <w:pStyle w:val="ListBullet"/>
        <w:spacing w:line="276" w:lineRule="auto"/>
      </w:pPr>
      <w:r w:rsidRPr="000948B9">
        <w:t>Purchasing government bonds directly from the market</w:t>
      </w:r>
      <w:r w:rsidR="00291D51" w:rsidRPr="000948B9">
        <w:t>;</w:t>
      </w:r>
    </w:p>
    <w:p w:rsidR="00503BEC" w:rsidRPr="000948B9" w:rsidRDefault="00503BEC" w:rsidP="000948B9">
      <w:pPr>
        <w:pStyle w:val="ListBullet"/>
        <w:spacing w:after="240" w:line="276" w:lineRule="auto"/>
      </w:pPr>
      <w:r w:rsidRPr="000948B9">
        <w:t>Obtaining a Medicare rebate when visiting the GP</w:t>
      </w:r>
      <w:r w:rsidR="00291D51" w:rsidRPr="000948B9">
        <w:t>.</w:t>
      </w:r>
    </w:p>
    <w:p w:rsidR="00F26054" w:rsidRDefault="00F26054">
      <w:pPr>
        <w:keepLines w:val="0"/>
        <w:rPr>
          <w:rFonts w:asciiTheme="majorHAnsi" w:eastAsiaTheme="majorEastAsia" w:hAnsiTheme="majorHAnsi" w:cstheme="majorBidi"/>
          <w:b/>
          <w:bCs/>
          <w:color w:val="0063A6" w:themeColor="accent1"/>
          <w:spacing w:val="-2"/>
          <w:sz w:val="20"/>
        </w:rPr>
      </w:pPr>
      <w:r>
        <w:rPr>
          <w:color w:val="0063A6" w:themeColor="accent1"/>
        </w:rPr>
        <w:br w:type="page"/>
      </w:r>
    </w:p>
    <w:p w:rsidR="00291D51" w:rsidRPr="006F1D22" w:rsidRDefault="00845DC8" w:rsidP="000948B9">
      <w:pPr>
        <w:pStyle w:val="Heading30"/>
        <w:spacing w:line="276" w:lineRule="auto"/>
        <w:rPr>
          <w:color w:val="0063A6" w:themeColor="accent1"/>
          <w:szCs w:val="18"/>
        </w:rPr>
      </w:pPr>
      <w:r>
        <w:rPr>
          <w:color w:val="0063A6" w:themeColor="accent1"/>
          <w:szCs w:val="18"/>
        </w:rPr>
        <w:t xml:space="preserve">Item </w:t>
      </w:r>
      <w:r w:rsidR="00503BEC" w:rsidRPr="006F1D22">
        <w:rPr>
          <w:color w:val="0063A6" w:themeColor="accent1"/>
          <w:szCs w:val="18"/>
        </w:rPr>
        <w:t>4.</w:t>
      </w:r>
      <w:r w:rsidR="00291D51" w:rsidRPr="006F1D22">
        <w:rPr>
          <w:color w:val="0063A6" w:themeColor="accent1"/>
          <w:szCs w:val="18"/>
        </w:rPr>
        <w:t xml:space="preserve"> </w:t>
      </w:r>
      <w:r w:rsidR="00503BEC" w:rsidRPr="006F1D22">
        <w:rPr>
          <w:color w:val="0063A6" w:themeColor="accent1"/>
          <w:szCs w:val="18"/>
        </w:rPr>
        <w:t xml:space="preserve">Provision/purchase of goods and services </w:t>
      </w:r>
    </w:p>
    <w:p w:rsidR="00503BEC" w:rsidRPr="000948B9" w:rsidRDefault="00291D51" w:rsidP="000948B9">
      <w:pPr>
        <w:spacing w:line="276" w:lineRule="auto"/>
        <w:rPr>
          <w:b/>
        </w:rPr>
      </w:pPr>
      <w:r w:rsidRPr="000948B9">
        <w:rPr>
          <w:b/>
        </w:rPr>
        <w:t>Provision/purchase of goods and services</w:t>
      </w:r>
      <w:r w:rsidRPr="000948B9">
        <w:t xml:space="preserve"> </w:t>
      </w:r>
      <w:r w:rsidR="00503BEC" w:rsidRPr="000948B9">
        <w:t xml:space="preserve">with entities that you are a KMP of means there will be a business agreement between (a) you and/or your close family members or entities controlled or jointly controlled by you or your close family members, and (b) the entity that you are a KMP of, or any entity controlled by the entity that you are a KMP of. </w:t>
      </w:r>
      <w:r w:rsidR="00503BEC" w:rsidRPr="000948B9">
        <w:rPr>
          <w:b/>
        </w:rPr>
        <w:t>For transactions that are on standard terms and conditions, a threshold may be applied; otherwise they should be disclosed regardless of the financial quantum of the transaction.</w:t>
      </w:r>
    </w:p>
    <w:p w:rsidR="00503BEC" w:rsidRPr="000948B9" w:rsidRDefault="00291D51" w:rsidP="000948B9">
      <w:pPr>
        <w:spacing w:line="276" w:lineRule="auto"/>
        <w:rPr>
          <w:b/>
        </w:rPr>
      </w:pPr>
      <w:r w:rsidRPr="000948B9">
        <w:rPr>
          <w:b/>
        </w:rPr>
        <w:t>E</w:t>
      </w:r>
      <w:r w:rsidR="00503BEC" w:rsidRPr="000948B9">
        <w:rPr>
          <w:b/>
        </w:rPr>
        <w:t>xamples</w:t>
      </w:r>
    </w:p>
    <w:p w:rsidR="00503BEC" w:rsidRPr="000948B9" w:rsidRDefault="00503BEC" w:rsidP="000948B9">
      <w:pPr>
        <w:pStyle w:val="ListBullet"/>
        <w:spacing w:line="276" w:lineRule="auto"/>
      </w:pPr>
      <w:r w:rsidRPr="000948B9">
        <w:t xml:space="preserve">Your spouse owns 50% of an advertising agency that is contracted to develop the marketing strategy to roll out a public program and design the web page on behalf of a department or agency that you are KMP of, or an entity controlled by the department or agency that you are a KMP of. </w:t>
      </w:r>
    </w:p>
    <w:p w:rsidR="00503BEC" w:rsidRPr="000948B9" w:rsidRDefault="00503BEC" w:rsidP="000948B9">
      <w:pPr>
        <w:pStyle w:val="ListBullet"/>
        <w:spacing w:line="276" w:lineRule="auto"/>
      </w:pPr>
      <w:r w:rsidRPr="000948B9">
        <w:t xml:space="preserve">Your son owns an IT company and sells PCs to a department or agency that you are a KMP of, or an entity controlled by the department or agency that you are a KMP of. </w:t>
      </w:r>
    </w:p>
    <w:p w:rsidR="00503BEC" w:rsidRPr="000948B9" w:rsidRDefault="00503BEC" w:rsidP="000948B9">
      <w:pPr>
        <w:pStyle w:val="ListBullet"/>
        <w:spacing w:line="276" w:lineRule="auto"/>
      </w:pPr>
      <w:r w:rsidRPr="000948B9">
        <w:t xml:space="preserve">Your partner owns an engineering consulting firm which provides advisory services to a department or agency that you are a KMP of, or an entity controlled by the department or agency that you are a KMP of. </w:t>
      </w:r>
    </w:p>
    <w:p w:rsidR="00503BEC" w:rsidRPr="000948B9" w:rsidRDefault="00503BEC" w:rsidP="000948B9">
      <w:pPr>
        <w:pStyle w:val="ListBullet"/>
        <w:spacing w:line="276" w:lineRule="auto"/>
      </w:pPr>
      <w:r w:rsidRPr="000948B9">
        <w:t xml:space="preserve">Your son jointly controls a construction company and his company wins the tender to re-build a hospital for a department or agency that you are a KMP of, or an entity controlled by the department or agency that you are a KMP of. </w:t>
      </w:r>
    </w:p>
    <w:p w:rsidR="00291D51" w:rsidRPr="00474984" w:rsidRDefault="00845DC8" w:rsidP="000948B9">
      <w:pPr>
        <w:pStyle w:val="Heading30"/>
        <w:spacing w:line="276" w:lineRule="auto"/>
        <w:rPr>
          <w:color w:val="0063A6" w:themeColor="accent1"/>
          <w:szCs w:val="18"/>
        </w:rPr>
      </w:pPr>
      <w:r>
        <w:rPr>
          <w:color w:val="0063A6" w:themeColor="accent1"/>
          <w:szCs w:val="18"/>
        </w:rPr>
        <w:t xml:space="preserve">Item </w:t>
      </w:r>
      <w:r w:rsidR="00503BEC" w:rsidRPr="00474984">
        <w:rPr>
          <w:color w:val="0063A6" w:themeColor="accent1"/>
          <w:szCs w:val="18"/>
        </w:rPr>
        <w:t>5.</w:t>
      </w:r>
      <w:r w:rsidR="00291D51" w:rsidRPr="00474984">
        <w:rPr>
          <w:color w:val="0063A6" w:themeColor="accent1"/>
          <w:szCs w:val="18"/>
        </w:rPr>
        <w:t xml:space="preserve"> </w:t>
      </w:r>
      <w:r w:rsidR="00241ED0" w:rsidRPr="00474984">
        <w:rPr>
          <w:color w:val="0063A6" w:themeColor="accent1"/>
          <w:szCs w:val="18"/>
        </w:rPr>
        <w:t>Assets</w:t>
      </w:r>
    </w:p>
    <w:p w:rsidR="00503BEC" w:rsidRPr="000948B9" w:rsidRDefault="00503BEC" w:rsidP="000948B9">
      <w:pPr>
        <w:spacing w:line="276" w:lineRule="auto"/>
        <w:rPr>
          <w:b/>
        </w:rPr>
      </w:pPr>
      <w:r w:rsidRPr="000948B9">
        <w:rPr>
          <w:b/>
        </w:rPr>
        <w:t xml:space="preserve">Assets </w:t>
      </w:r>
      <w:r w:rsidRPr="000948B9">
        <w:t xml:space="preserve">include plant, equipment, land, buildings or businesses. It also includes intangible assets like rights, quotas, and research and development. </w:t>
      </w:r>
      <w:r w:rsidRPr="000948B9">
        <w:rPr>
          <w:b/>
        </w:rPr>
        <w:t>For transactions that are on standard terms and conditions, a threshold may be applied; otherwise they should be disclosed regardless of the financial quantum of the transaction.</w:t>
      </w:r>
    </w:p>
    <w:p w:rsidR="00503BEC" w:rsidRPr="000948B9" w:rsidRDefault="00503BEC" w:rsidP="000948B9">
      <w:pPr>
        <w:keepLines w:val="0"/>
        <w:tabs>
          <w:tab w:val="left" w:pos="142"/>
        </w:tabs>
        <w:spacing w:line="276" w:lineRule="auto"/>
        <w:rPr>
          <w:b/>
        </w:rPr>
      </w:pPr>
      <w:r w:rsidRPr="000948B9">
        <w:rPr>
          <w:b/>
        </w:rPr>
        <w:t>Examples</w:t>
      </w:r>
    </w:p>
    <w:p w:rsidR="00503BEC" w:rsidRPr="000948B9" w:rsidRDefault="00503BEC" w:rsidP="000948B9">
      <w:pPr>
        <w:pStyle w:val="ListBullet"/>
        <w:spacing w:line="276" w:lineRule="auto"/>
      </w:pPr>
      <w:r w:rsidRPr="000948B9">
        <w:t xml:space="preserve">A piece of land owned by a department or agency that you are a KMP of, or an entity controlled by the department or agency that you are a KMP of, is sold to a company owned by you. </w:t>
      </w:r>
    </w:p>
    <w:p w:rsidR="00503BEC" w:rsidRPr="000948B9" w:rsidRDefault="00503BEC" w:rsidP="000948B9">
      <w:pPr>
        <w:pStyle w:val="ListBullet"/>
        <w:spacing w:line="276" w:lineRule="auto"/>
      </w:pPr>
      <w:r w:rsidRPr="000948B9">
        <w:t xml:space="preserve">An investment property owned by a trust that you and your spouse jointly control, is sold to a department or agency that you are a KMP of, or an entity controlled by the department or agency that you are a KMP of. </w:t>
      </w:r>
    </w:p>
    <w:p w:rsidR="00291D51" w:rsidRPr="006F1D22" w:rsidRDefault="00845DC8" w:rsidP="000948B9">
      <w:pPr>
        <w:pStyle w:val="Heading30"/>
        <w:spacing w:line="276" w:lineRule="auto"/>
        <w:rPr>
          <w:color w:val="0063A6" w:themeColor="accent1"/>
          <w:szCs w:val="18"/>
        </w:rPr>
      </w:pPr>
      <w:r>
        <w:rPr>
          <w:color w:val="0063A6" w:themeColor="accent1"/>
          <w:szCs w:val="18"/>
        </w:rPr>
        <w:t xml:space="preserve">Item </w:t>
      </w:r>
      <w:r w:rsidR="00503BEC" w:rsidRPr="006F1D22">
        <w:rPr>
          <w:color w:val="0063A6" w:themeColor="accent1"/>
          <w:szCs w:val="18"/>
        </w:rPr>
        <w:t>6.</w:t>
      </w:r>
      <w:r w:rsidR="00291D51" w:rsidRPr="006F1D22">
        <w:rPr>
          <w:color w:val="0063A6" w:themeColor="accent1"/>
          <w:szCs w:val="18"/>
        </w:rPr>
        <w:t xml:space="preserve"> </w:t>
      </w:r>
      <w:r w:rsidR="0087436A">
        <w:rPr>
          <w:color w:val="0063A6" w:themeColor="accent1"/>
          <w:szCs w:val="18"/>
        </w:rPr>
        <w:t>Transaction value</w:t>
      </w:r>
    </w:p>
    <w:p w:rsidR="00503BEC" w:rsidRPr="000948B9" w:rsidRDefault="00503BEC" w:rsidP="000948B9">
      <w:pPr>
        <w:spacing w:line="276" w:lineRule="auto"/>
      </w:pPr>
      <w:r w:rsidRPr="000948B9">
        <w:t xml:space="preserve">When determining whether the value of the transactions/assets purchased or sold, the </w:t>
      </w:r>
      <w:r w:rsidRPr="000948B9">
        <w:rPr>
          <w:b/>
        </w:rPr>
        <w:t>actual transaction value should be used</w:t>
      </w:r>
      <w:r w:rsidRPr="000948B9">
        <w:t xml:space="preserve">, unless there is evidence or indication that the actual transaction value is </w:t>
      </w:r>
      <w:r w:rsidRPr="000948B9">
        <w:rPr>
          <w:b/>
        </w:rPr>
        <w:t>significantly different from the market value</w:t>
      </w:r>
      <w:r w:rsidRPr="000948B9">
        <w:t xml:space="preserve">. In these circumstances, </w:t>
      </w:r>
      <w:r w:rsidRPr="000948B9">
        <w:rPr>
          <w:b/>
        </w:rPr>
        <w:t>the market value should be used</w:t>
      </w:r>
      <w:r w:rsidRPr="000948B9">
        <w:t xml:space="preserve">. </w:t>
      </w:r>
      <w:r w:rsidRPr="000948B9">
        <w:rPr>
          <w:b/>
        </w:rPr>
        <w:t>Market value</w:t>
      </w:r>
      <w:r w:rsidRPr="000948B9">
        <w:t xml:space="preserve"> means an amount that knowledgeable, willing parties in an arm’s length transaction would pay when a good, service or business is sold, purchased or exchanged. </w:t>
      </w:r>
      <w:r w:rsidRPr="000948B9">
        <w:rPr>
          <w:b/>
        </w:rPr>
        <w:t>For transactions that are on standard terms and conditions a threshold of $100,000 may be applied; otherwise they should be disclosed regardless of the financial quantum of the transaction</w:t>
      </w:r>
      <w:r w:rsidRPr="000948B9">
        <w:t xml:space="preserve">. </w:t>
      </w:r>
    </w:p>
    <w:p w:rsidR="00503BEC" w:rsidRPr="000948B9" w:rsidRDefault="00503BEC" w:rsidP="000948B9">
      <w:pPr>
        <w:keepLines w:val="0"/>
        <w:tabs>
          <w:tab w:val="left" w:pos="142"/>
        </w:tabs>
        <w:spacing w:line="276" w:lineRule="auto"/>
        <w:rPr>
          <w:b/>
        </w:rPr>
      </w:pPr>
      <w:r w:rsidRPr="000948B9">
        <w:rPr>
          <w:b/>
        </w:rPr>
        <w:t>Example</w:t>
      </w:r>
    </w:p>
    <w:p w:rsidR="00503BEC" w:rsidRPr="000948B9" w:rsidRDefault="00503BEC" w:rsidP="000948B9">
      <w:pPr>
        <w:spacing w:line="276" w:lineRule="auto"/>
      </w:pPr>
      <w:r w:rsidRPr="000948B9">
        <w:t>In certain purchases and sales of assets, the market value may differ from the actual consideration. An extreme example is where a business has a market value of $1 million is purchased from the government for a nominal consideration of $1. This transaction would need to be reported and described in this certificate as its market value exceeds the $100,000 threshold although the actual transaction price doesn’t.</w:t>
      </w:r>
    </w:p>
    <w:p w:rsidR="00291D51" w:rsidRPr="006F1D22" w:rsidRDefault="00845DC8" w:rsidP="000948B9">
      <w:pPr>
        <w:pStyle w:val="Heading30"/>
        <w:spacing w:line="276" w:lineRule="auto"/>
        <w:rPr>
          <w:color w:val="0063A6" w:themeColor="accent1"/>
          <w:szCs w:val="18"/>
        </w:rPr>
      </w:pPr>
      <w:r>
        <w:rPr>
          <w:color w:val="0063A6" w:themeColor="accent1"/>
          <w:szCs w:val="18"/>
        </w:rPr>
        <w:t xml:space="preserve">Item </w:t>
      </w:r>
      <w:r w:rsidR="00503BEC" w:rsidRPr="006F1D22">
        <w:rPr>
          <w:color w:val="0063A6" w:themeColor="accent1"/>
          <w:szCs w:val="18"/>
        </w:rPr>
        <w:t>7.</w:t>
      </w:r>
      <w:r w:rsidR="00291D51" w:rsidRPr="006F1D22">
        <w:rPr>
          <w:color w:val="0063A6" w:themeColor="accent1"/>
          <w:szCs w:val="18"/>
        </w:rPr>
        <w:t xml:space="preserve"> </w:t>
      </w:r>
      <w:r w:rsidR="002957E9" w:rsidRPr="006F1D22">
        <w:rPr>
          <w:color w:val="0063A6" w:themeColor="accent1"/>
          <w:szCs w:val="18"/>
        </w:rPr>
        <w:t xml:space="preserve">Debts forgiven or partially </w:t>
      </w:r>
      <w:r w:rsidR="00503BEC" w:rsidRPr="006F1D22">
        <w:rPr>
          <w:color w:val="0063A6" w:themeColor="accent1"/>
          <w:szCs w:val="18"/>
        </w:rPr>
        <w:t xml:space="preserve">forgiven </w:t>
      </w:r>
    </w:p>
    <w:p w:rsidR="00503BEC" w:rsidRPr="000948B9" w:rsidRDefault="00291D51" w:rsidP="000948B9">
      <w:pPr>
        <w:spacing w:line="276" w:lineRule="auto"/>
      </w:pPr>
      <w:r w:rsidRPr="000948B9">
        <w:rPr>
          <w:b/>
        </w:rPr>
        <w:t>Debts forgiven or partially forgiven</w:t>
      </w:r>
      <w:r w:rsidRPr="000948B9">
        <w:t xml:space="preserve"> </w:t>
      </w:r>
      <w:r w:rsidR="00503BEC" w:rsidRPr="000948B9">
        <w:t xml:space="preserve">by the entity that you are a KMP of, or any entity controlled by the entity that you are a KMP of, during the year are required to be disclosed in this certificate. This includes forgiveness of any of your debts and the debts of any close family members or entities controlled or jointly controlled by you and your close family members. </w:t>
      </w:r>
    </w:p>
    <w:p w:rsidR="00291D51" w:rsidRPr="006F1D22" w:rsidRDefault="00845DC8" w:rsidP="000948B9">
      <w:pPr>
        <w:pStyle w:val="Heading30"/>
        <w:spacing w:line="276" w:lineRule="auto"/>
        <w:rPr>
          <w:color w:val="0063A6" w:themeColor="accent1"/>
          <w:szCs w:val="18"/>
        </w:rPr>
      </w:pPr>
      <w:r>
        <w:rPr>
          <w:color w:val="0063A6" w:themeColor="accent1"/>
          <w:szCs w:val="18"/>
        </w:rPr>
        <w:t xml:space="preserve">Item </w:t>
      </w:r>
      <w:r w:rsidR="00503BEC" w:rsidRPr="006F1D22">
        <w:rPr>
          <w:color w:val="0063A6" w:themeColor="accent1"/>
          <w:szCs w:val="18"/>
        </w:rPr>
        <w:t>8.</w:t>
      </w:r>
      <w:r w:rsidR="00291D51" w:rsidRPr="006F1D22">
        <w:rPr>
          <w:color w:val="0063A6" w:themeColor="accent1"/>
          <w:szCs w:val="18"/>
        </w:rPr>
        <w:t xml:space="preserve"> </w:t>
      </w:r>
      <w:r w:rsidR="00503BEC" w:rsidRPr="006F1D22">
        <w:rPr>
          <w:color w:val="0063A6" w:themeColor="accent1"/>
          <w:szCs w:val="18"/>
        </w:rPr>
        <w:t xml:space="preserve">Collaterals, indemnities and guarantees </w:t>
      </w:r>
    </w:p>
    <w:p w:rsidR="00291D51" w:rsidRPr="000948B9" w:rsidRDefault="00291D51" w:rsidP="000948B9">
      <w:pPr>
        <w:spacing w:line="276" w:lineRule="auto"/>
      </w:pPr>
      <w:r w:rsidRPr="000948B9">
        <w:rPr>
          <w:b/>
        </w:rPr>
        <w:t>Collaterals, indemnities and guarantees</w:t>
      </w:r>
      <w:r w:rsidRPr="000948B9">
        <w:t xml:space="preserve"> </w:t>
      </w:r>
      <w:r w:rsidR="00503BEC" w:rsidRPr="000948B9">
        <w:t xml:space="preserve">provided by the entity that you are a KMP of, or any entity controlled by the entity that you are a KMP of, during the year are required to be disclosed in this certificate. A collateral is something pledged as security for repayment of a loan which may be forfeited in the event of a default. An indemnity or guarantee is a legally binding promise of one party to assume responsibility for a debt or performance of an obligation of another party should that party default in some way. Guarantees generally relate to the payment of money, but may alternatively or in addition require the performance of services. </w:t>
      </w:r>
    </w:p>
    <w:p w:rsidR="00DE6A24" w:rsidRPr="00892DE3" w:rsidRDefault="00DE6A24" w:rsidP="00291D51"/>
    <w:p w:rsidR="00DE6A24" w:rsidRPr="00892DE3" w:rsidRDefault="00DE6A24" w:rsidP="00291D51">
      <w:pPr>
        <w:sectPr w:rsidR="00DE6A24" w:rsidRPr="00892DE3" w:rsidSect="002C2301">
          <w:headerReference w:type="even" r:id="rId230"/>
          <w:headerReference w:type="default" r:id="rId231"/>
          <w:footerReference w:type="even" r:id="rId232"/>
          <w:footerReference w:type="default" r:id="rId233"/>
          <w:type w:val="continuous"/>
          <w:pgSz w:w="11906" w:h="16838" w:code="9"/>
          <w:pgMar w:top="1134" w:right="1134" w:bottom="1134" w:left="1134" w:header="624" w:footer="567" w:gutter="0"/>
          <w:cols w:space="360"/>
          <w:titlePg/>
        </w:sectPr>
      </w:pPr>
    </w:p>
    <w:p w:rsidR="00AD47C0" w:rsidRPr="00892DE3" w:rsidRDefault="00AD47C0" w:rsidP="003E48BE">
      <w:pPr>
        <w:pStyle w:val="AppendixHeading"/>
        <w:spacing w:after="240"/>
      </w:pPr>
      <w:bookmarkStart w:id="319" w:name="_Toc481591398"/>
      <w:bookmarkStart w:id="320" w:name="_Toc481592345"/>
      <w:r w:rsidRPr="00892DE3">
        <w:t>Appendix 1</w:t>
      </w:r>
      <w:r w:rsidR="003B7D67">
        <w:t>0</w:t>
      </w:r>
      <w:r w:rsidRPr="00892DE3">
        <w:t>:</w:t>
      </w:r>
      <w:r w:rsidRPr="00892DE3">
        <w:tab/>
        <w:t xml:space="preserve">AASB 124 </w:t>
      </w:r>
      <w:r w:rsidRPr="00892DE3">
        <w:rPr>
          <w:i/>
        </w:rPr>
        <w:t xml:space="preserve">Related Party Disclosures </w:t>
      </w:r>
      <w:r w:rsidR="00551303" w:rsidRPr="00892DE3">
        <w:rPr>
          <w:i/>
        </w:rPr>
        <w:t xml:space="preserve">– </w:t>
      </w:r>
      <w:r w:rsidRPr="00892DE3">
        <w:t>entity management checklist</w:t>
      </w:r>
      <w:bookmarkEnd w:id="319"/>
      <w:bookmarkEnd w:id="320"/>
    </w:p>
    <w:p w:rsidR="00474984" w:rsidRPr="00474984" w:rsidRDefault="00474984" w:rsidP="00474984">
      <w:pPr>
        <w:spacing w:line="276" w:lineRule="auto"/>
        <w:rPr>
          <w:b/>
          <w:color w:val="0063A6" w:themeColor="accent1"/>
          <w:sz w:val="20"/>
        </w:rPr>
      </w:pPr>
      <w:r w:rsidRPr="00474984">
        <w:rPr>
          <w:b/>
          <w:color w:val="0063A6" w:themeColor="accent1"/>
          <w:sz w:val="20"/>
        </w:rPr>
        <w:t>Background</w:t>
      </w:r>
    </w:p>
    <w:p w:rsidR="00474984" w:rsidRDefault="00474984" w:rsidP="00474984">
      <w:pPr>
        <w:spacing w:line="276" w:lineRule="auto"/>
      </w:pPr>
      <w:r w:rsidRPr="0078423E">
        <w:t xml:space="preserve">AASB 124 </w:t>
      </w:r>
      <w:r w:rsidRPr="0078423E">
        <w:rPr>
          <w:i/>
        </w:rPr>
        <w:t>Related Party Disclosures</w:t>
      </w:r>
      <w:r w:rsidRPr="0078423E">
        <w:t xml:space="preserve"> requires the disclosure of </w:t>
      </w:r>
      <w:r>
        <w:t xml:space="preserve">material </w:t>
      </w:r>
      <w:r w:rsidRPr="0078423E">
        <w:t xml:space="preserve">related party relationships and </w:t>
      </w:r>
      <w:r>
        <w:t xml:space="preserve">transactions. </w:t>
      </w:r>
      <w:r w:rsidRPr="0078423E">
        <w:t xml:space="preserve">The objective of the standard is to ensure that the entity’s financial statements contain disclosures necessary to draw attention to the possibility that its financial position and profit or loss may have been affected by related </w:t>
      </w:r>
      <w:r>
        <w:t>party</w:t>
      </w:r>
      <w:r w:rsidRPr="0078423E">
        <w:t xml:space="preserve"> transactions and outstanding balances, including commitments, with such parties. </w:t>
      </w:r>
    </w:p>
    <w:p w:rsidR="00474984" w:rsidRDefault="00474984" w:rsidP="00474984">
      <w:pPr>
        <w:spacing w:line="276" w:lineRule="auto"/>
      </w:pPr>
      <w:r>
        <w:t xml:space="preserve">The Australian Accounting Standards Board (AASB) has extended the scope of AASB 124 to include not-for-profit (NFP) entities, including all Victorian government departments, applicable from 1 July 2016, i.e. for the 2016-17 reporting period. </w:t>
      </w:r>
    </w:p>
    <w:p w:rsidR="00474984" w:rsidRDefault="00474984" w:rsidP="00474984">
      <w:pPr>
        <w:spacing w:line="276" w:lineRule="auto"/>
      </w:pPr>
      <w:r>
        <w:t xml:space="preserve">Departments and agencies will be responsible for ensuring the completeness and accuracy of </w:t>
      </w:r>
      <w:r w:rsidRPr="00FD073E">
        <w:t xml:space="preserve">the </w:t>
      </w:r>
      <w:r>
        <w:t xml:space="preserve">related party </w:t>
      </w:r>
      <w:r w:rsidRPr="00FD073E">
        <w:t>information disclosed</w:t>
      </w:r>
      <w:r>
        <w:t xml:space="preserve"> in their financial statements according to the AASB 124 requirements. </w:t>
      </w:r>
    </w:p>
    <w:p w:rsidR="00474984" w:rsidRPr="00474984" w:rsidRDefault="00474984" w:rsidP="00474984">
      <w:pPr>
        <w:spacing w:line="276" w:lineRule="auto"/>
        <w:rPr>
          <w:b/>
          <w:color w:val="0063A6" w:themeColor="accent1"/>
          <w:sz w:val="20"/>
        </w:rPr>
      </w:pPr>
      <w:r w:rsidRPr="00474984">
        <w:rPr>
          <w:b/>
          <w:color w:val="0063A6" w:themeColor="accent1"/>
          <w:sz w:val="20"/>
        </w:rPr>
        <w:t xml:space="preserve">Guidance </w:t>
      </w:r>
    </w:p>
    <w:p w:rsidR="00474984" w:rsidRPr="00474984" w:rsidRDefault="00474984" w:rsidP="00474984">
      <w:pPr>
        <w:spacing w:line="276" w:lineRule="auto"/>
        <w:rPr>
          <w:rFonts w:cstheme="minorHAnsi"/>
        </w:rPr>
      </w:pPr>
      <w:r w:rsidRPr="00760A82">
        <w:t>Given the sensitive nature of this information, and in the interest of maintaining privacy, a self-declaration approach, whereby K</w:t>
      </w:r>
      <w:r>
        <w:t xml:space="preserve">ey </w:t>
      </w:r>
      <w:r w:rsidRPr="00760A82">
        <w:t>M</w:t>
      </w:r>
      <w:r>
        <w:t xml:space="preserve">anagement </w:t>
      </w:r>
      <w:r w:rsidRPr="00760A82">
        <w:t>P</w:t>
      </w:r>
      <w:r>
        <w:t>ersonnel (KMP)</w:t>
      </w:r>
      <w:r w:rsidRPr="00760A82">
        <w:t xml:space="preserve"> self-declare all their related party transactions, has been agreed with the </w:t>
      </w:r>
      <w:r w:rsidRPr="00474984">
        <w:rPr>
          <w:rFonts w:cstheme="minorHAnsi"/>
        </w:rPr>
        <w:t xml:space="preserve">Victorian Auditor-General’s Office (VAGO). A declaration certificate has been developed for all KMP to provide the required information for the relevant reporting period. </w:t>
      </w:r>
    </w:p>
    <w:p w:rsidR="00474984" w:rsidRPr="00474984" w:rsidRDefault="00474984" w:rsidP="00474984">
      <w:pPr>
        <w:spacing w:line="276" w:lineRule="auto"/>
        <w:rPr>
          <w:rFonts w:cstheme="minorHAnsi"/>
        </w:rPr>
      </w:pPr>
      <w:r w:rsidRPr="00474984">
        <w:rPr>
          <w:rFonts w:cstheme="minorHAnsi"/>
        </w:rPr>
        <w:t xml:space="preserve">As departments and agencies will only receive disclosed transactions for the declaration certificate, entities (management) will also need to perform reasonable additional and complementary procedures to help assure themselves on the completeness of the related party information sourced from KMP declarations as part of the related party disclosure note for completion of their financial statements. </w:t>
      </w:r>
    </w:p>
    <w:p w:rsidR="00474984" w:rsidRPr="00474984" w:rsidRDefault="00474984" w:rsidP="00474984">
      <w:pPr>
        <w:spacing w:line="276" w:lineRule="auto"/>
        <w:rPr>
          <w:rFonts w:cstheme="minorHAnsi"/>
        </w:rPr>
      </w:pPr>
      <w:r w:rsidRPr="00474984">
        <w:rPr>
          <w:rFonts w:cstheme="minorHAnsi"/>
        </w:rPr>
        <w:t xml:space="preserve">A checklist has been developed to support management’s assessment of the completeness of the related party disclosures, and to ensure the following is achieved:  </w:t>
      </w:r>
    </w:p>
    <w:p w:rsidR="00474984" w:rsidRPr="00474984" w:rsidRDefault="00474984" w:rsidP="00474984">
      <w:pPr>
        <w:pStyle w:val="Bullet1"/>
        <w:numPr>
          <w:ilvl w:val="0"/>
          <w:numId w:val="56"/>
        </w:numPr>
        <w:spacing w:before="100" w:after="100" w:line="276" w:lineRule="auto"/>
        <w:contextualSpacing/>
        <w:rPr>
          <w:rFonts w:asciiTheme="minorHAnsi" w:hAnsiTheme="minorHAnsi" w:cstheme="minorHAnsi"/>
          <w:b/>
          <w:sz w:val="18"/>
        </w:rPr>
      </w:pPr>
      <w:r w:rsidRPr="00474984">
        <w:rPr>
          <w:rFonts w:asciiTheme="minorHAnsi" w:hAnsiTheme="minorHAnsi" w:cstheme="minorHAnsi"/>
          <w:b/>
          <w:sz w:val="18"/>
        </w:rPr>
        <w:t>Completeness of related party information</w:t>
      </w:r>
    </w:p>
    <w:p w:rsidR="00474984" w:rsidRPr="00474984" w:rsidRDefault="00474984" w:rsidP="00474984">
      <w:pPr>
        <w:spacing w:line="276" w:lineRule="auto"/>
        <w:ind w:left="360"/>
        <w:rPr>
          <w:rFonts w:cstheme="minorHAnsi"/>
        </w:rPr>
      </w:pPr>
      <w:r w:rsidRPr="00474984">
        <w:rPr>
          <w:rFonts w:cstheme="minorHAnsi"/>
        </w:rPr>
        <w:t>In order to ensure completeness of AASB 124 related party disclosures, entities (management) should undertake transaction searches within their payroll and vendor systems to identify if there are any related party transactions for each respective KMP.</w:t>
      </w:r>
    </w:p>
    <w:p w:rsidR="00474984" w:rsidRPr="00474984" w:rsidRDefault="00474984" w:rsidP="00474984">
      <w:pPr>
        <w:pStyle w:val="Bullet1"/>
        <w:numPr>
          <w:ilvl w:val="0"/>
          <w:numId w:val="56"/>
        </w:numPr>
        <w:spacing w:before="100" w:after="100" w:line="276" w:lineRule="auto"/>
        <w:contextualSpacing/>
        <w:rPr>
          <w:rFonts w:asciiTheme="minorHAnsi" w:hAnsiTheme="minorHAnsi" w:cstheme="minorHAnsi"/>
          <w:b/>
          <w:sz w:val="18"/>
        </w:rPr>
      </w:pPr>
      <w:r w:rsidRPr="00474984">
        <w:rPr>
          <w:rFonts w:asciiTheme="minorHAnsi" w:hAnsiTheme="minorHAnsi" w:cstheme="minorHAnsi"/>
          <w:b/>
          <w:sz w:val="18"/>
        </w:rPr>
        <w:t>Accuracy of related party information</w:t>
      </w:r>
    </w:p>
    <w:p w:rsidR="00474984" w:rsidRPr="00474984" w:rsidRDefault="00474984" w:rsidP="00474984">
      <w:pPr>
        <w:spacing w:line="276" w:lineRule="auto"/>
        <w:ind w:left="360"/>
        <w:rPr>
          <w:rFonts w:cstheme="minorHAnsi"/>
        </w:rPr>
      </w:pPr>
      <w:r w:rsidRPr="00474984">
        <w:rPr>
          <w:rFonts w:cstheme="minorHAnsi"/>
        </w:rPr>
        <w:t xml:space="preserve">All public sector entities should verify the accuracy of the information reported by KMP in their AASB 124 declaration certificates by confirming the details to their accounting records in their financial systems and the terms and conditions of the relevant contracts. This may require them to liaise with their procurement/contract management teams. </w:t>
      </w:r>
    </w:p>
    <w:p w:rsidR="00474984" w:rsidRPr="00474984" w:rsidRDefault="00474984" w:rsidP="00474984">
      <w:pPr>
        <w:spacing w:line="276" w:lineRule="auto"/>
        <w:ind w:left="360"/>
        <w:rPr>
          <w:rFonts w:cstheme="minorHAnsi"/>
        </w:rPr>
      </w:pPr>
      <w:r w:rsidRPr="00474984">
        <w:rPr>
          <w:rFonts w:cstheme="minorHAnsi"/>
        </w:rPr>
        <w:t xml:space="preserve">Entities should also refer to their own financial records and disclose any provisions for doubtful debts or bad debts expense recognised in relation to outstanding balances declared by KMP. </w:t>
      </w:r>
    </w:p>
    <w:p w:rsidR="00474984" w:rsidRDefault="00474984" w:rsidP="00474984">
      <w:pPr>
        <w:spacing w:line="276" w:lineRule="auto"/>
      </w:pPr>
      <w:r w:rsidRPr="00474984">
        <w:rPr>
          <w:rFonts w:cstheme="minorHAnsi"/>
        </w:rPr>
        <w:t>Note that entities will be expected to refer any proposed disclosures, which are specific to individual KMP, with the relevant KMP to ensure they have an opportunity to validate the proposed disclosure</w:t>
      </w:r>
      <w:r>
        <w:t xml:space="preserve">. </w:t>
      </w:r>
    </w:p>
    <w:p w:rsidR="00474984" w:rsidRDefault="00474984">
      <w:pPr>
        <w:keepLines w:val="0"/>
      </w:pPr>
      <w:r>
        <w:br w:type="page"/>
      </w:r>
    </w:p>
    <w:p w:rsidR="00474984" w:rsidRPr="0075222E" w:rsidRDefault="00474984" w:rsidP="0075222E">
      <w:pPr>
        <w:pStyle w:val="Heading2nonTOC"/>
        <w:rPr>
          <w:color w:val="0063A6" w:themeColor="accent1"/>
        </w:rPr>
      </w:pPr>
      <w:r w:rsidRPr="0075222E">
        <w:rPr>
          <w:color w:val="0063A6" w:themeColor="accent1"/>
        </w:rPr>
        <w:t xml:space="preserve">Checklist to assist reporting entities with the completeness review of their related party disclosures in their financial reports </w:t>
      </w:r>
    </w:p>
    <w:p w:rsidR="00474984" w:rsidRDefault="00474984" w:rsidP="00474984">
      <w:pPr>
        <w:spacing w:after="240" w:line="276" w:lineRule="auto"/>
      </w:pPr>
      <w:r>
        <w:t>This</w:t>
      </w:r>
      <w:r w:rsidRPr="00B350E1">
        <w:t xml:space="preserve"> checklist has been de</w:t>
      </w:r>
      <w:r>
        <w:t xml:space="preserve">veloped to support management’s </w:t>
      </w:r>
      <w:r w:rsidRPr="00B350E1">
        <w:t>a</w:t>
      </w:r>
      <w:r>
        <w:t>ssessment</w:t>
      </w:r>
      <w:r w:rsidRPr="00B350E1">
        <w:t xml:space="preserve"> of </w:t>
      </w:r>
      <w:r>
        <w:t xml:space="preserve">the </w:t>
      </w:r>
      <w:r w:rsidRPr="00B350E1">
        <w:t>completeness of the related party disclosure in their annual financial report</w:t>
      </w:r>
      <w:r>
        <w:t xml:space="preserve">. </w:t>
      </w:r>
      <w:r w:rsidRPr="00B350E1">
        <w:t xml:space="preserve"> </w:t>
      </w:r>
    </w:p>
    <w:p w:rsidR="00474984" w:rsidRPr="00474984" w:rsidRDefault="00474984" w:rsidP="00474984">
      <w:pPr>
        <w:pStyle w:val="Heading30"/>
        <w:spacing w:line="276" w:lineRule="auto"/>
        <w:rPr>
          <w:color w:val="0063A6" w:themeColor="accent1"/>
          <w:sz w:val="22"/>
        </w:rPr>
      </w:pPr>
      <w:r w:rsidRPr="00474984">
        <w:rPr>
          <w:color w:val="0063A6" w:themeColor="accent1"/>
          <w:sz w:val="22"/>
        </w:rPr>
        <w:t>Part A: Identifying KMP of the reporting entity</w:t>
      </w:r>
    </w:p>
    <w:p w:rsidR="00474984" w:rsidRPr="00691661" w:rsidRDefault="00474984" w:rsidP="00474984">
      <w:pPr>
        <w:spacing w:after="240" w:line="276" w:lineRule="auto"/>
      </w:pPr>
      <w:r w:rsidRPr="00B53C19">
        <w:t xml:space="preserve">KMP are those people with the authority and responsibility for planning, directing and controlling the activities of the entity, directly or indirectly i.e. those charged with decision-making responsibilities. </w:t>
      </w:r>
      <w:r>
        <w:t>Note t</w:t>
      </w:r>
      <w:r w:rsidRPr="00B53C19">
        <w:t xml:space="preserve">his excludes </w:t>
      </w:r>
      <w:r>
        <w:t>people</w:t>
      </w:r>
      <w:r w:rsidRPr="00B53C19">
        <w:t xml:space="preserve"> who have been delegated authority to implement decisions at an operational level.</w:t>
      </w:r>
      <w:r>
        <w:t xml:space="preserve"> </w:t>
      </w:r>
    </w:p>
    <w:p w:rsidR="00474984" w:rsidRPr="00647C3B" w:rsidRDefault="00474984" w:rsidP="00474984">
      <w:pPr>
        <w:spacing w:line="276" w:lineRule="auto"/>
        <w:rPr>
          <w:b/>
        </w:rPr>
      </w:pPr>
      <w:r>
        <w:rPr>
          <w:b/>
        </w:rPr>
        <w:t>KMP f</w:t>
      </w:r>
      <w:r w:rsidRPr="00647C3B">
        <w:rPr>
          <w:b/>
        </w:rPr>
        <w:t>or the State</w:t>
      </w:r>
    </w:p>
    <w:p w:rsidR="00474984" w:rsidRDefault="00474984" w:rsidP="00474984">
      <w:pPr>
        <w:spacing w:after="240" w:line="276" w:lineRule="auto"/>
      </w:pPr>
      <w:r w:rsidRPr="00647C3B">
        <w:t xml:space="preserve">Cabinet is the principal decision making body of the government, therefore all </w:t>
      </w:r>
      <w:r>
        <w:t>C</w:t>
      </w:r>
      <w:r w:rsidRPr="00647C3B">
        <w:t>abinet ministers will be considered KMP of the State</w:t>
      </w:r>
      <w:r w:rsidRPr="00871D09">
        <w:t xml:space="preserve">. </w:t>
      </w:r>
      <w:r>
        <w:t>All Cabinet ministers will</w:t>
      </w:r>
      <w:r w:rsidRPr="00EB02CF">
        <w:t xml:space="preserve"> </w:t>
      </w:r>
      <w:r>
        <w:t>also be considered related parties of the State and all its controlled entities (i.e. departments and agencies).</w:t>
      </w:r>
      <w:r w:rsidRPr="007705AA">
        <w:t xml:space="preserve"> </w:t>
      </w:r>
      <w:r>
        <w:t xml:space="preserve">Refer to </w:t>
      </w:r>
      <w:r w:rsidR="000B04D5">
        <w:t>A</w:t>
      </w:r>
      <w:r>
        <w:t xml:space="preserve">ppendix </w:t>
      </w:r>
      <w:r w:rsidR="000B04D5">
        <w:t>10</w:t>
      </w:r>
      <w:r>
        <w:t>A</w:t>
      </w:r>
      <w:r w:rsidR="00845DC8">
        <w:t xml:space="preserve"> on page 299</w:t>
      </w:r>
      <w:r>
        <w:t xml:space="preserve"> for a list of all Cabinet ministers. </w:t>
      </w:r>
    </w:p>
    <w:p w:rsidR="00474984" w:rsidRPr="00647C3B" w:rsidRDefault="00474984" w:rsidP="00474984">
      <w:pPr>
        <w:spacing w:line="276" w:lineRule="auto"/>
        <w:rPr>
          <w:b/>
        </w:rPr>
      </w:pPr>
      <w:r>
        <w:rPr>
          <w:b/>
        </w:rPr>
        <w:t>KMP f</w:t>
      </w:r>
      <w:r w:rsidRPr="00647C3B">
        <w:rPr>
          <w:b/>
        </w:rPr>
        <w:t>or departments and agencies</w:t>
      </w:r>
    </w:p>
    <w:p w:rsidR="00474984" w:rsidRPr="000763E1" w:rsidRDefault="00474984" w:rsidP="00474984">
      <w:pPr>
        <w:spacing w:line="276" w:lineRule="auto"/>
      </w:pPr>
      <w:r w:rsidRPr="00942BD9">
        <w:rPr>
          <w:b/>
        </w:rPr>
        <w:t>Portfolio ministers</w:t>
      </w:r>
      <w:r>
        <w:rPr>
          <w:b/>
        </w:rPr>
        <w:t xml:space="preserve"> </w:t>
      </w:r>
      <w:r w:rsidRPr="00647C3B">
        <w:t>are responsible for the oversight of their relevant portfolio departments and entities, and will be considered KMP of their respective portfolio departments and entities.</w:t>
      </w:r>
      <w:r>
        <w:t xml:space="preserve">  Note </w:t>
      </w:r>
      <w:r w:rsidRPr="000763E1">
        <w:t xml:space="preserve">that, all other </w:t>
      </w:r>
      <w:r>
        <w:t xml:space="preserve">Cabinet </w:t>
      </w:r>
      <w:r w:rsidRPr="000763E1">
        <w:t xml:space="preserve">ministers </w:t>
      </w:r>
      <w:r>
        <w:t xml:space="preserve">and their related parties </w:t>
      </w:r>
      <w:r w:rsidRPr="000763E1">
        <w:t xml:space="preserve">will be considered related parties of </w:t>
      </w:r>
      <w:r>
        <w:t>your</w:t>
      </w:r>
      <w:r w:rsidRPr="000763E1">
        <w:t xml:space="preserve"> department or agency</w:t>
      </w:r>
      <w:r>
        <w:t xml:space="preserve">. </w:t>
      </w:r>
      <w:r w:rsidRPr="000763E1">
        <w:t xml:space="preserve"> </w:t>
      </w:r>
    </w:p>
    <w:p w:rsidR="00474984" w:rsidRDefault="00474984" w:rsidP="00474984">
      <w:pPr>
        <w:spacing w:line="276" w:lineRule="auto"/>
      </w:pPr>
      <w:r w:rsidRPr="000763E1">
        <w:t xml:space="preserve">In addition, departments and agencies will need to assess who are the </w:t>
      </w:r>
      <w:r w:rsidRPr="000763E1">
        <w:rPr>
          <w:b/>
        </w:rPr>
        <w:t>relevant executives</w:t>
      </w:r>
      <w:r w:rsidRPr="000763E1">
        <w:t xml:space="preserve"> that meet the definition of a KMP and their respective related parties. </w:t>
      </w:r>
    </w:p>
    <w:p w:rsidR="00474984" w:rsidRPr="00C70666" w:rsidRDefault="00474984" w:rsidP="00474984">
      <w:pPr>
        <w:spacing w:line="276" w:lineRule="auto"/>
        <w:rPr>
          <w:b/>
        </w:rPr>
      </w:pPr>
      <w:r w:rsidRPr="00C70666">
        <w:rPr>
          <w:b/>
        </w:rPr>
        <w:t>In general, members forming an entity’s governing board will typically be considered KMP of the entity as they are considered as having the strategic decision making authority for the planning, directing and controlling of the overall activities of the entity.</w:t>
      </w:r>
    </w:p>
    <w:p w:rsidR="00474984" w:rsidRDefault="00474984" w:rsidP="00474984">
      <w:pPr>
        <w:spacing w:after="240" w:line="276" w:lineRule="auto"/>
        <w:rPr>
          <w:rFonts w:ascii="Arial" w:hAnsi="Arial" w:cs="Arial"/>
        </w:rPr>
      </w:pPr>
      <w:r w:rsidRPr="00DA5A7C">
        <w:rPr>
          <w:rFonts w:ascii="Arial" w:hAnsi="Arial" w:cs="Arial"/>
        </w:rPr>
        <w:t>Executives or senior managers that have been delegated the operational authority for specific functions of the entity would not be considered KMP for the purposes of AASB 124.</w:t>
      </w:r>
      <w:r>
        <w:rPr>
          <w:rFonts w:ascii="Arial" w:hAnsi="Arial" w:cs="Arial"/>
        </w:rPr>
        <w:t xml:space="preserve"> </w:t>
      </w:r>
    </w:p>
    <w:p w:rsidR="00474984" w:rsidRPr="00474984" w:rsidRDefault="00474984" w:rsidP="00474984">
      <w:pPr>
        <w:pStyle w:val="Heading4"/>
        <w:spacing w:line="276" w:lineRule="auto"/>
        <w:rPr>
          <w:b/>
          <w:i w:val="0"/>
        </w:rPr>
      </w:pPr>
      <w:r w:rsidRPr="00474984">
        <w:rPr>
          <w:b/>
          <w:i w:val="0"/>
        </w:rPr>
        <w:t xml:space="preserve">Frequency of data collection </w:t>
      </w:r>
    </w:p>
    <w:p w:rsidR="00474984" w:rsidRPr="002A2424" w:rsidRDefault="00474984" w:rsidP="00474984">
      <w:pPr>
        <w:spacing w:line="276" w:lineRule="auto"/>
      </w:pPr>
      <w:r w:rsidRPr="002A2424">
        <w:t>As not all not-for-profit public sector entities within the State ha</w:t>
      </w:r>
      <w:r>
        <w:t>ve</w:t>
      </w:r>
      <w:r w:rsidRPr="002A2424">
        <w:t xml:space="preserve"> 30 June year ends, i.e. TAFES and schools have 31 December year ends, the State has to collect information from KMP more frequently. Entities are encouraged to adopt a collection frequency that is appropriate for their needs. </w:t>
      </w:r>
    </w:p>
    <w:p w:rsidR="00474984" w:rsidRPr="002A2424" w:rsidRDefault="00474984" w:rsidP="00474984">
      <w:pPr>
        <w:spacing w:line="276" w:lineRule="auto"/>
      </w:pPr>
      <w:r w:rsidRPr="002A2424">
        <w:t xml:space="preserve">The </w:t>
      </w:r>
      <w:r w:rsidRPr="002A2424">
        <w:rPr>
          <w:b/>
        </w:rPr>
        <w:t>first submission</w:t>
      </w:r>
      <w:r w:rsidRPr="002A2424">
        <w:t xml:space="preserve"> will cover the period 1 July 2016 to 31 </w:t>
      </w:r>
      <w:r>
        <w:t>March 2017</w:t>
      </w:r>
      <w:r w:rsidRPr="002A2424">
        <w:t xml:space="preserve">. All KMP will be expected to complete and submit their certificates by </w:t>
      </w:r>
      <w:r>
        <w:rPr>
          <w:b/>
        </w:rPr>
        <w:t>28 April</w:t>
      </w:r>
      <w:r w:rsidRPr="002A2424">
        <w:rPr>
          <w:b/>
        </w:rPr>
        <w:t xml:space="preserve"> 2017</w:t>
      </w:r>
      <w:r w:rsidRPr="002A2424">
        <w:t xml:space="preserve">. </w:t>
      </w:r>
    </w:p>
    <w:p w:rsidR="00474984" w:rsidRDefault="00474984" w:rsidP="00474984">
      <w:pPr>
        <w:spacing w:line="276" w:lineRule="auto"/>
      </w:pPr>
      <w:r>
        <w:t xml:space="preserve">A </w:t>
      </w:r>
      <w:r w:rsidRPr="00E344E2">
        <w:rPr>
          <w:b/>
        </w:rPr>
        <w:t>second</w:t>
      </w:r>
      <w:r w:rsidRPr="00D92D98">
        <w:rPr>
          <w:b/>
        </w:rPr>
        <w:t xml:space="preserve"> </w:t>
      </w:r>
      <w:r w:rsidRPr="002A2424">
        <w:rPr>
          <w:b/>
        </w:rPr>
        <w:t>submission</w:t>
      </w:r>
      <w:r w:rsidRPr="002A2424">
        <w:t xml:space="preserve"> will cover the remaining period 1 April 2017 to 30 June 2017 to report on any additional transactions that may have occurred during the quarter. The previous certificate will be included to facilitate completion of the final submission for the 2016-17 financial year. All KMP will be expected to complete and submit their certificates by </w:t>
      </w:r>
      <w:r w:rsidRPr="002A2424">
        <w:rPr>
          <w:b/>
        </w:rPr>
        <w:t>14 July 2017</w:t>
      </w:r>
      <w:r w:rsidRPr="002A2424">
        <w:t>.</w:t>
      </w:r>
      <w:r>
        <w:t xml:space="preserve"> </w:t>
      </w:r>
      <w:r>
        <w:br w:type="page"/>
      </w:r>
    </w:p>
    <w:p w:rsidR="00366272" w:rsidRPr="00366272" w:rsidRDefault="00366272" w:rsidP="00366272">
      <w:pPr>
        <w:pStyle w:val="Heading30"/>
        <w:spacing w:line="276" w:lineRule="auto"/>
        <w:rPr>
          <w:color w:val="0063A6" w:themeColor="accent1"/>
          <w:sz w:val="22"/>
        </w:rPr>
      </w:pPr>
      <w:r w:rsidRPr="00474984">
        <w:rPr>
          <w:color w:val="0063A6" w:themeColor="accent1"/>
          <w:sz w:val="22"/>
        </w:rPr>
        <w:t>Part A: Identifying KMP of the reporting entity</w:t>
      </w:r>
      <w:r>
        <w:rPr>
          <w:color w:val="0063A6" w:themeColor="accent1"/>
          <w:sz w:val="22"/>
        </w:rPr>
        <w:t xml:space="preserve"> (continued)</w:t>
      </w:r>
    </w:p>
    <w:p w:rsidR="003E48BE" w:rsidRPr="00892DE3" w:rsidRDefault="00474984" w:rsidP="00474984">
      <w:pPr>
        <w:spacing w:after="240" w:line="276" w:lineRule="auto"/>
      </w:pPr>
      <w:r w:rsidRPr="009308C4">
        <w:t xml:space="preserve">As the objective of the management checklist is to support </w:t>
      </w:r>
      <w:r>
        <w:t xml:space="preserve">management in </w:t>
      </w:r>
      <w:r w:rsidRPr="009308C4">
        <w:t>the preparation and completeness of the</w:t>
      </w:r>
      <w:r>
        <w:t>ir</w:t>
      </w:r>
      <w:r w:rsidRPr="009308C4">
        <w:t xml:space="preserve"> related party disclosures in the financial statements, management is </w:t>
      </w:r>
      <w:r>
        <w:t xml:space="preserve">strongly encouraged </w:t>
      </w:r>
      <w:r w:rsidRPr="009308C4">
        <w:t xml:space="preserve">to perform the checklist steps </w:t>
      </w:r>
      <w:r>
        <w:t>by</w:t>
      </w:r>
      <w:r w:rsidRPr="009308C4">
        <w:t xml:space="preserve"> the </w:t>
      </w:r>
      <w:r>
        <w:t xml:space="preserve">second </w:t>
      </w:r>
      <w:r w:rsidRPr="009308C4">
        <w:t>data submission period for KMP declaration certificates</w:t>
      </w:r>
      <w:r>
        <w:t xml:space="preserve">. </w:t>
      </w:r>
    </w:p>
    <w:tbl>
      <w:tblPr>
        <w:tblStyle w:val="DTFTextTable"/>
        <w:tblW w:w="963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6A0" w:firstRow="1" w:lastRow="0" w:firstColumn="1" w:lastColumn="0" w:noHBand="1" w:noVBand="1"/>
      </w:tblPr>
      <w:tblGrid>
        <w:gridCol w:w="3039"/>
        <w:gridCol w:w="3086"/>
        <w:gridCol w:w="3514"/>
      </w:tblGrid>
      <w:tr w:rsidR="003E48BE" w:rsidRPr="00892DE3" w:rsidTr="00474984">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039" w:type="dxa"/>
            <w:shd w:val="clear" w:color="auto" w:fill="BFBFBF" w:themeFill="background1" w:themeFillShade="BF"/>
            <w:vAlign w:val="center"/>
          </w:tcPr>
          <w:p w:rsidR="003E48BE" w:rsidRPr="00BA1E01" w:rsidRDefault="003E48BE" w:rsidP="00CF5FE1">
            <w:pPr>
              <w:rPr>
                <w:b/>
                <w:i w:val="0"/>
                <w:szCs w:val="18"/>
              </w:rPr>
            </w:pPr>
            <w:r>
              <w:rPr>
                <w:b/>
                <w:i w:val="0"/>
                <w:szCs w:val="18"/>
              </w:rPr>
              <w:t>Entity name</w:t>
            </w:r>
          </w:p>
        </w:tc>
        <w:tc>
          <w:tcPr>
            <w:tcW w:w="6600" w:type="dxa"/>
            <w:gridSpan w:val="2"/>
            <w:shd w:val="clear" w:color="auto" w:fill="FFFFFF" w:themeFill="background1"/>
            <w:vAlign w:val="center"/>
          </w:tcPr>
          <w:p w:rsidR="003E48BE" w:rsidRPr="00892DE3" w:rsidRDefault="003E48BE" w:rsidP="003E48BE">
            <w:pPr>
              <w:cnfStyle w:val="100000000000" w:firstRow="1" w:lastRow="0" w:firstColumn="0" w:lastColumn="0" w:oddVBand="0" w:evenVBand="0" w:oddHBand="0" w:evenHBand="0" w:firstRowFirstColumn="0" w:firstRowLastColumn="0" w:lastRowFirstColumn="0" w:lastRowLastColumn="0"/>
              <w:rPr>
                <w:szCs w:val="18"/>
              </w:rPr>
            </w:pPr>
            <w:r>
              <w:rPr>
                <w:szCs w:val="18"/>
              </w:rPr>
              <w:t>(e.g. Department of Treasury and Finance)</w:t>
            </w:r>
          </w:p>
        </w:tc>
      </w:tr>
      <w:tr w:rsidR="003E48BE" w:rsidRPr="00892DE3" w:rsidTr="00474984">
        <w:trPr>
          <w:trHeight w:val="545"/>
        </w:trPr>
        <w:tc>
          <w:tcPr>
            <w:cnfStyle w:val="001000000000" w:firstRow="0" w:lastRow="0" w:firstColumn="1" w:lastColumn="0" w:oddVBand="0" w:evenVBand="0" w:oddHBand="0" w:evenHBand="0" w:firstRowFirstColumn="0" w:firstRowLastColumn="0" w:lastRowFirstColumn="0" w:lastRowLastColumn="0"/>
            <w:tcW w:w="3039" w:type="dxa"/>
            <w:shd w:val="clear" w:color="auto" w:fill="BFBFBF" w:themeFill="background1" w:themeFillShade="BF"/>
            <w:vAlign w:val="center"/>
          </w:tcPr>
          <w:p w:rsidR="003E48BE" w:rsidRPr="00BA1E01" w:rsidRDefault="003E48BE" w:rsidP="00CF5FE1">
            <w:pPr>
              <w:ind w:left="0" w:firstLine="0"/>
              <w:rPr>
                <w:b/>
                <w:szCs w:val="18"/>
              </w:rPr>
            </w:pPr>
            <w:r w:rsidRPr="00BA1E01">
              <w:rPr>
                <w:b/>
                <w:szCs w:val="18"/>
              </w:rPr>
              <w:t>Period covered</w:t>
            </w:r>
          </w:p>
        </w:tc>
        <w:tc>
          <w:tcPr>
            <w:tcW w:w="3086" w:type="dxa"/>
          </w:tcPr>
          <w:p w:rsidR="003E48BE" w:rsidRPr="00892DE3" w:rsidRDefault="003C212D" w:rsidP="00CF5FE1">
            <w:pPr>
              <w:spacing w:line="480" w:lineRule="auto"/>
              <w:cnfStyle w:val="000000000000" w:firstRow="0" w:lastRow="0" w:firstColumn="0" w:lastColumn="0" w:oddVBand="0" w:evenVBand="0" w:oddHBand="0" w:evenHBand="0" w:firstRowFirstColumn="0" w:firstRowLastColumn="0" w:lastRowFirstColumn="0" w:lastRowLastColumn="0"/>
              <w:rPr>
                <w:szCs w:val="18"/>
              </w:rPr>
            </w:pPr>
            <w:sdt>
              <w:sdtPr>
                <w:id w:val="1534923544"/>
                <w14:checkbox>
                  <w14:checked w14:val="0"/>
                  <w14:checkedState w14:val="2612" w14:font="MS Gothic"/>
                  <w14:uncheckedState w14:val="2610" w14:font="MS Gothic"/>
                </w14:checkbox>
              </w:sdtPr>
              <w:sdtEndPr/>
              <w:sdtContent>
                <w:r w:rsidR="003E48BE" w:rsidRPr="00892DE3">
                  <w:rPr>
                    <w:rFonts w:ascii="MS Gothic" w:eastAsia="MS Gothic" w:hAnsi="MS Gothic" w:cs="MS Gothic" w:hint="eastAsia"/>
                    <w:szCs w:val="18"/>
                  </w:rPr>
                  <w:t>☐</w:t>
                </w:r>
              </w:sdtContent>
            </w:sdt>
            <w:r w:rsidR="003E48BE" w:rsidRPr="00892DE3">
              <w:rPr>
                <w:szCs w:val="18"/>
              </w:rPr>
              <w:t xml:space="preserve"> First submission</w:t>
            </w:r>
          </w:p>
          <w:p w:rsidR="003E48BE" w:rsidRPr="00892DE3" w:rsidRDefault="003E48BE" w:rsidP="00CF5FE1">
            <w:pPr>
              <w:spacing w:line="480" w:lineRule="auto"/>
              <w:cnfStyle w:val="000000000000" w:firstRow="0" w:lastRow="0" w:firstColumn="0" w:lastColumn="0" w:oddVBand="0" w:evenVBand="0" w:oddHBand="0" w:evenHBand="0" w:firstRowFirstColumn="0" w:firstRowLastColumn="0" w:lastRowFirstColumn="0" w:lastRowLastColumn="0"/>
              <w:rPr>
                <w:szCs w:val="18"/>
              </w:rPr>
            </w:pPr>
            <w:r w:rsidRPr="00892DE3">
              <w:rPr>
                <w:szCs w:val="18"/>
              </w:rPr>
              <w:t>1 July 2016 – 31 Mar 2017</w:t>
            </w:r>
          </w:p>
          <w:p w:rsidR="003E48BE" w:rsidRPr="00892DE3" w:rsidRDefault="003E48BE" w:rsidP="00CF5FE1">
            <w:pPr>
              <w:spacing w:line="480" w:lineRule="auto"/>
              <w:cnfStyle w:val="000000000000" w:firstRow="0" w:lastRow="0" w:firstColumn="0" w:lastColumn="0" w:oddVBand="0" w:evenVBand="0" w:oddHBand="0" w:evenHBand="0" w:firstRowFirstColumn="0" w:firstRowLastColumn="0" w:lastRowFirstColumn="0" w:lastRowLastColumn="0"/>
              <w:rPr>
                <w:szCs w:val="18"/>
              </w:rPr>
            </w:pPr>
            <w:r w:rsidRPr="00892DE3">
              <w:rPr>
                <w:b/>
                <w:szCs w:val="18"/>
              </w:rPr>
              <w:t>Due: Friday 28 Apr 2017</w:t>
            </w:r>
          </w:p>
        </w:tc>
        <w:tc>
          <w:tcPr>
            <w:tcW w:w="3514" w:type="dxa"/>
          </w:tcPr>
          <w:p w:rsidR="003E48BE" w:rsidRPr="00892DE3" w:rsidRDefault="003C212D" w:rsidP="00CF5FE1">
            <w:pPr>
              <w:spacing w:line="480" w:lineRule="auto"/>
              <w:cnfStyle w:val="000000000000" w:firstRow="0" w:lastRow="0" w:firstColumn="0" w:lastColumn="0" w:oddVBand="0" w:evenVBand="0" w:oddHBand="0" w:evenHBand="0" w:firstRowFirstColumn="0" w:firstRowLastColumn="0" w:lastRowFirstColumn="0" w:lastRowLastColumn="0"/>
              <w:rPr>
                <w:szCs w:val="18"/>
              </w:rPr>
            </w:pPr>
            <w:sdt>
              <w:sdtPr>
                <w:id w:val="-1083829880"/>
                <w14:checkbox>
                  <w14:checked w14:val="0"/>
                  <w14:checkedState w14:val="2612" w14:font="MS Gothic"/>
                  <w14:uncheckedState w14:val="2610" w14:font="MS Gothic"/>
                </w14:checkbox>
              </w:sdtPr>
              <w:sdtEndPr/>
              <w:sdtContent>
                <w:r w:rsidR="003E48BE" w:rsidRPr="00892DE3">
                  <w:rPr>
                    <w:rFonts w:ascii="MS Gothic" w:eastAsia="MS Gothic" w:hAnsi="MS Gothic" w:cs="MS Gothic" w:hint="eastAsia"/>
                    <w:szCs w:val="18"/>
                  </w:rPr>
                  <w:t>☐</w:t>
                </w:r>
              </w:sdtContent>
            </w:sdt>
            <w:r w:rsidR="003E48BE" w:rsidRPr="00892DE3">
              <w:rPr>
                <w:szCs w:val="18"/>
              </w:rPr>
              <w:t xml:space="preserve"> Second submission</w:t>
            </w:r>
          </w:p>
          <w:p w:rsidR="003E48BE" w:rsidRPr="00892DE3" w:rsidRDefault="003E48BE" w:rsidP="00CF5FE1">
            <w:pPr>
              <w:spacing w:line="480" w:lineRule="auto"/>
              <w:cnfStyle w:val="000000000000" w:firstRow="0" w:lastRow="0" w:firstColumn="0" w:lastColumn="0" w:oddVBand="0" w:evenVBand="0" w:oddHBand="0" w:evenHBand="0" w:firstRowFirstColumn="0" w:firstRowLastColumn="0" w:lastRowFirstColumn="0" w:lastRowLastColumn="0"/>
              <w:rPr>
                <w:szCs w:val="18"/>
              </w:rPr>
            </w:pPr>
            <w:r w:rsidRPr="00892DE3">
              <w:rPr>
                <w:szCs w:val="18"/>
              </w:rPr>
              <w:t>1 Apr 2017 – 30 Jun 2017</w:t>
            </w:r>
          </w:p>
          <w:p w:rsidR="003E48BE" w:rsidRPr="00892DE3" w:rsidRDefault="003E48BE" w:rsidP="00CF5FE1">
            <w:pPr>
              <w:spacing w:line="480" w:lineRule="auto"/>
              <w:cnfStyle w:val="000000000000" w:firstRow="0" w:lastRow="0" w:firstColumn="0" w:lastColumn="0" w:oddVBand="0" w:evenVBand="0" w:oddHBand="0" w:evenHBand="0" w:firstRowFirstColumn="0" w:firstRowLastColumn="0" w:lastRowFirstColumn="0" w:lastRowLastColumn="0"/>
              <w:rPr>
                <w:b/>
                <w:szCs w:val="18"/>
              </w:rPr>
            </w:pPr>
            <w:r w:rsidRPr="00892DE3">
              <w:rPr>
                <w:b/>
                <w:szCs w:val="18"/>
              </w:rPr>
              <w:t>Due: Friday 14 Jul 2017</w:t>
            </w:r>
          </w:p>
        </w:tc>
      </w:tr>
      <w:tr w:rsidR="003E48BE" w:rsidRPr="00892DE3" w:rsidTr="00474984">
        <w:trPr>
          <w:trHeight w:val="351"/>
        </w:trPr>
        <w:tc>
          <w:tcPr>
            <w:cnfStyle w:val="001000000000" w:firstRow="0" w:lastRow="0" w:firstColumn="1" w:lastColumn="0" w:oddVBand="0" w:evenVBand="0" w:oddHBand="0" w:evenHBand="0" w:firstRowFirstColumn="0" w:firstRowLastColumn="0" w:lastRowFirstColumn="0" w:lastRowLastColumn="0"/>
            <w:tcW w:w="3039" w:type="dxa"/>
            <w:shd w:val="clear" w:color="auto" w:fill="BFBFBF" w:themeFill="background1" w:themeFillShade="BF"/>
            <w:vAlign w:val="center"/>
          </w:tcPr>
          <w:p w:rsidR="003E48BE" w:rsidRPr="003E48BE" w:rsidRDefault="003E48BE" w:rsidP="00CF5FE1">
            <w:pPr>
              <w:spacing w:before="0"/>
              <w:ind w:left="0" w:firstLine="0"/>
              <w:rPr>
                <w:b/>
                <w:szCs w:val="18"/>
              </w:rPr>
            </w:pPr>
            <w:r>
              <w:rPr>
                <w:b/>
                <w:szCs w:val="18"/>
              </w:rPr>
              <w:t>KMP of the entity</w:t>
            </w:r>
          </w:p>
        </w:tc>
        <w:tc>
          <w:tcPr>
            <w:tcW w:w="6600" w:type="dxa"/>
            <w:gridSpan w:val="2"/>
            <w:vAlign w:val="center"/>
          </w:tcPr>
          <w:p w:rsidR="003E48BE" w:rsidRDefault="003E48BE" w:rsidP="003E48BE">
            <w:pPr>
              <w:cnfStyle w:val="000000000000" w:firstRow="0" w:lastRow="0" w:firstColumn="0" w:lastColumn="0" w:oddVBand="0" w:evenVBand="0" w:oddHBand="0" w:evenHBand="0" w:firstRowFirstColumn="0" w:firstRowLastColumn="0" w:lastRowFirstColumn="0" w:lastRowLastColumn="0"/>
              <w:rPr>
                <w:i/>
                <w:szCs w:val="17"/>
              </w:rPr>
            </w:pPr>
            <w:r w:rsidRPr="000763E1">
              <w:rPr>
                <w:i/>
                <w:szCs w:val="17"/>
              </w:rPr>
              <w:t>List Portfolio minister(s)</w:t>
            </w:r>
          </w:p>
          <w:p w:rsidR="003E48BE" w:rsidRDefault="003E48BE"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Pr="000763E1"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3E48BE" w:rsidRDefault="003E48BE" w:rsidP="003E48BE">
            <w:pPr>
              <w:cnfStyle w:val="000000000000" w:firstRow="0" w:lastRow="0" w:firstColumn="0" w:lastColumn="0" w:oddVBand="0" w:evenVBand="0" w:oddHBand="0" w:evenHBand="0" w:firstRowFirstColumn="0" w:firstRowLastColumn="0" w:lastRowFirstColumn="0" w:lastRowLastColumn="0"/>
              <w:rPr>
                <w:i/>
                <w:szCs w:val="17"/>
              </w:rPr>
            </w:pPr>
            <w:r w:rsidRPr="000763E1">
              <w:rPr>
                <w:i/>
                <w:szCs w:val="17"/>
              </w:rPr>
              <w:t xml:space="preserve">List all relevant executives </w:t>
            </w:r>
            <w:r>
              <w:rPr>
                <w:i/>
                <w:szCs w:val="17"/>
              </w:rPr>
              <w:t>(</w:t>
            </w:r>
            <w:r w:rsidRPr="000763E1">
              <w:rPr>
                <w:i/>
                <w:szCs w:val="17"/>
              </w:rPr>
              <w:t>some examples for departments includ</w:t>
            </w:r>
            <w:r>
              <w:rPr>
                <w:i/>
                <w:szCs w:val="17"/>
              </w:rPr>
              <w:t xml:space="preserve">e: Secretary, Deputy Secretaries. Some examples for </w:t>
            </w:r>
            <w:r w:rsidRPr="00140739">
              <w:rPr>
                <w:i/>
                <w:szCs w:val="17"/>
              </w:rPr>
              <w:t xml:space="preserve">agencies include: </w:t>
            </w:r>
            <w:r>
              <w:rPr>
                <w:i/>
                <w:szCs w:val="17"/>
              </w:rPr>
              <w:t>governing board members, CEO)</w:t>
            </w:r>
          </w:p>
          <w:p w:rsidR="003E48BE" w:rsidRDefault="003E48BE"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Pr="0006654D"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3E48BE" w:rsidRPr="00BA1E01" w:rsidRDefault="003E48BE" w:rsidP="003E48BE">
            <w:pPr>
              <w:spacing w:before="0"/>
              <w:cnfStyle w:val="000000000000" w:firstRow="0" w:lastRow="0" w:firstColumn="0" w:lastColumn="0" w:oddVBand="0" w:evenVBand="0" w:oddHBand="0" w:evenHBand="0" w:firstRowFirstColumn="0" w:firstRowLastColumn="0" w:lastRowFirstColumn="0" w:lastRowLastColumn="0"/>
              <w:rPr>
                <w:i/>
                <w:szCs w:val="18"/>
              </w:rPr>
            </w:pPr>
            <w:r w:rsidRPr="00602041">
              <w:rPr>
                <w:b/>
                <w:i/>
                <w:szCs w:val="17"/>
              </w:rPr>
              <w:t xml:space="preserve">Note: </w:t>
            </w:r>
            <w:r w:rsidRPr="00602041">
              <w:rPr>
                <w:i/>
                <w:szCs w:val="17"/>
              </w:rPr>
              <w:t>Preparers will need to apply judgement in determining who the relevant executives for their respective entities</w:t>
            </w:r>
            <w:r>
              <w:rPr>
                <w:i/>
                <w:szCs w:val="17"/>
              </w:rPr>
              <w:t xml:space="preserve"> are</w:t>
            </w:r>
            <w:r w:rsidR="000B04D5">
              <w:rPr>
                <w:i/>
                <w:szCs w:val="17"/>
              </w:rPr>
              <w:t>. Refer to A</w:t>
            </w:r>
            <w:r w:rsidRPr="00602041">
              <w:rPr>
                <w:i/>
                <w:szCs w:val="17"/>
              </w:rPr>
              <w:t xml:space="preserve">ppendix </w:t>
            </w:r>
            <w:r w:rsidR="000B04D5">
              <w:rPr>
                <w:i/>
                <w:szCs w:val="17"/>
              </w:rPr>
              <w:t>10</w:t>
            </w:r>
            <w:r w:rsidRPr="00602041">
              <w:rPr>
                <w:i/>
                <w:szCs w:val="17"/>
              </w:rPr>
              <w:t>B</w:t>
            </w:r>
            <w:r w:rsidR="00845DC8">
              <w:rPr>
                <w:i/>
                <w:szCs w:val="17"/>
              </w:rPr>
              <w:t xml:space="preserve"> on page 301</w:t>
            </w:r>
            <w:r w:rsidRPr="00602041">
              <w:rPr>
                <w:i/>
                <w:szCs w:val="17"/>
              </w:rPr>
              <w:t xml:space="preserve"> for guidance on identifying KMP of your reporting entity.</w:t>
            </w:r>
          </w:p>
        </w:tc>
      </w:tr>
    </w:tbl>
    <w:p w:rsidR="00474984" w:rsidRDefault="00474984" w:rsidP="00AD47C0"/>
    <w:p w:rsidR="00474984" w:rsidRDefault="00474984">
      <w:pPr>
        <w:keepLines w:val="0"/>
      </w:pPr>
      <w:r>
        <w:br w:type="page"/>
      </w:r>
    </w:p>
    <w:p w:rsidR="00474984" w:rsidRPr="00474984" w:rsidRDefault="00474984" w:rsidP="00474984">
      <w:pPr>
        <w:pStyle w:val="Heading30"/>
        <w:spacing w:line="276" w:lineRule="auto"/>
        <w:rPr>
          <w:color w:val="0063A6" w:themeColor="accent1"/>
          <w:sz w:val="22"/>
        </w:rPr>
      </w:pPr>
      <w:r>
        <w:rPr>
          <w:color w:val="0063A6" w:themeColor="accent1"/>
          <w:sz w:val="22"/>
        </w:rPr>
        <w:t>Part B</w:t>
      </w:r>
      <w:r w:rsidRPr="00474984">
        <w:rPr>
          <w:color w:val="0063A6" w:themeColor="accent1"/>
          <w:sz w:val="22"/>
        </w:rPr>
        <w:t xml:space="preserve">: </w:t>
      </w:r>
      <w:r>
        <w:rPr>
          <w:color w:val="0063A6" w:themeColor="accent1"/>
          <w:sz w:val="22"/>
        </w:rPr>
        <w:t>Steps to undertake for management’s assessment of completeness</w:t>
      </w:r>
    </w:p>
    <w:p w:rsidR="00474984" w:rsidRDefault="00474984" w:rsidP="00474984">
      <w:pPr>
        <w:spacing w:line="276" w:lineRule="auto"/>
      </w:pPr>
      <w:r w:rsidRPr="00537128">
        <w:t xml:space="preserve">The </w:t>
      </w:r>
      <w:r>
        <w:t xml:space="preserve">proposed </w:t>
      </w:r>
      <w:r w:rsidRPr="00537128">
        <w:t>steps outlined below are designed to help support and validate the information provided in the declaration certificate completed by each KMP. Preparers are advised to maintain documents on file to support the work performed.</w:t>
      </w:r>
    </w:p>
    <w:p w:rsidR="00AD47C0" w:rsidRPr="00892DE3" w:rsidRDefault="00474984" w:rsidP="00474984">
      <w:pPr>
        <w:spacing w:after="240" w:line="276" w:lineRule="auto"/>
      </w:pPr>
      <w:r>
        <w:t>The checklist</w:t>
      </w:r>
      <w:r w:rsidRPr="009372E7">
        <w:t xml:space="preserve"> should be completed with reference to the additional informa</w:t>
      </w:r>
      <w:r>
        <w:t xml:space="preserve">tion provided in </w:t>
      </w:r>
      <w:r w:rsidR="000B04D5">
        <w:t>Appendix 10B</w:t>
      </w:r>
      <w:r w:rsidR="00845DC8">
        <w:t xml:space="preserve"> on page 301</w:t>
      </w:r>
      <w:r>
        <w:t>.</w:t>
      </w:r>
    </w:p>
    <w:tbl>
      <w:tblPr>
        <w:tblStyle w:val="DTFTextTable"/>
        <w:tblW w:w="9639" w:type="dxa"/>
        <w:tblBorders>
          <w:bottom w:val="none" w:sz="0" w:space="0" w:color="auto"/>
        </w:tblBorders>
        <w:tblLook w:val="0620" w:firstRow="1" w:lastRow="0" w:firstColumn="0" w:lastColumn="0" w:noHBand="1" w:noVBand="1"/>
      </w:tblPr>
      <w:tblGrid>
        <w:gridCol w:w="4695"/>
        <w:gridCol w:w="4944"/>
      </w:tblGrid>
      <w:tr w:rsidR="00AD47C0" w:rsidRPr="00892DE3" w:rsidTr="00474984">
        <w:trPr>
          <w:cnfStyle w:val="100000000000" w:firstRow="1" w:lastRow="0" w:firstColumn="0" w:lastColumn="0" w:oddVBand="0" w:evenVBand="0" w:oddHBand="0" w:evenHBand="0" w:firstRowFirstColumn="0" w:firstRowLastColumn="0" w:lastRowFirstColumn="0" w:lastRowLastColumn="0"/>
          <w:tblHeader/>
        </w:trPr>
        <w:tc>
          <w:tcPr>
            <w:tcW w:w="4695" w:type="dxa"/>
            <w:shd w:val="clear" w:color="auto" w:fill="262626" w:themeFill="text1" w:themeFillTint="D9"/>
          </w:tcPr>
          <w:p w:rsidR="00AD47C0" w:rsidRPr="003E48BE" w:rsidRDefault="00AD47C0" w:rsidP="003E48BE">
            <w:pPr>
              <w:spacing w:line="276" w:lineRule="auto"/>
              <w:rPr>
                <w:b/>
                <w:i w:val="0"/>
              </w:rPr>
            </w:pPr>
            <w:r w:rsidRPr="003E48BE">
              <w:rPr>
                <w:b/>
                <w:i w:val="0"/>
              </w:rPr>
              <w:t>Steps to undertake</w:t>
            </w:r>
          </w:p>
        </w:tc>
        <w:tc>
          <w:tcPr>
            <w:tcW w:w="4944" w:type="dxa"/>
            <w:shd w:val="clear" w:color="auto" w:fill="262626" w:themeFill="text1" w:themeFillTint="D9"/>
          </w:tcPr>
          <w:p w:rsidR="00AD47C0" w:rsidRPr="003E48BE" w:rsidRDefault="00AD47C0" w:rsidP="003E48BE">
            <w:pPr>
              <w:spacing w:line="276" w:lineRule="auto"/>
              <w:rPr>
                <w:b/>
                <w:i w:val="0"/>
              </w:rPr>
            </w:pPr>
            <w:r w:rsidRPr="003E48BE">
              <w:rPr>
                <w:b/>
                <w:i w:val="0"/>
              </w:rPr>
              <w:t>Guidance</w:t>
            </w:r>
          </w:p>
        </w:tc>
      </w:tr>
      <w:tr w:rsidR="00AD47C0" w:rsidRPr="00892DE3" w:rsidTr="00474984">
        <w:tc>
          <w:tcPr>
            <w:tcW w:w="4695" w:type="dxa"/>
            <w:tcBorders>
              <w:right w:val="single" w:sz="4" w:space="0" w:color="808080" w:themeColor="background1" w:themeShade="80"/>
            </w:tcBorders>
            <w:shd w:val="clear" w:color="auto" w:fill="D9D9D9" w:themeFill="background1" w:themeFillShade="D9"/>
          </w:tcPr>
          <w:p w:rsidR="00AD47C0" w:rsidRPr="00892DE3" w:rsidRDefault="00AD47C0" w:rsidP="0052741D">
            <w:pPr>
              <w:pStyle w:val="ListNumber"/>
              <w:numPr>
                <w:ilvl w:val="0"/>
                <w:numId w:val="43"/>
              </w:numPr>
              <w:spacing w:after="120" w:line="276" w:lineRule="auto"/>
            </w:pPr>
            <w:r w:rsidRPr="00892DE3">
              <w:t>Undertake transactional searches within your payroll and vendor systems for any known or identified related party transactions of the entity’s KMP based on information obtained from the following sources:</w:t>
            </w:r>
          </w:p>
          <w:p w:rsidR="00AD47C0" w:rsidRPr="00892DE3" w:rsidRDefault="00AD47C0" w:rsidP="003E48BE">
            <w:pPr>
              <w:pStyle w:val="ListContinue"/>
              <w:spacing w:line="276" w:lineRule="auto"/>
            </w:pPr>
            <w:r w:rsidRPr="00892DE3">
              <w:t xml:space="preserve">For ministers: </w:t>
            </w:r>
          </w:p>
          <w:p w:rsidR="00AD47C0" w:rsidRPr="00892DE3" w:rsidRDefault="00AD47C0" w:rsidP="003E48BE">
            <w:pPr>
              <w:pStyle w:val="ListBullet2"/>
              <w:spacing w:after="120" w:line="276" w:lineRule="auto"/>
              <w:contextualSpacing w:val="0"/>
              <w:rPr>
                <w:b/>
              </w:rPr>
            </w:pPr>
            <w:r w:rsidRPr="00892DE3">
              <w:t>the ‘Register of members’ interests’ for Ministers maintained by the Parliament of Victoria, for all Cabinet ministers</w:t>
            </w:r>
            <w:r w:rsidR="00366272">
              <w:t xml:space="preserve"> (Refer to Appendix A on page 300)</w:t>
            </w:r>
            <w:r w:rsidRPr="00892DE3">
              <w:t xml:space="preserve">. </w:t>
            </w:r>
          </w:p>
          <w:p w:rsidR="00AD47C0" w:rsidRPr="00892DE3" w:rsidRDefault="00AD47C0" w:rsidP="003E48BE">
            <w:pPr>
              <w:pStyle w:val="ListContinue"/>
              <w:spacing w:line="276" w:lineRule="auto"/>
            </w:pPr>
            <w:r w:rsidRPr="00892DE3">
              <w:t xml:space="preserve">For KMP executives: </w:t>
            </w:r>
          </w:p>
          <w:p w:rsidR="00AD47C0" w:rsidRPr="00892DE3" w:rsidRDefault="00AD47C0" w:rsidP="003E48BE">
            <w:pPr>
              <w:pStyle w:val="ListBullet2"/>
              <w:spacing w:after="120" w:line="276" w:lineRule="auto"/>
              <w:contextualSpacing w:val="0"/>
              <w:rPr>
                <w:b/>
              </w:rPr>
            </w:pPr>
            <w:r w:rsidRPr="00892DE3">
              <w:t xml:space="preserve">your entity’s ‘Declaration and management of private interest form’ for executive officers. </w:t>
            </w:r>
          </w:p>
        </w:tc>
        <w:tc>
          <w:tcPr>
            <w:tcW w:w="4944" w:type="dxa"/>
            <w:tcBorders>
              <w:left w:val="single" w:sz="4" w:space="0" w:color="808080" w:themeColor="background1" w:themeShade="80"/>
            </w:tcBorders>
            <w:shd w:val="clear" w:color="auto" w:fill="D9D9D9" w:themeFill="background1" w:themeFillShade="D9"/>
          </w:tcPr>
          <w:p w:rsidR="00AD47C0" w:rsidRPr="00892DE3" w:rsidRDefault="00AD47C0" w:rsidP="003E48BE">
            <w:pPr>
              <w:spacing w:line="276" w:lineRule="auto"/>
            </w:pPr>
            <w:r w:rsidRPr="00892DE3">
              <w:t xml:space="preserve">This step is performed to ensure completeness and accuracy of the related party disclosure for the reporting period, by checking if there are any other transactions to be included in the KMP declaration checklist, and validating the information that has been declared. </w:t>
            </w:r>
          </w:p>
          <w:p w:rsidR="00AD47C0" w:rsidRPr="00892DE3" w:rsidRDefault="00AD47C0" w:rsidP="003E48BE">
            <w:pPr>
              <w:spacing w:line="276" w:lineRule="auto"/>
            </w:pPr>
            <w:r w:rsidRPr="00892DE3">
              <w:t>Based on the information obtained from the sources listed on the left hand side, identify any KMP related parties (e.g. persons or companies).</w:t>
            </w:r>
          </w:p>
          <w:p w:rsidR="00AD47C0" w:rsidRPr="00892DE3" w:rsidRDefault="00AD47C0" w:rsidP="003E48BE">
            <w:pPr>
              <w:pStyle w:val="ListBullet"/>
              <w:spacing w:after="120" w:line="276" w:lineRule="auto"/>
              <w:contextualSpacing w:val="0"/>
            </w:pPr>
            <w:r w:rsidRPr="00892DE3">
              <w:t>Review the payroll system to identify if any of the identified related parties are in a senior appointment within the entity, to which related party transactions may exist.</w:t>
            </w:r>
          </w:p>
          <w:p w:rsidR="00AD47C0" w:rsidRPr="00892DE3" w:rsidRDefault="00AD47C0" w:rsidP="003E48BE">
            <w:pPr>
              <w:pStyle w:val="ListBullet"/>
              <w:spacing w:after="120" w:line="276" w:lineRule="auto"/>
              <w:contextualSpacing w:val="0"/>
              <w:rPr>
                <w:b/>
              </w:rPr>
            </w:pPr>
            <w:r w:rsidRPr="00892DE3">
              <w:t>Perform a search of the trade creditors / accounts payable ledger to identify if there are any transactions with the identified related parties.</w:t>
            </w:r>
          </w:p>
        </w:tc>
      </w:tr>
      <w:tr w:rsidR="00AD47C0" w:rsidRPr="00892DE3" w:rsidTr="00474984">
        <w:trPr>
          <w:trHeight w:val="4595"/>
        </w:trPr>
        <w:tc>
          <w:tcPr>
            <w:tcW w:w="4695" w:type="dxa"/>
            <w:tcBorders>
              <w:bottom w:val="single" w:sz="2" w:space="0" w:color="808080" w:themeColor="background1" w:themeShade="80"/>
              <w:right w:val="single" w:sz="4" w:space="0" w:color="808080" w:themeColor="background1" w:themeShade="80"/>
            </w:tcBorders>
            <w:shd w:val="clear" w:color="auto" w:fill="D9D9D9" w:themeFill="background1" w:themeFillShade="D9"/>
          </w:tcPr>
          <w:p w:rsidR="00AD47C0" w:rsidRPr="00892DE3" w:rsidRDefault="00AD47C0" w:rsidP="003E48BE">
            <w:pPr>
              <w:pStyle w:val="ListContinue"/>
              <w:spacing w:line="276" w:lineRule="auto"/>
            </w:pPr>
            <w:r w:rsidRPr="00892DE3">
              <w:t>All KMP:</w:t>
            </w:r>
          </w:p>
          <w:p w:rsidR="00AD47C0" w:rsidRPr="00892DE3" w:rsidRDefault="00AD47C0" w:rsidP="003E48BE">
            <w:pPr>
              <w:pStyle w:val="ListBullet2"/>
              <w:spacing w:after="120" w:line="276" w:lineRule="auto"/>
              <w:contextualSpacing w:val="0"/>
            </w:pPr>
            <w:r w:rsidRPr="00892DE3">
              <w:t>other information obtained based on reasonable enquiries of relevant areas of the organisation to identify any other related parties of KMP (e.g. senior management, contract/procurement team).</w:t>
            </w:r>
          </w:p>
          <w:p w:rsidR="00AD47C0" w:rsidRPr="00892DE3" w:rsidRDefault="00AD47C0" w:rsidP="003E48BE">
            <w:pPr>
              <w:pStyle w:val="ListContinue"/>
              <w:spacing w:line="276" w:lineRule="auto"/>
            </w:pPr>
            <w:r w:rsidRPr="00892DE3">
              <w:t xml:space="preserve">Validate the accuracy of the transactions declared in the KMP declaration certificates against the related party transactions identified in your payroll and vendor system searches. </w:t>
            </w:r>
          </w:p>
        </w:tc>
        <w:tc>
          <w:tcPr>
            <w:tcW w:w="4944" w:type="dxa"/>
            <w:tcBorders>
              <w:left w:val="single" w:sz="4" w:space="0" w:color="808080" w:themeColor="background1" w:themeShade="80"/>
              <w:bottom w:val="single" w:sz="2" w:space="0" w:color="808080" w:themeColor="background1" w:themeShade="80"/>
            </w:tcBorders>
            <w:shd w:val="clear" w:color="auto" w:fill="D9D9D9" w:themeFill="background1" w:themeFillShade="D9"/>
          </w:tcPr>
          <w:p w:rsidR="00AD47C0" w:rsidRPr="00892DE3" w:rsidRDefault="00AD47C0" w:rsidP="003E48BE">
            <w:pPr>
              <w:spacing w:line="276" w:lineRule="auto"/>
              <w:rPr>
                <w:b/>
              </w:rPr>
            </w:pPr>
            <w:r w:rsidRPr="00892DE3">
              <w:rPr>
                <w:b/>
              </w:rPr>
              <w:t xml:space="preserve">Review of contracts and agreements </w:t>
            </w:r>
          </w:p>
          <w:p w:rsidR="00AD47C0" w:rsidRPr="00892DE3" w:rsidRDefault="00AD47C0" w:rsidP="003E48BE">
            <w:pPr>
              <w:pStyle w:val="ListBullet"/>
              <w:spacing w:after="120" w:line="276" w:lineRule="auto"/>
              <w:contextualSpacing w:val="0"/>
            </w:pPr>
            <w:r w:rsidRPr="00892DE3">
              <w:t xml:space="preserve">Liaise with your procurement/contract management team to sight the contract or agreement for the related party transaction identified in the vendor search above. Determine the total contract value, and the terms and conditions of the arrangement. </w:t>
            </w:r>
          </w:p>
          <w:p w:rsidR="00AD47C0" w:rsidRPr="00892DE3" w:rsidRDefault="00AD47C0" w:rsidP="003E48BE">
            <w:pPr>
              <w:pStyle w:val="ListBullet"/>
              <w:spacing w:after="120" w:line="276" w:lineRule="auto"/>
              <w:contextualSpacing w:val="0"/>
            </w:pPr>
            <w:r w:rsidRPr="00892DE3">
              <w:t xml:space="preserve">Based on discussions with your procurement/contract management team, determine if there are any other known related party contracts or agreements that your entity has entered into with any KMP. </w:t>
            </w:r>
          </w:p>
          <w:p w:rsidR="00AD47C0" w:rsidRPr="00892DE3" w:rsidRDefault="00AD47C0" w:rsidP="003E48BE">
            <w:pPr>
              <w:pStyle w:val="ListContinue"/>
              <w:spacing w:line="276" w:lineRule="auto"/>
            </w:pPr>
            <w:r w:rsidRPr="00892DE3">
              <w:t>If the probity review process of the contract procurement identified any entity that is a related party of a KMP:</w:t>
            </w:r>
          </w:p>
          <w:p w:rsidR="00AD47C0" w:rsidRPr="00892DE3" w:rsidRDefault="00AD47C0" w:rsidP="003E48BE">
            <w:pPr>
              <w:pStyle w:val="ListBullet2"/>
              <w:spacing w:after="120" w:line="276" w:lineRule="auto"/>
              <w:contextualSpacing w:val="0"/>
            </w:pPr>
            <w:r w:rsidRPr="00892DE3">
              <w:t>use the information to conduct a search in your vendor system to determine if any related party transactions have occurred during the relevant reporting period; and</w:t>
            </w:r>
          </w:p>
          <w:p w:rsidR="00AD47C0" w:rsidRPr="00892DE3" w:rsidRDefault="00AD47C0" w:rsidP="003E48BE">
            <w:pPr>
              <w:pStyle w:val="ListBullet2"/>
              <w:spacing w:after="120" w:line="276" w:lineRule="auto"/>
              <w:contextualSpacing w:val="0"/>
            </w:pPr>
            <w:r w:rsidRPr="00892DE3">
              <w:t>assess if any additional searches may be required (e.g. an ASIC search) to identify any other related party information that may assist with your vendor review, as these transactions may be required to be included in the KMP declaration certificate.</w:t>
            </w:r>
          </w:p>
        </w:tc>
      </w:tr>
      <w:tr w:rsidR="00AD47C0" w:rsidRPr="00892DE3" w:rsidTr="00474984">
        <w:tc>
          <w:tcPr>
            <w:tcW w:w="4695" w:type="dxa"/>
            <w:tcBorders>
              <w:top w:val="single" w:sz="2" w:space="0" w:color="808080" w:themeColor="background1" w:themeShade="80"/>
              <w:bottom w:val="single" w:sz="2" w:space="0" w:color="808080" w:themeColor="background1" w:themeShade="80"/>
              <w:right w:val="single" w:sz="4" w:space="0" w:color="808080" w:themeColor="background1" w:themeShade="80"/>
            </w:tcBorders>
            <w:shd w:val="clear" w:color="auto" w:fill="FFFFFF" w:themeFill="background1"/>
          </w:tcPr>
          <w:p w:rsidR="00AD47C0" w:rsidRPr="00892DE3" w:rsidRDefault="00AD47C0" w:rsidP="003E48BE">
            <w:pPr>
              <w:pStyle w:val="ListNumber"/>
              <w:spacing w:after="120" w:line="276" w:lineRule="auto"/>
            </w:pPr>
            <w:r w:rsidRPr="00892DE3">
              <w:t xml:space="preserve">As part of your assessment for the provisioning of aged debtors, identify any impairment of amounts provided to related parties, that have been identified in the transactional searches performed above. </w:t>
            </w:r>
          </w:p>
          <w:p w:rsidR="00AD47C0" w:rsidRPr="00892DE3" w:rsidRDefault="00AD47C0" w:rsidP="003E48BE">
            <w:pPr>
              <w:pStyle w:val="ListContinue"/>
              <w:spacing w:line="276" w:lineRule="auto"/>
              <w:rPr>
                <w:szCs w:val="18"/>
              </w:rPr>
            </w:pPr>
            <w:r w:rsidRPr="00892DE3">
              <w:rPr>
                <w:i/>
              </w:rPr>
              <w:t>(Note this would be an exception rather than the norm as it would be rare for amounts provided to related parties to be impaired)</w:t>
            </w:r>
          </w:p>
        </w:tc>
        <w:tc>
          <w:tcPr>
            <w:tcW w:w="4944" w:type="dxa"/>
            <w:tcBorders>
              <w:top w:val="single" w:sz="2" w:space="0" w:color="808080" w:themeColor="background1" w:themeShade="80"/>
              <w:left w:val="single" w:sz="4" w:space="0" w:color="808080" w:themeColor="background1" w:themeShade="80"/>
              <w:bottom w:val="single" w:sz="2" w:space="0" w:color="808080" w:themeColor="background1" w:themeShade="80"/>
            </w:tcBorders>
            <w:shd w:val="clear" w:color="auto" w:fill="FFFFFF" w:themeFill="background1"/>
          </w:tcPr>
          <w:p w:rsidR="00AD47C0" w:rsidRPr="00892DE3" w:rsidRDefault="00AD47C0" w:rsidP="003E48BE">
            <w:pPr>
              <w:spacing w:line="276" w:lineRule="auto"/>
            </w:pPr>
            <w:r w:rsidRPr="00892DE3">
              <w:t xml:space="preserve">This step is performed to identify if there is any impairment of outstanding balances associated with related party transactions. </w:t>
            </w:r>
          </w:p>
          <w:p w:rsidR="00AD47C0" w:rsidRPr="00892DE3" w:rsidRDefault="00AD47C0" w:rsidP="003E48BE">
            <w:pPr>
              <w:spacing w:line="276" w:lineRule="auto"/>
              <w:rPr>
                <w:b/>
              </w:rPr>
            </w:pPr>
            <w:r w:rsidRPr="00892DE3">
              <w:rPr>
                <w:b/>
              </w:rPr>
              <w:t xml:space="preserve">Provision for doubtful debts </w:t>
            </w:r>
          </w:p>
          <w:p w:rsidR="00AD47C0" w:rsidRPr="00892DE3" w:rsidRDefault="00AD47C0" w:rsidP="003E48BE">
            <w:pPr>
              <w:pStyle w:val="ListBullet"/>
              <w:spacing w:after="120" w:line="276" w:lineRule="auto"/>
              <w:contextualSpacing w:val="0"/>
            </w:pPr>
            <w:r w:rsidRPr="00892DE3">
              <w:t xml:space="preserve">Review the provision for doubtful debts account to identify if there are any amounts related to any outstanding balances for related party transactions identified in the searches performed above. </w:t>
            </w:r>
          </w:p>
          <w:p w:rsidR="00AD47C0" w:rsidRPr="00892DE3" w:rsidRDefault="00AD47C0" w:rsidP="003E48BE">
            <w:pPr>
              <w:spacing w:line="276" w:lineRule="auto"/>
              <w:rPr>
                <w:b/>
              </w:rPr>
            </w:pPr>
            <w:r w:rsidRPr="00892DE3">
              <w:rPr>
                <w:b/>
              </w:rPr>
              <w:t xml:space="preserve">Bad debts expense </w:t>
            </w:r>
          </w:p>
          <w:p w:rsidR="00AD47C0" w:rsidRPr="00892DE3" w:rsidRDefault="00AD47C0" w:rsidP="003E48BE">
            <w:pPr>
              <w:pStyle w:val="ListBullet"/>
              <w:spacing w:after="120" w:line="276" w:lineRule="auto"/>
              <w:contextualSpacing w:val="0"/>
              <w:rPr>
                <w:szCs w:val="18"/>
              </w:rPr>
            </w:pPr>
            <w:r w:rsidRPr="00892DE3">
              <w:t xml:space="preserve">Review the bad or doubtful debts expenses recognised during the period in respect of bad or doubtful debts due from related parties identified in the searches performed above. </w:t>
            </w:r>
          </w:p>
        </w:tc>
      </w:tr>
      <w:tr w:rsidR="00AD47C0" w:rsidRPr="00892DE3" w:rsidTr="00474984">
        <w:trPr>
          <w:trHeight w:val="1673"/>
        </w:trPr>
        <w:tc>
          <w:tcPr>
            <w:tcW w:w="4695" w:type="dxa"/>
            <w:tcBorders>
              <w:top w:val="single" w:sz="2" w:space="0" w:color="808080" w:themeColor="background1" w:themeShade="80"/>
              <w:bottom w:val="single" w:sz="12" w:space="0" w:color="808080" w:themeColor="background1" w:themeShade="80"/>
              <w:right w:val="single" w:sz="4" w:space="0" w:color="808080" w:themeColor="background1" w:themeShade="80"/>
            </w:tcBorders>
            <w:shd w:val="clear" w:color="auto" w:fill="D9D9D9" w:themeFill="background1" w:themeFillShade="D9"/>
          </w:tcPr>
          <w:p w:rsidR="00AD47C0" w:rsidRPr="00892DE3" w:rsidRDefault="00AD47C0" w:rsidP="003E48BE">
            <w:pPr>
              <w:pStyle w:val="ListNumber"/>
              <w:spacing w:after="120" w:line="276" w:lineRule="auto"/>
              <w:rPr>
                <w:szCs w:val="18"/>
              </w:rPr>
            </w:pPr>
            <w:r w:rsidRPr="00892DE3">
              <w:t>Collate the information obtained from the transactional searches performed and determine the required disclosure.</w:t>
            </w:r>
          </w:p>
        </w:tc>
        <w:tc>
          <w:tcPr>
            <w:tcW w:w="4944" w:type="dxa"/>
            <w:tcBorders>
              <w:top w:val="single" w:sz="2" w:space="0" w:color="808080" w:themeColor="background1" w:themeShade="80"/>
              <w:left w:val="single" w:sz="4" w:space="0" w:color="808080" w:themeColor="background1" w:themeShade="80"/>
              <w:bottom w:val="single" w:sz="12" w:space="0" w:color="808080" w:themeColor="background1" w:themeShade="80"/>
            </w:tcBorders>
            <w:shd w:val="clear" w:color="auto" w:fill="D9D9D9" w:themeFill="background1" w:themeFillShade="D9"/>
          </w:tcPr>
          <w:p w:rsidR="00AD47C0" w:rsidRPr="00892DE3" w:rsidRDefault="00AD47C0" w:rsidP="003E48BE">
            <w:pPr>
              <w:spacing w:line="276" w:lineRule="auto"/>
            </w:pPr>
            <w:r w:rsidRPr="00892DE3">
              <w:t xml:space="preserve">This step is performed to prepare and finalise the related party disclosure note in your financial statements. </w:t>
            </w:r>
          </w:p>
          <w:p w:rsidR="00AD47C0" w:rsidRPr="00892DE3" w:rsidRDefault="00AD47C0" w:rsidP="003E48BE">
            <w:pPr>
              <w:spacing w:line="276" w:lineRule="auto"/>
            </w:pPr>
            <w:r w:rsidRPr="00892DE3">
              <w:t xml:space="preserve">Collate the related party transactions identified in the searches performed above and determine the required disclosure.  </w:t>
            </w:r>
          </w:p>
          <w:p w:rsidR="00AD47C0" w:rsidRPr="00892DE3" w:rsidRDefault="00AD47C0" w:rsidP="003E48BE">
            <w:pPr>
              <w:pStyle w:val="ListBullet"/>
              <w:spacing w:after="120" w:line="276" w:lineRule="auto"/>
              <w:contextualSpacing w:val="0"/>
            </w:pPr>
            <w:r w:rsidRPr="00892DE3">
              <w:t xml:space="preserve">Where transactions are of a similar nature, determine if they can be disclosed in aggregate. </w:t>
            </w:r>
          </w:p>
          <w:p w:rsidR="00AD47C0" w:rsidRDefault="00AD47C0" w:rsidP="003E48BE">
            <w:pPr>
              <w:pStyle w:val="ListBullet"/>
              <w:spacing w:after="120" w:line="276" w:lineRule="auto"/>
              <w:contextualSpacing w:val="0"/>
            </w:pPr>
            <w:r w:rsidRPr="00892DE3">
              <w:t>Separate disclosure of a related party transaction may be necessary to understand the effects of the transaction on the financial statements of the entity.</w:t>
            </w:r>
          </w:p>
          <w:p w:rsidR="003E48BE" w:rsidRPr="00892DE3" w:rsidRDefault="003E48BE" w:rsidP="003E48BE">
            <w:pPr>
              <w:pStyle w:val="ListContinue"/>
              <w:spacing w:line="276" w:lineRule="auto"/>
            </w:pPr>
            <w:r w:rsidRPr="00892DE3">
              <w:t xml:space="preserve">Separate disclosure may be required for non-standard transactions that are not at arms-length, under favourable or negotiated terms or unusual (e.g. debt forgiveness, guarantees or indemnities provided or received). </w:t>
            </w:r>
          </w:p>
          <w:p w:rsidR="003E48BE" w:rsidRPr="00892DE3" w:rsidRDefault="003E48BE" w:rsidP="003E48BE">
            <w:pPr>
              <w:pStyle w:val="ListBullet"/>
              <w:spacing w:after="120" w:line="276" w:lineRule="auto"/>
              <w:contextualSpacing w:val="0"/>
            </w:pPr>
            <w:r w:rsidRPr="00892DE3">
              <w:t>For related party transactions of KMPs, ensure you have shared the draft disclosure with the relevant KMP prior to the finalisation of the note disclosure, to confirm the details are correct.</w:t>
            </w:r>
          </w:p>
        </w:tc>
      </w:tr>
    </w:tbl>
    <w:p w:rsidR="00860890" w:rsidRDefault="00860890" w:rsidP="00571F08">
      <w:pPr>
        <w:sectPr w:rsidR="00860890" w:rsidSect="00DE6A24">
          <w:headerReference w:type="even" r:id="rId234"/>
          <w:headerReference w:type="default" r:id="rId235"/>
          <w:headerReference w:type="first" r:id="rId236"/>
          <w:footerReference w:type="first" r:id="rId237"/>
          <w:pgSz w:w="11906" w:h="16838" w:code="9"/>
          <w:pgMar w:top="1134" w:right="1134" w:bottom="1134" w:left="1134" w:header="624" w:footer="567" w:gutter="0"/>
          <w:cols w:space="360"/>
          <w:titlePg/>
        </w:sectPr>
      </w:pPr>
    </w:p>
    <w:p w:rsidR="00AD47C0" w:rsidRPr="00E63670" w:rsidRDefault="009C6C31" w:rsidP="003E2FD6">
      <w:pPr>
        <w:pStyle w:val="Heading2nonTOC"/>
        <w:rPr>
          <w:color w:val="0063A6" w:themeColor="accent1"/>
        </w:rPr>
      </w:pPr>
      <w:bookmarkStart w:id="321" w:name="_Toc477967653"/>
      <w:r w:rsidRPr="00E63670">
        <w:t xml:space="preserve">Appendix </w:t>
      </w:r>
      <w:r w:rsidR="0094531C" w:rsidRPr="00E63670">
        <w:t>10</w:t>
      </w:r>
      <w:r w:rsidRPr="00E63670">
        <w:t xml:space="preserve">A </w:t>
      </w:r>
      <w:r w:rsidR="00E15A66" w:rsidRPr="00E63670">
        <w:t>–</w:t>
      </w:r>
      <w:r w:rsidRPr="00E63670">
        <w:t xml:space="preserve"> </w:t>
      </w:r>
      <w:r w:rsidR="00AD47C0" w:rsidRPr="00E63670">
        <w:t>Cabinet ministers as at 1 July 2016</w:t>
      </w:r>
      <w:bookmarkEnd w:id="321"/>
      <w:r w:rsidR="00AD47C0" w:rsidRPr="00E63670">
        <w:t xml:space="preserve">  </w:t>
      </w:r>
    </w:p>
    <w:p w:rsidR="00AD47C0" w:rsidRPr="00892DE3" w:rsidRDefault="00AD47C0" w:rsidP="00AD47C0">
      <w:r w:rsidRPr="00892DE3">
        <w:t>Information provided for Cabinet ministers is current as at 1 July 2016. Entities will need to refer to the Parliament website to ensure ministers and their delegated portfolio information is current for subsequent periods (</w:t>
      </w:r>
      <w:r w:rsidRPr="00DE6480">
        <w:rPr>
          <w:rStyle w:val="Hyperlink"/>
          <w:rFonts w:cstheme="minorHAnsi"/>
          <w:szCs w:val="20"/>
        </w:rPr>
        <w:t>www.parliament.vic.gov.au/members/ministers</w:t>
      </w:r>
      <w:r w:rsidRPr="00892DE3">
        <w:t xml:space="preserve">). </w:t>
      </w:r>
    </w:p>
    <w:p w:rsidR="00AD47C0" w:rsidRPr="00892DE3" w:rsidRDefault="00AD47C0" w:rsidP="00AD47C0">
      <w:pPr>
        <w:rPr>
          <w:b/>
        </w:rPr>
      </w:pPr>
      <w:r w:rsidRPr="00892DE3">
        <w:rPr>
          <w:b/>
        </w:rPr>
        <w:t xml:space="preserve">Entities will need to ensure the disclosure captures all ministers appointed during the period, including any recent appointments and departures. </w:t>
      </w:r>
    </w:p>
    <w:p w:rsidR="00AD47C0" w:rsidRPr="00892DE3" w:rsidRDefault="00AD47C0" w:rsidP="00AD47C0">
      <w:pPr>
        <w:rPr>
          <w:b/>
        </w:rPr>
      </w:pPr>
      <w:r w:rsidRPr="00892DE3">
        <w:rPr>
          <w:b/>
        </w:rPr>
        <w:t xml:space="preserve">In addition, entities will need to develop an equivalent listing to capture all executive KMP appointments and departures during the reporting period. </w:t>
      </w:r>
    </w:p>
    <w:p w:rsidR="00AD47C0" w:rsidRPr="00892DE3" w:rsidRDefault="00AD47C0" w:rsidP="00AD47C0">
      <w:pPr>
        <w:rPr>
          <w:b/>
        </w:rPr>
      </w:pPr>
    </w:p>
    <w:tbl>
      <w:tblPr>
        <w:tblStyle w:val="DTFTextTable"/>
        <w:tblW w:w="9639" w:type="dxa"/>
        <w:tblLook w:val="0620" w:firstRow="1" w:lastRow="0" w:firstColumn="0" w:lastColumn="0" w:noHBand="1" w:noVBand="1"/>
      </w:tblPr>
      <w:tblGrid>
        <w:gridCol w:w="3115"/>
        <w:gridCol w:w="6524"/>
      </w:tblGrid>
      <w:tr w:rsidR="00AD47C0" w:rsidRPr="00892DE3" w:rsidTr="00F042B6">
        <w:trPr>
          <w:cnfStyle w:val="100000000000" w:firstRow="1" w:lastRow="0" w:firstColumn="0" w:lastColumn="0" w:oddVBand="0" w:evenVBand="0" w:oddHBand="0" w:evenHBand="0" w:firstRowFirstColumn="0" w:firstRowLastColumn="0" w:lastRowFirstColumn="0" w:lastRowLastColumn="0"/>
          <w:trHeight w:val="284"/>
          <w:tblHeader/>
        </w:trPr>
        <w:tc>
          <w:tcPr>
            <w:tcW w:w="1602" w:type="pct"/>
            <w:tcBorders>
              <w:bottom w:val="nil"/>
            </w:tcBorders>
            <w:hideMark/>
          </w:tcPr>
          <w:p w:rsidR="00AD47C0" w:rsidRPr="00892DE3" w:rsidRDefault="00AD47C0" w:rsidP="00F042B6">
            <w:pPr>
              <w:rPr>
                <w:sz w:val="16"/>
                <w:szCs w:val="16"/>
              </w:rPr>
            </w:pPr>
            <w:r w:rsidRPr="00892DE3">
              <w:rPr>
                <w:sz w:val="16"/>
                <w:szCs w:val="16"/>
              </w:rPr>
              <w:t>Minister</w:t>
            </w:r>
          </w:p>
        </w:tc>
        <w:tc>
          <w:tcPr>
            <w:tcW w:w="3354" w:type="pct"/>
            <w:tcBorders>
              <w:bottom w:val="nil"/>
            </w:tcBorders>
            <w:hideMark/>
          </w:tcPr>
          <w:p w:rsidR="00AD47C0" w:rsidRPr="00892DE3" w:rsidRDefault="00AD47C0" w:rsidP="00F042B6">
            <w:pPr>
              <w:rPr>
                <w:sz w:val="16"/>
                <w:szCs w:val="16"/>
              </w:rPr>
            </w:pPr>
            <w:r w:rsidRPr="00892DE3">
              <w:rPr>
                <w:sz w:val="16"/>
                <w:szCs w:val="16"/>
              </w:rPr>
              <w:t>Portfolio</w:t>
            </w:r>
          </w:p>
        </w:tc>
      </w:tr>
      <w:tr w:rsidR="00AD47C0" w:rsidRPr="00892DE3" w:rsidTr="00F042B6">
        <w:tc>
          <w:tcPr>
            <w:tcW w:w="0" w:type="auto"/>
            <w:tcBorders>
              <w:bottom w:val="single" w:sz="6" w:space="0" w:color="BFBFBF" w:themeColor="background1" w:themeShade="BF"/>
            </w:tcBorders>
            <w:hideMark/>
          </w:tcPr>
          <w:p w:rsidR="00AD47C0" w:rsidRPr="00892DE3" w:rsidRDefault="00AD47C0" w:rsidP="00F042B6">
            <w:pPr>
              <w:spacing w:after="20"/>
              <w:rPr>
                <w:sz w:val="16"/>
                <w:szCs w:val="16"/>
              </w:rPr>
            </w:pPr>
            <w:r w:rsidRPr="00892DE3">
              <w:rPr>
                <w:sz w:val="16"/>
                <w:szCs w:val="16"/>
              </w:rPr>
              <w:t>Hon Daniel Andrews</w:t>
            </w:r>
          </w:p>
        </w:tc>
        <w:tc>
          <w:tcPr>
            <w:tcW w:w="0" w:type="auto"/>
            <w:tcBorders>
              <w:bottom w:val="single" w:sz="6" w:space="0" w:color="BFBFBF" w:themeColor="background1" w:themeShade="BF"/>
            </w:tcBorders>
            <w:hideMark/>
          </w:tcPr>
          <w:p w:rsidR="00AD47C0" w:rsidRPr="00892DE3" w:rsidRDefault="00AD47C0" w:rsidP="00F042B6">
            <w:pPr>
              <w:spacing w:after="20"/>
              <w:rPr>
                <w:sz w:val="16"/>
                <w:szCs w:val="16"/>
              </w:rPr>
            </w:pPr>
            <w:r w:rsidRPr="00892DE3">
              <w:rPr>
                <w:sz w:val="16"/>
                <w:szCs w:val="16"/>
              </w:rPr>
              <w:t>Premier of Victoria</w:t>
            </w:r>
          </w:p>
          <w:p w:rsidR="00AD47C0" w:rsidRPr="00892DE3" w:rsidRDefault="00AD47C0" w:rsidP="00F042B6">
            <w:pPr>
              <w:spacing w:after="20"/>
              <w:rPr>
                <w:sz w:val="16"/>
                <w:szCs w:val="16"/>
              </w:rPr>
            </w:pPr>
            <w:r w:rsidRPr="00892DE3">
              <w:rPr>
                <w:sz w:val="16"/>
                <w:szCs w:val="16"/>
              </w:rPr>
              <w:t>Leader of the Labor Party</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James Merlino</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Deputy Premier</w:t>
            </w:r>
          </w:p>
          <w:p w:rsidR="00AD47C0" w:rsidRPr="00892DE3" w:rsidRDefault="00AD47C0" w:rsidP="00F042B6">
            <w:pPr>
              <w:spacing w:after="20"/>
              <w:rPr>
                <w:sz w:val="16"/>
                <w:szCs w:val="16"/>
              </w:rPr>
            </w:pPr>
            <w:r w:rsidRPr="00892DE3">
              <w:rPr>
                <w:sz w:val="16"/>
                <w:szCs w:val="16"/>
              </w:rPr>
              <w:t>Deputy Leader of the Victorian Labor Party</w:t>
            </w:r>
          </w:p>
          <w:p w:rsidR="00AD47C0" w:rsidRPr="00892DE3" w:rsidRDefault="00AD47C0" w:rsidP="00F042B6">
            <w:pPr>
              <w:spacing w:after="20"/>
              <w:rPr>
                <w:sz w:val="16"/>
                <w:szCs w:val="16"/>
              </w:rPr>
            </w:pPr>
            <w:r w:rsidRPr="00892DE3">
              <w:rPr>
                <w:sz w:val="16"/>
                <w:szCs w:val="16"/>
              </w:rPr>
              <w:t>Minister for Education</w:t>
            </w:r>
          </w:p>
          <w:p w:rsidR="00AD47C0" w:rsidRPr="00892DE3" w:rsidRDefault="00AD47C0" w:rsidP="00F042B6">
            <w:pPr>
              <w:spacing w:after="20"/>
              <w:rPr>
                <w:sz w:val="16"/>
                <w:szCs w:val="16"/>
              </w:rPr>
            </w:pPr>
            <w:r w:rsidRPr="00892DE3">
              <w:rPr>
                <w:sz w:val="16"/>
                <w:szCs w:val="16"/>
              </w:rPr>
              <w:t>Minister for Emergency Services</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Mr Tim Pallas</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Treasurer</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hideMark/>
          </w:tcPr>
          <w:p w:rsidR="00AD47C0" w:rsidRPr="00892DE3" w:rsidRDefault="00AD47C0" w:rsidP="00F042B6">
            <w:pPr>
              <w:spacing w:after="20"/>
              <w:rPr>
                <w:sz w:val="16"/>
                <w:szCs w:val="16"/>
              </w:rPr>
            </w:pPr>
            <w:r w:rsidRPr="00892DE3">
              <w:rPr>
                <w:sz w:val="16"/>
                <w:szCs w:val="16"/>
              </w:rPr>
              <w:t>Hon Gavin Jennings</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Special Minister of State</w:t>
            </w:r>
          </w:p>
          <w:p w:rsidR="00AD47C0" w:rsidRPr="00892DE3" w:rsidRDefault="00AD47C0" w:rsidP="00F042B6">
            <w:pPr>
              <w:spacing w:after="20"/>
              <w:rPr>
                <w:sz w:val="16"/>
                <w:szCs w:val="16"/>
              </w:rPr>
            </w:pPr>
            <w:r w:rsidRPr="00892DE3">
              <w:rPr>
                <w:sz w:val="16"/>
                <w:szCs w:val="16"/>
              </w:rPr>
              <w:t>Leader of the Government in the Legislative Council</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hideMark/>
          </w:tcPr>
          <w:p w:rsidR="00AD47C0" w:rsidRPr="00892DE3" w:rsidRDefault="00AD47C0" w:rsidP="00F042B6">
            <w:pPr>
              <w:spacing w:after="20"/>
              <w:rPr>
                <w:sz w:val="16"/>
                <w:szCs w:val="16"/>
              </w:rPr>
            </w:pPr>
            <w:r w:rsidRPr="00892DE3">
              <w:rPr>
                <w:sz w:val="16"/>
                <w:szCs w:val="16"/>
              </w:rPr>
              <w:t>Hon Jacinta Allan</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Public Transport</w:t>
            </w:r>
          </w:p>
          <w:p w:rsidR="00AD47C0" w:rsidRPr="00892DE3" w:rsidRDefault="00AD47C0" w:rsidP="00F042B6">
            <w:pPr>
              <w:spacing w:after="20"/>
              <w:rPr>
                <w:sz w:val="16"/>
                <w:szCs w:val="16"/>
              </w:rPr>
            </w:pPr>
            <w:r w:rsidRPr="00892DE3">
              <w:rPr>
                <w:sz w:val="16"/>
                <w:szCs w:val="16"/>
              </w:rPr>
              <w:t>Minister for Major Projects</w:t>
            </w:r>
          </w:p>
          <w:p w:rsidR="00AD47C0" w:rsidRPr="00892DE3" w:rsidRDefault="00AD47C0" w:rsidP="00F042B6">
            <w:pPr>
              <w:spacing w:after="20"/>
              <w:rPr>
                <w:sz w:val="16"/>
                <w:szCs w:val="16"/>
              </w:rPr>
            </w:pPr>
            <w:r w:rsidRPr="00892DE3">
              <w:rPr>
                <w:sz w:val="16"/>
                <w:szCs w:val="16"/>
              </w:rPr>
              <w:t>Leader of the House (Assembly)</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hideMark/>
          </w:tcPr>
          <w:p w:rsidR="00AD47C0" w:rsidRPr="00892DE3" w:rsidRDefault="00AD47C0" w:rsidP="00F042B6">
            <w:pPr>
              <w:spacing w:after="20"/>
              <w:rPr>
                <w:sz w:val="16"/>
                <w:szCs w:val="16"/>
              </w:rPr>
            </w:pPr>
            <w:r w:rsidRPr="00892DE3">
              <w:rPr>
                <w:sz w:val="16"/>
                <w:szCs w:val="16"/>
              </w:rPr>
              <w:t>Hon Lily D’ambrosio</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Energy, Environment and Climate Change</w:t>
            </w:r>
          </w:p>
          <w:p w:rsidR="00AD47C0" w:rsidRPr="00892DE3" w:rsidRDefault="00AD47C0" w:rsidP="00F042B6">
            <w:pPr>
              <w:spacing w:after="20"/>
              <w:rPr>
                <w:sz w:val="16"/>
                <w:szCs w:val="16"/>
              </w:rPr>
            </w:pPr>
            <w:r w:rsidRPr="00892DE3">
              <w:rPr>
                <w:sz w:val="16"/>
                <w:szCs w:val="16"/>
              </w:rPr>
              <w:t>Minister for Suburban Development</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hideMark/>
          </w:tcPr>
          <w:p w:rsidR="00AD47C0" w:rsidRPr="00892DE3" w:rsidRDefault="00AD47C0" w:rsidP="00F042B6">
            <w:pPr>
              <w:spacing w:after="20"/>
              <w:rPr>
                <w:sz w:val="16"/>
                <w:szCs w:val="16"/>
              </w:rPr>
            </w:pPr>
            <w:r w:rsidRPr="00892DE3">
              <w:rPr>
                <w:sz w:val="16"/>
                <w:szCs w:val="16"/>
              </w:rPr>
              <w:t>Hon Luke Donnellan</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Roads and Road Safety</w:t>
            </w:r>
          </w:p>
          <w:p w:rsidR="00AD47C0" w:rsidRPr="00892DE3" w:rsidRDefault="00AD47C0" w:rsidP="00F042B6">
            <w:pPr>
              <w:spacing w:after="20"/>
              <w:rPr>
                <w:sz w:val="16"/>
                <w:szCs w:val="16"/>
              </w:rPr>
            </w:pPr>
            <w:r w:rsidRPr="00892DE3">
              <w:rPr>
                <w:sz w:val="16"/>
                <w:szCs w:val="16"/>
              </w:rPr>
              <w:t>Minister for Ports</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hideMark/>
          </w:tcPr>
          <w:p w:rsidR="00AD47C0" w:rsidRPr="00892DE3" w:rsidRDefault="00AD47C0" w:rsidP="00F042B6">
            <w:pPr>
              <w:spacing w:after="20"/>
              <w:rPr>
                <w:sz w:val="16"/>
                <w:szCs w:val="16"/>
              </w:rPr>
            </w:pPr>
            <w:r w:rsidRPr="00892DE3">
              <w:rPr>
                <w:sz w:val="16"/>
                <w:szCs w:val="16"/>
              </w:rPr>
              <w:t>Hon John Eren</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Tourism and Major Events</w:t>
            </w:r>
          </w:p>
          <w:p w:rsidR="00AD47C0" w:rsidRPr="00892DE3" w:rsidRDefault="00AD47C0" w:rsidP="00F042B6">
            <w:pPr>
              <w:spacing w:after="20"/>
              <w:rPr>
                <w:sz w:val="16"/>
                <w:szCs w:val="16"/>
              </w:rPr>
            </w:pPr>
            <w:r w:rsidRPr="00892DE3">
              <w:rPr>
                <w:sz w:val="16"/>
                <w:szCs w:val="16"/>
              </w:rPr>
              <w:t>Minister for Sport</w:t>
            </w:r>
          </w:p>
          <w:p w:rsidR="00AD47C0" w:rsidRPr="00892DE3" w:rsidRDefault="00AD47C0" w:rsidP="00F042B6">
            <w:pPr>
              <w:spacing w:after="20"/>
              <w:rPr>
                <w:sz w:val="16"/>
                <w:szCs w:val="16"/>
              </w:rPr>
            </w:pPr>
            <w:r w:rsidRPr="00892DE3">
              <w:rPr>
                <w:sz w:val="16"/>
                <w:szCs w:val="16"/>
              </w:rPr>
              <w:t>Minister for Veterans</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Martin Foley</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Housing Disability and Ageing</w:t>
            </w:r>
          </w:p>
          <w:p w:rsidR="00AD47C0" w:rsidRPr="00892DE3" w:rsidRDefault="00AD47C0" w:rsidP="00F042B6">
            <w:pPr>
              <w:spacing w:after="20"/>
              <w:rPr>
                <w:sz w:val="16"/>
                <w:szCs w:val="16"/>
              </w:rPr>
            </w:pPr>
            <w:r w:rsidRPr="00892DE3">
              <w:rPr>
                <w:sz w:val="16"/>
                <w:szCs w:val="16"/>
              </w:rPr>
              <w:t>Minister for Mental Health</w:t>
            </w:r>
          </w:p>
          <w:p w:rsidR="00AD47C0" w:rsidRPr="00892DE3" w:rsidRDefault="00AD47C0" w:rsidP="00F042B6">
            <w:pPr>
              <w:spacing w:after="20"/>
              <w:rPr>
                <w:sz w:val="16"/>
                <w:szCs w:val="16"/>
              </w:rPr>
            </w:pPr>
            <w:r w:rsidRPr="00892DE3">
              <w:rPr>
                <w:sz w:val="16"/>
                <w:szCs w:val="16"/>
              </w:rPr>
              <w:t>Minister for Equality</w:t>
            </w:r>
          </w:p>
          <w:p w:rsidR="00AD47C0" w:rsidRPr="00892DE3" w:rsidRDefault="00AD47C0" w:rsidP="00F042B6">
            <w:pPr>
              <w:spacing w:after="20"/>
              <w:rPr>
                <w:sz w:val="16"/>
                <w:szCs w:val="16"/>
              </w:rPr>
            </w:pPr>
            <w:r w:rsidRPr="00892DE3">
              <w:rPr>
                <w:sz w:val="16"/>
                <w:szCs w:val="16"/>
              </w:rPr>
              <w:t>Minister for Creative Industries</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hideMark/>
          </w:tcPr>
          <w:p w:rsidR="00AD47C0" w:rsidRPr="00892DE3" w:rsidRDefault="00AD47C0" w:rsidP="00F042B6">
            <w:pPr>
              <w:spacing w:after="20"/>
              <w:rPr>
                <w:sz w:val="16"/>
                <w:szCs w:val="16"/>
              </w:rPr>
            </w:pPr>
            <w:r w:rsidRPr="00892DE3">
              <w:rPr>
                <w:sz w:val="16"/>
                <w:szCs w:val="16"/>
              </w:rPr>
              <w:t>Hon Jill Hennessy</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Health</w:t>
            </w:r>
          </w:p>
          <w:p w:rsidR="00AD47C0" w:rsidRPr="00892DE3" w:rsidRDefault="00AD47C0" w:rsidP="00F042B6">
            <w:pPr>
              <w:spacing w:after="20"/>
              <w:rPr>
                <w:sz w:val="16"/>
                <w:szCs w:val="16"/>
              </w:rPr>
            </w:pPr>
            <w:r w:rsidRPr="00892DE3">
              <w:rPr>
                <w:sz w:val="16"/>
                <w:szCs w:val="16"/>
              </w:rPr>
              <w:t>Minister for Ambulance Services</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Natalie Hutchins</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Local Government</w:t>
            </w:r>
          </w:p>
          <w:p w:rsidR="00AD47C0" w:rsidRPr="00892DE3" w:rsidRDefault="00AD47C0" w:rsidP="00F042B6">
            <w:pPr>
              <w:spacing w:after="20"/>
              <w:rPr>
                <w:sz w:val="16"/>
                <w:szCs w:val="16"/>
              </w:rPr>
            </w:pPr>
            <w:r w:rsidRPr="00892DE3">
              <w:rPr>
                <w:sz w:val="16"/>
                <w:szCs w:val="16"/>
              </w:rPr>
              <w:t>Minister for Aboriginal Affairs</w:t>
            </w:r>
          </w:p>
          <w:p w:rsidR="00AD47C0" w:rsidRPr="00892DE3" w:rsidRDefault="00AD47C0" w:rsidP="00F042B6">
            <w:pPr>
              <w:spacing w:after="20"/>
              <w:rPr>
                <w:sz w:val="16"/>
                <w:szCs w:val="16"/>
              </w:rPr>
            </w:pPr>
            <w:r w:rsidRPr="00892DE3">
              <w:rPr>
                <w:sz w:val="16"/>
                <w:szCs w:val="16"/>
              </w:rPr>
              <w:t>Minister for Industrial Relations</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Marlene Kairouz</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Consumer Affairs, Gaming and Liquor Regulation</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Lisa Neville</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Police</w:t>
            </w:r>
          </w:p>
          <w:p w:rsidR="00AD47C0" w:rsidRPr="00892DE3" w:rsidRDefault="00AD47C0" w:rsidP="00F042B6">
            <w:pPr>
              <w:spacing w:after="20"/>
              <w:rPr>
                <w:sz w:val="16"/>
                <w:szCs w:val="16"/>
              </w:rPr>
            </w:pPr>
            <w:r w:rsidRPr="00892DE3">
              <w:rPr>
                <w:sz w:val="16"/>
                <w:szCs w:val="16"/>
              </w:rPr>
              <w:t>Minister for Water</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Wade Noonan</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Industry and Employment</w:t>
            </w:r>
          </w:p>
          <w:p w:rsidR="00AD47C0" w:rsidRPr="00892DE3" w:rsidRDefault="00AD47C0" w:rsidP="00F042B6">
            <w:pPr>
              <w:spacing w:after="20"/>
              <w:rPr>
                <w:sz w:val="16"/>
                <w:szCs w:val="16"/>
              </w:rPr>
            </w:pPr>
            <w:r w:rsidRPr="00892DE3">
              <w:rPr>
                <w:sz w:val="16"/>
                <w:szCs w:val="16"/>
              </w:rPr>
              <w:t>Minister for Resources</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Martin Pakula</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Attorney General</w:t>
            </w:r>
          </w:p>
          <w:p w:rsidR="00AD47C0" w:rsidRPr="00892DE3" w:rsidRDefault="00AD47C0" w:rsidP="00F042B6">
            <w:pPr>
              <w:spacing w:after="20"/>
              <w:rPr>
                <w:sz w:val="16"/>
                <w:szCs w:val="16"/>
              </w:rPr>
            </w:pPr>
            <w:r w:rsidRPr="00892DE3">
              <w:rPr>
                <w:sz w:val="16"/>
                <w:szCs w:val="16"/>
              </w:rPr>
              <w:t>Minister for Racing</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Fiona Richardson</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Women</w:t>
            </w:r>
          </w:p>
          <w:p w:rsidR="00AD47C0" w:rsidRPr="00892DE3" w:rsidRDefault="00AD47C0" w:rsidP="00F042B6">
            <w:pPr>
              <w:spacing w:after="20"/>
              <w:rPr>
                <w:sz w:val="16"/>
                <w:szCs w:val="16"/>
              </w:rPr>
            </w:pPr>
            <w:r w:rsidRPr="00892DE3">
              <w:rPr>
                <w:sz w:val="16"/>
                <w:szCs w:val="16"/>
              </w:rPr>
              <w:t>Minister for the Prevention of Family Violence</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hideMark/>
          </w:tcPr>
          <w:p w:rsidR="00AD47C0" w:rsidRPr="00892DE3" w:rsidRDefault="00AD47C0" w:rsidP="00F042B6">
            <w:pPr>
              <w:spacing w:after="20"/>
              <w:rPr>
                <w:sz w:val="16"/>
                <w:szCs w:val="16"/>
              </w:rPr>
            </w:pPr>
            <w:r w:rsidRPr="00892DE3">
              <w:rPr>
                <w:sz w:val="16"/>
                <w:szCs w:val="16"/>
              </w:rPr>
              <w:t>Hon Robin Scott</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Finance</w:t>
            </w:r>
          </w:p>
          <w:p w:rsidR="00AD47C0" w:rsidRPr="00892DE3" w:rsidRDefault="00AD47C0" w:rsidP="00F042B6">
            <w:pPr>
              <w:spacing w:after="20"/>
              <w:rPr>
                <w:sz w:val="16"/>
                <w:szCs w:val="16"/>
              </w:rPr>
            </w:pPr>
            <w:r w:rsidRPr="00892DE3">
              <w:rPr>
                <w:sz w:val="16"/>
                <w:szCs w:val="16"/>
              </w:rPr>
              <w:t>Minister for Multicultural Affairs</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hideMark/>
          </w:tcPr>
          <w:p w:rsidR="00AD47C0" w:rsidRPr="00892DE3" w:rsidRDefault="00AD47C0" w:rsidP="00F042B6">
            <w:pPr>
              <w:spacing w:after="20"/>
              <w:rPr>
                <w:sz w:val="16"/>
                <w:szCs w:val="16"/>
              </w:rPr>
            </w:pPr>
            <w:r w:rsidRPr="00892DE3">
              <w:rPr>
                <w:sz w:val="16"/>
                <w:szCs w:val="16"/>
              </w:rPr>
              <w:t>Hon Richard Wynne</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Planning</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Philip Dalisakis</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Small Business Innovation and Trade</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Steve Herbert</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Training Skills and International Education</w:t>
            </w:r>
          </w:p>
          <w:p w:rsidR="00AD47C0" w:rsidRPr="00892DE3" w:rsidRDefault="00AD47C0" w:rsidP="00F042B6">
            <w:pPr>
              <w:spacing w:after="20"/>
              <w:rPr>
                <w:sz w:val="16"/>
                <w:szCs w:val="16"/>
              </w:rPr>
            </w:pPr>
            <w:r w:rsidRPr="00892DE3">
              <w:rPr>
                <w:sz w:val="16"/>
                <w:szCs w:val="16"/>
              </w:rPr>
              <w:t>Minister for Corrections</w:t>
            </w:r>
          </w:p>
        </w:tc>
      </w:tr>
      <w:tr w:rsidR="00AD47C0" w:rsidRPr="00892DE3" w:rsidTr="00F042B6">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Hon Jenny Mikakos</w:t>
            </w:r>
          </w:p>
        </w:tc>
        <w:tc>
          <w:tcPr>
            <w:tcW w:w="0" w:type="auto"/>
            <w:tcBorders>
              <w:top w:val="single" w:sz="6" w:space="0" w:color="BFBFBF" w:themeColor="background1" w:themeShade="BF"/>
              <w:bottom w:val="single" w:sz="6" w:space="0" w:color="BFBFBF" w:themeColor="background1" w:themeShade="BF"/>
            </w:tcBorders>
          </w:tcPr>
          <w:p w:rsidR="00AD47C0" w:rsidRPr="00892DE3" w:rsidRDefault="00AD47C0" w:rsidP="00F042B6">
            <w:pPr>
              <w:spacing w:after="20"/>
              <w:rPr>
                <w:sz w:val="16"/>
                <w:szCs w:val="16"/>
              </w:rPr>
            </w:pPr>
            <w:r w:rsidRPr="00892DE3">
              <w:rPr>
                <w:sz w:val="16"/>
                <w:szCs w:val="16"/>
              </w:rPr>
              <w:t>Minister for Families and Children</w:t>
            </w:r>
          </w:p>
          <w:p w:rsidR="00AD47C0" w:rsidRPr="00892DE3" w:rsidRDefault="00AD47C0" w:rsidP="00F042B6">
            <w:pPr>
              <w:spacing w:after="20"/>
              <w:rPr>
                <w:sz w:val="16"/>
                <w:szCs w:val="16"/>
              </w:rPr>
            </w:pPr>
            <w:r w:rsidRPr="00892DE3">
              <w:rPr>
                <w:sz w:val="16"/>
                <w:szCs w:val="16"/>
              </w:rPr>
              <w:t>Minister for Youth Affairs</w:t>
            </w:r>
          </w:p>
        </w:tc>
      </w:tr>
      <w:tr w:rsidR="00AD47C0" w:rsidRPr="00892DE3" w:rsidTr="00F042B6">
        <w:tc>
          <w:tcPr>
            <w:tcW w:w="0" w:type="auto"/>
            <w:tcBorders>
              <w:top w:val="single" w:sz="6" w:space="0" w:color="BFBFBF" w:themeColor="background1" w:themeShade="BF"/>
              <w:bottom w:val="single" w:sz="12" w:space="0" w:color="auto"/>
            </w:tcBorders>
          </w:tcPr>
          <w:p w:rsidR="00AD47C0" w:rsidRPr="00892DE3" w:rsidRDefault="00AD47C0" w:rsidP="00F042B6">
            <w:pPr>
              <w:spacing w:after="20"/>
              <w:rPr>
                <w:sz w:val="16"/>
                <w:szCs w:val="16"/>
              </w:rPr>
            </w:pPr>
            <w:r w:rsidRPr="00892DE3">
              <w:rPr>
                <w:sz w:val="16"/>
                <w:szCs w:val="16"/>
              </w:rPr>
              <w:t>Hon Jaala Pulford</w:t>
            </w:r>
          </w:p>
        </w:tc>
        <w:tc>
          <w:tcPr>
            <w:tcW w:w="0" w:type="auto"/>
            <w:tcBorders>
              <w:top w:val="single" w:sz="6" w:space="0" w:color="BFBFBF" w:themeColor="background1" w:themeShade="BF"/>
              <w:bottom w:val="single" w:sz="12" w:space="0" w:color="auto"/>
            </w:tcBorders>
          </w:tcPr>
          <w:p w:rsidR="00AD47C0" w:rsidRPr="00892DE3" w:rsidRDefault="00AD47C0" w:rsidP="00F042B6">
            <w:pPr>
              <w:spacing w:after="20"/>
              <w:rPr>
                <w:sz w:val="16"/>
                <w:szCs w:val="16"/>
              </w:rPr>
            </w:pPr>
            <w:r w:rsidRPr="00892DE3">
              <w:rPr>
                <w:sz w:val="16"/>
                <w:szCs w:val="16"/>
              </w:rPr>
              <w:t>Deputy Leader of the Government in the Legislative Council</w:t>
            </w:r>
          </w:p>
          <w:p w:rsidR="00AD47C0" w:rsidRPr="00892DE3" w:rsidRDefault="00AD47C0" w:rsidP="00F042B6">
            <w:pPr>
              <w:spacing w:after="20"/>
              <w:rPr>
                <w:sz w:val="16"/>
                <w:szCs w:val="16"/>
              </w:rPr>
            </w:pPr>
            <w:r w:rsidRPr="00892DE3">
              <w:rPr>
                <w:sz w:val="16"/>
                <w:szCs w:val="16"/>
              </w:rPr>
              <w:t>Minister for Agriculture</w:t>
            </w:r>
          </w:p>
          <w:p w:rsidR="00AD47C0" w:rsidRPr="00892DE3" w:rsidRDefault="00AD47C0" w:rsidP="00F042B6">
            <w:pPr>
              <w:spacing w:after="20"/>
              <w:rPr>
                <w:sz w:val="16"/>
                <w:szCs w:val="16"/>
              </w:rPr>
            </w:pPr>
            <w:r w:rsidRPr="00892DE3">
              <w:rPr>
                <w:sz w:val="16"/>
                <w:szCs w:val="16"/>
              </w:rPr>
              <w:t>Minister for Regional Development</w:t>
            </w:r>
          </w:p>
        </w:tc>
      </w:tr>
    </w:tbl>
    <w:p w:rsidR="00AD47C0" w:rsidRPr="00E63670" w:rsidRDefault="00AD47C0" w:rsidP="003E2FD6">
      <w:pPr>
        <w:pStyle w:val="Heading2nonTOC"/>
        <w:rPr>
          <w:color w:val="0063A6" w:themeColor="accent1"/>
        </w:rPr>
      </w:pPr>
      <w:r w:rsidRPr="00E63670">
        <w:rPr>
          <w:color w:val="0063A6" w:themeColor="accent1"/>
        </w:rPr>
        <w:t>Changes since 1 July 2016 to 31 January 2017</w:t>
      </w:r>
    </w:p>
    <w:p w:rsidR="00AD47C0" w:rsidRPr="00892DE3" w:rsidRDefault="00AD47C0" w:rsidP="003E2FD6">
      <w:r w:rsidRPr="00892DE3">
        <w:t>Entities will need to ensure they monitor and include any changes that occur during the remaining months of the reporting period.</w:t>
      </w:r>
    </w:p>
    <w:p w:rsidR="003E2FD6" w:rsidRPr="00892DE3" w:rsidRDefault="003E2FD6" w:rsidP="003E2FD6"/>
    <w:tbl>
      <w:tblPr>
        <w:tblStyle w:val="DTFTextTable"/>
        <w:tblW w:w="9639" w:type="dxa"/>
        <w:tblLook w:val="0620" w:firstRow="1" w:lastRow="0" w:firstColumn="0" w:lastColumn="0" w:noHBand="1" w:noVBand="1"/>
      </w:tblPr>
      <w:tblGrid>
        <w:gridCol w:w="4708"/>
        <w:gridCol w:w="4931"/>
      </w:tblGrid>
      <w:tr w:rsidR="00AD47C0" w:rsidRPr="00892DE3" w:rsidTr="003E2FD6">
        <w:trPr>
          <w:cnfStyle w:val="100000000000" w:firstRow="1" w:lastRow="0" w:firstColumn="0" w:lastColumn="0" w:oddVBand="0" w:evenVBand="0" w:oddHBand="0" w:evenHBand="0" w:firstRowFirstColumn="0" w:firstRowLastColumn="0" w:lastRowFirstColumn="0" w:lastRowLastColumn="0"/>
          <w:trHeight w:val="284"/>
        </w:trPr>
        <w:tc>
          <w:tcPr>
            <w:tcW w:w="2442" w:type="pct"/>
            <w:hideMark/>
          </w:tcPr>
          <w:p w:rsidR="00AD47C0" w:rsidRPr="00892DE3" w:rsidRDefault="00AD47C0" w:rsidP="003E2FD6">
            <w:r w:rsidRPr="00892DE3">
              <w:t>Minister</w:t>
            </w:r>
          </w:p>
        </w:tc>
        <w:tc>
          <w:tcPr>
            <w:tcW w:w="2558" w:type="pct"/>
            <w:hideMark/>
          </w:tcPr>
          <w:p w:rsidR="00AD47C0" w:rsidRPr="00892DE3" w:rsidRDefault="00AD47C0" w:rsidP="003E2FD6">
            <w:r w:rsidRPr="00892DE3">
              <w:t>Portfolio</w:t>
            </w:r>
          </w:p>
        </w:tc>
      </w:tr>
      <w:tr w:rsidR="00AD47C0" w:rsidRPr="00892DE3" w:rsidTr="003E2FD6">
        <w:tc>
          <w:tcPr>
            <w:tcW w:w="2442" w:type="pct"/>
          </w:tcPr>
          <w:p w:rsidR="00AD47C0" w:rsidRPr="00892DE3" w:rsidRDefault="00AD47C0" w:rsidP="00366272">
            <w:r w:rsidRPr="00892DE3">
              <w:t xml:space="preserve">Former Minister </w:t>
            </w:r>
            <w:r w:rsidRPr="00892DE3">
              <w:rPr>
                <w:b/>
              </w:rPr>
              <w:t>Steven Herbert</w:t>
            </w:r>
            <w:r w:rsidRPr="00892DE3">
              <w:t xml:space="preserve"> </w:t>
            </w:r>
            <w:r w:rsidRPr="00892DE3">
              <w:rPr>
                <w:b/>
              </w:rPr>
              <w:t>MP</w:t>
            </w:r>
            <w:r w:rsidRPr="00892DE3">
              <w:t xml:space="preserve"> resigned on 8 November 2016 and was replaced by Minister </w:t>
            </w:r>
            <w:r w:rsidRPr="00892DE3">
              <w:rPr>
                <w:b/>
              </w:rPr>
              <w:t>Ms</w:t>
            </w:r>
            <w:r w:rsidR="00366272">
              <w:rPr>
                <w:b/>
              </w:rPr>
              <w:t> </w:t>
            </w:r>
            <w:r w:rsidRPr="00892DE3">
              <w:rPr>
                <w:b/>
              </w:rPr>
              <w:t>Gayle Tierney</w:t>
            </w:r>
            <w:r w:rsidRPr="00892DE3">
              <w:t xml:space="preserve"> </w:t>
            </w:r>
          </w:p>
        </w:tc>
        <w:tc>
          <w:tcPr>
            <w:tcW w:w="2558" w:type="pct"/>
          </w:tcPr>
          <w:p w:rsidR="00AD47C0" w:rsidRPr="00892DE3" w:rsidRDefault="00AD47C0" w:rsidP="003E2FD6">
            <w:r w:rsidRPr="00892DE3">
              <w:t>Minister for Training Skills</w:t>
            </w:r>
          </w:p>
          <w:p w:rsidR="00AD47C0" w:rsidRPr="00892DE3" w:rsidRDefault="00AD47C0" w:rsidP="003E2FD6">
            <w:r w:rsidRPr="00892DE3">
              <w:t>Minister for Corrections</w:t>
            </w:r>
          </w:p>
        </w:tc>
      </w:tr>
      <w:tr w:rsidR="00AD47C0" w:rsidRPr="00892DE3" w:rsidTr="003E2FD6">
        <w:tc>
          <w:tcPr>
            <w:tcW w:w="2442" w:type="pct"/>
          </w:tcPr>
          <w:p w:rsidR="00AD47C0" w:rsidRPr="00892DE3" w:rsidRDefault="00AD47C0" w:rsidP="003E2FD6"/>
        </w:tc>
        <w:tc>
          <w:tcPr>
            <w:tcW w:w="2558" w:type="pct"/>
          </w:tcPr>
          <w:p w:rsidR="00AD47C0" w:rsidRPr="00892DE3" w:rsidRDefault="00AD47C0" w:rsidP="003E2FD6"/>
        </w:tc>
      </w:tr>
      <w:tr w:rsidR="00AD47C0" w:rsidRPr="00892DE3" w:rsidTr="003E2FD6">
        <w:tc>
          <w:tcPr>
            <w:tcW w:w="2442" w:type="pct"/>
          </w:tcPr>
          <w:p w:rsidR="00AD47C0" w:rsidRPr="00892DE3" w:rsidRDefault="00AD47C0" w:rsidP="003E2FD6"/>
        </w:tc>
        <w:tc>
          <w:tcPr>
            <w:tcW w:w="2558" w:type="pct"/>
          </w:tcPr>
          <w:p w:rsidR="00AD47C0" w:rsidRPr="00892DE3" w:rsidRDefault="00AD47C0" w:rsidP="003E2FD6"/>
        </w:tc>
      </w:tr>
    </w:tbl>
    <w:p w:rsidR="00AD47C0" w:rsidRPr="00892DE3" w:rsidRDefault="00AD47C0" w:rsidP="00AD47C0">
      <w:pPr>
        <w:spacing w:before="0" w:after="200"/>
      </w:pPr>
    </w:p>
    <w:p w:rsidR="00AD47C0" w:rsidRPr="00E63670" w:rsidRDefault="00AD47C0" w:rsidP="003E2FD6">
      <w:pPr>
        <w:pStyle w:val="Heading2nonTOC"/>
        <w:rPr>
          <w:i/>
          <w:color w:val="0063A6" w:themeColor="accent1"/>
        </w:rPr>
      </w:pPr>
      <w:r w:rsidRPr="00E63670">
        <w:rPr>
          <w:color w:val="0063A6" w:themeColor="accent1"/>
        </w:rPr>
        <w:t xml:space="preserve">Register of Member’s Interests </w:t>
      </w:r>
    </w:p>
    <w:p w:rsidR="00AD47C0" w:rsidRPr="00DE6480" w:rsidRDefault="00AD47C0" w:rsidP="003E2FD6">
      <w:pPr>
        <w:rPr>
          <w:rStyle w:val="Hyperlink"/>
          <w:rFonts w:cstheme="minorHAnsi"/>
          <w:szCs w:val="20"/>
        </w:rPr>
      </w:pPr>
      <w:r w:rsidRPr="00DE6480">
        <w:rPr>
          <w:rStyle w:val="Hyperlink"/>
          <w:rFonts w:cstheme="minorHAnsi"/>
          <w:szCs w:val="20"/>
        </w:rPr>
        <w:t>www.parliament.vic.gov.au/publications/register-of-interests</w:t>
      </w:r>
    </w:p>
    <w:p w:rsidR="00AD47C0" w:rsidRPr="00892DE3" w:rsidRDefault="00AD47C0" w:rsidP="003E2FD6"/>
    <w:tbl>
      <w:tblPr>
        <w:tblStyle w:val="DTFTextTable"/>
        <w:tblW w:w="9639" w:type="dxa"/>
        <w:tblLook w:val="0620" w:firstRow="1" w:lastRow="0" w:firstColumn="0" w:lastColumn="0" w:noHBand="1" w:noVBand="1"/>
      </w:tblPr>
      <w:tblGrid>
        <w:gridCol w:w="1305"/>
        <w:gridCol w:w="4110"/>
        <w:gridCol w:w="1419"/>
        <w:gridCol w:w="2805"/>
      </w:tblGrid>
      <w:tr w:rsidR="00AD47C0" w:rsidRPr="00892DE3" w:rsidTr="00F042B6">
        <w:trPr>
          <w:cnfStyle w:val="100000000000" w:firstRow="1" w:lastRow="0" w:firstColumn="0" w:lastColumn="0" w:oddVBand="0" w:evenVBand="0" w:oddHBand="0" w:evenHBand="0" w:firstRowFirstColumn="0" w:firstRowLastColumn="0" w:lastRowFirstColumn="0" w:lastRowLastColumn="0"/>
        </w:trPr>
        <w:tc>
          <w:tcPr>
            <w:tcW w:w="677" w:type="pct"/>
            <w:hideMark/>
          </w:tcPr>
          <w:p w:rsidR="00AD47C0" w:rsidRPr="00892DE3" w:rsidRDefault="00AD47C0" w:rsidP="003E2FD6">
            <w:r w:rsidRPr="00892DE3">
              <w:t xml:space="preserve">Agency: </w:t>
            </w:r>
          </w:p>
        </w:tc>
        <w:tc>
          <w:tcPr>
            <w:tcW w:w="2132" w:type="pct"/>
            <w:hideMark/>
          </w:tcPr>
          <w:p w:rsidR="00AD47C0" w:rsidRPr="00892DE3" w:rsidRDefault="00AD47C0" w:rsidP="003E2FD6">
            <w:r w:rsidRPr="00892DE3">
              <w:t xml:space="preserve">Title of report: </w:t>
            </w:r>
          </w:p>
        </w:tc>
        <w:tc>
          <w:tcPr>
            <w:tcW w:w="736" w:type="pct"/>
            <w:hideMark/>
          </w:tcPr>
          <w:p w:rsidR="00AD47C0" w:rsidRPr="00892DE3" w:rsidRDefault="00AD47C0" w:rsidP="003E2FD6">
            <w:r w:rsidRPr="00892DE3">
              <w:t>Date tabled:</w:t>
            </w:r>
          </w:p>
        </w:tc>
        <w:tc>
          <w:tcPr>
            <w:tcW w:w="1455" w:type="pct"/>
            <w:hideMark/>
          </w:tcPr>
          <w:p w:rsidR="00AD47C0" w:rsidRPr="00892DE3" w:rsidRDefault="00AD47C0" w:rsidP="003E2FD6">
            <w:r w:rsidRPr="00892DE3">
              <w:t xml:space="preserve">Files </w:t>
            </w:r>
          </w:p>
        </w:tc>
      </w:tr>
      <w:tr w:rsidR="00AD47C0" w:rsidRPr="00892DE3" w:rsidTr="00F042B6">
        <w:tc>
          <w:tcPr>
            <w:tcW w:w="5000" w:type="pct"/>
            <w:gridSpan w:val="4"/>
            <w:hideMark/>
          </w:tcPr>
          <w:p w:rsidR="00AD47C0" w:rsidRPr="00892DE3" w:rsidRDefault="00AD47C0" w:rsidP="00F042B6"/>
        </w:tc>
      </w:tr>
      <w:tr w:rsidR="00AD47C0" w:rsidRPr="00892DE3" w:rsidTr="00F042B6">
        <w:tc>
          <w:tcPr>
            <w:tcW w:w="677" w:type="pct"/>
          </w:tcPr>
          <w:p w:rsidR="00AD47C0" w:rsidRPr="00892DE3" w:rsidRDefault="00AD47C0" w:rsidP="00F042B6">
            <w:pPr>
              <w:rPr>
                <w:rFonts w:asciiTheme="minorHAnsi" w:hAnsiTheme="minorHAnsi" w:cstheme="minorHAnsi"/>
              </w:rPr>
            </w:pPr>
            <w:r w:rsidRPr="00892DE3">
              <w:rPr>
                <w:rFonts w:asciiTheme="minorHAnsi" w:hAnsiTheme="minorHAnsi" w:cstheme="minorHAnsi"/>
              </w:rPr>
              <w:t>Parliament of Victoria</w:t>
            </w:r>
          </w:p>
        </w:tc>
        <w:tc>
          <w:tcPr>
            <w:tcW w:w="2132" w:type="pct"/>
          </w:tcPr>
          <w:p w:rsidR="00AD47C0" w:rsidRPr="00892DE3" w:rsidRDefault="003C212D" w:rsidP="00F042B6">
            <w:pPr>
              <w:rPr>
                <w:rFonts w:asciiTheme="minorHAnsi" w:hAnsiTheme="minorHAnsi" w:cstheme="minorHAnsi"/>
                <w:szCs w:val="20"/>
              </w:rPr>
            </w:pPr>
            <w:hyperlink r:id="rId238" w:history="1">
              <w:r w:rsidR="00AD47C0" w:rsidRPr="00892DE3">
                <w:rPr>
                  <w:rStyle w:val="Hyperlink"/>
                  <w:rFonts w:asciiTheme="minorHAnsi" w:hAnsiTheme="minorHAnsi" w:cstheme="minorHAnsi"/>
                  <w:szCs w:val="20"/>
                </w:rPr>
                <w:t>Register of Members' Interests - Summary of Primary Return - November 2016 and Summary of Variations Notified between 2 September 2016 and 18 November 2016</w:t>
              </w:r>
            </w:hyperlink>
          </w:p>
        </w:tc>
        <w:tc>
          <w:tcPr>
            <w:tcW w:w="736" w:type="pct"/>
          </w:tcPr>
          <w:p w:rsidR="00AD47C0" w:rsidRPr="00892DE3" w:rsidRDefault="00AD47C0" w:rsidP="00F042B6">
            <w:pPr>
              <w:jc w:val="center"/>
              <w:rPr>
                <w:rFonts w:asciiTheme="minorHAnsi" w:hAnsiTheme="minorHAnsi" w:cstheme="minorHAnsi"/>
              </w:rPr>
            </w:pPr>
            <w:r w:rsidRPr="00892DE3">
              <w:rPr>
                <w:rFonts w:asciiTheme="minorHAnsi" w:hAnsiTheme="minorHAnsi" w:cstheme="minorHAnsi"/>
              </w:rPr>
              <w:t>2016/11/22</w:t>
            </w:r>
          </w:p>
        </w:tc>
        <w:tc>
          <w:tcPr>
            <w:tcW w:w="1455" w:type="pct"/>
          </w:tcPr>
          <w:p w:rsidR="00AD47C0" w:rsidRPr="00892DE3" w:rsidRDefault="00AD47C0" w:rsidP="00F042B6">
            <w:pPr>
              <w:spacing w:after="300" w:line="300" w:lineRule="atLeast"/>
              <w:rPr>
                <w:rFonts w:asciiTheme="minorHAnsi" w:hAnsiTheme="minorHAnsi" w:cstheme="minorHAnsi"/>
                <w:color w:val="000000"/>
                <w:szCs w:val="18"/>
              </w:rPr>
            </w:pPr>
            <w:r w:rsidRPr="00892DE3">
              <w:rPr>
                <w:rFonts w:cstheme="minorHAnsi"/>
                <w:noProof/>
                <w:color w:val="0088CC"/>
                <w:lang w:eastAsia="en-AU"/>
              </w:rPr>
              <w:drawing>
                <wp:inline distT="0" distB="0" distL="0" distR="0" wp14:anchorId="70DF3D72" wp14:editId="3F452FA2">
                  <wp:extent cx="457200" cy="228600"/>
                  <wp:effectExtent l="0" t="0" r="0" b="0"/>
                  <wp:docPr id="34" name="Picture 34" descr="Register_of_Interests_-_2_September_2016_to_18_November_2016_HgF7vXsF.pdf">
                    <a:hlinkClick xmlns:a="http://schemas.openxmlformats.org/drawingml/2006/main" r:id="rId239" tooltip="&quot;Register_of_Interests_-_2_September_2016_to_18_November_2016_HgF7vXsF.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gister_of_Interests_-_2_September_2016_to_18_November_2016_HgF7vXsF.pdf">
                            <a:hlinkClick r:id="rId239" tooltip="&quot;Register_of_Interests_-_2_September_2016_to_18_November_2016_HgF7vXsF.pdf&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AD47C0" w:rsidRPr="00892DE3" w:rsidRDefault="00AD47C0" w:rsidP="00F042B6">
            <w:pPr>
              <w:rPr>
                <w:rFonts w:asciiTheme="minorHAnsi" w:hAnsiTheme="minorHAnsi" w:cstheme="minorHAnsi"/>
                <w:noProof/>
                <w:szCs w:val="20"/>
                <w:lang w:eastAsia="en-AU"/>
              </w:rPr>
            </w:pPr>
            <w:r w:rsidRPr="00892DE3">
              <w:rPr>
                <w:rFonts w:asciiTheme="minorHAnsi" w:hAnsiTheme="minorHAnsi" w:cstheme="minorHAnsi"/>
                <w:color w:val="000000"/>
                <w:szCs w:val="20"/>
              </w:rPr>
              <w:t>Register of Interests 2 September 2016 to 18 November 2016</w:t>
            </w:r>
          </w:p>
        </w:tc>
      </w:tr>
      <w:tr w:rsidR="00AD47C0" w:rsidRPr="00892DE3" w:rsidTr="00F042B6">
        <w:tc>
          <w:tcPr>
            <w:tcW w:w="677" w:type="pct"/>
            <w:hideMark/>
          </w:tcPr>
          <w:p w:rsidR="00AD47C0" w:rsidRPr="00892DE3" w:rsidRDefault="00AD47C0" w:rsidP="00F042B6">
            <w:pPr>
              <w:rPr>
                <w:rFonts w:asciiTheme="minorHAnsi" w:hAnsiTheme="minorHAnsi" w:cstheme="minorHAnsi"/>
              </w:rPr>
            </w:pPr>
            <w:r w:rsidRPr="00892DE3">
              <w:rPr>
                <w:rFonts w:asciiTheme="minorHAnsi" w:hAnsiTheme="minorHAnsi" w:cstheme="minorHAnsi"/>
              </w:rPr>
              <w:t xml:space="preserve">Parliament of Victoria </w:t>
            </w:r>
          </w:p>
        </w:tc>
        <w:tc>
          <w:tcPr>
            <w:tcW w:w="2132" w:type="pct"/>
            <w:hideMark/>
          </w:tcPr>
          <w:p w:rsidR="00AD47C0" w:rsidRPr="00892DE3" w:rsidRDefault="003C212D" w:rsidP="00F042B6">
            <w:pPr>
              <w:rPr>
                <w:rFonts w:asciiTheme="minorHAnsi" w:hAnsiTheme="minorHAnsi" w:cstheme="minorHAnsi"/>
              </w:rPr>
            </w:pPr>
            <w:hyperlink r:id="rId241" w:history="1">
              <w:r w:rsidR="00AD47C0" w:rsidRPr="00892DE3">
                <w:rPr>
                  <w:rStyle w:val="Hyperlink"/>
                  <w:rFonts w:asciiTheme="minorHAnsi" w:hAnsiTheme="minorHAnsi" w:cstheme="minorHAnsi"/>
                </w:rPr>
                <w:t>Register of Members' Interests – Cumulative Summary of Returns as at 30 September 2016</w:t>
              </w:r>
            </w:hyperlink>
            <w:r w:rsidR="00AD47C0" w:rsidRPr="00892DE3">
              <w:rPr>
                <w:rFonts w:asciiTheme="minorHAnsi" w:hAnsiTheme="minorHAnsi" w:cstheme="minorHAnsi"/>
              </w:rPr>
              <w:t xml:space="preserve"> </w:t>
            </w:r>
          </w:p>
        </w:tc>
        <w:tc>
          <w:tcPr>
            <w:tcW w:w="736" w:type="pct"/>
            <w:hideMark/>
          </w:tcPr>
          <w:p w:rsidR="00AD47C0" w:rsidRPr="00892DE3" w:rsidRDefault="00AD47C0" w:rsidP="00F042B6">
            <w:pPr>
              <w:jc w:val="center"/>
              <w:rPr>
                <w:rFonts w:asciiTheme="minorHAnsi" w:hAnsiTheme="minorHAnsi" w:cstheme="minorHAnsi"/>
              </w:rPr>
            </w:pPr>
            <w:r w:rsidRPr="00892DE3">
              <w:rPr>
                <w:rFonts w:asciiTheme="minorHAnsi" w:hAnsiTheme="minorHAnsi" w:cstheme="minorHAnsi"/>
              </w:rPr>
              <w:t>2016/10/13</w:t>
            </w:r>
          </w:p>
        </w:tc>
        <w:tc>
          <w:tcPr>
            <w:tcW w:w="1455" w:type="pct"/>
            <w:hideMark/>
          </w:tcPr>
          <w:p w:rsidR="00AD47C0" w:rsidRPr="00892DE3" w:rsidRDefault="00AD47C0" w:rsidP="00F042B6">
            <w:pPr>
              <w:rPr>
                <w:rFonts w:asciiTheme="minorHAnsi" w:hAnsiTheme="minorHAnsi" w:cstheme="minorHAnsi"/>
              </w:rPr>
            </w:pPr>
            <w:r w:rsidRPr="00892DE3">
              <w:rPr>
                <w:rFonts w:cstheme="minorHAnsi"/>
                <w:noProof/>
                <w:lang w:eastAsia="en-AU"/>
              </w:rPr>
              <w:drawing>
                <wp:inline distT="0" distB="0" distL="0" distR="0" wp14:anchorId="5C411F02" wp14:editId="494F82AB">
                  <wp:extent cx="461010" cy="230505"/>
                  <wp:effectExtent l="0" t="0" r="0" b="0"/>
                  <wp:docPr id="35" name="Picture 35" descr="Cumulative_Summary_of_Returns_as_at_30_September_2016_VbDPLyg3.pdf">
                    <a:hlinkClick xmlns:a="http://schemas.openxmlformats.org/drawingml/2006/main" r:id="rId242" tooltip="&quot;Cumulative_Summary_of_Returns_as_at_30_September_2016_VbDPLyg3.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ulative_Summary_of_Returns_as_at_30_September_2016_VbDPLyg3.pdf">
                            <a:hlinkClick r:id="rId242" tooltip="&quot;Cumulative_Summary_of_Returns_as_at_30_September_2016_VbDPLyg3.pdf&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1010" cy="230505"/>
                          </a:xfrm>
                          <a:prstGeom prst="rect">
                            <a:avLst/>
                          </a:prstGeom>
                          <a:noFill/>
                          <a:ln>
                            <a:noFill/>
                          </a:ln>
                        </pic:spPr>
                      </pic:pic>
                    </a:graphicData>
                  </a:graphic>
                </wp:inline>
              </w:drawing>
            </w:r>
          </w:p>
          <w:p w:rsidR="00AD47C0" w:rsidRPr="00892DE3" w:rsidRDefault="00AD47C0" w:rsidP="00F042B6">
            <w:pPr>
              <w:rPr>
                <w:rFonts w:asciiTheme="minorHAnsi" w:hAnsiTheme="minorHAnsi" w:cstheme="minorHAnsi"/>
              </w:rPr>
            </w:pPr>
            <w:r w:rsidRPr="00892DE3">
              <w:rPr>
                <w:rFonts w:asciiTheme="minorHAnsi" w:hAnsiTheme="minorHAnsi" w:cstheme="minorHAnsi"/>
              </w:rPr>
              <w:t xml:space="preserve">Cumulative Summary of Returns as at 30 September 2016 </w:t>
            </w:r>
          </w:p>
        </w:tc>
      </w:tr>
    </w:tbl>
    <w:p w:rsidR="00AD47C0" w:rsidRPr="00892DE3" w:rsidRDefault="00AD47C0" w:rsidP="00AD47C0"/>
    <w:p w:rsidR="00860890" w:rsidRDefault="00860890" w:rsidP="00AD47C0">
      <w:pPr>
        <w:keepLines w:val="0"/>
        <w:spacing w:line="240" w:lineRule="atLeast"/>
        <w:sectPr w:rsidR="00860890" w:rsidSect="00860890">
          <w:headerReference w:type="even" r:id="rId243"/>
          <w:headerReference w:type="default" r:id="rId244"/>
          <w:pgSz w:w="11906" w:h="16838" w:code="9"/>
          <w:pgMar w:top="1134" w:right="1134" w:bottom="1134" w:left="1134" w:header="624" w:footer="567" w:gutter="0"/>
          <w:cols w:space="360"/>
          <w:docGrid w:linePitch="245"/>
        </w:sectPr>
      </w:pPr>
    </w:p>
    <w:p w:rsidR="008509AD" w:rsidRPr="00CF5FE1" w:rsidRDefault="008509AD" w:rsidP="00F97E48">
      <w:pPr>
        <w:pStyle w:val="Heading2nonTOC"/>
        <w:spacing w:after="240"/>
      </w:pPr>
      <w:r w:rsidRPr="00CF5FE1">
        <w:t xml:space="preserve">Appendix </w:t>
      </w:r>
      <w:r w:rsidR="0094531C" w:rsidRPr="00CF5FE1">
        <w:t>10</w:t>
      </w:r>
      <w:r w:rsidRPr="00CF5FE1">
        <w:t>B – Fact Sheet</w:t>
      </w:r>
    </w:p>
    <w:p w:rsidR="008509AD" w:rsidRPr="00E63670" w:rsidRDefault="008509AD" w:rsidP="00DE6480">
      <w:pPr>
        <w:pStyle w:val="Heading3unnumbered"/>
        <w:spacing w:line="276" w:lineRule="auto"/>
        <w:rPr>
          <w:color w:val="0063A6" w:themeColor="accent1"/>
          <w:sz w:val="22"/>
        </w:rPr>
      </w:pPr>
      <w:r w:rsidRPr="00E63670">
        <w:rPr>
          <w:color w:val="0063A6" w:themeColor="accent1"/>
          <w:sz w:val="22"/>
        </w:rPr>
        <w:t xml:space="preserve">Definition of Key Management Personnel (KMP) </w:t>
      </w:r>
    </w:p>
    <w:p w:rsidR="008509AD" w:rsidRPr="00892DE3" w:rsidRDefault="008509AD" w:rsidP="00CF5FE1">
      <w:pPr>
        <w:keepLines w:val="0"/>
        <w:spacing w:after="240" w:line="276" w:lineRule="auto"/>
      </w:pPr>
      <w:r w:rsidRPr="00892DE3">
        <w:t xml:space="preserve">KMP are those people with the authority and responsibility for planning, directing and controlling the activities of the entity, directly or indirectly i.e. those charged with decision-making responsibilities. </w:t>
      </w:r>
    </w:p>
    <w:p w:rsidR="008509AD" w:rsidRPr="00E63670" w:rsidRDefault="008509AD" w:rsidP="00CF5FE1">
      <w:pPr>
        <w:pStyle w:val="Heading3unnumbered"/>
        <w:spacing w:line="276" w:lineRule="auto"/>
        <w:rPr>
          <w:color w:val="0063A6" w:themeColor="accent1"/>
          <w:sz w:val="22"/>
        </w:rPr>
      </w:pPr>
      <w:r w:rsidRPr="00E63670">
        <w:rPr>
          <w:color w:val="0063A6" w:themeColor="accent1"/>
          <w:sz w:val="22"/>
        </w:rPr>
        <w:t>KMP for the State</w:t>
      </w:r>
    </w:p>
    <w:p w:rsidR="008509AD" w:rsidRPr="00892DE3" w:rsidRDefault="008509AD" w:rsidP="00CF5FE1">
      <w:pPr>
        <w:keepLines w:val="0"/>
        <w:spacing w:after="240" w:line="276" w:lineRule="auto"/>
      </w:pPr>
      <w:r w:rsidRPr="00892DE3">
        <w:t>Cabinet is the principal decision making body of the government. All cabinet members will be considered KMP of the State.</w:t>
      </w:r>
    </w:p>
    <w:p w:rsidR="008509AD" w:rsidRPr="00E63670" w:rsidRDefault="008509AD" w:rsidP="00CF5FE1">
      <w:pPr>
        <w:pStyle w:val="Heading3unnumbered"/>
        <w:spacing w:line="276" w:lineRule="auto"/>
        <w:rPr>
          <w:color w:val="0063A6" w:themeColor="accent1"/>
          <w:sz w:val="22"/>
        </w:rPr>
      </w:pPr>
      <w:r w:rsidRPr="00E63670">
        <w:rPr>
          <w:color w:val="0063A6" w:themeColor="accent1"/>
          <w:sz w:val="22"/>
        </w:rPr>
        <w:t xml:space="preserve">KMP for departments and agencies </w:t>
      </w:r>
    </w:p>
    <w:p w:rsidR="008509AD" w:rsidRPr="00892DE3" w:rsidRDefault="008509AD" w:rsidP="00DE6480">
      <w:pPr>
        <w:keepLines w:val="0"/>
        <w:spacing w:line="276" w:lineRule="auto"/>
        <w:rPr>
          <w:b/>
        </w:rPr>
      </w:pPr>
      <w:r w:rsidRPr="00892DE3">
        <w:rPr>
          <w:b/>
        </w:rPr>
        <w:t>Portfolio Ministers</w:t>
      </w:r>
    </w:p>
    <w:p w:rsidR="008509AD" w:rsidRPr="00892DE3" w:rsidRDefault="008509AD" w:rsidP="00CF5FE1">
      <w:pPr>
        <w:keepLines w:val="0"/>
        <w:spacing w:after="240" w:line="276" w:lineRule="auto"/>
      </w:pPr>
      <w:r w:rsidRPr="00892DE3">
        <w:t xml:space="preserve">Portfolio ministers are responsible for the oversight of their relevant portfolio departments and entities. So, the Portfolio ministers will be considered KMP of their respective departments and agencies.  </w:t>
      </w:r>
    </w:p>
    <w:p w:rsidR="008509AD" w:rsidRPr="00892DE3" w:rsidRDefault="008509AD" w:rsidP="00DE6480">
      <w:pPr>
        <w:keepLines w:val="0"/>
        <w:spacing w:line="276" w:lineRule="auto"/>
        <w:rPr>
          <w:b/>
        </w:rPr>
      </w:pPr>
      <w:r w:rsidRPr="00892DE3">
        <w:rPr>
          <w:b/>
        </w:rPr>
        <w:t xml:space="preserve">Relevant executives of the entity  </w:t>
      </w:r>
    </w:p>
    <w:p w:rsidR="008509AD" w:rsidRPr="00892DE3" w:rsidRDefault="008509AD" w:rsidP="00CF5FE1">
      <w:pPr>
        <w:keepLines w:val="0"/>
        <w:spacing w:after="240" w:line="276" w:lineRule="auto"/>
      </w:pPr>
      <w:r w:rsidRPr="00892DE3">
        <w:t xml:space="preserve">In general, members forming an entity’s governing board have the strategic decision-making authority for the planning, directing and controlling of the overall activities of the entity. As a result, members of the governing board will typically be considered KMP of the entity. </w:t>
      </w:r>
    </w:p>
    <w:p w:rsidR="008509AD" w:rsidRPr="00892DE3" w:rsidRDefault="008509AD" w:rsidP="00CF5FE1">
      <w:pPr>
        <w:keepLines w:val="0"/>
        <w:spacing w:after="240" w:line="276" w:lineRule="auto"/>
      </w:pPr>
      <w:r w:rsidRPr="00CF5FE1">
        <w:rPr>
          <w:b/>
        </w:rPr>
        <w:t>As a guide for departments</w:t>
      </w:r>
      <w:r w:rsidRPr="00892DE3">
        <w:t>, KMP may include members of the Senior Executive Group (i.e. the Secretary and divisional Deputy Secretaries) as they are responsible for the delivery of the department’s services, and have the authority and responsibility for planning, directing and controlling the activities of the entity.</w:t>
      </w:r>
    </w:p>
    <w:p w:rsidR="008509AD" w:rsidRPr="00892DE3" w:rsidRDefault="008509AD" w:rsidP="00DE6480">
      <w:pPr>
        <w:keepLines w:val="0"/>
        <w:spacing w:line="276" w:lineRule="auto"/>
      </w:pPr>
      <w:r w:rsidRPr="00CF5FE1">
        <w:rPr>
          <w:b/>
        </w:rPr>
        <w:t>As a guide for agencies</w:t>
      </w:r>
      <w:r w:rsidRPr="00892DE3">
        <w:t xml:space="preserve">, KMP may include the Board of Directors and the executive management team, as they are considered to be ultimately responsible for planning, directing and controlling the activities of the entity. As the Board is the agency’s governing body, they are responsible for ensuring the entity’s strategic objectives are achieved, whilst the executive management team, who report to the Board, are responsible for the  execution and authority of the day-to-day operations of the entity. </w:t>
      </w:r>
    </w:p>
    <w:p w:rsidR="008509AD" w:rsidRPr="00892DE3" w:rsidRDefault="008509AD" w:rsidP="00CF5FE1">
      <w:pPr>
        <w:keepLines w:val="0"/>
        <w:spacing w:after="240" w:line="276" w:lineRule="auto"/>
      </w:pPr>
      <w:r w:rsidRPr="00892DE3">
        <w:t xml:space="preserve">For executives or senior managers that have been delegated the operational authority for specific functions of the entity (i.e. Director of Human Resources or Assistant Director of Financial Reporting), they will not be considered as KMP for the purposes of AASB 124. </w:t>
      </w:r>
    </w:p>
    <w:p w:rsidR="008509AD" w:rsidRPr="00CF5FE1" w:rsidRDefault="008509AD" w:rsidP="00CF5FE1">
      <w:pPr>
        <w:keepLines w:val="0"/>
        <w:spacing w:after="240" w:line="276" w:lineRule="auto"/>
        <w:rPr>
          <w:b/>
        </w:rPr>
      </w:pPr>
      <w:r w:rsidRPr="00CF5FE1">
        <w:rPr>
          <w:b/>
        </w:rPr>
        <w:t xml:space="preserve">Departments and agencies should exercise judgement to determine who will be considered a KMP based on the specific facts and circumstances, particularly given officer titles at departments and agencies can vary. </w:t>
      </w:r>
    </w:p>
    <w:p w:rsidR="008509AD" w:rsidRPr="00892DE3" w:rsidRDefault="008509AD" w:rsidP="00CF5FE1">
      <w:pPr>
        <w:keepLines w:val="0"/>
        <w:spacing w:after="240" w:line="276" w:lineRule="auto"/>
      </w:pPr>
      <w:r w:rsidRPr="00CF5FE1">
        <w:rPr>
          <w:b/>
        </w:rPr>
        <w:t>Attention should also be given to ‘de-facto’ decision makers. ‘De-facto’ decision makers are persons that are not party of the governing board, but have the strategic decision making authority</w:t>
      </w:r>
      <w:r w:rsidRPr="00892DE3">
        <w:t xml:space="preserve">. If such persons exist, they will be considered as KMP and should be disclosed in accordance with AASB 124. It should be noted that while it is rare to have ‘de-facto’ decision makers in the public sector, departments and entities should undertake an assessment to determine whether the ‘de-facto’ decision makers exist or not. </w:t>
      </w:r>
    </w:p>
    <w:p w:rsidR="00F97E48" w:rsidRDefault="00F97E48">
      <w:pPr>
        <w:keepLines w:val="0"/>
        <w:rPr>
          <w:rFonts w:ascii="Arial" w:eastAsiaTheme="majorEastAsia" w:hAnsi="Arial" w:cstheme="majorBidi"/>
          <w:b/>
          <w:bCs/>
          <w:color w:val="0063A6" w:themeColor="accent1"/>
          <w:spacing w:val="-2"/>
          <w:sz w:val="20"/>
          <w:szCs w:val="26"/>
        </w:rPr>
      </w:pPr>
      <w:r>
        <w:rPr>
          <w:color w:val="0063A6" w:themeColor="accent1"/>
        </w:rPr>
        <w:br w:type="page"/>
      </w:r>
    </w:p>
    <w:p w:rsidR="008509AD" w:rsidRPr="00E63670" w:rsidRDefault="008509AD" w:rsidP="00CF5FE1">
      <w:pPr>
        <w:pStyle w:val="Heading3unnumbered"/>
        <w:spacing w:line="276" w:lineRule="auto"/>
        <w:rPr>
          <w:color w:val="0063A6" w:themeColor="accent1"/>
          <w:sz w:val="22"/>
        </w:rPr>
      </w:pPr>
      <w:r w:rsidRPr="00E63670">
        <w:rPr>
          <w:color w:val="0063A6" w:themeColor="accent1"/>
          <w:sz w:val="22"/>
        </w:rPr>
        <w:t>Definition of related parties</w:t>
      </w:r>
    </w:p>
    <w:p w:rsidR="008509AD" w:rsidRPr="00892DE3" w:rsidRDefault="008509AD" w:rsidP="00DE6480">
      <w:pPr>
        <w:keepLines w:val="0"/>
        <w:spacing w:line="276" w:lineRule="auto"/>
      </w:pPr>
      <w:r w:rsidRPr="00892DE3">
        <w:t>A related party is defined by the standard as a person or an entity that is related to the State controlled reporting entity that is preparing its financial statements.</w:t>
      </w:r>
    </w:p>
    <w:p w:rsidR="008509AD" w:rsidRPr="00892DE3" w:rsidRDefault="008509AD" w:rsidP="00DE6480">
      <w:pPr>
        <w:keepLines w:val="0"/>
        <w:spacing w:line="276" w:lineRule="auto"/>
      </w:pPr>
      <w:r w:rsidRPr="00892DE3">
        <w:t>This includes:</w:t>
      </w:r>
    </w:p>
    <w:p w:rsidR="008509AD" w:rsidRPr="00892DE3" w:rsidRDefault="008509AD" w:rsidP="00DE6480">
      <w:pPr>
        <w:pStyle w:val="ListBullet"/>
        <w:spacing w:line="276" w:lineRule="auto"/>
      </w:pPr>
      <w:r w:rsidRPr="00892DE3">
        <w:t>KMP of the reporting entity or of the State, or</w:t>
      </w:r>
    </w:p>
    <w:p w:rsidR="008509AD" w:rsidRPr="00892DE3" w:rsidRDefault="008509AD" w:rsidP="00DE6480">
      <w:pPr>
        <w:pStyle w:val="ListBullet"/>
        <w:spacing w:line="276" w:lineRule="auto"/>
      </w:pPr>
      <w:r w:rsidRPr="00892DE3">
        <w:t>a close family member of the KMP, or</w:t>
      </w:r>
    </w:p>
    <w:p w:rsidR="008509AD" w:rsidRPr="00892DE3" w:rsidRDefault="008509AD" w:rsidP="00DE6480">
      <w:pPr>
        <w:pStyle w:val="ListBullet"/>
        <w:spacing w:line="276" w:lineRule="auto"/>
      </w:pPr>
      <w:r w:rsidRPr="00892DE3">
        <w:t xml:space="preserve">the KMP’s or their close family member’s personal related entities (for example, companies, partnerships, interest in joint ventures, etc). </w:t>
      </w:r>
    </w:p>
    <w:p w:rsidR="008509AD" w:rsidRPr="00892DE3" w:rsidRDefault="008509AD" w:rsidP="00DE6480">
      <w:pPr>
        <w:keepLines w:val="0"/>
        <w:spacing w:line="276" w:lineRule="auto"/>
      </w:pPr>
      <w:r w:rsidRPr="00892DE3">
        <w:t>Personal related entities include any entities that the KMP or their close family member:</w:t>
      </w:r>
    </w:p>
    <w:p w:rsidR="008509AD" w:rsidRPr="00892DE3" w:rsidRDefault="008509AD" w:rsidP="00DE6480">
      <w:pPr>
        <w:pStyle w:val="ListBullet"/>
        <w:spacing w:line="276" w:lineRule="auto"/>
      </w:pPr>
      <w:r w:rsidRPr="00892DE3">
        <w:t>has significant influence of the entity; or</w:t>
      </w:r>
    </w:p>
    <w:p w:rsidR="008509AD" w:rsidRPr="00892DE3" w:rsidRDefault="008509AD" w:rsidP="00DE6480">
      <w:pPr>
        <w:pStyle w:val="ListBullet"/>
        <w:spacing w:line="276" w:lineRule="auto"/>
      </w:pPr>
      <w:r w:rsidRPr="00892DE3">
        <w:t xml:space="preserve">the KMP or their close family member has control or joint control over the reporting entity. </w:t>
      </w:r>
    </w:p>
    <w:p w:rsidR="008509AD" w:rsidRPr="00892DE3" w:rsidRDefault="008509AD" w:rsidP="00DE6480">
      <w:pPr>
        <w:keepLines w:val="0"/>
        <w:spacing w:line="276" w:lineRule="auto"/>
      </w:pPr>
      <w:r w:rsidRPr="00892DE3">
        <w:rPr>
          <w:b/>
        </w:rPr>
        <w:t>Close family members</w:t>
      </w:r>
      <w:r w:rsidRPr="00892DE3">
        <w:t xml:space="preserve"> are defined as those family members who may be expected to influence, or be influenced by, that person in their dealings with the entity and include: </w:t>
      </w:r>
    </w:p>
    <w:p w:rsidR="008509AD" w:rsidRPr="00892DE3" w:rsidRDefault="008509AD" w:rsidP="00DE6480">
      <w:pPr>
        <w:pStyle w:val="List"/>
        <w:spacing w:line="276" w:lineRule="auto"/>
      </w:pPr>
      <w:r w:rsidRPr="00892DE3">
        <w:t>(a)</w:t>
      </w:r>
      <w:r w:rsidRPr="00892DE3">
        <w:tab/>
        <w:t>that person’s children and spouse or domestic partner;</w:t>
      </w:r>
    </w:p>
    <w:p w:rsidR="008509AD" w:rsidRPr="00892DE3" w:rsidRDefault="008509AD" w:rsidP="00DE6480">
      <w:pPr>
        <w:pStyle w:val="List"/>
        <w:spacing w:line="276" w:lineRule="auto"/>
      </w:pPr>
      <w:r w:rsidRPr="00892DE3">
        <w:t>(b)</w:t>
      </w:r>
      <w:r w:rsidRPr="00892DE3">
        <w:tab/>
        <w:t xml:space="preserve">children of that person’s spouse or domestic partner; and </w:t>
      </w:r>
    </w:p>
    <w:p w:rsidR="008509AD" w:rsidRPr="00892DE3" w:rsidRDefault="008509AD" w:rsidP="00E5118B">
      <w:pPr>
        <w:pStyle w:val="List"/>
        <w:spacing w:after="240" w:line="276" w:lineRule="auto"/>
      </w:pPr>
      <w:r w:rsidRPr="00892DE3">
        <w:t>(c)</w:t>
      </w:r>
      <w:r w:rsidRPr="00892DE3">
        <w:tab/>
        <w:t xml:space="preserve">dependents of that person or that person’s spouse or domestic partner. </w:t>
      </w:r>
    </w:p>
    <w:p w:rsidR="008509AD" w:rsidRPr="00892DE3" w:rsidRDefault="008509AD" w:rsidP="00E5118B">
      <w:pPr>
        <w:keepLines w:val="0"/>
        <w:spacing w:after="240" w:line="276" w:lineRule="auto"/>
      </w:pPr>
      <w:r w:rsidRPr="00892DE3">
        <w:t>‘</w:t>
      </w:r>
      <w:r w:rsidRPr="00E5118B">
        <w:rPr>
          <w:b/>
        </w:rPr>
        <w:t>Children</w:t>
      </w:r>
      <w:r w:rsidRPr="00892DE3">
        <w:t xml:space="preserve">’ include step, adoptive, dependent, non-dependent, adult children and children not living at home (unless they are estranged). </w:t>
      </w:r>
    </w:p>
    <w:p w:rsidR="008509AD" w:rsidRPr="00892DE3" w:rsidRDefault="008509AD" w:rsidP="00E5118B">
      <w:pPr>
        <w:keepLines w:val="0"/>
        <w:spacing w:after="240" w:line="276" w:lineRule="auto"/>
      </w:pPr>
      <w:r w:rsidRPr="00892DE3">
        <w:t>‘</w:t>
      </w:r>
      <w:r w:rsidRPr="00E5118B">
        <w:rPr>
          <w:b/>
        </w:rPr>
        <w:t>Spouse</w:t>
      </w:r>
      <w:r w:rsidRPr="00892DE3">
        <w:t>’ or ‘</w:t>
      </w:r>
      <w:r w:rsidRPr="00E5118B">
        <w:rPr>
          <w:b/>
        </w:rPr>
        <w:t>domestic partner</w:t>
      </w:r>
      <w:r w:rsidRPr="00892DE3">
        <w:t xml:space="preserve">’ includes married, de facto, civil union partnerships, but excludes separated or divorced spouses or partners. </w:t>
      </w:r>
    </w:p>
    <w:p w:rsidR="008509AD" w:rsidRPr="00892DE3" w:rsidRDefault="008509AD" w:rsidP="00E5118B">
      <w:pPr>
        <w:keepLines w:val="0"/>
        <w:spacing w:after="240" w:line="276" w:lineRule="auto"/>
      </w:pPr>
      <w:r w:rsidRPr="00E5118B">
        <w:rPr>
          <w:b/>
        </w:rPr>
        <w:t>Dependents</w:t>
      </w:r>
      <w:r w:rsidRPr="00892DE3">
        <w:t xml:space="preserve"> are any family members who are financially supported by KMP, KMP’s spouse or domestic partner and may include siblings, parents, elderly dependents, such as grandparents, or disabled family members. </w:t>
      </w:r>
    </w:p>
    <w:p w:rsidR="008509AD" w:rsidRPr="00E5118B" w:rsidRDefault="008509AD" w:rsidP="00E5118B">
      <w:pPr>
        <w:keepLines w:val="0"/>
        <w:spacing w:after="240" w:line="276" w:lineRule="auto"/>
      </w:pPr>
      <w:r w:rsidRPr="00E5118B">
        <w:t xml:space="preserve">It should be noted that while the definition of close family members does not specifically include siblings, parents and other extended family, regard must be given to relationships of other family members i.e. those outside the immediate family that may be expected to influence, or be influenced by a KMP’s decisions, in which case they would need to be taken into consideration on a case by case basis it is expected that transactions with other family members outside the immediate family that the KMP is aware of are also taken into consideration for declaration on a case-by-case basis if the relationship can be reasonably expected to influence, or be influenced by the KMP dealing with the entity. </w:t>
      </w:r>
      <w:r w:rsidR="00836EDE" w:rsidRPr="00E5118B">
        <w:t xml:space="preserve">This may include cousins, siblings and any other members of their extended family. </w:t>
      </w:r>
      <w:r w:rsidRPr="00E5118B">
        <w:t>This will be a matter of judgement by respective parties.</w:t>
      </w:r>
    </w:p>
    <w:p w:rsidR="008509AD" w:rsidRPr="00892DE3" w:rsidRDefault="008509AD" w:rsidP="00DE6480">
      <w:pPr>
        <w:keepLines w:val="0"/>
        <w:spacing w:line="276" w:lineRule="auto"/>
      </w:pPr>
      <w:r w:rsidRPr="00892DE3">
        <w:rPr>
          <w:b/>
        </w:rPr>
        <w:t>Significant influence</w:t>
      </w:r>
      <w:r w:rsidRPr="00892DE3">
        <w:t xml:space="preserve"> is having the power to participate in or ability to affect the financial and operating policy decisions of the KMP. </w:t>
      </w:r>
    </w:p>
    <w:p w:rsidR="008509AD" w:rsidRPr="00892DE3" w:rsidRDefault="008509AD" w:rsidP="00DE6480">
      <w:pPr>
        <w:keepLines w:val="0"/>
        <w:spacing w:line="276" w:lineRule="auto"/>
      </w:pPr>
      <w:r w:rsidRPr="00E5118B">
        <w:rPr>
          <w:b/>
        </w:rPr>
        <w:t>Control</w:t>
      </w:r>
      <w:r w:rsidRPr="00892DE3">
        <w:t xml:space="preserve"> is defined as the power to govern the financial and operating policies of an entity so as to obtain benefits from its activities. </w:t>
      </w:r>
      <w:r w:rsidRPr="00E5118B">
        <w:rPr>
          <w:b/>
        </w:rPr>
        <w:t>Joint control</w:t>
      </w:r>
      <w:r w:rsidRPr="00892DE3">
        <w:t xml:space="preserve"> is the contractually agreed sharing of control over an economic activity. An entity controlled or jointly controlled by KMP and KMP’s close family members means that KMP and/or any close family members have the ability or power to direct an entity’s relevant activities that can significantly affect its returns, and have rights or exposure to the financial and non-financial returns of the entity. </w:t>
      </w:r>
    </w:p>
    <w:p w:rsidR="009C6C31" w:rsidRPr="00892DE3" w:rsidRDefault="008509AD" w:rsidP="00DE6480">
      <w:pPr>
        <w:keepLines w:val="0"/>
        <w:spacing w:line="276" w:lineRule="auto"/>
      </w:pPr>
      <w:r w:rsidRPr="00892DE3">
        <w:t xml:space="preserve">Types of entities include companies, partnerships, sole traders and trusts.  </w:t>
      </w:r>
    </w:p>
    <w:p w:rsidR="009C6C31" w:rsidRPr="00E63670" w:rsidRDefault="009C6C31" w:rsidP="00DE6480">
      <w:pPr>
        <w:pStyle w:val="Heading3unnumbered"/>
        <w:spacing w:line="276" w:lineRule="auto"/>
        <w:rPr>
          <w:color w:val="0063A6" w:themeColor="accent1"/>
          <w:sz w:val="22"/>
        </w:rPr>
      </w:pPr>
      <w:r w:rsidRPr="00E63670">
        <w:rPr>
          <w:color w:val="0063A6" w:themeColor="accent1"/>
          <w:sz w:val="22"/>
        </w:rPr>
        <w:t xml:space="preserve">Related parties for public sector entities </w:t>
      </w:r>
    </w:p>
    <w:p w:rsidR="009C6C31" w:rsidRPr="00892DE3" w:rsidRDefault="009C6C31" w:rsidP="00DE6480">
      <w:pPr>
        <w:keepLines w:val="0"/>
        <w:spacing w:line="276" w:lineRule="auto"/>
      </w:pPr>
      <w:r w:rsidRPr="00892DE3">
        <w:t xml:space="preserve">As all Cabinet ministers are considered KMP of the State, they are also related parties of the State and all its controlled entities (i.e. departments and agencies) . </w:t>
      </w:r>
    </w:p>
    <w:p w:rsidR="009C6C31" w:rsidRPr="00892DE3" w:rsidRDefault="009C6C31" w:rsidP="00DE6480">
      <w:pPr>
        <w:keepLines w:val="0"/>
        <w:spacing w:line="276" w:lineRule="auto"/>
      </w:pPr>
      <w:r w:rsidRPr="00892DE3">
        <w:t xml:space="preserve">Assessment will need to be performed at the department and agency level to determine the related parties of executives who are KMP of the entity. </w:t>
      </w:r>
    </w:p>
    <w:p w:rsidR="00F97E48" w:rsidRDefault="00F97E48">
      <w:pPr>
        <w:keepLines w:val="0"/>
        <w:rPr>
          <w:rFonts w:ascii="Arial" w:eastAsiaTheme="majorEastAsia" w:hAnsi="Arial" w:cstheme="majorBidi"/>
          <w:b/>
          <w:bCs/>
          <w:color w:val="0063A6" w:themeColor="accent1"/>
          <w:spacing w:val="-2"/>
          <w:sz w:val="20"/>
          <w:szCs w:val="26"/>
        </w:rPr>
      </w:pPr>
      <w:r>
        <w:rPr>
          <w:color w:val="0063A6" w:themeColor="accent1"/>
        </w:rPr>
        <w:br w:type="page"/>
      </w:r>
    </w:p>
    <w:p w:rsidR="009C6C31" w:rsidRPr="00E63670" w:rsidRDefault="009C6C31" w:rsidP="00CF5FE1">
      <w:pPr>
        <w:pStyle w:val="Heading3unnumbered"/>
        <w:spacing w:line="276" w:lineRule="auto"/>
        <w:rPr>
          <w:color w:val="0063A6" w:themeColor="accent1"/>
          <w:sz w:val="22"/>
        </w:rPr>
      </w:pPr>
      <w:r w:rsidRPr="00E63670">
        <w:rPr>
          <w:color w:val="0063A6" w:themeColor="accent1"/>
          <w:sz w:val="22"/>
        </w:rPr>
        <w:t>What is a related party transaction</w:t>
      </w:r>
      <w:r w:rsidR="00F97E48" w:rsidRPr="00E63670">
        <w:rPr>
          <w:color w:val="0063A6" w:themeColor="accent1"/>
          <w:sz w:val="22"/>
        </w:rPr>
        <w:t>?</w:t>
      </w:r>
    </w:p>
    <w:p w:rsidR="00F97E48" w:rsidRDefault="009C6C31" w:rsidP="00E63670">
      <w:pPr>
        <w:keepLines w:val="0"/>
        <w:spacing w:line="276" w:lineRule="auto"/>
      </w:pPr>
      <w:r w:rsidRPr="00892DE3">
        <w:t>Under AASB 124, a related party transaction is any transfer of resources, services or obligations between a reporting entity and a related party, regardless of whether a price is charged.</w:t>
      </w:r>
    </w:p>
    <w:p w:rsidR="00CF5FE1" w:rsidRPr="00892DE3" w:rsidRDefault="009C6C31" w:rsidP="00CF5FE1">
      <w:pPr>
        <w:keepLines w:val="0"/>
        <w:spacing w:line="360" w:lineRule="auto"/>
      </w:pPr>
      <w:r w:rsidRPr="00892DE3">
        <w:t xml:space="preserve">Examples of </w:t>
      </w:r>
      <w:r w:rsidRPr="00892DE3">
        <w:rPr>
          <w:u w:val="single"/>
        </w:rPr>
        <w:t>related party relationships</w:t>
      </w:r>
      <w:r w:rsidRPr="00892DE3">
        <w:t xml:space="preserve"> include the following: </w:t>
      </w:r>
    </w:p>
    <w:tbl>
      <w:tblPr>
        <w:tblStyle w:val="DTFTable"/>
        <w:tblW w:w="0" w:type="auto"/>
        <w:tblLook w:val="04A0" w:firstRow="1" w:lastRow="0" w:firstColumn="1" w:lastColumn="0" w:noHBand="0" w:noVBand="1"/>
      </w:tblPr>
      <w:tblGrid>
        <w:gridCol w:w="4874"/>
        <w:gridCol w:w="4850"/>
      </w:tblGrid>
      <w:tr w:rsidR="00045914" w:rsidRPr="00892DE3" w:rsidTr="00E51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4" w:type="dxa"/>
            <w:gridSpan w:val="2"/>
            <w:tcBorders>
              <w:top w:val="single" w:sz="2" w:space="0" w:color="808080" w:themeColor="background1" w:themeShade="80"/>
              <w:bottom w:val="single" w:sz="2" w:space="0" w:color="808080" w:themeColor="background1" w:themeShade="80"/>
            </w:tcBorders>
            <w:shd w:val="clear" w:color="auto" w:fill="BFBFBF" w:themeFill="background1" w:themeFillShade="BF"/>
          </w:tcPr>
          <w:p w:rsidR="00045914" w:rsidRPr="00CF5FE1" w:rsidRDefault="00045914" w:rsidP="00DB3D85">
            <w:pPr>
              <w:spacing w:line="276" w:lineRule="auto"/>
              <w:rPr>
                <w:rFonts w:asciiTheme="minorHAnsi" w:hAnsiTheme="minorHAnsi" w:cstheme="minorHAnsi"/>
                <w:i w:val="0"/>
                <w:sz w:val="18"/>
                <w:szCs w:val="17"/>
              </w:rPr>
            </w:pPr>
            <w:r w:rsidRPr="00CF5FE1">
              <w:rPr>
                <w:rFonts w:asciiTheme="minorHAnsi" w:hAnsiTheme="minorHAnsi" w:cstheme="minorHAnsi"/>
                <w:b/>
                <w:i w:val="0"/>
                <w:sz w:val="18"/>
                <w:szCs w:val="17"/>
              </w:rPr>
              <w:t>Related party relationships under AASB 124 include:</w:t>
            </w:r>
            <w:r w:rsidRPr="00CF5FE1">
              <w:rPr>
                <w:rFonts w:asciiTheme="minorHAnsi" w:hAnsiTheme="minorHAnsi" w:cstheme="minorHAnsi"/>
                <w:i w:val="0"/>
                <w:sz w:val="18"/>
                <w:szCs w:val="17"/>
              </w:rPr>
              <w:t xml:space="preserve"> </w:t>
            </w:r>
          </w:p>
          <w:p w:rsidR="00DB3D85" w:rsidRPr="00366272" w:rsidRDefault="00DB3D85" w:rsidP="00DB3D85">
            <w:pPr>
              <w:pStyle w:val="ListParagraph"/>
              <w:numPr>
                <w:ilvl w:val="0"/>
                <w:numId w:val="45"/>
              </w:numPr>
              <w:spacing w:before="160" w:line="276" w:lineRule="auto"/>
              <w:rPr>
                <w:rFonts w:asciiTheme="minorHAnsi" w:hAnsiTheme="minorHAnsi" w:cstheme="minorHAnsi"/>
                <w:i w:val="0"/>
                <w:sz w:val="18"/>
                <w:szCs w:val="17"/>
              </w:rPr>
            </w:pPr>
            <w:r w:rsidRPr="00DB3D85">
              <w:rPr>
                <w:rFonts w:asciiTheme="minorHAnsi" w:hAnsiTheme="minorHAnsi" w:cstheme="minorHAnsi"/>
                <w:i w:val="0"/>
                <w:sz w:val="18"/>
                <w:szCs w:val="17"/>
              </w:rPr>
              <w:t>Close family members employed in a senior position by the Victorian Government. A senior position is a position that has decision making responsibility of a KMP.</w:t>
            </w:r>
          </w:p>
          <w:p w:rsidR="00045914" w:rsidRPr="00892DE3" w:rsidRDefault="00DB3D85" w:rsidP="00DB3D85">
            <w:pPr>
              <w:pStyle w:val="ListParagraph"/>
              <w:numPr>
                <w:ilvl w:val="0"/>
                <w:numId w:val="45"/>
              </w:numPr>
              <w:spacing w:before="160" w:after="100" w:line="276" w:lineRule="auto"/>
              <w:rPr>
                <w:rFonts w:asciiTheme="minorHAnsi" w:hAnsiTheme="minorHAnsi" w:cstheme="minorHAnsi"/>
                <w:szCs w:val="17"/>
              </w:rPr>
            </w:pPr>
            <w:r w:rsidRPr="00DB3D85">
              <w:rPr>
                <w:rFonts w:asciiTheme="minorHAnsi" w:hAnsiTheme="minorHAnsi" w:cstheme="minorHAnsi"/>
                <w:i w:val="0"/>
                <w:sz w:val="18"/>
                <w:szCs w:val="17"/>
              </w:rPr>
              <w:t>Any transactions by the KMP, close family members or related entity that comprise of a non-standard contract or agreement with the entity that you are a KMP of, or any entity controlled by the entity that you are a KMP of.</w:t>
            </w:r>
          </w:p>
        </w:tc>
      </w:tr>
      <w:tr w:rsidR="00045914" w:rsidRPr="00892DE3" w:rsidTr="00CF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4" w:type="dxa"/>
            <w:tcBorders>
              <w:top w:val="single" w:sz="2" w:space="0" w:color="808080" w:themeColor="background1" w:themeShade="80"/>
              <w:bottom w:val="single" w:sz="2" w:space="0" w:color="808080" w:themeColor="background1" w:themeShade="80"/>
            </w:tcBorders>
            <w:shd w:val="clear" w:color="auto" w:fill="FFFFFF" w:themeFill="background1"/>
          </w:tcPr>
          <w:p w:rsidR="00045914" w:rsidRPr="00CF5FE1" w:rsidRDefault="00045914" w:rsidP="00DB3D85">
            <w:pPr>
              <w:keepLines w:val="0"/>
              <w:spacing w:line="276" w:lineRule="auto"/>
              <w:rPr>
                <w:rFonts w:asciiTheme="minorHAnsi" w:hAnsiTheme="minorHAnsi" w:cstheme="minorHAnsi"/>
                <w:sz w:val="18"/>
                <w:szCs w:val="17"/>
              </w:rPr>
            </w:pPr>
            <w:r w:rsidRPr="00CF5FE1">
              <w:rPr>
                <w:rFonts w:asciiTheme="minorHAnsi" w:hAnsiTheme="minorHAnsi" w:cstheme="minorHAnsi"/>
                <w:sz w:val="18"/>
                <w:szCs w:val="17"/>
              </w:rPr>
              <w:t>Cabinet Minister’s wife is the Secretary of a department.</w:t>
            </w:r>
          </w:p>
          <w:p w:rsidR="00045914" w:rsidRPr="00CF5FE1" w:rsidRDefault="00045914" w:rsidP="00DB3D85">
            <w:pPr>
              <w:keepLines w:val="0"/>
              <w:spacing w:line="276" w:lineRule="auto"/>
              <w:rPr>
                <w:rFonts w:asciiTheme="minorHAnsi" w:hAnsiTheme="minorHAnsi" w:cstheme="minorHAnsi"/>
                <w:sz w:val="18"/>
              </w:rPr>
            </w:pPr>
          </w:p>
        </w:tc>
        <w:tc>
          <w:tcPr>
            <w:tcW w:w="4850" w:type="dxa"/>
            <w:tcBorders>
              <w:top w:val="single" w:sz="2" w:space="0" w:color="808080" w:themeColor="background1" w:themeShade="80"/>
              <w:bottom w:val="single" w:sz="2" w:space="0" w:color="808080" w:themeColor="background1" w:themeShade="80"/>
            </w:tcBorders>
            <w:shd w:val="clear" w:color="auto" w:fill="FFFFFF" w:themeFill="background1"/>
          </w:tcPr>
          <w:p w:rsidR="00045914" w:rsidRPr="00CF5FE1" w:rsidRDefault="00045914" w:rsidP="00DB3D85">
            <w:pPr>
              <w:keepLines w:val="0"/>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CF5FE1">
              <w:rPr>
                <w:rFonts w:asciiTheme="minorHAnsi" w:hAnsiTheme="minorHAnsi" w:cstheme="minorHAnsi"/>
                <w:sz w:val="18"/>
                <w:szCs w:val="17"/>
              </w:rPr>
              <w:t>Deputy Secretary’s son owns a company that has a contract to provide web design services to his department.</w:t>
            </w:r>
          </w:p>
        </w:tc>
      </w:tr>
      <w:tr w:rsidR="00045914" w:rsidRPr="00892DE3" w:rsidTr="00103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4" w:type="dxa"/>
            <w:tcBorders>
              <w:top w:val="single" w:sz="2" w:space="0" w:color="808080" w:themeColor="background1" w:themeShade="80"/>
              <w:bottom w:val="single" w:sz="12" w:space="0" w:color="808080" w:themeColor="background1" w:themeShade="80"/>
            </w:tcBorders>
            <w:shd w:val="clear" w:color="auto" w:fill="D9D9D9" w:themeFill="background1" w:themeFillShade="D9"/>
          </w:tcPr>
          <w:p w:rsidR="00045914" w:rsidRPr="00CF5FE1" w:rsidRDefault="00045914" w:rsidP="00DB3D85">
            <w:pPr>
              <w:keepLines w:val="0"/>
              <w:spacing w:line="276" w:lineRule="auto"/>
              <w:ind w:left="0" w:firstLine="0"/>
              <w:rPr>
                <w:rFonts w:asciiTheme="minorHAnsi" w:hAnsiTheme="minorHAnsi" w:cstheme="minorHAnsi"/>
                <w:sz w:val="18"/>
              </w:rPr>
            </w:pPr>
            <w:r w:rsidRPr="00CF5FE1">
              <w:rPr>
                <w:rFonts w:asciiTheme="minorHAnsi" w:hAnsiTheme="minorHAnsi" w:cstheme="minorHAnsi"/>
                <w:sz w:val="18"/>
                <w:szCs w:val="17"/>
              </w:rPr>
              <w:t>Portfolio Minister’s daughter-in-law is a board member of a PNFC entity within his portfolio</w:t>
            </w:r>
          </w:p>
        </w:tc>
        <w:tc>
          <w:tcPr>
            <w:tcW w:w="4850" w:type="dxa"/>
            <w:tcBorders>
              <w:top w:val="single" w:sz="2" w:space="0" w:color="808080" w:themeColor="background1" w:themeShade="80"/>
              <w:bottom w:val="single" w:sz="12" w:space="0" w:color="808080" w:themeColor="background1" w:themeShade="80"/>
            </w:tcBorders>
            <w:shd w:val="clear" w:color="auto" w:fill="D9D9D9" w:themeFill="background1" w:themeFillShade="D9"/>
          </w:tcPr>
          <w:p w:rsidR="00045914" w:rsidRPr="00CF5FE1" w:rsidRDefault="00045914" w:rsidP="00DB3D85">
            <w:pPr>
              <w:keepLines w:val="0"/>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CF5FE1">
              <w:rPr>
                <w:rFonts w:asciiTheme="minorHAnsi" w:hAnsiTheme="minorHAnsi" w:cstheme="minorHAnsi"/>
                <w:sz w:val="18"/>
                <w:szCs w:val="17"/>
              </w:rPr>
              <w:t xml:space="preserve">Board member jointly owns a company that has made a significant acquisition of a block of land from the public sector agency he is a board member of.  </w:t>
            </w:r>
          </w:p>
        </w:tc>
      </w:tr>
    </w:tbl>
    <w:p w:rsidR="00F97E48" w:rsidRDefault="00F97E48" w:rsidP="00CF5FE1">
      <w:pPr>
        <w:spacing w:line="360" w:lineRule="auto"/>
      </w:pPr>
    </w:p>
    <w:p w:rsidR="001B29CF" w:rsidRPr="00892DE3" w:rsidRDefault="001B29CF" w:rsidP="00CF5FE1">
      <w:pPr>
        <w:spacing w:line="360" w:lineRule="auto"/>
      </w:pPr>
      <w:r w:rsidRPr="00892DE3">
        <w:t xml:space="preserve">Examples of </w:t>
      </w:r>
      <w:r w:rsidRPr="00892DE3">
        <w:rPr>
          <w:u w:val="single"/>
        </w:rPr>
        <w:t>related party transactions</w:t>
      </w:r>
      <w:r w:rsidRPr="00892DE3">
        <w:t xml:space="preserve"> include the following: </w:t>
      </w:r>
    </w:p>
    <w:tbl>
      <w:tblPr>
        <w:tblStyle w:val="DTFTable"/>
        <w:tblW w:w="0" w:type="auto"/>
        <w:tblLook w:val="04A0" w:firstRow="1" w:lastRow="0" w:firstColumn="1" w:lastColumn="0" w:noHBand="0" w:noVBand="1"/>
      </w:tblPr>
      <w:tblGrid>
        <w:gridCol w:w="4870"/>
        <w:gridCol w:w="4854"/>
      </w:tblGrid>
      <w:tr w:rsidR="00045914" w:rsidRPr="00E5118B" w:rsidTr="00E51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4" w:type="dxa"/>
            <w:gridSpan w:val="2"/>
            <w:tcBorders>
              <w:top w:val="single" w:sz="2" w:space="0" w:color="808080" w:themeColor="background1" w:themeShade="80"/>
              <w:bottom w:val="single" w:sz="2" w:space="0" w:color="808080" w:themeColor="background1" w:themeShade="80"/>
            </w:tcBorders>
            <w:shd w:val="clear" w:color="auto" w:fill="BFBFBF" w:themeFill="background1" w:themeFillShade="BF"/>
          </w:tcPr>
          <w:p w:rsidR="00045914" w:rsidRPr="00E5118B" w:rsidRDefault="00045914" w:rsidP="00E5118B">
            <w:pPr>
              <w:spacing w:line="360" w:lineRule="auto"/>
              <w:rPr>
                <w:i w:val="0"/>
                <w:sz w:val="18"/>
                <w:szCs w:val="17"/>
              </w:rPr>
            </w:pPr>
            <w:r w:rsidRPr="00E5118B">
              <w:rPr>
                <w:b/>
                <w:i w:val="0"/>
                <w:sz w:val="18"/>
                <w:szCs w:val="17"/>
              </w:rPr>
              <w:t>Related party transactions under AASB 124:</w:t>
            </w:r>
            <w:r w:rsidRPr="00E5118B">
              <w:rPr>
                <w:i w:val="0"/>
                <w:sz w:val="18"/>
                <w:szCs w:val="17"/>
              </w:rPr>
              <w:t xml:space="preserve"> </w:t>
            </w:r>
          </w:p>
          <w:p w:rsidR="00045914" w:rsidRPr="00E5118B" w:rsidRDefault="00045914" w:rsidP="0052741D">
            <w:pPr>
              <w:pStyle w:val="ListParagraph"/>
              <w:numPr>
                <w:ilvl w:val="0"/>
                <w:numId w:val="46"/>
              </w:numPr>
              <w:spacing w:line="276" w:lineRule="auto"/>
              <w:rPr>
                <w:sz w:val="18"/>
              </w:rPr>
            </w:pPr>
            <w:r w:rsidRPr="00E5118B">
              <w:rPr>
                <w:i w:val="0"/>
                <w:sz w:val="18"/>
                <w:szCs w:val="17"/>
              </w:rPr>
              <w:t>Any transactions by the KMP, close family members or a related entity that comprise of a contract or agreement with an entity controlled by the State.</w:t>
            </w:r>
          </w:p>
        </w:tc>
      </w:tr>
      <w:tr w:rsidR="00DB3D85" w:rsidRPr="00E5118B" w:rsidTr="00E5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2" w:space="0" w:color="808080" w:themeColor="background1" w:themeShade="80"/>
            </w:tcBorders>
            <w:shd w:val="clear" w:color="auto" w:fill="FFFFFF" w:themeFill="background1"/>
          </w:tcPr>
          <w:p w:rsidR="00DB3D85" w:rsidRPr="00DB3D85" w:rsidRDefault="00DB3D85" w:rsidP="00DB3D85">
            <w:pPr>
              <w:spacing w:line="276" w:lineRule="auto"/>
              <w:ind w:left="0" w:firstLine="0"/>
              <w:rPr>
                <w:sz w:val="18"/>
              </w:rPr>
            </w:pPr>
            <w:r w:rsidRPr="00DB3D85">
              <w:rPr>
                <w:sz w:val="18"/>
              </w:rPr>
              <w:t>Loans to/from the entity that you are a KMP of, or any entity controlled by the entity that you are a KMP of.</w:t>
            </w:r>
          </w:p>
        </w:tc>
        <w:tc>
          <w:tcPr>
            <w:tcW w:w="4854" w:type="dxa"/>
            <w:tcBorders>
              <w:top w:val="single" w:sz="2" w:space="0" w:color="808080" w:themeColor="background1" w:themeShade="80"/>
              <w:bottom w:val="single" w:sz="2" w:space="0" w:color="808080" w:themeColor="background1" w:themeShade="80"/>
            </w:tcBorders>
            <w:shd w:val="clear" w:color="auto" w:fill="FFFFFF" w:themeFill="background1"/>
          </w:tcPr>
          <w:p w:rsidR="00DB3D85" w:rsidRPr="00DB3D85" w:rsidRDefault="00DB3D85" w:rsidP="00DB3D85">
            <w:pPr>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DB3D85">
              <w:rPr>
                <w:sz w:val="18"/>
              </w:rPr>
              <w:t>Equity contribution from an entity that you are a KMP of, or any entity controlled by the entity that you are a KMP of, to a related party entity.</w:t>
            </w:r>
          </w:p>
        </w:tc>
      </w:tr>
      <w:tr w:rsidR="00DB3D85" w:rsidRPr="00E5118B" w:rsidTr="00F97E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2" w:space="0" w:color="808080" w:themeColor="background1" w:themeShade="80"/>
            </w:tcBorders>
            <w:shd w:val="clear" w:color="auto" w:fill="D9D9D9" w:themeFill="background1" w:themeFillShade="D9"/>
          </w:tcPr>
          <w:p w:rsidR="00DB3D85" w:rsidRPr="00DB3D85" w:rsidRDefault="00DB3D85" w:rsidP="00DB3D85">
            <w:pPr>
              <w:spacing w:line="276" w:lineRule="auto"/>
              <w:ind w:left="0" w:firstLine="0"/>
              <w:rPr>
                <w:sz w:val="18"/>
              </w:rPr>
            </w:pPr>
            <w:r w:rsidRPr="00DB3D85">
              <w:rPr>
                <w:sz w:val="18"/>
              </w:rPr>
              <w:t>Debts forgiven or partially forgiven by the entity that you are a KMP of, or any entity controlled by the entity that you are a KMP of.</w:t>
            </w:r>
          </w:p>
        </w:tc>
        <w:tc>
          <w:tcPr>
            <w:tcW w:w="4854" w:type="dxa"/>
            <w:tcBorders>
              <w:top w:val="single" w:sz="2" w:space="0" w:color="808080" w:themeColor="background1" w:themeShade="80"/>
              <w:bottom w:val="single" w:sz="2" w:space="0" w:color="808080" w:themeColor="background1" w:themeShade="80"/>
            </w:tcBorders>
            <w:shd w:val="clear" w:color="auto" w:fill="D9D9D9" w:themeFill="background1" w:themeFillShade="D9"/>
          </w:tcPr>
          <w:p w:rsidR="00DB3D85" w:rsidRPr="00DB3D85" w:rsidRDefault="00DB3D85" w:rsidP="00DB3D85">
            <w:pPr>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DB3D85">
              <w:rPr>
                <w:sz w:val="18"/>
              </w:rPr>
              <w:t>Collateral, indemnity or guarantee received from/given to the entity that you are a KMP of, or any entity controlled by the entity that you are a KMP of.</w:t>
            </w:r>
          </w:p>
        </w:tc>
      </w:tr>
      <w:tr w:rsidR="00DB3D85" w:rsidRPr="00E5118B" w:rsidTr="00E5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2" w:space="0" w:color="808080" w:themeColor="background1" w:themeShade="80"/>
            </w:tcBorders>
            <w:shd w:val="clear" w:color="auto" w:fill="FFFFFF" w:themeFill="background1"/>
          </w:tcPr>
          <w:p w:rsidR="00DB3D85" w:rsidRPr="00DB3D85" w:rsidRDefault="00DB3D85" w:rsidP="00DB3D85">
            <w:pPr>
              <w:spacing w:line="276" w:lineRule="auto"/>
              <w:ind w:left="0" w:firstLine="0"/>
              <w:rPr>
                <w:sz w:val="18"/>
              </w:rPr>
            </w:pPr>
            <w:r w:rsidRPr="00DB3D85">
              <w:rPr>
                <w:sz w:val="18"/>
              </w:rPr>
              <w:t>Settlement of liabilities on behalf of you, your close family members or entities controlled or jointly controlled by you and your close family members, by the entity that you are a KMP of, or any entity controlled by the entity that you are a KMP of.</w:t>
            </w:r>
          </w:p>
        </w:tc>
        <w:tc>
          <w:tcPr>
            <w:tcW w:w="4854" w:type="dxa"/>
            <w:tcBorders>
              <w:top w:val="single" w:sz="2" w:space="0" w:color="808080" w:themeColor="background1" w:themeShade="80"/>
              <w:bottom w:val="single" w:sz="2" w:space="0" w:color="808080" w:themeColor="background1" w:themeShade="80"/>
            </w:tcBorders>
            <w:shd w:val="clear" w:color="auto" w:fill="FFFFFF" w:themeFill="background1"/>
          </w:tcPr>
          <w:p w:rsidR="00DB3D85" w:rsidRPr="00DB3D85" w:rsidRDefault="00DB3D85" w:rsidP="00DB3D85">
            <w:pPr>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DB3D85">
              <w:rPr>
                <w:sz w:val="18"/>
              </w:rPr>
              <w:t>Receipt/payment of ex-gratia payments or receipt of grants or subsidies greater than $5,000 (individually) from/to the entity that you are a KMP of, or any entity controlled by the entity that you are a KMP of.</w:t>
            </w:r>
          </w:p>
        </w:tc>
      </w:tr>
      <w:tr w:rsidR="00DB3D85" w:rsidRPr="00E5118B" w:rsidTr="00F97E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2" w:space="0" w:color="808080" w:themeColor="background1" w:themeShade="80"/>
            </w:tcBorders>
            <w:shd w:val="clear" w:color="auto" w:fill="D9D9D9" w:themeFill="background1" w:themeFillShade="D9"/>
          </w:tcPr>
          <w:p w:rsidR="00DB3D85" w:rsidRPr="00DB3D85" w:rsidRDefault="00DB3D85" w:rsidP="00DB3D85">
            <w:pPr>
              <w:spacing w:line="276" w:lineRule="auto"/>
              <w:ind w:left="0" w:firstLine="0"/>
              <w:rPr>
                <w:sz w:val="18"/>
              </w:rPr>
            </w:pPr>
            <w:r w:rsidRPr="00DB3D85">
              <w:rPr>
                <w:sz w:val="18"/>
              </w:rPr>
              <w:t>Receipt of dividend income from, or payment of dividends to, an entity that you are a KMP of, or any entity controlled by the entity that you are a KMP of.</w:t>
            </w:r>
          </w:p>
        </w:tc>
        <w:tc>
          <w:tcPr>
            <w:tcW w:w="4854" w:type="dxa"/>
            <w:tcBorders>
              <w:top w:val="single" w:sz="2" w:space="0" w:color="808080" w:themeColor="background1" w:themeShade="80"/>
              <w:bottom w:val="single" w:sz="2" w:space="0" w:color="808080" w:themeColor="background1" w:themeShade="80"/>
            </w:tcBorders>
            <w:shd w:val="clear" w:color="auto" w:fill="D9D9D9" w:themeFill="background1" w:themeFillShade="D9"/>
          </w:tcPr>
          <w:p w:rsidR="00DB3D85" w:rsidRPr="00DB3D85" w:rsidRDefault="00DB3D85" w:rsidP="00DB3D85">
            <w:pPr>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DB3D85">
              <w:rPr>
                <w:sz w:val="18"/>
              </w:rPr>
              <w:t>Receipt/recognition of entitlement of interest income from or incurrence of interest expense to the entity that you are a KMP of, or any entity controlled by the entity that you are a KMP of.</w:t>
            </w:r>
          </w:p>
        </w:tc>
      </w:tr>
      <w:tr w:rsidR="00DB3D85" w:rsidRPr="00E5118B" w:rsidTr="00E5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2" w:space="0" w:color="808080" w:themeColor="background1" w:themeShade="80"/>
            </w:tcBorders>
            <w:shd w:val="clear" w:color="auto" w:fill="FFFFFF" w:themeFill="background1"/>
          </w:tcPr>
          <w:p w:rsidR="00DB3D85" w:rsidRPr="00DB3D85" w:rsidRDefault="00DB3D85" w:rsidP="00DB3D85">
            <w:pPr>
              <w:spacing w:line="276" w:lineRule="auto"/>
              <w:ind w:left="0" w:firstLine="0"/>
              <w:rPr>
                <w:sz w:val="18"/>
              </w:rPr>
            </w:pPr>
            <w:r w:rsidRPr="00DB3D85">
              <w:rPr>
                <w:sz w:val="18"/>
              </w:rPr>
              <w:t>Lease of an asset to/from an entity that you are a KMP of, or any entity controlled by the entity that you are a KMP of.</w:t>
            </w:r>
          </w:p>
        </w:tc>
        <w:tc>
          <w:tcPr>
            <w:tcW w:w="4854" w:type="dxa"/>
            <w:tcBorders>
              <w:top w:val="single" w:sz="2" w:space="0" w:color="808080" w:themeColor="background1" w:themeShade="80"/>
              <w:bottom w:val="single" w:sz="2" w:space="0" w:color="808080" w:themeColor="background1" w:themeShade="80"/>
            </w:tcBorders>
            <w:shd w:val="clear" w:color="auto" w:fill="FFFFFF" w:themeFill="background1"/>
          </w:tcPr>
          <w:p w:rsidR="00DB3D85" w:rsidRPr="00DB3D85" w:rsidRDefault="00DB3D85" w:rsidP="00DB3D85">
            <w:pPr>
              <w:spacing w:line="276" w:lineRule="auto"/>
              <w:jc w:val="left"/>
              <w:cnfStyle w:val="000000100000" w:firstRow="0" w:lastRow="0" w:firstColumn="0" w:lastColumn="0" w:oddVBand="0" w:evenVBand="0" w:oddHBand="1" w:evenHBand="0" w:firstRowFirstColumn="0" w:firstRowLastColumn="0" w:lastRowFirstColumn="0" w:lastRowLastColumn="0"/>
              <w:rPr>
                <w:sz w:val="18"/>
              </w:rPr>
            </w:pPr>
            <w:r w:rsidRPr="00DB3D85">
              <w:rPr>
                <w:sz w:val="18"/>
              </w:rPr>
              <w:t>Provision/purchase of goods/services to/from the entity that you are a KMP of, or any entity controlled by the entity that you are a KMP of.</w:t>
            </w:r>
          </w:p>
        </w:tc>
      </w:tr>
      <w:tr w:rsidR="00DB3D85" w:rsidRPr="00E5118B" w:rsidTr="00F97E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0" w:type="dxa"/>
            <w:tcBorders>
              <w:top w:val="single" w:sz="2" w:space="0" w:color="808080" w:themeColor="background1" w:themeShade="80"/>
              <w:bottom w:val="single" w:sz="12" w:space="0" w:color="808080" w:themeColor="background1" w:themeShade="80"/>
            </w:tcBorders>
            <w:shd w:val="clear" w:color="auto" w:fill="D9D9D9" w:themeFill="background1" w:themeFillShade="D9"/>
          </w:tcPr>
          <w:p w:rsidR="00DB3D85" w:rsidRPr="00DB3D85" w:rsidRDefault="00DB3D85" w:rsidP="00DB3D85">
            <w:pPr>
              <w:spacing w:line="276" w:lineRule="auto"/>
              <w:ind w:left="0" w:firstLine="0"/>
              <w:rPr>
                <w:sz w:val="18"/>
              </w:rPr>
            </w:pPr>
            <w:r w:rsidRPr="00DB3D85">
              <w:rPr>
                <w:sz w:val="18"/>
              </w:rPr>
              <w:t>Purchase or sale of non-financial assets from/to an entity that you are a KMP of, or any entity controlled by the entity that you are a KMP of e.g. land, buildings, intangibles.</w:t>
            </w:r>
          </w:p>
        </w:tc>
        <w:tc>
          <w:tcPr>
            <w:tcW w:w="4854" w:type="dxa"/>
            <w:tcBorders>
              <w:top w:val="single" w:sz="2" w:space="0" w:color="808080" w:themeColor="background1" w:themeShade="80"/>
              <w:bottom w:val="single" w:sz="12" w:space="0" w:color="808080" w:themeColor="background1" w:themeShade="80"/>
            </w:tcBorders>
            <w:shd w:val="clear" w:color="auto" w:fill="D9D9D9" w:themeFill="background1" w:themeFillShade="D9"/>
          </w:tcPr>
          <w:p w:rsidR="00DB3D85" w:rsidRPr="00DB3D85" w:rsidRDefault="00DB3D85" w:rsidP="00DB3D85">
            <w:pPr>
              <w:spacing w:line="276" w:lineRule="auto"/>
              <w:jc w:val="left"/>
              <w:cnfStyle w:val="000000010000" w:firstRow="0" w:lastRow="0" w:firstColumn="0" w:lastColumn="0" w:oddVBand="0" w:evenVBand="0" w:oddHBand="0" w:evenHBand="1" w:firstRowFirstColumn="0" w:firstRowLastColumn="0" w:lastRowFirstColumn="0" w:lastRowLastColumn="0"/>
              <w:rPr>
                <w:sz w:val="18"/>
              </w:rPr>
            </w:pPr>
            <w:r w:rsidRPr="00DB3D85">
              <w:rPr>
                <w:sz w:val="18"/>
              </w:rPr>
              <w:t>Commitment to execute a transaction contingent upon whether an event occurs or does not occur in the future with the entity that you are a KMP of, or any entity controlled by the entity that you are a KMP of.</w:t>
            </w:r>
          </w:p>
        </w:tc>
      </w:tr>
    </w:tbl>
    <w:p w:rsidR="00E63670" w:rsidRPr="00E63670" w:rsidRDefault="00E63670" w:rsidP="00E63670">
      <w:pPr>
        <w:pStyle w:val="BodyText"/>
      </w:pPr>
    </w:p>
    <w:p w:rsidR="001B29CF" w:rsidRPr="00E63670" w:rsidRDefault="001B29CF" w:rsidP="00E5118B">
      <w:pPr>
        <w:pStyle w:val="Heading3unnumbered"/>
        <w:spacing w:line="276" w:lineRule="auto"/>
        <w:rPr>
          <w:color w:val="0063A6" w:themeColor="accent1"/>
          <w:sz w:val="22"/>
        </w:rPr>
      </w:pPr>
      <w:r w:rsidRPr="00E63670">
        <w:rPr>
          <w:color w:val="0063A6" w:themeColor="accent1"/>
          <w:sz w:val="22"/>
        </w:rPr>
        <w:t>Transactions not required to be disclosed</w:t>
      </w:r>
    </w:p>
    <w:p w:rsidR="00F97E48" w:rsidRPr="00DB3D85" w:rsidRDefault="001B29CF" w:rsidP="00DB3D85">
      <w:pPr>
        <w:keepLines w:val="0"/>
        <w:spacing w:line="276" w:lineRule="auto"/>
      </w:pPr>
      <w:r w:rsidRPr="00E5118B">
        <w:t xml:space="preserve">Typical citizen transactions are not required to be disclosed. These transactions are where KMP or a KMP’s close family member interacts with a government entity in the capacity as a citizen. Some Commonwealth examples include paying personal tax or receiving tax refunds, receiving a social welfare benefit, receiving public health services, receiving education or student allowances, purchasing government bonds directly from the market, and obtaining a Medicare rebate when visiting the GP. Some State examples include land tax, stamp duty, council rates and parking fines. </w:t>
      </w:r>
      <w:r w:rsidR="00F97E48">
        <w:rPr>
          <w:color w:val="0063A6" w:themeColor="accent1"/>
        </w:rPr>
        <w:br w:type="page"/>
      </w:r>
    </w:p>
    <w:p w:rsidR="001B29CF" w:rsidRPr="00E63670" w:rsidRDefault="001B29CF" w:rsidP="00E5118B">
      <w:pPr>
        <w:pStyle w:val="Heading3unnumbered"/>
        <w:spacing w:line="276" w:lineRule="auto"/>
        <w:rPr>
          <w:color w:val="0063A6" w:themeColor="accent1"/>
          <w:sz w:val="22"/>
          <w:szCs w:val="18"/>
        </w:rPr>
      </w:pPr>
      <w:r w:rsidRPr="00E63670">
        <w:rPr>
          <w:color w:val="0063A6" w:themeColor="accent1"/>
          <w:sz w:val="22"/>
          <w:szCs w:val="18"/>
        </w:rPr>
        <w:t xml:space="preserve">Disclosure threshold </w:t>
      </w:r>
    </w:p>
    <w:p w:rsidR="001B29CF" w:rsidRPr="00E5118B" w:rsidRDefault="001B29CF" w:rsidP="00E5118B">
      <w:pPr>
        <w:keepLines w:val="0"/>
        <w:spacing w:line="276" w:lineRule="auto"/>
      </w:pPr>
      <w:r w:rsidRPr="00E5118B">
        <w:t xml:space="preserve">Provision/purchase of goods and services with entities controlled by the State of Victoria means there will be a business agreement between (a) the KMP or their related party, and (b) the entity. </w:t>
      </w:r>
    </w:p>
    <w:p w:rsidR="001B29CF" w:rsidRPr="00E5118B" w:rsidRDefault="001B29CF" w:rsidP="00E5118B">
      <w:pPr>
        <w:keepLines w:val="0"/>
        <w:spacing w:line="276" w:lineRule="auto"/>
      </w:pPr>
      <w:r w:rsidRPr="00E5118B">
        <w:t xml:space="preserve">Assets include plant, equipment, land, buildings or businesses. It also includes intangible assets like rights, quotas, and research and development. </w:t>
      </w:r>
    </w:p>
    <w:p w:rsidR="001B29CF" w:rsidRPr="00E5118B" w:rsidRDefault="001B29CF" w:rsidP="00E5118B">
      <w:pPr>
        <w:keepLines w:val="0"/>
        <w:spacing w:line="276" w:lineRule="auto"/>
      </w:pPr>
      <w:r w:rsidRPr="00E5118B">
        <w:t xml:space="preserve">For transactions or contracts on standard terms and conditions of the State, KMP may apply a threshold of $100,000 to exclude declaring those transactions less than the threshold. However, KMP may choose to declare all transactions. For all other transactions or contracts, KMP are required to declare all transactions, regardless of the financial amount. </w:t>
      </w:r>
    </w:p>
    <w:p w:rsidR="001B29CF" w:rsidRPr="00E5118B" w:rsidRDefault="001B29CF" w:rsidP="00E5118B">
      <w:pPr>
        <w:keepLines w:val="0"/>
        <w:spacing w:line="276" w:lineRule="auto"/>
      </w:pPr>
      <w:r w:rsidRPr="00E5118B">
        <w:t xml:space="preserve">For example, where the entity has a standard contract with a KMP’s related party to provide IT equipment for a total value of $60,000 over 3 years, the contract is below the $100,000 threshold. The KMP may elect to not declare the transaction. However, if the contract is to provide services for a total value of $150,000 over 3 years, the contract amount is above the $100,000 threshold. The transaction must be declared even though the service amount each year of $50,000 is below the $100,000 threshold.  </w:t>
      </w:r>
    </w:p>
    <w:p w:rsidR="001B29CF" w:rsidRPr="00E5118B" w:rsidRDefault="001B29CF" w:rsidP="008B71C4">
      <w:pPr>
        <w:keepLines w:val="0"/>
        <w:spacing w:after="240" w:line="276" w:lineRule="auto"/>
      </w:pPr>
      <w:r w:rsidRPr="00E5118B">
        <w:t>An example of a contract or agreement that is not on standard terms and conditions of the State is where the entity has a contract with a KMP’s related party to provide web design services for a total value of $25,000 over 2 years. The negotiations with the KMP’s related party has resulted in an upfront prepayment of the contract in one lump sum prior to any services being rendered, which is not consistent with current procurement terms of the State. As a result, the related party contract would need to be declared regardless of its total value.</w:t>
      </w:r>
    </w:p>
    <w:p w:rsidR="001B29CF" w:rsidRPr="008B71C4" w:rsidRDefault="001B29CF" w:rsidP="008B71C4">
      <w:pPr>
        <w:keepLines w:val="0"/>
        <w:rPr>
          <w:rFonts w:ascii="Arial" w:eastAsiaTheme="majorEastAsia" w:hAnsi="Arial" w:cstheme="majorBidi"/>
          <w:b/>
          <w:bCs/>
          <w:color w:val="0063A6" w:themeColor="accent1"/>
          <w:spacing w:val="-2"/>
          <w:sz w:val="20"/>
        </w:rPr>
      </w:pPr>
      <w:r w:rsidRPr="008B71C4">
        <w:rPr>
          <w:b/>
          <w:color w:val="0063A6" w:themeColor="accent1"/>
          <w:sz w:val="22"/>
        </w:rPr>
        <w:t xml:space="preserve">Declarations of interest </w:t>
      </w:r>
    </w:p>
    <w:p w:rsidR="001B29CF" w:rsidRPr="00E5118B" w:rsidRDefault="001B29CF" w:rsidP="00E5118B">
      <w:pPr>
        <w:keepLines w:val="0"/>
        <w:spacing w:line="276" w:lineRule="auto"/>
      </w:pPr>
      <w:r w:rsidRPr="00E5118B">
        <w:t xml:space="preserve">As part of management’s assessment of completeness, preparers are strongly encouraged to perform transactional searches for any other known related party transactions of their KMP. Entities can identify other related parties of the KMP from the declaration of personal interest forms that ministers and executives are required to complete annually. </w:t>
      </w:r>
    </w:p>
    <w:p w:rsidR="001B29CF" w:rsidRPr="0052741D" w:rsidRDefault="001B29CF" w:rsidP="0052741D">
      <w:pPr>
        <w:pStyle w:val="ListParagraph"/>
        <w:keepLines w:val="0"/>
        <w:numPr>
          <w:ilvl w:val="0"/>
          <w:numId w:val="53"/>
        </w:numPr>
        <w:spacing w:line="276" w:lineRule="auto"/>
        <w:rPr>
          <w:b/>
        </w:rPr>
      </w:pPr>
      <w:r w:rsidRPr="0052741D">
        <w:rPr>
          <w:b/>
        </w:rPr>
        <w:t>Portfolio ministers</w:t>
      </w:r>
    </w:p>
    <w:p w:rsidR="001B29CF" w:rsidRPr="00E5118B" w:rsidRDefault="001B29CF" w:rsidP="00E5118B">
      <w:pPr>
        <w:keepLines w:val="0"/>
        <w:spacing w:line="276" w:lineRule="auto"/>
      </w:pPr>
      <w:r w:rsidRPr="00E5118B">
        <w:t xml:space="preserve">Members of the Victorian Parliament, must declare their personal interests under the </w:t>
      </w:r>
      <w:r w:rsidRPr="00DB3D85">
        <w:rPr>
          <w:i/>
        </w:rPr>
        <w:t>Members of Parliament (Register of Interests) Act 1978</w:t>
      </w:r>
      <w:r w:rsidRPr="00E5118B">
        <w:t xml:space="preserve">. These declarations form a register of members’ interest. A cumulative summary of the register is publicly available each September on the Parliament of Victoria website (http://www.parliament.vic.gov.au/publications/register-of-interests). </w:t>
      </w:r>
    </w:p>
    <w:p w:rsidR="001B29CF" w:rsidRPr="0052741D" w:rsidRDefault="001B29CF" w:rsidP="0052741D">
      <w:pPr>
        <w:pStyle w:val="ListParagraph"/>
        <w:keepLines w:val="0"/>
        <w:numPr>
          <w:ilvl w:val="0"/>
          <w:numId w:val="53"/>
        </w:numPr>
        <w:spacing w:line="276" w:lineRule="auto"/>
        <w:rPr>
          <w:b/>
        </w:rPr>
      </w:pPr>
      <w:r w:rsidRPr="0052741D">
        <w:rPr>
          <w:b/>
        </w:rPr>
        <w:t>Executives</w:t>
      </w:r>
    </w:p>
    <w:p w:rsidR="001B29CF" w:rsidRPr="00892DE3" w:rsidRDefault="001B29CF" w:rsidP="00E5118B">
      <w:pPr>
        <w:keepLines w:val="0"/>
        <w:spacing w:line="276" w:lineRule="auto"/>
      </w:pPr>
      <w:r w:rsidRPr="00892DE3">
        <w:t xml:space="preserve">In accordance with the </w:t>
      </w:r>
      <w:r w:rsidRPr="00DB3D85">
        <w:rPr>
          <w:i/>
        </w:rPr>
        <w:t>Public Administration Act 2004</w:t>
      </w:r>
      <w:r w:rsidRPr="00892DE3">
        <w:t xml:space="preserve"> and the Code of Conduct for Victorian Public Sector Employees 2015, all executive officers (including public entity board appointees) are required to complete the entity’s </w:t>
      </w:r>
      <w:r w:rsidRPr="00DB3D85">
        <w:rPr>
          <w:i/>
        </w:rPr>
        <w:t>Declaration and management of private interest form</w:t>
      </w:r>
      <w:r w:rsidRPr="00892DE3">
        <w:t xml:space="preserve"> upon appointment, annually after appointment and within five working days after the employee’s circumstances change. Entities will need to liaise with their Human Resources Shared Services team (or departmental equivalent) to access these forms.</w:t>
      </w:r>
    </w:p>
    <w:p w:rsidR="00F26054" w:rsidRDefault="00F26054">
      <w:pPr>
        <w:keepLines w:val="0"/>
        <w:rPr>
          <w:rFonts w:ascii="Arial" w:eastAsiaTheme="majorEastAsia" w:hAnsi="Arial" w:cstheme="majorBidi"/>
          <w:b/>
          <w:bCs/>
          <w:color w:val="0063A6" w:themeColor="accent1"/>
          <w:spacing w:val="-2"/>
          <w:sz w:val="22"/>
        </w:rPr>
      </w:pPr>
      <w:r>
        <w:rPr>
          <w:color w:val="0063A6" w:themeColor="accent1"/>
          <w:sz w:val="22"/>
        </w:rPr>
        <w:br w:type="page"/>
      </w:r>
    </w:p>
    <w:p w:rsidR="001B29CF" w:rsidRPr="00E63670" w:rsidRDefault="001B29CF" w:rsidP="00E5118B">
      <w:pPr>
        <w:pStyle w:val="Heading3unnumbered"/>
        <w:spacing w:line="276" w:lineRule="auto"/>
        <w:rPr>
          <w:color w:val="0063A6" w:themeColor="accent1"/>
          <w:sz w:val="22"/>
          <w:szCs w:val="18"/>
        </w:rPr>
      </w:pPr>
      <w:r w:rsidRPr="00E63670">
        <w:rPr>
          <w:color w:val="0063A6" w:themeColor="accent1"/>
          <w:sz w:val="22"/>
          <w:szCs w:val="18"/>
        </w:rPr>
        <w:t xml:space="preserve">Preparation of related party disclosure note </w:t>
      </w:r>
    </w:p>
    <w:p w:rsidR="001B29CF" w:rsidRPr="00892DE3" w:rsidRDefault="001B29CF" w:rsidP="001B29CF">
      <w:pPr>
        <w:pStyle w:val="Heading3unnumbered"/>
      </w:pPr>
      <w:r w:rsidRPr="00892DE3">
        <w:t xml:space="preserve">Accessibility of KMP declaration certificates </w:t>
      </w:r>
    </w:p>
    <w:p w:rsidR="001B29CF" w:rsidRPr="00892DE3" w:rsidRDefault="001B29CF" w:rsidP="001B29CF">
      <w:pPr>
        <w:keepLines w:val="0"/>
      </w:pPr>
      <w:r w:rsidRPr="00892DE3">
        <w:t xml:space="preserve">The information collected (declared) will enable departments and agencies to review the information received from their respective KMP to support drafting of the related party disclosures for the inclusion in the relevant departments and agencies related party note. </w:t>
      </w:r>
    </w:p>
    <w:p w:rsidR="001B29CF" w:rsidRPr="00892DE3" w:rsidRDefault="001B29CF" w:rsidP="0052741D">
      <w:pPr>
        <w:keepLines w:val="0"/>
        <w:spacing w:after="240"/>
      </w:pPr>
      <w:r w:rsidRPr="00892DE3">
        <w:t xml:space="preserve">For 2016-17 the Department of Treasury and Finance (DTF) team will provide an overview and support role in facilitating the completion of the related party disclosures and ensuring consistency across the board. </w:t>
      </w:r>
    </w:p>
    <w:p w:rsidR="001B29CF" w:rsidRPr="0052741D" w:rsidRDefault="001B29CF" w:rsidP="0052741D">
      <w:pPr>
        <w:pStyle w:val="ListParagraph"/>
        <w:keepLines w:val="0"/>
        <w:numPr>
          <w:ilvl w:val="0"/>
          <w:numId w:val="53"/>
        </w:numPr>
        <w:rPr>
          <w:b/>
        </w:rPr>
      </w:pPr>
      <w:r w:rsidRPr="0052741D">
        <w:rPr>
          <w:b/>
        </w:rPr>
        <w:t xml:space="preserve">Ministers </w:t>
      </w:r>
    </w:p>
    <w:p w:rsidR="001B29CF" w:rsidRPr="00892DE3" w:rsidRDefault="001B29CF" w:rsidP="001B29CF">
      <w:pPr>
        <w:keepLines w:val="0"/>
      </w:pPr>
      <w:r w:rsidRPr="00892DE3">
        <w:t>Cabinet ministers will return their certificates to the Department of Premier and Cabinet (DPC) via the individual department’s cabinet submissions team for referral to DTF.</w:t>
      </w:r>
    </w:p>
    <w:p w:rsidR="001B29CF" w:rsidRPr="00892DE3" w:rsidRDefault="001B29CF" w:rsidP="001B29CF">
      <w:pPr>
        <w:keepLines w:val="0"/>
        <w:rPr>
          <w:b/>
        </w:rPr>
      </w:pPr>
      <w:r w:rsidRPr="00892DE3">
        <w:t xml:space="preserve">Where related party transactions have been declared in the certificate, DTF will provide the required information to the relevant portfolio departments and agencies. </w:t>
      </w:r>
      <w:r w:rsidRPr="00892DE3">
        <w:rPr>
          <w:b/>
        </w:rPr>
        <w:t>Note that preparers will need to provide a draft of any proposed related party disclosures to their portfolio minister(s) for approval, prior to finalising the note in their financial statements.</w:t>
      </w:r>
    </w:p>
    <w:p w:rsidR="001B29CF" w:rsidRPr="00892DE3" w:rsidRDefault="001B29CF" w:rsidP="0052741D">
      <w:pPr>
        <w:keepLines w:val="0"/>
        <w:spacing w:after="240"/>
      </w:pPr>
      <w:r w:rsidRPr="00892DE3">
        <w:t xml:space="preserve">Due to the sensitive nature of the data collected, all information collected from ministers should be stored in a secure manner. In most instances, we expect the information received from KMP will be de-identified as it will most likely be disclosed in aggregate, unless required to be disclosed separately and collated with other data for inclusion in relevant public sector entities’ financial statements, and tabled in Parliament. </w:t>
      </w:r>
    </w:p>
    <w:p w:rsidR="001B29CF" w:rsidRPr="0052741D" w:rsidRDefault="001B29CF" w:rsidP="0052741D">
      <w:pPr>
        <w:pStyle w:val="ListParagraph"/>
        <w:keepLines w:val="0"/>
        <w:numPr>
          <w:ilvl w:val="0"/>
          <w:numId w:val="53"/>
        </w:numPr>
        <w:rPr>
          <w:b/>
        </w:rPr>
      </w:pPr>
      <w:r w:rsidRPr="0052741D">
        <w:rPr>
          <w:b/>
        </w:rPr>
        <w:t xml:space="preserve">Executives </w:t>
      </w:r>
    </w:p>
    <w:p w:rsidR="001B29CF" w:rsidRPr="00892DE3" w:rsidRDefault="001B29CF" w:rsidP="001B29CF">
      <w:pPr>
        <w:keepLines w:val="0"/>
      </w:pPr>
      <w:r w:rsidRPr="00892DE3">
        <w:t>Reporting entities will need to develop a similar internal process to co-ordinate the collection of executive KMP declaration certificates. The process will need to ensure that privacy is maintained and all documents are securely stored.</w:t>
      </w:r>
    </w:p>
    <w:p w:rsidR="001B29CF" w:rsidRPr="00892DE3" w:rsidRDefault="001B29CF" w:rsidP="001B29CF">
      <w:pPr>
        <w:pStyle w:val="Heading3unnumbered"/>
      </w:pPr>
      <w:r w:rsidRPr="00892DE3">
        <w:t xml:space="preserve">Materiality threshold </w:t>
      </w:r>
    </w:p>
    <w:p w:rsidR="001B29CF" w:rsidRPr="00892DE3" w:rsidRDefault="001B29CF" w:rsidP="001B29CF">
      <w:r w:rsidRPr="00892DE3">
        <w:t xml:space="preserve">The accounting standards only require the disclosure of material related party transactions and outstanding balances. Materiality is subject to professional judgement and goes beyond the dollar value of the transaction or balance, as it could influence the economic decisions that users make. </w:t>
      </w:r>
    </w:p>
    <w:p w:rsidR="001B29CF" w:rsidRPr="00892DE3" w:rsidRDefault="001B29CF" w:rsidP="001B29CF">
      <w:r w:rsidRPr="00892DE3">
        <w:t xml:space="preserve">However, it is important to note that all KMP should declare </w:t>
      </w:r>
      <w:r w:rsidRPr="00892DE3">
        <w:rPr>
          <w:b/>
        </w:rPr>
        <w:t>all</w:t>
      </w:r>
      <w:r w:rsidRPr="00892DE3">
        <w:t xml:space="preserve"> relevant related party transactions, noting that typical citizen transactions are not required to be declared. A threshold of $100 000 may be applied for standard commercial related party contracts in an effort to ease the reporting burden on KMP. This is because a transaction that may appear immaterial on its own, may in combination with other like transactions have a material effect on the State’s, department’s or agency’s financial statements and warrants disclosure. </w:t>
      </w:r>
    </w:p>
    <w:p w:rsidR="001B29CF" w:rsidRPr="00892DE3" w:rsidRDefault="001B29CF" w:rsidP="001B29CF">
      <w:r w:rsidRPr="00892DE3">
        <w:t xml:space="preserve">Items of a similar nature may </w:t>
      </w:r>
      <w:r w:rsidRPr="00892DE3">
        <w:rPr>
          <w:b/>
        </w:rPr>
        <w:t>be disclosed in aggregate</w:t>
      </w:r>
      <w:r w:rsidRPr="00892DE3">
        <w:t xml:space="preserve"> except where separate disclosure is necessary for an understanding of the effects of related party transactions on the financial statements of the department or entity. Disclosures that related party transactions were made on terms equivalent to those that prevail in arm’s length transactions are made only if such terms can be substantiated. </w:t>
      </w:r>
    </w:p>
    <w:p w:rsidR="001B29CF" w:rsidRPr="00892DE3" w:rsidRDefault="001B29CF" w:rsidP="001B29CF">
      <w:pPr>
        <w:keepLines w:val="0"/>
      </w:pPr>
    </w:p>
    <w:p w:rsidR="00DE6A24" w:rsidRPr="00892DE3" w:rsidRDefault="00DE6A24">
      <w:pPr>
        <w:keepLines w:val="0"/>
        <w:sectPr w:rsidR="00DE6A24" w:rsidRPr="00892DE3" w:rsidSect="00860890">
          <w:headerReference w:type="even" r:id="rId245"/>
          <w:headerReference w:type="default" r:id="rId246"/>
          <w:pgSz w:w="11906" w:h="16838" w:code="9"/>
          <w:pgMar w:top="1134" w:right="1134" w:bottom="1134" w:left="1134" w:header="624" w:footer="567" w:gutter="0"/>
          <w:cols w:space="360"/>
          <w:docGrid w:linePitch="245"/>
        </w:sectPr>
      </w:pPr>
    </w:p>
    <w:p w:rsidR="00291D51" w:rsidRPr="00892DE3" w:rsidRDefault="00291D51" w:rsidP="00EB6366">
      <w:pPr>
        <w:pStyle w:val="AppendixHeading"/>
        <w:spacing w:after="240"/>
      </w:pPr>
      <w:bookmarkStart w:id="322" w:name="_Toc481591399"/>
      <w:bookmarkStart w:id="323" w:name="_Toc481592346"/>
      <w:r w:rsidRPr="00892DE3">
        <w:t>Appendix 11:</w:t>
      </w:r>
      <w:r w:rsidRPr="00892DE3">
        <w:tab/>
        <w:t>When to account for surplus assets as ‘held for sale’</w:t>
      </w:r>
      <w:bookmarkEnd w:id="322"/>
      <w:bookmarkEnd w:id="323"/>
    </w:p>
    <w:p w:rsidR="00DB3D85" w:rsidRPr="00DB3D85" w:rsidRDefault="00DB3D85" w:rsidP="00DB3D85">
      <w:pPr>
        <w:spacing w:line="276" w:lineRule="auto"/>
        <w:rPr>
          <w:b/>
          <w:color w:val="0063A6" w:themeColor="accent1"/>
          <w:sz w:val="20"/>
        </w:rPr>
      </w:pPr>
      <w:r w:rsidRPr="00474984">
        <w:rPr>
          <w:b/>
          <w:color w:val="0063A6" w:themeColor="accent1"/>
          <w:sz w:val="20"/>
        </w:rPr>
        <w:t>Background</w:t>
      </w:r>
    </w:p>
    <w:p w:rsidR="00291D51" w:rsidRPr="00892DE3" w:rsidRDefault="00291D51" w:rsidP="00EB6366">
      <w:pPr>
        <w:spacing w:after="240" w:line="276" w:lineRule="auto"/>
      </w:pPr>
      <w:r w:rsidRPr="00892DE3">
        <w:t>Assets are considered to be ‘surplus’ when they no longer contribute to an entity’s current or future service delivery needs. This could be due to services being moved to another location; demographic changes (i.e. population movements) or assets no longer required for strategic reasons (i.e. as a result of a government decision).</w:t>
      </w:r>
    </w:p>
    <w:p w:rsidR="00291D51" w:rsidRPr="00892DE3" w:rsidRDefault="00291D51" w:rsidP="00EB6366">
      <w:pPr>
        <w:spacing w:after="240" w:line="276" w:lineRule="auto"/>
      </w:pPr>
      <w:r w:rsidRPr="00892DE3">
        <w:t xml:space="preserve">When a reporting entity has confirmed that a major non-financial asset (i.e. land or a building) is ‘surplus’ to its operations, approval should be sought from the relevant authority for the sale or transfer of the asset. </w:t>
      </w:r>
    </w:p>
    <w:p w:rsidR="00291D51" w:rsidRPr="00892DE3" w:rsidRDefault="00291D51" w:rsidP="00EB6366">
      <w:pPr>
        <w:spacing w:after="240" w:line="276" w:lineRule="auto"/>
      </w:pPr>
      <w:r w:rsidRPr="00892DE3">
        <w:t xml:space="preserve">Entities can then engage the assistance of the Department of Treasury and Finance’s (DTF) Commercial team to seek a suitable sale or transfer plan. </w:t>
      </w:r>
    </w:p>
    <w:p w:rsidR="00291D51" w:rsidRDefault="00291D51" w:rsidP="00EB6366">
      <w:pPr>
        <w:spacing w:after="240" w:line="276" w:lineRule="auto"/>
      </w:pPr>
      <w:r w:rsidRPr="00892DE3">
        <w:t xml:space="preserve">During this process, the surplus asset does not transfer to DTF, rather, it remains an asset of the entity that continues to be recognised in their financial statements. As a result, entities need to determine whether the surplus asset should be reclassified in accordance with relevant accounting standards. </w:t>
      </w:r>
    </w:p>
    <w:p w:rsidR="00DC6EBC" w:rsidRPr="00DC6EBC" w:rsidRDefault="00DC6EBC" w:rsidP="00DC6EBC">
      <w:pPr>
        <w:spacing w:line="276" w:lineRule="auto"/>
        <w:rPr>
          <w:b/>
          <w:color w:val="0063A6" w:themeColor="accent1"/>
          <w:sz w:val="20"/>
        </w:rPr>
      </w:pPr>
      <w:r>
        <w:rPr>
          <w:b/>
          <w:color w:val="0063A6" w:themeColor="accent1"/>
          <w:sz w:val="20"/>
        </w:rPr>
        <w:t>Accounting Guidance</w:t>
      </w:r>
    </w:p>
    <w:p w:rsidR="00291D51" w:rsidRPr="00892DE3" w:rsidRDefault="00291D51" w:rsidP="00EB6366">
      <w:pPr>
        <w:spacing w:after="240" w:line="276" w:lineRule="auto"/>
      </w:pPr>
      <w:r w:rsidRPr="00892DE3">
        <w:t xml:space="preserve">AASB 5 </w:t>
      </w:r>
      <w:r w:rsidRPr="0052741D">
        <w:rPr>
          <w:i/>
        </w:rPr>
        <w:t>Non-current Assets Held for Sale and Discontinued Operations</w:t>
      </w:r>
      <w:r w:rsidRPr="00892DE3">
        <w:t xml:space="preserve"> requires an entity to classify an asset as ‘held for sale’ only when its value (i.e. its carrying amount) will be recovered principally through the sale of the asset rather than its continuing use.</w:t>
      </w:r>
    </w:p>
    <w:p w:rsidR="00291D51" w:rsidRPr="00892DE3" w:rsidRDefault="00291D51" w:rsidP="00EB6366">
      <w:pPr>
        <w:spacing w:line="276" w:lineRule="auto"/>
      </w:pPr>
      <w:r w:rsidRPr="00892DE3">
        <w:t>For this to be the case, the asset must be:</w:t>
      </w:r>
    </w:p>
    <w:p w:rsidR="00291D51" w:rsidRPr="00892DE3" w:rsidRDefault="00291D51" w:rsidP="0052741D">
      <w:pPr>
        <w:pStyle w:val="ListNumber"/>
        <w:numPr>
          <w:ilvl w:val="0"/>
          <w:numId w:val="51"/>
        </w:numPr>
        <w:spacing w:line="276" w:lineRule="auto"/>
      </w:pPr>
      <w:r w:rsidRPr="00892DE3">
        <w:t xml:space="preserve">available for immediate sale in its present condition subject only to terms that are usual and customary for sales of such assets; and </w:t>
      </w:r>
    </w:p>
    <w:p w:rsidR="00291D51" w:rsidRPr="00892DE3" w:rsidRDefault="00291D51" w:rsidP="0052741D">
      <w:pPr>
        <w:pStyle w:val="ListNumber"/>
        <w:numPr>
          <w:ilvl w:val="0"/>
          <w:numId w:val="51"/>
        </w:numPr>
        <w:spacing w:after="240" w:line="276" w:lineRule="auto"/>
      </w:pPr>
      <w:r w:rsidRPr="00892DE3">
        <w:t xml:space="preserve">the sale must be highly probable. </w:t>
      </w:r>
    </w:p>
    <w:p w:rsidR="00291D51" w:rsidRPr="00892DE3" w:rsidRDefault="00291D51" w:rsidP="00EB6366">
      <w:pPr>
        <w:spacing w:after="240" w:line="276" w:lineRule="auto"/>
      </w:pPr>
      <w:r w:rsidRPr="00892DE3">
        <w:t xml:space="preserve">The standard requires both criteria to have been met before an entity can classify the asset as being ‘held for sale’ in their financial statements. </w:t>
      </w:r>
    </w:p>
    <w:p w:rsidR="00291D51" w:rsidRDefault="00291D51" w:rsidP="00DC6EBC">
      <w:pPr>
        <w:spacing w:after="240" w:line="276" w:lineRule="auto"/>
      </w:pPr>
      <w:r w:rsidRPr="00892DE3">
        <w:t>The attached checklist has been developed to help entities determine if the surplus asset meets the requirements to be reclassified as ‘held for sale’ under AASB 5.</w:t>
      </w:r>
    </w:p>
    <w:p w:rsidR="00973B57" w:rsidRPr="00973B57" w:rsidRDefault="00973B57" w:rsidP="00DC6EBC">
      <w:pPr>
        <w:spacing w:after="240" w:line="276" w:lineRule="auto"/>
        <w:rPr>
          <w:b/>
        </w:rPr>
      </w:pPr>
      <w:r w:rsidRPr="00973B57">
        <w:rPr>
          <w:b/>
        </w:rPr>
        <w:t>Transfer of assets between public sector entities</w:t>
      </w:r>
    </w:p>
    <w:p w:rsidR="00DC6EBC" w:rsidRPr="00892DE3" w:rsidRDefault="00DC6EBC" w:rsidP="00DC6EBC">
      <w:pPr>
        <w:keepLines w:val="0"/>
        <w:spacing w:line="276" w:lineRule="auto"/>
      </w:pPr>
      <w:r w:rsidRPr="00892DE3">
        <w:t xml:space="preserve">AASB 5 does not address the disposal of assets outside of a commercial transaction. Therefore the standard </w:t>
      </w:r>
      <w:r w:rsidRPr="00051D0D">
        <w:rPr>
          <w:b/>
        </w:rPr>
        <w:t>does not apply to</w:t>
      </w:r>
      <w:r w:rsidRPr="00892DE3">
        <w:t>:</w:t>
      </w:r>
    </w:p>
    <w:p w:rsidR="00DC6EBC" w:rsidRPr="00892DE3" w:rsidRDefault="00DC6EBC" w:rsidP="00DC6EBC">
      <w:pPr>
        <w:pStyle w:val="ListBullet"/>
        <w:spacing w:line="276" w:lineRule="auto"/>
      </w:pPr>
      <w:r w:rsidRPr="00892DE3">
        <w:t xml:space="preserve">the restructuring of administrative activities of government departments (i.e. machinery of government changes); </w:t>
      </w:r>
    </w:p>
    <w:p w:rsidR="00DC6EBC" w:rsidRDefault="00DC6EBC" w:rsidP="00DC6EBC">
      <w:pPr>
        <w:pStyle w:val="ListBullet"/>
        <w:spacing w:after="240" w:line="276" w:lineRule="auto"/>
      </w:pPr>
      <w:r w:rsidRPr="00892DE3">
        <w:t>the transfer of assets and liabilities between Victorian public sector entities</w:t>
      </w:r>
      <w:r>
        <w:t>; and</w:t>
      </w:r>
    </w:p>
    <w:p w:rsidR="00DC6EBC" w:rsidRPr="00892DE3" w:rsidRDefault="00DC6EBC" w:rsidP="00DC6EBC">
      <w:pPr>
        <w:pStyle w:val="ListBullet"/>
        <w:spacing w:after="240" w:line="276" w:lineRule="auto"/>
      </w:pPr>
      <w:r>
        <w:t>lease arrangement.</w:t>
      </w:r>
    </w:p>
    <w:p w:rsidR="00DC6EBC" w:rsidRPr="00892DE3" w:rsidRDefault="00DC6EBC" w:rsidP="00DC6EBC">
      <w:pPr>
        <w:keepLines w:val="0"/>
        <w:spacing w:line="276" w:lineRule="auto"/>
      </w:pPr>
      <w:r w:rsidRPr="00892DE3">
        <w:t>Note that whilst the standard does not apply to the transfer of assets and liabilities between government entities, preparers should still work through the checklist as a means of documenting the rationale to support the conclusion that the asset does not meet the recognition criteria.</w:t>
      </w:r>
    </w:p>
    <w:p w:rsidR="00291D51" w:rsidRPr="00892DE3" w:rsidRDefault="00291D51" w:rsidP="00EB6366">
      <w:pPr>
        <w:spacing w:line="276" w:lineRule="auto"/>
      </w:pPr>
      <w:r w:rsidRPr="00892DE3">
        <w:br w:type="page"/>
      </w:r>
    </w:p>
    <w:p w:rsidR="00291D51" w:rsidRPr="00892DE3" w:rsidRDefault="00291D51" w:rsidP="00291D51">
      <w:pPr>
        <w:pStyle w:val="Heading2nonTOC"/>
      </w:pPr>
      <w:r w:rsidRPr="00892DE3">
        <w:t>Checklist for preparers to assess if the surplus asset meets the recognition criteria of ‘held for sale’ under AASB 5</w:t>
      </w:r>
    </w:p>
    <w:p w:rsidR="00051D0D" w:rsidRDefault="00051D0D" w:rsidP="00DC6EBC">
      <w:pPr>
        <w:spacing w:after="240"/>
      </w:pPr>
      <w:r>
        <w:t xml:space="preserve">The objective of this checklist is to provide a structured approach for preparers to assess whether a surplus asset meet the requirements under AASB 5 to be reclassified as ‘held for sale’ and to document the assessment performed. </w:t>
      </w:r>
    </w:p>
    <w:p w:rsidR="00291D51" w:rsidRPr="00892DE3" w:rsidRDefault="00DC6EBC" w:rsidP="00DC6EBC">
      <w:pPr>
        <w:spacing w:after="240"/>
      </w:pPr>
      <w:r>
        <w:t>This checklist should be completed with reference to additional information provided on the next page.</w:t>
      </w:r>
    </w:p>
    <w:tbl>
      <w:tblPr>
        <w:tblStyle w:val="DTFTextTable"/>
        <w:tblW w:w="9639" w:type="dxa"/>
        <w:tblLook w:val="0620" w:firstRow="1" w:lastRow="0" w:firstColumn="0" w:lastColumn="0" w:noHBand="1" w:noVBand="1"/>
      </w:tblPr>
      <w:tblGrid>
        <w:gridCol w:w="7385"/>
        <w:gridCol w:w="2254"/>
      </w:tblGrid>
      <w:tr w:rsidR="00291D51" w:rsidRPr="00892DE3" w:rsidTr="00EB6366">
        <w:trPr>
          <w:cnfStyle w:val="100000000000" w:firstRow="1" w:lastRow="0" w:firstColumn="0" w:lastColumn="0" w:oddVBand="0" w:evenVBand="0" w:oddHBand="0" w:evenHBand="0" w:firstRowFirstColumn="0" w:firstRowLastColumn="0" w:lastRowFirstColumn="0" w:lastRowLastColumn="0"/>
          <w:trHeight w:val="678"/>
        </w:trPr>
        <w:tc>
          <w:tcPr>
            <w:tcW w:w="9140" w:type="dxa"/>
            <w:gridSpan w:val="2"/>
            <w:shd w:val="clear" w:color="auto" w:fill="262626" w:themeFill="text1" w:themeFillTint="D9"/>
            <w:vAlign w:val="center"/>
          </w:tcPr>
          <w:p w:rsidR="00291D51" w:rsidRPr="00EB6366" w:rsidRDefault="00291D51" w:rsidP="00EB6366">
            <w:pPr>
              <w:rPr>
                <w:b/>
                <w:i w:val="0"/>
              </w:rPr>
            </w:pPr>
            <w:r w:rsidRPr="00EB6366">
              <w:rPr>
                <w:b/>
                <w:i w:val="0"/>
              </w:rPr>
              <w:t>Criteria 1: The asset must be available for immediate sale in its present condition, subject to terms that are usual and customary for sales of such assets</w:t>
            </w:r>
            <w:r w:rsidR="00051D0D">
              <w:rPr>
                <w:b/>
                <w:i w:val="0"/>
              </w:rPr>
              <w:t xml:space="preserve"> (AASB 5.7)</w:t>
            </w:r>
            <w:r w:rsidRPr="00EB6366">
              <w:rPr>
                <w:b/>
                <w:i w:val="0"/>
              </w:rPr>
              <w:t xml:space="preserve">. </w:t>
            </w:r>
          </w:p>
        </w:tc>
      </w:tr>
      <w:tr w:rsidR="00291D51" w:rsidRPr="00892DE3" w:rsidTr="009C27B9">
        <w:trPr>
          <w:trHeight w:val="379"/>
        </w:trPr>
        <w:tc>
          <w:tcPr>
            <w:tcW w:w="7003" w:type="dxa"/>
          </w:tcPr>
          <w:p w:rsidR="00291D51" w:rsidRPr="00892DE3" w:rsidRDefault="00291D51" w:rsidP="00DC6EBC">
            <w:pPr>
              <w:pStyle w:val="ListNumber"/>
              <w:numPr>
                <w:ilvl w:val="0"/>
                <w:numId w:val="54"/>
              </w:numPr>
              <w:spacing w:after="120"/>
            </w:pPr>
            <w:r w:rsidRPr="00892DE3">
              <w:t xml:space="preserve">Is the asset able to be sold in its present condition with no further remediation or </w:t>
            </w:r>
            <w:r w:rsidR="00DC6EBC">
              <w:t>refurbishment</w:t>
            </w:r>
            <w:r w:rsidRPr="00892DE3">
              <w:t xml:space="preserve"> required? </w:t>
            </w:r>
          </w:p>
        </w:tc>
        <w:tc>
          <w:tcPr>
            <w:tcW w:w="2137" w:type="dxa"/>
          </w:tcPr>
          <w:p w:rsidR="00291D51" w:rsidRPr="00892DE3" w:rsidRDefault="003C212D" w:rsidP="009C27B9">
            <w:pPr>
              <w:jc w:val="center"/>
              <w:rPr>
                <w:szCs w:val="18"/>
              </w:rPr>
            </w:pPr>
            <w:sdt>
              <w:sdtPr>
                <w:id w:val="1284462978"/>
                <w14:checkbox>
                  <w14:checked w14:val="0"/>
                  <w14:checkedState w14:val="2612" w14:font="MS Gothic"/>
                  <w14:uncheckedState w14:val="2610" w14:font="MS Gothic"/>
                </w14:checkbox>
              </w:sdtPr>
              <w:sdtEndPr/>
              <w:sdtContent>
                <w:r w:rsidR="00291D51" w:rsidRPr="00892DE3">
                  <w:rPr>
                    <w:rFonts w:ascii="MS Gothic" w:eastAsia="MS Gothic" w:hAnsi="MS Gothic" w:hint="eastAsia"/>
                    <w:sz w:val="22"/>
                    <w:szCs w:val="18"/>
                  </w:rPr>
                  <w:t>☐</w:t>
                </w:r>
              </w:sdtContent>
            </w:sdt>
            <w:r w:rsidR="00291D51" w:rsidRPr="00892DE3">
              <w:rPr>
                <w:szCs w:val="18"/>
              </w:rPr>
              <w:t xml:space="preserve"> Yes   </w:t>
            </w:r>
            <w:sdt>
              <w:sdtPr>
                <w:id w:val="-1757436080"/>
                <w14:checkbox>
                  <w14:checked w14:val="0"/>
                  <w14:checkedState w14:val="2612" w14:font="MS Gothic"/>
                  <w14:uncheckedState w14:val="2610" w14:font="MS Gothic"/>
                </w14:checkbox>
              </w:sdtPr>
              <w:sdtEndPr/>
              <w:sdtContent>
                <w:r w:rsidR="00291D51" w:rsidRPr="00892DE3">
                  <w:rPr>
                    <w:rFonts w:ascii="MS Gothic" w:eastAsia="MS Gothic" w:hAnsi="MS Gothic" w:hint="eastAsia"/>
                    <w:sz w:val="22"/>
                    <w:szCs w:val="18"/>
                  </w:rPr>
                  <w:t>☐</w:t>
                </w:r>
              </w:sdtContent>
            </w:sdt>
            <w:r w:rsidR="00291D51" w:rsidRPr="00892DE3">
              <w:rPr>
                <w:szCs w:val="18"/>
              </w:rPr>
              <w:t xml:space="preserve"> No</w:t>
            </w:r>
          </w:p>
        </w:tc>
      </w:tr>
      <w:tr w:rsidR="00291D51" w:rsidRPr="00892DE3" w:rsidTr="009C27B9">
        <w:trPr>
          <w:trHeight w:val="431"/>
        </w:trPr>
        <w:tc>
          <w:tcPr>
            <w:tcW w:w="7003" w:type="dxa"/>
          </w:tcPr>
          <w:p w:rsidR="00291D51" w:rsidRPr="00892DE3" w:rsidRDefault="00291D51" w:rsidP="00625E30">
            <w:pPr>
              <w:pStyle w:val="ListNumber"/>
              <w:numPr>
                <w:ilvl w:val="0"/>
                <w:numId w:val="54"/>
              </w:numPr>
              <w:spacing w:after="120"/>
            </w:pPr>
            <w:r w:rsidRPr="00892DE3">
              <w:t xml:space="preserve">Is the asset available for immediate sale, with no restrictions or reasons for the sale not to be executed? </w:t>
            </w:r>
          </w:p>
        </w:tc>
        <w:tc>
          <w:tcPr>
            <w:tcW w:w="2137" w:type="dxa"/>
          </w:tcPr>
          <w:p w:rsidR="00291D51" w:rsidRPr="00892DE3" w:rsidRDefault="003C212D" w:rsidP="009C27B9">
            <w:pPr>
              <w:jc w:val="center"/>
              <w:rPr>
                <w:szCs w:val="18"/>
              </w:rPr>
            </w:pPr>
            <w:sdt>
              <w:sdtPr>
                <w:id w:val="323169602"/>
                <w14:checkbox>
                  <w14:checked w14:val="0"/>
                  <w14:checkedState w14:val="2612" w14:font="MS Gothic"/>
                  <w14:uncheckedState w14:val="2610" w14:font="MS Gothic"/>
                </w14:checkbox>
              </w:sdtPr>
              <w:sdtEndPr/>
              <w:sdtContent>
                <w:r w:rsidR="00291D51" w:rsidRPr="00892DE3">
                  <w:rPr>
                    <w:rFonts w:ascii="MS Gothic" w:eastAsia="MS Gothic" w:hAnsi="MS Gothic" w:hint="eastAsia"/>
                    <w:sz w:val="22"/>
                    <w:szCs w:val="18"/>
                  </w:rPr>
                  <w:t>☐</w:t>
                </w:r>
              </w:sdtContent>
            </w:sdt>
            <w:r w:rsidR="00291D51" w:rsidRPr="00892DE3">
              <w:rPr>
                <w:szCs w:val="18"/>
              </w:rPr>
              <w:t xml:space="preserve"> Yes   </w:t>
            </w:r>
            <w:sdt>
              <w:sdtPr>
                <w:id w:val="-1826358889"/>
                <w14:checkbox>
                  <w14:checked w14:val="0"/>
                  <w14:checkedState w14:val="2612" w14:font="MS Gothic"/>
                  <w14:uncheckedState w14:val="2610" w14:font="MS Gothic"/>
                </w14:checkbox>
              </w:sdtPr>
              <w:sdtEndPr/>
              <w:sdtContent>
                <w:r w:rsidR="00291D51" w:rsidRPr="00892DE3">
                  <w:rPr>
                    <w:rFonts w:ascii="MS Gothic" w:eastAsia="MS Gothic" w:hAnsi="MS Gothic" w:hint="eastAsia"/>
                    <w:sz w:val="22"/>
                    <w:szCs w:val="18"/>
                  </w:rPr>
                  <w:t>☐</w:t>
                </w:r>
              </w:sdtContent>
            </w:sdt>
            <w:r w:rsidR="00291D51" w:rsidRPr="00892DE3">
              <w:rPr>
                <w:szCs w:val="18"/>
              </w:rPr>
              <w:t xml:space="preserve"> No</w:t>
            </w:r>
          </w:p>
        </w:tc>
      </w:tr>
      <w:tr w:rsidR="00291D51" w:rsidRPr="00892DE3" w:rsidTr="009C27B9">
        <w:trPr>
          <w:trHeight w:val="327"/>
        </w:trPr>
        <w:tc>
          <w:tcPr>
            <w:tcW w:w="7003" w:type="dxa"/>
            <w:tcBorders>
              <w:bottom w:val="single" w:sz="6" w:space="0" w:color="auto"/>
            </w:tcBorders>
          </w:tcPr>
          <w:p w:rsidR="00291D51" w:rsidRPr="00892DE3" w:rsidRDefault="00291D51" w:rsidP="00625E30">
            <w:pPr>
              <w:pStyle w:val="ListNumber"/>
              <w:numPr>
                <w:ilvl w:val="0"/>
                <w:numId w:val="54"/>
              </w:numPr>
              <w:spacing w:after="120"/>
            </w:pPr>
            <w:r w:rsidRPr="00892DE3">
              <w:t xml:space="preserve">Can the sale of the asset be performed under terms that are typical or usual for that particular asset? </w:t>
            </w:r>
          </w:p>
        </w:tc>
        <w:tc>
          <w:tcPr>
            <w:tcW w:w="2137" w:type="dxa"/>
            <w:tcBorders>
              <w:bottom w:val="single" w:sz="6" w:space="0" w:color="auto"/>
            </w:tcBorders>
          </w:tcPr>
          <w:p w:rsidR="00291D51" w:rsidRPr="00892DE3" w:rsidRDefault="003C212D" w:rsidP="009C27B9">
            <w:pPr>
              <w:jc w:val="center"/>
              <w:rPr>
                <w:szCs w:val="18"/>
              </w:rPr>
            </w:pPr>
            <w:sdt>
              <w:sdtPr>
                <w:id w:val="-2039806732"/>
                <w14:checkbox>
                  <w14:checked w14:val="0"/>
                  <w14:checkedState w14:val="2612" w14:font="MS Gothic"/>
                  <w14:uncheckedState w14:val="2610" w14:font="MS Gothic"/>
                </w14:checkbox>
              </w:sdtPr>
              <w:sdtEndPr/>
              <w:sdtContent>
                <w:r w:rsidR="00291D51" w:rsidRPr="00892DE3">
                  <w:rPr>
                    <w:rFonts w:ascii="MS Gothic" w:eastAsia="MS Gothic" w:hAnsi="MS Gothic" w:hint="eastAsia"/>
                    <w:sz w:val="22"/>
                    <w:szCs w:val="18"/>
                  </w:rPr>
                  <w:t>☐</w:t>
                </w:r>
              </w:sdtContent>
            </w:sdt>
            <w:r w:rsidR="00291D51" w:rsidRPr="00892DE3">
              <w:rPr>
                <w:szCs w:val="18"/>
              </w:rPr>
              <w:t xml:space="preserve"> Yes   </w:t>
            </w:r>
            <w:sdt>
              <w:sdtPr>
                <w:id w:val="1618332895"/>
                <w14:checkbox>
                  <w14:checked w14:val="0"/>
                  <w14:checkedState w14:val="2612" w14:font="MS Gothic"/>
                  <w14:uncheckedState w14:val="2610" w14:font="MS Gothic"/>
                </w14:checkbox>
              </w:sdtPr>
              <w:sdtEndPr/>
              <w:sdtContent>
                <w:r w:rsidR="00291D51" w:rsidRPr="00892DE3">
                  <w:rPr>
                    <w:rFonts w:ascii="MS Gothic" w:eastAsia="MS Gothic" w:hAnsi="MS Gothic" w:hint="eastAsia"/>
                    <w:sz w:val="22"/>
                    <w:szCs w:val="18"/>
                  </w:rPr>
                  <w:t>☐</w:t>
                </w:r>
              </w:sdtContent>
            </w:sdt>
            <w:r w:rsidR="00291D51" w:rsidRPr="00892DE3">
              <w:rPr>
                <w:szCs w:val="18"/>
              </w:rPr>
              <w:t xml:space="preserve"> No</w:t>
            </w:r>
          </w:p>
        </w:tc>
      </w:tr>
      <w:tr w:rsidR="00291D51" w:rsidRPr="00892DE3" w:rsidTr="00F97E48">
        <w:trPr>
          <w:trHeight w:val="1265"/>
        </w:trPr>
        <w:tc>
          <w:tcPr>
            <w:tcW w:w="9140" w:type="dxa"/>
            <w:gridSpan w:val="2"/>
            <w:tcBorders>
              <w:top w:val="single" w:sz="6" w:space="0" w:color="auto"/>
              <w:bottom w:val="single" w:sz="12" w:space="0" w:color="auto"/>
            </w:tcBorders>
            <w:shd w:val="clear" w:color="auto" w:fill="D9D9D9" w:themeFill="background1" w:themeFillShade="D9"/>
          </w:tcPr>
          <w:p w:rsidR="00291D51" w:rsidRDefault="00291D51" w:rsidP="009C27B9">
            <w:pPr>
              <w:rPr>
                <w:i/>
              </w:rPr>
            </w:pPr>
            <w:r w:rsidRPr="00EB6366">
              <w:rPr>
                <w:b/>
                <w:i/>
              </w:rPr>
              <w:t>Results of the assessment</w:t>
            </w:r>
            <w:r w:rsidRPr="00892DE3">
              <w:rPr>
                <w:i/>
              </w:rPr>
              <w:t xml:space="preserve">: </w:t>
            </w:r>
          </w:p>
          <w:p w:rsidR="00EB6366" w:rsidRPr="00892DE3" w:rsidRDefault="00EB6366" w:rsidP="009C27B9">
            <w:pPr>
              <w:rPr>
                <w:i/>
              </w:rPr>
            </w:pPr>
          </w:p>
          <w:p w:rsidR="00291D51" w:rsidRPr="00892DE3" w:rsidRDefault="00291D51" w:rsidP="009C27B9">
            <w:pPr>
              <w:rPr>
                <w:b/>
              </w:rPr>
            </w:pPr>
            <w:r w:rsidRPr="00892DE3">
              <w:t>Criteria 1 has been satisfied when the entity has selected ‘Yes’ for all requirements above.</w:t>
            </w:r>
          </w:p>
          <w:p w:rsidR="00291D51" w:rsidRPr="00892DE3" w:rsidRDefault="003C212D" w:rsidP="009C27B9">
            <w:pPr>
              <w:rPr>
                <w:b/>
              </w:rPr>
            </w:pPr>
            <w:sdt>
              <w:sdtPr>
                <w:id w:val="1669520370"/>
                <w14:checkbox>
                  <w14:checked w14:val="0"/>
                  <w14:checkedState w14:val="2612" w14:font="MS Gothic"/>
                  <w14:uncheckedState w14:val="2610" w14:font="MS Gothic"/>
                </w14:checkbox>
              </w:sdtPr>
              <w:sdtEndPr/>
              <w:sdtContent>
                <w:r w:rsidR="00291D51" w:rsidRPr="00892DE3">
                  <w:rPr>
                    <w:rFonts w:ascii="MS Gothic" w:eastAsia="MS Gothic" w:hAnsi="MS Gothic" w:hint="eastAsia"/>
                    <w:sz w:val="22"/>
                    <w:szCs w:val="18"/>
                  </w:rPr>
                  <w:t>☐</w:t>
                </w:r>
              </w:sdtContent>
            </w:sdt>
            <w:r w:rsidR="00291D51" w:rsidRPr="00892DE3">
              <w:t xml:space="preserve"> </w:t>
            </w:r>
            <w:r w:rsidR="00291D51" w:rsidRPr="00DC6EBC">
              <w:rPr>
                <w:b/>
              </w:rPr>
              <w:t>All requirements</w:t>
            </w:r>
            <w:r w:rsidR="00291D51" w:rsidRPr="00892DE3">
              <w:t xml:space="preserve"> are satisfied: preparers can proceed to assessing the surplus asset against criteria 2 below.</w:t>
            </w:r>
          </w:p>
          <w:p w:rsidR="00291D51" w:rsidRPr="00892DE3" w:rsidRDefault="003C212D" w:rsidP="00DC6EBC">
            <w:pPr>
              <w:ind w:left="256" w:hanging="256"/>
              <w:rPr>
                <w:szCs w:val="17"/>
              </w:rPr>
            </w:pPr>
            <w:sdt>
              <w:sdtPr>
                <w:id w:val="824236406"/>
                <w14:checkbox>
                  <w14:checked w14:val="0"/>
                  <w14:checkedState w14:val="2612" w14:font="MS Gothic"/>
                  <w14:uncheckedState w14:val="2610" w14:font="MS Gothic"/>
                </w14:checkbox>
              </w:sdtPr>
              <w:sdtEndPr/>
              <w:sdtContent>
                <w:r w:rsidR="00291D51" w:rsidRPr="00892DE3">
                  <w:rPr>
                    <w:rFonts w:ascii="MS Gothic" w:eastAsia="MS Gothic" w:hAnsi="MS Gothic" w:hint="eastAsia"/>
                    <w:sz w:val="22"/>
                    <w:szCs w:val="18"/>
                  </w:rPr>
                  <w:t>☐</w:t>
                </w:r>
              </w:sdtContent>
            </w:sdt>
            <w:r w:rsidR="00291D51" w:rsidRPr="00892DE3">
              <w:t xml:space="preserve"> </w:t>
            </w:r>
            <w:r w:rsidR="00DC6EBC" w:rsidRPr="00DC6EBC">
              <w:rPr>
                <w:b/>
              </w:rPr>
              <w:t>One or more requirements</w:t>
            </w:r>
            <w:r w:rsidR="00291D51" w:rsidRPr="00892DE3">
              <w:t xml:space="preserve"> are not satisfied: criteria 1 has not been met and the asset cannot be classified as ‘held for sale’. </w:t>
            </w:r>
          </w:p>
        </w:tc>
      </w:tr>
    </w:tbl>
    <w:p w:rsidR="00291D51" w:rsidRPr="00892DE3" w:rsidRDefault="00291D51" w:rsidP="00291D51"/>
    <w:tbl>
      <w:tblPr>
        <w:tblStyle w:val="DTFTextTable"/>
        <w:tblW w:w="9639" w:type="dxa"/>
        <w:tblLook w:val="0620" w:firstRow="1" w:lastRow="0" w:firstColumn="0" w:lastColumn="0" w:noHBand="1" w:noVBand="1"/>
      </w:tblPr>
      <w:tblGrid>
        <w:gridCol w:w="7385"/>
        <w:gridCol w:w="2254"/>
      </w:tblGrid>
      <w:tr w:rsidR="00291D51" w:rsidRPr="00892DE3" w:rsidTr="00EB6366">
        <w:trPr>
          <w:cnfStyle w:val="100000000000" w:firstRow="1" w:lastRow="0" w:firstColumn="0" w:lastColumn="0" w:oddVBand="0" w:evenVBand="0" w:oddHBand="0" w:evenHBand="0" w:firstRowFirstColumn="0" w:firstRowLastColumn="0" w:lastRowFirstColumn="0" w:lastRowLastColumn="0"/>
          <w:trHeight w:val="456"/>
        </w:trPr>
        <w:tc>
          <w:tcPr>
            <w:tcW w:w="9639" w:type="dxa"/>
            <w:gridSpan w:val="2"/>
            <w:shd w:val="clear" w:color="auto" w:fill="262626" w:themeFill="text1" w:themeFillTint="D9"/>
            <w:vAlign w:val="center"/>
          </w:tcPr>
          <w:p w:rsidR="00291D51" w:rsidRPr="00EB6366" w:rsidRDefault="00291D51" w:rsidP="00EB6366">
            <w:pPr>
              <w:rPr>
                <w:b/>
                <w:i w:val="0"/>
              </w:rPr>
            </w:pPr>
            <w:r w:rsidRPr="00EB6366">
              <w:rPr>
                <w:b/>
                <w:i w:val="0"/>
              </w:rPr>
              <w:t>Criteria 2: The sale is highly probable</w:t>
            </w:r>
            <w:r w:rsidR="00051D0D">
              <w:rPr>
                <w:b/>
                <w:i w:val="0"/>
              </w:rPr>
              <w:t xml:space="preserve"> (AASB 5.7, AASB 5.8)</w:t>
            </w:r>
            <w:r w:rsidRPr="00EB6366">
              <w:rPr>
                <w:b/>
                <w:i w:val="0"/>
              </w:rPr>
              <w:t xml:space="preserve">. </w:t>
            </w:r>
          </w:p>
        </w:tc>
      </w:tr>
      <w:tr w:rsidR="00291D51" w:rsidRPr="00892DE3" w:rsidTr="009C27B9">
        <w:trPr>
          <w:trHeight w:val="64"/>
        </w:trPr>
        <w:tc>
          <w:tcPr>
            <w:tcW w:w="7385" w:type="dxa"/>
          </w:tcPr>
          <w:p w:rsidR="00291D51" w:rsidRPr="00892DE3" w:rsidRDefault="00291D51" w:rsidP="00625E30">
            <w:pPr>
              <w:pStyle w:val="ListNumber"/>
              <w:numPr>
                <w:ilvl w:val="0"/>
                <w:numId w:val="54"/>
              </w:numPr>
              <w:spacing w:after="120"/>
            </w:pPr>
            <w:r w:rsidRPr="00892DE3">
              <w:t xml:space="preserve">Has the relevant authority committed to a plan to sell the asset? </w:t>
            </w:r>
          </w:p>
        </w:tc>
        <w:tc>
          <w:tcPr>
            <w:tcW w:w="2254" w:type="dxa"/>
          </w:tcPr>
          <w:p w:rsidR="00291D51" w:rsidRPr="00892DE3" w:rsidRDefault="003C212D" w:rsidP="009C27B9">
            <w:pPr>
              <w:jc w:val="center"/>
            </w:pPr>
            <w:sdt>
              <w:sdtPr>
                <w:id w:val="-1512140474"/>
                <w14:checkbox>
                  <w14:checked w14:val="0"/>
                  <w14:checkedState w14:val="2612" w14:font="MS Gothic"/>
                  <w14:uncheckedState w14:val="2610" w14:font="MS Gothic"/>
                </w14:checkbox>
              </w:sdtPr>
              <w:sdtEndPr/>
              <w:sdtContent>
                <w:r w:rsidR="00291D51" w:rsidRPr="00892DE3">
                  <w:rPr>
                    <w:rFonts w:ascii="MS Gothic" w:eastAsia="MS Gothic" w:hAnsi="MS Gothic" w:hint="eastAsia"/>
                  </w:rPr>
                  <w:t>☐</w:t>
                </w:r>
              </w:sdtContent>
            </w:sdt>
            <w:r w:rsidR="00291D51" w:rsidRPr="00892DE3">
              <w:t xml:space="preserve"> Yes   </w:t>
            </w:r>
            <w:sdt>
              <w:sdtPr>
                <w:id w:val="2079624198"/>
                <w14:checkbox>
                  <w14:checked w14:val="0"/>
                  <w14:checkedState w14:val="2612" w14:font="MS Gothic"/>
                  <w14:uncheckedState w14:val="2610" w14:font="MS Gothic"/>
                </w14:checkbox>
              </w:sdtPr>
              <w:sdtEndPr/>
              <w:sdtContent>
                <w:r w:rsidR="00291D51" w:rsidRPr="00892DE3">
                  <w:rPr>
                    <w:rFonts w:ascii="MS Mincho" w:eastAsia="MS Mincho" w:hAnsi="MS Mincho" w:cs="MS Mincho" w:hint="eastAsia"/>
                  </w:rPr>
                  <w:t>☐</w:t>
                </w:r>
              </w:sdtContent>
            </w:sdt>
            <w:r w:rsidR="00291D51" w:rsidRPr="00892DE3">
              <w:t xml:space="preserve"> No</w:t>
            </w:r>
          </w:p>
        </w:tc>
      </w:tr>
      <w:tr w:rsidR="00291D51" w:rsidRPr="00892DE3" w:rsidTr="009C27B9">
        <w:trPr>
          <w:trHeight w:val="64"/>
        </w:trPr>
        <w:tc>
          <w:tcPr>
            <w:tcW w:w="7385" w:type="dxa"/>
          </w:tcPr>
          <w:p w:rsidR="00291D51" w:rsidRPr="00892DE3" w:rsidRDefault="00291D51" w:rsidP="00625E30">
            <w:pPr>
              <w:pStyle w:val="ListNumber"/>
              <w:numPr>
                <w:ilvl w:val="0"/>
                <w:numId w:val="54"/>
              </w:numPr>
              <w:spacing w:after="120"/>
            </w:pPr>
            <w:r w:rsidRPr="00892DE3">
              <w:t xml:space="preserve">Is there an active programme in place to locate a buyer and complete the sale? </w:t>
            </w:r>
          </w:p>
        </w:tc>
        <w:tc>
          <w:tcPr>
            <w:tcW w:w="2254" w:type="dxa"/>
          </w:tcPr>
          <w:p w:rsidR="00291D51" w:rsidRPr="00892DE3" w:rsidRDefault="003C212D" w:rsidP="009C27B9">
            <w:pPr>
              <w:jc w:val="center"/>
            </w:pPr>
            <w:sdt>
              <w:sdtPr>
                <w:id w:val="826870275"/>
                <w14:checkbox>
                  <w14:checked w14:val="0"/>
                  <w14:checkedState w14:val="2612" w14:font="MS Gothic"/>
                  <w14:uncheckedState w14:val="2610" w14:font="MS Gothic"/>
                </w14:checkbox>
              </w:sdtPr>
              <w:sdtEndPr/>
              <w:sdtContent>
                <w:r w:rsidR="00291D51" w:rsidRPr="00892DE3">
                  <w:rPr>
                    <w:rFonts w:ascii="MS Mincho" w:eastAsia="MS Mincho" w:hAnsi="MS Mincho" w:cs="MS Mincho" w:hint="eastAsia"/>
                  </w:rPr>
                  <w:t>☐</w:t>
                </w:r>
              </w:sdtContent>
            </w:sdt>
            <w:r w:rsidR="00291D51" w:rsidRPr="00892DE3">
              <w:t xml:space="preserve"> Yes   </w:t>
            </w:r>
            <w:sdt>
              <w:sdtPr>
                <w:id w:val="1917118049"/>
                <w14:checkbox>
                  <w14:checked w14:val="0"/>
                  <w14:checkedState w14:val="2612" w14:font="MS Gothic"/>
                  <w14:uncheckedState w14:val="2610" w14:font="MS Gothic"/>
                </w14:checkbox>
              </w:sdtPr>
              <w:sdtEndPr/>
              <w:sdtContent>
                <w:r w:rsidR="00291D51" w:rsidRPr="00892DE3">
                  <w:rPr>
                    <w:rFonts w:ascii="MS Mincho" w:eastAsia="MS Mincho" w:hAnsi="MS Mincho" w:cs="MS Mincho" w:hint="eastAsia"/>
                  </w:rPr>
                  <w:t>☐</w:t>
                </w:r>
              </w:sdtContent>
            </w:sdt>
            <w:r w:rsidR="00291D51" w:rsidRPr="00892DE3">
              <w:t xml:space="preserve"> No</w:t>
            </w:r>
          </w:p>
        </w:tc>
      </w:tr>
      <w:tr w:rsidR="00291D51" w:rsidRPr="00892DE3" w:rsidTr="009C27B9">
        <w:trPr>
          <w:trHeight w:val="64"/>
        </w:trPr>
        <w:tc>
          <w:tcPr>
            <w:tcW w:w="7385" w:type="dxa"/>
          </w:tcPr>
          <w:p w:rsidR="00291D51" w:rsidRPr="00892DE3" w:rsidRDefault="00291D51" w:rsidP="00625E30">
            <w:pPr>
              <w:pStyle w:val="ListNumber"/>
              <w:numPr>
                <w:ilvl w:val="0"/>
                <w:numId w:val="54"/>
              </w:numPr>
              <w:spacing w:after="120"/>
            </w:pPr>
            <w:r w:rsidRPr="00892DE3">
              <w:t xml:space="preserve">Has the asset been actively marketed for sale at a price that is reasonable with reference to the asset’s current fair value? </w:t>
            </w:r>
          </w:p>
        </w:tc>
        <w:tc>
          <w:tcPr>
            <w:tcW w:w="2254" w:type="dxa"/>
          </w:tcPr>
          <w:p w:rsidR="00291D51" w:rsidRPr="00892DE3" w:rsidRDefault="003C212D" w:rsidP="009C27B9">
            <w:pPr>
              <w:jc w:val="center"/>
            </w:pPr>
            <w:sdt>
              <w:sdtPr>
                <w:id w:val="-1791506507"/>
                <w14:checkbox>
                  <w14:checked w14:val="0"/>
                  <w14:checkedState w14:val="2612" w14:font="MS Gothic"/>
                  <w14:uncheckedState w14:val="2610" w14:font="MS Gothic"/>
                </w14:checkbox>
              </w:sdtPr>
              <w:sdtEndPr/>
              <w:sdtContent>
                <w:r w:rsidR="00291D51" w:rsidRPr="00892DE3">
                  <w:rPr>
                    <w:rFonts w:ascii="MS Mincho" w:eastAsia="MS Mincho" w:hAnsi="MS Mincho" w:cs="MS Mincho" w:hint="eastAsia"/>
                  </w:rPr>
                  <w:t>☐</w:t>
                </w:r>
              </w:sdtContent>
            </w:sdt>
            <w:r w:rsidR="00291D51" w:rsidRPr="00892DE3">
              <w:t xml:space="preserve"> Yes   </w:t>
            </w:r>
            <w:sdt>
              <w:sdtPr>
                <w:id w:val="-1027250290"/>
                <w14:checkbox>
                  <w14:checked w14:val="0"/>
                  <w14:checkedState w14:val="2612" w14:font="MS Gothic"/>
                  <w14:uncheckedState w14:val="2610" w14:font="MS Gothic"/>
                </w14:checkbox>
              </w:sdtPr>
              <w:sdtEndPr/>
              <w:sdtContent>
                <w:r w:rsidR="00291D51" w:rsidRPr="00892DE3">
                  <w:rPr>
                    <w:rFonts w:ascii="MS Mincho" w:eastAsia="MS Mincho" w:hAnsi="MS Mincho" w:cs="MS Mincho" w:hint="eastAsia"/>
                  </w:rPr>
                  <w:t>☐</w:t>
                </w:r>
              </w:sdtContent>
            </w:sdt>
            <w:r w:rsidR="00291D51" w:rsidRPr="00892DE3">
              <w:t xml:space="preserve"> No</w:t>
            </w:r>
          </w:p>
        </w:tc>
      </w:tr>
      <w:tr w:rsidR="00291D51" w:rsidRPr="00892DE3" w:rsidTr="00051D0D">
        <w:trPr>
          <w:trHeight w:val="393"/>
        </w:trPr>
        <w:tc>
          <w:tcPr>
            <w:tcW w:w="7385" w:type="dxa"/>
          </w:tcPr>
          <w:p w:rsidR="00291D51" w:rsidRPr="00892DE3" w:rsidRDefault="00291D51" w:rsidP="00051D0D">
            <w:pPr>
              <w:pStyle w:val="ListNumber"/>
              <w:numPr>
                <w:ilvl w:val="0"/>
                <w:numId w:val="54"/>
              </w:numPr>
              <w:spacing w:after="120"/>
            </w:pPr>
            <w:r w:rsidRPr="00892DE3">
              <w:t>Is the sale expected to be completed within one year from the date of classification</w:t>
            </w:r>
            <w:r w:rsidR="00051D0D">
              <w:t>?</w:t>
            </w:r>
          </w:p>
        </w:tc>
        <w:tc>
          <w:tcPr>
            <w:tcW w:w="2254" w:type="dxa"/>
          </w:tcPr>
          <w:p w:rsidR="00291D51" w:rsidRPr="00892DE3" w:rsidRDefault="003C212D" w:rsidP="009C27B9">
            <w:pPr>
              <w:jc w:val="center"/>
            </w:pPr>
            <w:sdt>
              <w:sdtPr>
                <w:id w:val="-462506337"/>
                <w14:checkbox>
                  <w14:checked w14:val="0"/>
                  <w14:checkedState w14:val="2612" w14:font="MS Gothic"/>
                  <w14:uncheckedState w14:val="2610" w14:font="MS Gothic"/>
                </w14:checkbox>
              </w:sdtPr>
              <w:sdtEndPr/>
              <w:sdtContent>
                <w:r w:rsidR="00051D0D">
                  <w:rPr>
                    <w:rFonts w:ascii="MS Gothic" w:eastAsia="MS Gothic" w:hAnsi="MS Gothic" w:hint="eastAsia"/>
                  </w:rPr>
                  <w:t>☐</w:t>
                </w:r>
              </w:sdtContent>
            </w:sdt>
            <w:r w:rsidR="00291D51" w:rsidRPr="00892DE3">
              <w:t xml:space="preserve"> Yes   </w:t>
            </w:r>
            <w:sdt>
              <w:sdtPr>
                <w:id w:val="1146557488"/>
                <w14:checkbox>
                  <w14:checked w14:val="0"/>
                  <w14:checkedState w14:val="2612" w14:font="MS Gothic"/>
                  <w14:uncheckedState w14:val="2610" w14:font="MS Gothic"/>
                </w14:checkbox>
              </w:sdtPr>
              <w:sdtEndPr/>
              <w:sdtContent>
                <w:r w:rsidR="00291D51" w:rsidRPr="00892DE3">
                  <w:rPr>
                    <w:rFonts w:ascii="MS Mincho" w:eastAsia="MS Mincho" w:hAnsi="MS Mincho" w:cs="MS Mincho" w:hint="eastAsia"/>
                  </w:rPr>
                  <w:t>☐</w:t>
                </w:r>
              </w:sdtContent>
            </w:sdt>
            <w:r w:rsidR="00291D51" w:rsidRPr="00892DE3">
              <w:t xml:space="preserve"> No</w:t>
            </w:r>
          </w:p>
        </w:tc>
      </w:tr>
      <w:tr w:rsidR="00291D51" w:rsidRPr="00892DE3" w:rsidTr="009C27B9">
        <w:trPr>
          <w:trHeight w:val="305"/>
        </w:trPr>
        <w:tc>
          <w:tcPr>
            <w:tcW w:w="7385" w:type="dxa"/>
            <w:tcBorders>
              <w:bottom w:val="single" w:sz="6" w:space="0" w:color="auto"/>
            </w:tcBorders>
          </w:tcPr>
          <w:p w:rsidR="00291D51" w:rsidRPr="00892DE3" w:rsidRDefault="00051D0D" w:rsidP="00625E30">
            <w:pPr>
              <w:pStyle w:val="ListNumber"/>
              <w:numPr>
                <w:ilvl w:val="0"/>
                <w:numId w:val="54"/>
              </w:numPr>
              <w:spacing w:after="120"/>
            </w:pPr>
            <w:r>
              <w:t xml:space="preserve">Is there sufficient evidence that the entity remains committed to its plan to sell the asset? </w:t>
            </w:r>
            <w:r w:rsidR="00291D51" w:rsidRPr="00892DE3">
              <w:t xml:space="preserve">Do actions required to complete the sale indicate that it is unlikely that significant changes will be made to the plan or that plan will be withdrawn? </w:t>
            </w:r>
          </w:p>
        </w:tc>
        <w:tc>
          <w:tcPr>
            <w:tcW w:w="2254" w:type="dxa"/>
            <w:tcBorders>
              <w:bottom w:val="single" w:sz="6" w:space="0" w:color="auto"/>
            </w:tcBorders>
          </w:tcPr>
          <w:p w:rsidR="00291D51" w:rsidRPr="00892DE3" w:rsidRDefault="003C212D" w:rsidP="009C27B9">
            <w:pPr>
              <w:jc w:val="center"/>
            </w:pPr>
            <w:sdt>
              <w:sdtPr>
                <w:id w:val="1095525903"/>
                <w14:checkbox>
                  <w14:checked w14:val="0"/>
                  <w14:checkedState w14:val="2612" w14:font="MS Gothic"/>
                  <w14:uncheckedState w14:val="2610" w14:font="MS Gothic"/>
                </w14:checkbox>
              </w:sdtPr>
              <w:sdtEndPr/>
              <w:sdtContent>
                <w:r w:rsidR="00291D51" w:rsidRPr="00892DE3">
                  <w:rPr>
                    <w:rFonts w:ascii="MS Mincho" w:eastAsia="MS Mincho" w:hAnsi="MS Mincho" w:cs="MS Mincho" w:hint="eastAsia"/>
                  </w:rPr>
                  <w:t>☐</w:t>
                </w:r>
              </w:sdtContent>
            </w:sdt>
            <w:r w:rsidR="00291D51" w:rsidRPr="00892DE3">
              <w:t xml:space="preserve"> Yes   </w:t>
            </w:r>
            <w:sdt>
              <w:sdtPr>
                <w:id w:val="-1231461424"/>
                <w14:checkbox>
                  <w14:checked w14:val="0"/>
                  <w14:checkedState w14:val="2612" w14:font="MS Gothic"/>
                  <w14:uncheckedState w14:val="2610" w14:font="MS Gothic"/>
                </w14:checkbox>
              </w:sdtPr>
              <w:sdtEndPr/>
              <w:sdtContent>
                <w:r w:rsidR="00291D51" w:rsidRPr="00892DE3">
                  <w:rPr>
                    <w:rFonts w:ascii="MS Mincho" w:eastAsia="MS Mincho" w:hAnsi="MS Mincho" w:cs="MS Mincho" w:hint="eastAsia"/>
                  </w:rPr>
                  <w:t>☐</w:t>
                </w:r>
              </w:sdtContent>
            </w:sdt>
            <w:r w:rsidR="00291D51" w:rsidRPr="00892DE3">
              <w:t xml:space="preserve"> No</w:t>
            </w:r>
          </w:p>
        </w:tc>
      </w:tr>
      <w:tr w:rsidR="00291D51" w:rsidRPr="00892DE3" w:rsidTr="00F97E48">
        <w:trPr>
          <w:trHeight w:val="1496"/>
        </w:trPr>
        <w:tc>
          <w:tcPr>
            <w:tcW w:w="9639" w:type="dxa"/>
            <w:gridSpan w:val="2"/>
            <w:tcBorders>
              <w:top w:val="single" w:sz="6" w:space="0" w:color="auto"/>
              <w:bottom w:val="single" w:sz="12" w:space="0" w:color="auto"/>
            </w:tcBorders>
            <w:shd w:val="clear" w:color="auto" w:fill="D9D9D9" w:themeFill="background1" w:themeFillShade="D9"/>
          </w:tcPr>
          <w:p w:rsidR="00291D51" w:rsidRDefault="00291D51" w:rsidP="009C27B9">
            <w:pPr>
              <w:rPr>
                <w:b/>
                <w:i/>
              </w:rPr>
            </w:pPr>
            <w:r w:rsidRPr="00F00884">
              <w:rPr>
                <w:b/>
                <w:i/>
              </w:rPr>
              <w:t xml:space="preserve">Results of the assessment: </w:t>
            </w:r>
          </w:p>
          <w:p w:rsidR="00F00884" w:rsidRPr="00F00884" w:rsidRDefault="00F00884" w:rsidP="009C27B9">
            <w:pPr>
              <w:rPr>
                <w:b/>
                <w:i/>
              </w:rPr>
            </w:pPr>
          </w:p>
          <w:p w:rsidR="00291D51" w:rsidRPr="00892DE3" w:rsidRDefault="00291D51" w:rsidP="009C27B9">
            <w:r w:rsidRPr="00892DE3">
              <w:t>Criteria 2 has been satisfied when the entity has selected ‘Yes’ for all requirements above.</w:t>
            </w:r>
          </w:p>
          <w:p w:rsidR="00291D51" w:rsidRPr="00892DE3" w:rsidRDefault="003C212D" w:rsidP="009C27B9">
            <w:pPr>
              <w:ind w:left="256" w:hanging="256"/>
            </w:pPr>
            <w:sdt>
              <w:sdtPr>
                <w:id w:val="-2031638339"/>
                <w14:checkbox>
                  <w14:checked w14:val="0"/>
                  <w14:checkedState w14:val="2612" w14:font="MS Gothic"/>
                  <w14:uncheckedState w14:val="2610" w14:font="MS Gothic"/>
                </w14:checkbox>
              </w:sdtPr>
              <w:sdtEndPr/>
              <w:sdtContent>
                <w:r w:rsidR="00291D51" w:rsidRPr="00892DE3">
                  <w:rPr>
                    <w:rFonts w:ascii="MS Mincho" w:eastAsia="MS Mincho" w:hAnsi="MS Mincho" w:cs="MS Mincho" w:hint="eastAsia"/>
                  </w:rPr>
                  <w:t>☐</w:t>
                </w:r>
              </w:sdtContent>
            </w:sdt>
            <w:r w:rsidR="00291D51" w:rsidRPr="00892DE3">
              <w:t xml:space="preserve"> </w:t>
            </w:r>
            <w:r w:rsidR="00291D51" w:rsidRPr="00DC6EBC">
              <w:rPr>
                <w:b/>
              </w:rPr>
              <w:t>All requirements</w:t>
            </w:r>
            <w:r w:rsidR="00291D51" w:rsidRPr="00892DE3">
              <w:t xml:space="preserve"> are satisfied: the entity can classifying the surplus asset as ‘held for sale’ in their financial statements. Refer to the appendix for the accounting treatment prescribed by AASB 5. </w:t>
            </w:r>
          </w:p>
          <w:p w:rsidR="00291D51" w:rsidRPr="00892DE3" w:rsidRDefault="003C212D" w:rsidP="00DC6EBC">
            <w:sdt>
              <w:sdtPr>
                <w:id w:val="-1780099434"/>
                <w14:checkbox>
                  <w14:checked w14:val="0"/>
                  <w14:checkedState w14:val="2612" w14:font="MS Gothic"/>
                  <w14:uncheckedState w14:val="2610" w14:font="MS Gothic"/>
                </w14:checkbox>
              </w:sdtPr>
              <w:sdtEndPr/>
              <w:sdtContent>
                <w:r w:rsidR="00291D51" w:rsidRPr="00892DE3">
                  <w:rPr>
                    <w:rFonts w:ascii="MS Mincho" w:eastAsia="MS Mincho" w:hAnsi="MS Mincho" w:cs="MS Mincho" w:hint="eastAsia"/>
                  </w:rPr>
                  <w:t>☐</w:t>
                </w:r>
              </w:sdtContent>
            </w:sdt>
            <w:r w:rsidR="00291D51" w:rsidRPr="00892DE3">
              <w:t xml:space="preserve"> </w:t>
            </w:r>
            <w:r w:rsidR="00DC6EBC" w:rsidRPr="00DC6EBC">
              <w:rPr>
                <w:b/>
              </w:rPr>
              <w:t>One or more requirements</w:t>
            </w:r>
            <w:r w:rsidR="00291D51" w:rsidRPr="00892DE3">
              <w:t xml:space="preserve"> are not satisfied: criteria 2 has not been met and the asset cannot be classified as ‘held for sale’. </w:t>
            </w:r>
          </w:p>
        </w:tc>
      </w:tr>
    </w:tbl>
    <w:p w:rsidR="00291D51" w:rsidRPr="00892DE3" w:rsidRDefault="00291D51" w:rsidP="00291D51">
      <w:pPr>
        <w:keepLines w:val="0"/>
      </w:pPr>
      <w:r w:rsidRPr="00892DE3">
        <w:br w:type="page"/>
      </w:r>
    </w:p>
    <w:p w:rsidR="00291D51" w:rsidRPr="00892DE3" w:rsidRDefault="00291D51" w:rsidP="00291D51">
      <w:pPr>
        <w:pStyle w:val="Heading2nonTOC"/>
      </w:pPr>
      <w:r w:rsidRPr="00892DE3">
        <w:t>Additional information to support the checklist</w:t>
      </w:r>
    </w:p>
    <w:p w:rsidR="00291D51" w:rsidRPr="00892DE3" w:rsidRDefault="00291D51" w:rsidP="00F00884">
      <w:pPr>
        <w:keepLines w:val="0"/>
        <w:spacing w:line="276" w:lineRule="auto"/>
      </w:pPr>
      <w:r w:rsidRPr="00892DE3">
        <w:t xml:space="preserve">It is important to note that under AASB 5, assets should not be re-classified as ‘held for sale’ until all the recognition requirements are met. </w:t>
      </w:r>
    </w:p>
    <w:p w:rsidR="00F00884" w:rsidRPr="00F00884" w:rsidRDefault="00291D51" w:rsidP="00F00884">
      <w:pPr>
        <w:pStyle w:val="Heading3unnumbered"/>
        <w:spacing w:line="276" w:lineRule="auto"/>
        <w:ind w:left="0" w:firstLine="0"/>
        <w:rPr>
          <w:color w:val="0063A6" w:themeColor="accent1"/>
          <w:sz w:val="22"/>
        </w:rPr>
      </w:pPr>
      <w:r w:rsidRPr="00F00884">
        <w:rPr>
          <w:color w:val="0063A6" w:themeColor="accent1"/>
          <w:sz w:val="22"/>
        </w:rPr>
        <w:t xml:space="preserve">Assessment of criteria 1 – The asset must be available for immediate sale in its present condition, subject to terms that are usual and customary for sales of such assets. </w:t>
      </w:r>
    </w:p>
    <w:p w:rsidR="00291D51" w:rsidRPr="00F00884" w:rsidRDefault="00291D51" w:rsidP="0052741D">
      <w:pPr>
        <w:pStyle w:val="ListParagraph"/>
        <w:keepLines w:val="0"/>
        <w:numPr>
          <w:ilvl w:val="0"/>
          <w:numId w:val="52"/>
        </w:numPr>
        <w:spacing w:line="276" w:lineRule="auto"/>
        <w:rPr>
          <w:b/>
          <w:u w:val="single"/>
        </w:rPr>
      </w:pPr>
      <w:r w:rsidRPr="00F00884">
        <w:rPr>
          <w:b/>
          <w:u w:val="single"/>
        </w:rPr>
        <w:t xml:space="preserve">The asset must be available for immediate sale in its present condition </w:t>
      </w:r>
    </w:p>
    <w:p w:rsidR="00291D51" w:rsidRPr="00892DE3" w:rsidRDefault="00291D51" w:rsidP="00F00884">
      <w:pPr>
        <w:spacing w:after="240" w:line="276" w:lineRule="auto"/>
      </w:pPr>
      <w:r w:rsidRPr="00892DE3">
        <w:t>An asset is considered to be available for immediate sale if the entity currently has the intention and ability to transfer the asset to a buyer in its present condition and there is no reason why the sale could not take place immediately.</w:t>
      </w:r>
    </w:p>
    <w:p w:rsidR="00291D51" w:rsidRPr="00892DE3" w:rsidRDefault="00291D51" w:rsidP="00F00884">
      <w:pPr>
        <w:spacing w:line="276" w:lineRule="auto"/>
      </w:pPr>
      <w:r w:rsidRPr="00892DE3">
        <w:t xml:space="preserve">Assets are </w:t>
      </w:r>
      <w:r w:rsidRPr="00DC6EBC">
        <w:rPr>
          <w:b/>
        </w:rPr>
        <w:t>not</w:t>
      </w:r>
      <w:r w:rsidRPr="00892DE3">
        <w:t xml:space="preserve"> considered to be available for immediate sale if they:</w:t>
      </w:r>
    </w:p>
    <w:p w:rsidR="00291D51" w:rsidRPr="00892DE3" w:rsidRDefault="00291D51" w:rsidP="00F00884">
      <w:pPr>
        <w:pStyle w:val="ListBullet2"/>
      </w:pPr>
      <w:r w:rsidRPr="00892DE3">
        <w:t>continue to be used for the entity’s ongoing operations;</w:t>
      </w:r>
    </w:p>
    <w:p w:rsidR="00291D51" w:rsidRPr="00892DE3" w:rsidRDefault="00291D51" w:rsidP="00F00884">
      <w:pPr>
        <w:pStyle w:val="ListBullet2"/>
      </w:pPr>
      <w:r w:rsidRPr="00892DE3">
        <w:t>will continue to be used to the end of their economic life before being abandoned or closed; and</w:t>
      </w:r>
    </w:p>
    <w:p w:rsidR="00291D51" w:rsidRPr="00892DE3" w:rsidRDefault="00291D51" w:rsidP="00F00884">
      <w:pPr>
        <w:pStyle w:val="ListBullet2"/>
        <w:spacing w:after="240"/>
      </w:pPr>
      <w:r w:rsidRPr="00892DE3">
        <w:t xml:space="preserve">need to be refurbished, renovated or renewed to enhance their value prior to sale. </w:t>
      </w:r>
    </w:p>
    <w:p w:rsidR="00291D51" w:rsidRPr="00892DE3" w:rsidRDefault="00291D51" w:rsidP="00F00884">
      <w:pPr>
        <w:keepLines w:val="0"/>
        <w:spacing w:after="240" w:line="276" w:lineRule="auto"/>
      </w:pPr>
      <w:r w:rsidRPr="00892DE3">
        <w:t xml:space="preserve">For example, where surplus land still requires an assessment for market readiness to be performed (i.e. assessed for re-zoning or remediation), the asset would not be considered available for immediate sale in its present condition. </w:t>
      </w:r>
    </w:p>
    <w:p w:rsidR="00291D51" w:rsidRPr="00892DE3" w:rsidRDefault="00291D51" w:rsidP="00F00884">
      <w:pPr>
        <w:keepLines w:val="0"/>
        <w:spacing w:after="240" w:line="276" w:lineRule="auto"/>
      </w:pPr>
      <w:r w:rsidRPr="00892DE3">
        <w:t xml:space="preserve">In addition, where an entity plans to renovate parts of a surplus building asset to increase its value prior to selling, even though the entity may already be actively searching for a buyer, due to the plans to renovate the building prior to sale, the surplus asset would not meet the recognition criteria. </w:t>
      </w:r>
    </w:p>
    <w:p w:rsidR="00291D51" w:rsidRPr="00F00884" w:rsidRDefault="00291D51" w:rsidP="0052741D">
      <w:pPr>
        <w:pStyle w:val="ListParagraph"/>
        <w:keepLines w:val="0"/>
        <w:numPr>
          <w:ilvl w:val="0"/>
          <w:numId w:val="52"/>
        </w:numPr>
        <w:spacing w:line="276" w:lineRule="auto"/>
        <w:rPr>
          <w:b/>
          <w:u w:val="single"/>
        </w:rPr>
      </w:pPr>
      <w:r w:rsidRPr="00F00884">
        <w:rPr>
          <w:b/>
          <w:u w:val="single"/>
        </w:rPr>
        <w:t>Subject to terms that are usual and customary for sales of such assets</w:t>
      </w:r>
    </w:p>
    <w:p w:rsidR="00291D51" w:rsidRPr="00892DE3" w:rsidRDefault="00291D51" w:rsidP="00F00884">
      <w:pPr>
        <w:keepLines w:val="0"/>
        <w:spacing w:after="240" w:line="276" w:lineRule="auto"/>
      </w:pPr>
      <w:r w:rsidRPr="00892DE3">
        <w:t xml:space="preserve">Terms that are considered to be usual and customary for the sale of similar assets refer to circumstances or conditions that are unlikely to cause a delay in the sale being executed.  </w:t>
      </w:r>
    </w:p>
    <w:p w:rsidR="00291D51" w:rsidRPr="00892DE3" w:rsidRDefault="00291D51" w:rsidP="00F00884">
      <w:pPr>
        <w:keepLines w:val="0"/>
        <w:spacing w:after="240" w:line="276" w:lineRule="auto"/>
      </w:pPr>
      <w:r w:rsidRPr="00892DE3">
        <w:t xml:space="preserve">This includes exchanges of non-current assets that have commercial substance. A transaction has commercial substance when future cash flows are expected to change as a result of the transaction. </w:t>
      </w:r>
    </w:p>
    <w:p w:rsidR="00291D51" w:rsidRPr="00892DE3" w:rsidRDefault="00291D51" w:rsidP="00F00884">
      <w:pPr>
        <w:keepLines w:val="0"/>
        <w:spacing w:after="240" w:line="276" w:lineRule="auto"/>
      </w:pPr>
      <w:r w:rsidRPr="00892DE3">
        <w:t xml:space="preserve">The exchange of an asset for the same asset is not a transaction that has commercial substance and does not meet the recognition criteria under AASB 5. </w:t>
      </w:r>
    </w:p>
    <w:p w:rsidR="00291D51" w:rsidRPr="00F00884" w:rsidRDefault="00291D51" w:rsidP="00F00884">
      <w:pPr>
        <w:pStyle w:val="Heading3unnumbered"/>
        <w:spacing w:line="276" w:lineRule="auto"/>
        <w:rPr>
          <w:color w:val="0063A6" w:themeColor="accent1"/>
          <w:sz w:val="22"/>
        </w:rPr>
      </w:pPr>
      <w:r w:rsidRPr="00F00884">
        <w:rPr>
          <w:color w:val="0063A6" w:themeColor="accent1"/>
          <w:sz w:val="22"/>
        </w:rPr>
        <w:t xml:space="preserve">Assessment of criteria 2 – The sale is highly probable. </w:t>
      </w:r>
    </w:p>
    <w:p w:rsidR="00291D51" w:rsidRPr="00F00884" w:rsidRDefault="00291D51" w:rsidP="0052741D">
      <w:pPr>
        <w:pStyle w:val="ListParagraph"/>
        <w:keepLines w:val="0"/>
        <w:numPr>
          <w:ilvl w:val="0"/>
          <w:numId w:val="52"/>
        </w:numPr>
        <w:spacing w:line="276" w:lineRule="auto"/>
        <w:rPr>
          <w:b/>
          <w:u w:val="single"/>
        </w:rPr>
      </w:pPr>
      <w:r w:rsidRPr="00F00884">
        <w:rPr>
          <w:b/>
          <w:u w:val="single"/>
        </w:rPr>
        <w:t>The relevant authority is committed to a plan to sell the asset</w:t>
      </w:r>
    </w:p>
    <w:p w:rsidR="00291D51" w:rsidRPr="00892DE3" w:rsidRDefault="00291D51" w:rsidP="00F00884">
      <w:pPr>
        <w:keepLines w:val="0"/>
        <w:spacing w:after="240" w:line="276" w:lineRule="auto"/>
      </w:pPr>
      <w:r w:rsidRPr="00892DE3">
        <w:t>The relevant level of authority is generally regarded as those persons with the authority and responsibility for planning, directing and controlling the activities of the entity.</w:t>
      </w:r>
    </w:p>
    <w:p w:rsidR="00291D51" w:rsidRPr="00892DE3" w:rsidRDefault="00291D51" w:rsidP="00F00884">
      <w:pPr>
        <w:keepLines w:val="0"/>
        <w:spacing w:line="276" w:lineRule="auto"/>
      </w:pPr>
      <w:r w:rsidRPr="00892DE3">
        <w:t xml:space="preserve">For public sector assets, the appropriate level of authority at each level would be: </w:t>
      </w:r>
    </w:p>
    <w:p w:rsidR="00291D51" w:rsidRPr="00892DE3" w:rsidRDefault="00291D51" w:rsidP="00F00884">
      <w:pPr>
        <w:pStyle w:val="ListBullet2"/>
      </w:pPr>
      <w:r w:rsidRPr="00892DE3">
        <w:t>for the State – Cabinet ministers;</w:t>
      </w:r>
    </w:p>
    <w:p w:rsidR="00291D51" w:rsidRPr="00892DE3" w:rsidRDefault="00291D51" w:rsidP="00F00884">
      <w:pPr>
        <w:pStyle w:val="ListBullet2"/>
      </w:pPr>
      <w:r w:rsidRPr="00892DE3">
        <w:t>for departments – the relevant Portfolio minister(s); and</w:t>
      </w:r>
    </w:p>
    <w:p w:rsidR="00291D51" w:rsidRPr="00892DE3" w:rsidRDefault="00291D51" w:rsidP="00F00884">
      <w:pPr>
        <w:pStyle w:val="ListBullet2"/>
        <w:spacing w:after="240"/>
      </w:pPr>
      <w:r w:rsidRPr="00892DE3">
        <w:t>for agencies – the governing Board.</w:t>
      </w:r>
    </w:p>
    <w:p w:rsidR="00291D51" w:rsidRPr="00892DE3" w:rsidRDefault="00291D51" w:rsidP="00F00884">
      <w:pPr>
        <w:keepLines w:val="0"/>
        <w:spacing w:after="240" w:line="276" w:lineRule="auto"/>
      </w:pPr>
      <w:r w:rsidRPr="00892DE3">
        <w:t>Entities should ensure the relevant minister(s) or the governing Board has declared the asset as being ‘surplus’ to the entity and has approved the sale of the asset. Where there is no support or commitment from senior management for the sale, the sale would not be considered highly probable.</w:t>
      </w:r>
    </w:p>
    <w:p w:rsidR="00291D51" w:rsidRPr="00F00884" w:rsidRDefault="00291D51" w:rsidP="0052741D">
      <w:pPr>
        <w:pStyle w:val="ListParagraph"/>
        <w:keepLines w:val="0"/>
        <w:numPr>
          <w:ilvl w:val="0"/>
          <w:numId w:val="52"/>
        </w:numPr>
        <w:spacing w:line="276" w:lineRule="auto"/>
        <w:rPr>
          <w:b/>
          <w:u w:val="single"/>
        </w:rPr>
      </w:pPr>
      <w:r w:rsidRPr="00F00884">
        <w:rPr>
          <w:b/>
          <w:u w:val="single"/>
        </w:rPr>
        <w:t>There is an active programme in place to locate a buyer and complete the sale</w:t>
      </w:r>
    </w:p>
    <w:p w:rsidR="00291D51" w:rsidRPr="00892DE3" w:rsidRDefault="00291D51" w:rsidP="00F00884">
      <w:pPr>
        <w:keepLines w:val="0"/>
        <w:spacing w:after="240" w:line="276" w:lineRule="auto"/>
      </w:pPr>
      <w:r w:rsidRPr="00892DE3">
        <w:t>An entity must be actively marketing the asset to locate a potential buyer and complete the sale plan. The entity therefore must be making its intention to sell known to third parties that may be interested in acquiring the asset.</w:t>
      </w:r>
    </w:p>
    <w:p w:rsidR="00291D51" w:rsidRPr="00892DE3" w:rsidRDefault="00291D51" w:rsidP="00F00884">
      <w:pPr>
        <w:keepLines w:val="0"/>
        <w:spacing w:after="240" w:line="276" w:lineRule="auto"/>
      </w:pPr>
      <w:r w:rsidRPr="00892DE3">
        <w:t>For example, engaging a licenced real estate to attract interest from potential buyers would demonstrate that an active programme is in place to complete the sale.</w:t>
      </w:r>
    </w:p>
    <w:p w:rsidR="00291D51" w:rsidRPr="00F00884" w:rsidRDefault="00291D51" w:rsidP="0052741D">
      <w:pPr>
        <w:pStyle w:val="ListParagraph"/>
        <w:keepLines w:val="0"/>
        <w:numPr>
          <w:ilvl w:val="0"/>
          <w:numId w:val="52"/>
        </w:numPr>
        <w:spacing w:line="276" w:lineRule="auto"/>
        <w:rPr>
          <w:b/>
          <w:u w:val="single"/>
        </w:rPr>
      </w:pPr>
      <w:r w:rsidRPr="00F00884">
        <w:rPr>
          <w:b/>
          <w:u w:val="single"/>
        </w:rPr>
        <w:t>The asset has been actively marketed for sale at a price that is reasonable to the asset’s current fair value</w:t>
      </w:r>
    </w:p>
    <w:p w:rsidR="00291D51" w:rsidRPr="00892DE3" w:rsidRDefault="00291D51" w:rsidP="00F00884">
      <w:pPr>
        <w:keepLines w:val="0"/>
        <w:spacing w:line="276" w:lineRule="auto"/>
      </w:pPr>
      <w:r w:rsidRPr="00892DE3">
        <w:t>The entity must be actively marketing the asset at a selling price that is considered reasonable compared to its fair value.</w:t>
      </w:r>
    </w:p>
    <w:p w:rsidR="00291D51" w:rsidRPr="00F00884" w:rsidRDefault="00291D51" w:rsidP="0052741D">
      <w:pPr>
        <w:pStyle w:val="ListParagraph"/>
        <w:keepLines w:val="0"/>
        <w:numPr>
          <w:ilvl w:val="0"/>
          <w:numId w:val="52"/>
        </w:numPr>
        <w:spacing w:line="276" w:lineRule="auto"/>
        <w:rPr>
          <w:b/>
          <w:u w:val="single"/>
        </w:rPr>
      </w:pPr>
      <w:r w:rsidRPr="00F00884">
        <w:rPr>
          <w:b/>
          <w:u w:val="single"/>
        </w:rPr>
        <w:t>The sale will be completed within one year from the date of classification, and there is sufficient evidence that the entity remains committed to its plan to sell the asset</w:t>
      </w:r>
    </w:p>
    <w:p w:rsidR="00291D51" w:rsidRPr="00892DE3" w:rsidRDefault="00291D51" w:rsidP="00F00884">
      <w:pPr>
        <w:keepLines w:val="0"/>
        <w:spacing w:line="276" w:lineRule="auto"/>
      </w:pPr>
      <w:r w:rsidRPr="00892DE3">
        <w:t xml:space="preserve">The sale of the asset should be completed within one year from the date the asset is classified as ‘held for sale’. </w:t>
      </w:r>
    </w:p>
    <w:p w:rsidR="00291D51" w:rsidRPr="00892DE3" w:rsidRDefault="00291D51" w:rsidP="00F00884">
      <w:pPr>
        <w:keepLines w:val="0"/>
        <w:spacing w:line="276" w:lineRule="auto"/>
      </w:pPr>
      <w:r w:rsidRPr="00892DE3">
        <w:t xml:space="preserve">Under AASB 5, the sale can be greater than one year if: </w:t>
      </w:r>
    </w:p>
    <w:p w:rsidR="00291D51" w:rsidRPr="00892DE3" w:rsidRDefault="00291D51" w:rsidP="00F00884">
      <w:pPr>
        <w:pStyle w:val="ListBullet2"/>
      </w:pPr>
      <w:r w:rsidRPr="00892DE3">
        <w:t xml:space="preserve">there is evidence that the delay is caused by events that are beyond the entity’s control (e.g. conditions imposed by an external party that is not the buyer); and </w:t>
      </w:r>
    </w:p>
    <w:p w:rsidR="00291D51" w:rsidRPr="00892DE3" w:rsidRDefault="00291D51" w:rsidP="00F00884">
      <w:pPr>
        <w:pStyle w:val="ListBullet2"/>
      </w:pPr>
      <w:r w:rsidRPr="00892DE3">
        <w:t>the entity remains committed to its plan to sell the asset.</w:t>
      </w:r>
    </w:p>
    <w:p w:rsidR="00291D51" w:rsidRPr="00892DE3" w:rsidRDefault="00291D51" w:rsidP="00F00884">
      <w:pPr>
        <w:keepLines w:val="0"/>
        <w:spacing w:line="276" w:lineRule="auto"/>
      </w:pPr>
      <w:r w:rsidRPr="00892DE3">
        <w:t xml:space="preserve">As an example, where the entity has entered into a contractual agreement with the buyer to sell surplus land in parcels phased over three years, this would not preclude the asset from meeting the recognition criteria. </w:t>
      </w:r>
    </w:p>
    <w:p w:rsidR="00291D51" w:rsidRPr="00892DE3" w:rsidRDefault="00291D51" w:rsidP="00F00884">
      <w:pPr>
        <w:keepLines w:val="0"/>
        <w:spacing w:after="240" w:line="276" w:lineRule="auto"/>
      </w:pPr>
      <w:r w:rsidRPr="00892DE3">
        <w:t>Further examples are provided in the appendices of the accounting standard to demonstrate circumstances where the extension of the sale plan beyond one year does not prevent the asset from meeting the recognition criteria.</w:t>
      </w:r>
    </w:p>
    <w:p w:rsidR="00291D51" w:rsidRPr="00F00884" w:rsidRDefault="00291D51" w:rsidP="0052741D">
      <w:pPr>
        <w:pStyle w:val="ListParagraph"/>
        <w:keepLines w:val="0"/>
        <w:numPr>
          <w:ilvl w:val="0"/>
          <w:numId w:val="52"/>
        </w:numPr>
        <w:spacing w:line="276" w:lineRule="auto"/>
        <w:rPr>
          <w:b/>
          <w:u w:val="single"/>
        </w:rPr>
      </w:pPr>
      <w:r w:rsidRPr="00F00884">
        <w:rPr>
          <w:b/>
          <w:u w:val="single"/>
        </w:rPr>
        <w:t>Do actions required to complete the sale indicate that it is unlikely significant changes will be made to the plan or that plan will be withdrawn?</w:t>
      </w:r>
    </w:p>
    <w:p w:rsidR="00291D51" w:rsidRPr="00892DE3" w:rsidRDefault="00291D51" w:rsidP="00F00884">
      <w:pPr>
        <w:spacing w:line="276" w:lineRule="auto"/>
      </w:pPr>
      <w:r w:rsidRPr="00892DE3">
        <w:t>Actions taken by the entity to execute the selling plan, in addition to events that have occurred since the surplus asset was classified as ‘held for sale’, should indicate whether or not the sale of the asset is likely to occur according to plan.</w:t>
      </w:r>
    </w:p>
    <w:p w:rsidR="00291D51" w:rsidRPr="00892DE3" w:rsidRDefault="00291D51" w:rsidP="00F00884">
      <w:pPr>
        <w:keepLines w:val="0"/>
        <w:spacing w:line="276" w:lineRule="auto"/>
      </w:pPr>
      <w:r w:rsidRPr="00892DE3">
        <w:t>In instances where there are indicators that significant changes to the selling plan will be necessary or if a withdrawal from the selling plan is likely, the sale should not be considered highly probable.</w:t>
      </w:r>
    </w:p>
    <w:p w:rsidR="00291D51" w:rsidRPr="00F00884" w:rsidRDefault="00291D51" w:rsidP="00F00884">
      <w:pPr>
        <w:pStyle w:val="Heading3unnumbered"/>
        <w:spacing w:line="276" w:lineRule="auto"/>
        <w:rPr>
          <w:color w:val="0063A6" w:themeColor="accent1"/>
          <w:sz w:val="22"/>
        </w:rPr>
      </w:pPr>
      <w:r w:rsidRPr="00F00884">
        <w:rPr>
          <w:color w:val="0063A6" w:themeColor="accent1"/>
          <w:sz w:val="22"/>
        </w:rPr>
        <w:t>Accounting treatment</w:t>
      </w:r>
    </w:p>
    <w:p w:rsidR="00291D51" w:rsidRPr="00F00884" w:rsidRDefault="00291D51" w:rsidP="00F00884">
      <w:pPr>
        <w:keepLines w:val="0"/>
        <w:spacing w:line="276" w:lineRule="auto"/>
        <w:rPr>
          <w:b/>
          <w:u w:val="single"/>
        </w:rPr>
      </w:pPr>
      <w:r w:rsidRPr="00F00884">
        <w:rPr>
          <w:b/>
          <w:u w:val="single"/>
        </w:rPr>
        <w:t xml:space="preserve">Recognition of ‘held for sale’ assets </w:t>
      </w:r>
    </w:p>
    <w:p w:rsidR="00291D51" w:rsidRPr="00892DE3" w:rsidRDefault="00291D51" w:rsidP="00F00884">
      <w:pPr>
        <w:keepLines w:val="0"/>
        <w:spacing w:after="240" w:line="276" w:lineRule="auto"/>
      </w:pPr>
      <w:r w:rsidRPr="00892DE3">
        <w:t xml:space="preserve">Immediately </w:t>
      </w:r>
      <w:r w:rsidRPr="00892DE3">
        <w:rPr>
          <w:b/>
        </w:rPr>
        <w:t xml:space="preserve">prior </w:t>
      </w:r>
      <w:r w:rsidRPr="00892DE3">
        <w:t xml:space="preserve">to a surplus asset being classified as ‘held for sale’, the carrying amount of the asset should be revalued in accordance with the requirements of FRD 103F </w:t>
      </w:r>
      <w:r w:rsidRPr="00B03F9B">
        <w:rPr>
          <w:i/>
        </w:rPr>
        <w:t>Non-financial physical assets</w:t>
      </w:r>
      <w:r w:rsidR="003022CA">
        <w:t>.</w:t>
      </w:r>
    </w:p>
    <w:p w:rsidR="00291D51" w:rsidRPr="00892DE3" w:rsidRDefault="00291D51" w:rsidP="00F00884">
      <w:pPr>
        <w:keepLines w:val="0"/>
        <w:spacing w:after="240" w:line="276" w:lineRule="auto"/>
      </w:pPr>
      <w:r w:rsidRPr="00892DE3">
        <w:t xml:space="preserve">The standard requires assets that meet the classification of ‘held for sale’ to be measured at the lower of its carrying amount and fair value, less any costs to sell the asset. Given the requirements of FRD 103F, </w:t>
      </w:r>
      <w:r w:rsidR="00DC6EBC">
        <w:t xml:space="preserve">the majority of </w:t>
      </w:r>
      <w:r w:rsidRPr="00892DE3">
        <w:t>public sector assets should already be recorded at their fair value.</w:t>
      </w:r>
    </w:p>
    <w:p w:rsidR="00291D51" w:rsidRPr="00892DE3" w:rsidRDefault="00291D51" w:rsidP="00F00884">
      <w:pPr>
        <w:keepLines w:val="0"/>
        <w:spacing w:after="240" w:line="276" w:lineRule="auto"/>
      </w:pPr>
      <w:r w:rsidRPr="00892DE3">
        <w:t xml:space="preserve">It is important to note </w:t>
      </w:r>
      <w:r w:rsidRPr="00892DE3">
        <w:rPr>
          <w:b/>
        </w:rPr>
        <w:t>that assets ‘held for sale’ are no longer depreciated (or amortised) from the date of classification</w:t>
      </w:r>
      <w:r w:rsidRPr="00892DE3">
        <w:t>, as the assets’ economic benefit to the entity will be recovered through a sale rather than through continued use.</w:t>
      </w:r>
    </w:p>
    <w:p w:rsidR="00291D51" w:rsidRPr="00892DE3" w:rsidRDefault="00291D51" w:rsidP="00F00884">
      <w:pPr>
        <w:keepLines w:val="0"/>
        <w:spacing w:after="240" w:line="276" w:lineRule="auto"/>
      </w:pPr>
      <w:r w:rsidRPr="00892DE3">
        <w:t xml:space="preserve">Costs to sell represent the incremental costs directly attributable to the disposal of an asset, excluding finance costs and any income tax expense. </w:t>
      </w:r>
    </w:p>
    <w:p w:rsidR="00291D51" w:rsidRPr="00892DE3" w:rsidRDefault="00291D51" w:rsidP="00F00884">
      <w:pPr>
        <w:keepLines w:val="0"/>
        <w:spacing w:after="240" w:line="276" w:lineRule="auto"/>
      </w:pPr>
      <w:r w:rsidRPr="00892DE3">
        <w:t xml:space="preserve">When the sale is expected to occur beyond one year, the costs to sell should be measured at their present value. Any increase in the present value of the costs to sell that arise over time should be recognised as a financing cost in the statement of comprehensive income. </w:t>
      </w:r>
    </w:p>
    <w:p w:rsidR="00291D51" w:rsidRPr="00F00884" w:rsidRDefault="00291D51" w:rsidP="00F00884">
      <w:pPr>
        <w:keepLines w:val="0"/>
        <w:spacing w:line="276" w:lineRule="auto"/>
        <w:rPr>
          <w:b/>
          <w:u w:val="single"/>
        </w:rPr>
      </w:pPr>
      <w:r w:rsidRPr="00F00884">
        <w:rPr>
          <w:b/>
          <w:u w:val="single"/>
        </w:rPr>
        <w:t xml:space="preserve">Disclosure of ‘held for sale’ assets </w:t>
      </w:r>
    </w:p>
    <w:p w:rsidR="00291D51" w:rsidRPr="00892DE3" w:rsidRDefault="00291D51" w:rsidP="00F00884">
      <w:pPr>
        <w:keepLines w:val="0"/>
        <w:spacing w:after="240" w:line="276" w:lineRule="auto"/>
      </w:pPr>
      <w:r w:rsidRPr="00892DE3">
        <w:t xml:space="preserve">AASB 5 requires preparers to ensure information disclosed </w:t>
      </w:r>
      <w:r w:rsidR="00DC6EBC">
        <w:t>on</w:t>
      </w:r>
      <w:r w:rsidRPr="00892DE3">
        <w:t xml:space="preserve"> the financial statements will enable users to evaluate the financial effects of ‘held for sale’ assets. </w:t>
      </w:r>
    </w:p>
    <w:p w:rsidR="00291D51" w:rsidRPr="00892DE3" w:rsidRDefault="00291D51" w:rsidP="00F00884">
      <w:pPr>
        <w:keepLines w:val="0"/>
        <w:spacing w:line="276" w:lineRule="auto"/>
      </w:pPr>
      <w:r w:rsidRPr="00892DE3">
        <w:t>Entities should ensure:</w:t>
      </w:r>
    </w:p>
    <w:p w:rsidR="00291D51" w:rsidRPr="00892DE3" w:rsidRDefault="00291D51" w:rsidP="00F00884">
      <w:pPr>
        <w:pStyle w:val="ListBullet"/>
        <w:spacing w:line="276" w:lineRule="auto"/>
      </w:pPr>
      <w:r w:rsidRPr="00892DE3">
        <w:t xml:space="preserve">the ‘held for sale’ asset is presented separately from other </w:t>
      </w:r>
      <w:r w:rsidR="00051D0D">
        <w:t xml:space="preserve">current </w:t>
      </w:r>
      <w:r w:rsidRPr="00892DE3">
        <w:t xml:space="preserve">assets and liabilities </w:t>
      </w:r>
      <w:r w:rsidR="00051D0D">
        <w:t>on</w:t>
      </w:r>
      <w:r w:rsidRPr="00892DE3">
        <w:t xml:space="preserve"> the balance sheet; and </w:t>
      </w:r>
    </w:p>
    <w:p w:rsidR="00051D0D" w:rsidRDefault="00291D51" w:rsidP="00051D0D">
      <w:pPr>
        <w:pStyle w:val="ListBullet"/>
        <w:spacing w:after="240" w:line="276" w:lineRule="auto"/>
      </w:pPr>
      <w:r w:rsidRPr="00892DE3">
        <w:t>relevant note disclosures are included to describe the ‘held for sale asset’, the facts and circumstances of the sale, and any gain or loss recognised.</w:t>
      </w:r>
    </w:p>
    <w:p w:rsidR="00051D0D" w:rsidRDefault="00051D0D" w:rsidP="00051D0D">
      <w:pPr>
        <w:pStyle w:val="ListBullet"/>
        <w:numPr>
          <w:ilvl w:val="0"/>
          <w:numId w:val="0"/>
        </w:numPr>
        <w:spacing w:after="240" w:line="276" w:lineRule="auto"/>
        <w:ind w:left="284"/>
      </w:pPr>
    </w:p>
    <w:p w:rsidR="00051D0D" w:rsidRPr="00892DE3" w:rsidRDefault="00051D0D" w:rsidP="00051D0D">
      <w:pPr>
        <w:pStyle w:val="ListBullet"/>
        <w:numPr>
          <w:ilvl w:val="0"/>
          <w:numId w:val="0"/>
        </w:numPr>
        <w:spacing w:after="240" w:line="276" w:lineRule="auto"/>
      </w:pPr>
      <w:r>
        <w:t xml:space="preserve">Note the ‘held for sale’ asset is presented as a current asset instead of a non-current asset as the entity intends to transfer the asset within twelve months, in accordance with AASB 101 </w:t>
      </w:r>
      <w:r w:rsidRPr="00051D0D">
        <w:rPr>
          <w:i/>
        </w:rPr>
        <w:t>Presentation of Financial Statements</w:t>
      </w:r>
      <w:r>
        <w:t xml:space="preserve"> (paragraph 66).</w:t>
      </w:r>
    </w:p>
    <w:p w:rsidR="00291D51" w:rsidRPr="00892DE3" w:rsidRDefault="00291D51" w:rsidP="00F00884">
      <w:pPr>
        <w:keepLines w:val="0"/>
        <w:spacing w:line="276" w:lineRule="auto"/>
      </w:pPr>
      <w:r w:rsidRPr="00892DE3">
        <w:t xml:space="preserve">In instances where an asset has been identified as being surplus to the entity’s needs, but does not meet the requirements for reclassification as ‘held for sale’ under AASB 5, this may indicate that the asset is impaired. The entity should determine the asset’s recoverable amount in accordance with AASB 136 </w:t>
      </w:r>
      <w:r w:rsidRPr="00DC6EBC">
        <w:rPr>
          <w:i/>
        </w:rPr>
        <w:t>Impairment of Assets</w:t>
      </w:r>
      <w:r w:rsidRPr="00892DE3">
        <w:t>.</w:t>
      </w:r>
    </w:p>
    <w:p w:rsidR="00291D51" w:rsidRPr="00892DE3" w:rsidRDefault="00291D51" w:rsidP="00291D51">
      <w:pPr>
        <w:sectPr w:rsidR="00291D51" w:rsidRPr="00892DE3" w:rsidSect="00DE6A24">
          <w:headerReference w:type="even" r:id="rId247"/>
          <w:headerReference w:type="default" r:id="rId248"/>
          <w:headerReference w:type="first" r:id="rId249"/>
          <w:pgSz w:w="11906" w:h="16838" w:code="9"/>
          <w:pgMar w:top="1134" w:right="1134" w:bottom="1134" w:left="1134" w:header="624" w:footer="567" w:gutter="0"/>
          <w:cols w:space="360"/>
          <w:titlePg/>
        </w:sectPr>
      </w:pPr>
    </w:p>
    <w:p w:rsidR="00551303" w:rsidRPr="00892DE3" w:rsidRDefault="00551303" w:rsidP="00551303">
      <w:pPr>
        <w:pStyle w:val="AppendixHeading"/>
      </w:pPr>
      <w:bookmarkStart w:id="324" w:name="_Toc481591400"/>
      <w:bookmarkStart w:id="325" w:name="_Toc481592347"/>
      <w:r w:rsidRPr="00892DE3">
        <w:t>Appendix 12:</w:t>
      </w:r>
      <w:r w:rsidRPr="00892DE3">
        <w:tab/>
        <w:t>Summary of new/revised accounting standards effective for current and future reporting periods</w:t>
      </w:r>
      <w:bookmarkEnd w:id="324"/>
      <w:bookmarkEnd w:id="325"/>
      <w:r w:rsidRPr="00892DE3">
        <w:t xml:space="preserve"> </w:t>
      </w:r>
    </w:p>
    <w:p w:rsidR="002D0D36" w:rsidRPr="00892DE3" w:rsidRDefault="002D0D36" w:rsidP="008F764F">
      <w:pPr>
        <w:pStyle w:val="Tabletext"/>
        <w:rPr>
          <w:sz w:val="20"/>
        </w:rPr>
      </w:pPr>
    </w:p>
    <w:p w:rsidR="00551303" w:rsidRPr="003E7389" w:rsidRDefault="00551303" w:rsidP="00DB686E">
      <w:pPr>
        <w:pStyle w:val="Tabletext"/>
        <w:rPr>
          <w:sz w:val="18"/>
        </w:rPr>
      </w:pPr>
      <w:r w:rsidRPr="003E7389">
        <w:rPr>
          <w:color w:val="0063A6" w:themeColor="accent1"/>
          <w:sz w:val="18"/>
        </w:rPr>
        <w:t>[Update up to 1 March 2017</w:t>
      </w:r>
      <w:r w:rsidR="00DB686E" w:rsidRPr="003E7389">
        <w:rPr>
          <w:color w:val="0063A6" w:themeColor="accent1"/>
          <w:sz w:val="18"/>
        </w:rPr>
        <w:t>]</w:t>
      </w:r>
    </w:p>
    <w:p w:rsidR="00551303" w:rsidRPr="00892DE3" w:rsidRDefault="00551303" w:rsidP="00551303">
      <w:pPr>
        <w:pStyle w:val="Heading2nonTOC"/>
      </w:pPr>
      <w:r w:rsidRPr="00892DE3">
        <w:t>Current reporting period</w:t>
      </w:r>
    </w:p>
    <w:p w:rsidR="00551303" w:rsidRPr="00892DE3" w:rsidRDefault="00551303" w:rsidP="00DB686E">
      <w:pPr>
        <w:spacing w:after="240"/>
      </w:pPr>
      <w:r w:rsidRPr="00892DE3">
        <w:t>The following accounting pronouncements effective from the 2016-17 reporting period are considered to have insignificant impacts on public sector reporting:</w:t>
      </w:r>
    </w:p>
    <w:p w:rsidR="00811F01" w:rsidRDefault="00811F01" w:rsidP="00DB686E">
      <w:pPr>
        <w:pStyle w:val="ListBullet"/>
        <w:spacing w:before="0" w:after="240"/>
        <w:rPr>
          <w:i/>
        </w:rPr>
      </w:pPr>
      <w:r>
        <w:t xml:space="preserve">AASB 1056 </w:t>
      </w:r>
      <w:r w:rsidRPr="00811F01">
        <w:rPr>
          <w:i/>
        </w:rPr>
        <w:t>Superannuation Entities</w:t>
      </w:r>
    </w:p>
    <w:p w:rsidR="00811F01" w:rsidRPr="00811F01" w:rsidRDefault="00811F01" w:rsidP="00811F01">
      <w:pPr>
        <w:pStyle w:val="ListBullet"/>
        <w:numPr>
          <w:ilvl w:val="0"/>
          <w:numId w:val="0"/>
        </w:numPr>
        <w:spacing w:before="0" w:after="240"/>
        <w:ind w:left="284"/>
        <w:rPr>
          <w:i/>
        </w:rPr>
      </w:pPr>
    </w:p>
    <w:p w:rsidR="00551303" w:rsidRDefault="00551303" w:rsidP="00DB686E">
      <w:pPr>
        <w:pStyle w:val="ListBullet"/>
        <w:spacing w:before="0" w:after="240"/>
      </w:pPr>
      <w:r w:rsidRPr="00892DE3">
        <w:t xml:space="preserve">AASB 1057 </w:t>
      </w:r>
      <w:r w:rsidRPr="00DB686E">
        <w:rPr>
          <w:i/>
        </w:rPr>
        <w:t>Application of Australian Accounting Standards</w:t>
      </w:r>
    </w:p>
    <w:p w:rsidR="00DB686E" w:rsidRPr="00892DE3" w:rsidRDefault="00DB686E" w:rsidP="00DB686E">
      <w:pPr>
        <w:pStyle w:val="ListBullet"/>
        <w:numPr>
          <w:ilvl w:val="0"/>
          <w:numId w:val="0"/>
        </w:numPr>
        <w:spacing w:before="0" w:after="240"/>
        <w:ind w:left="284"/>
      </w:pPr>
    </w:p>
    <w:p w:rsidR="00551303" w:rsidRPr="00DB686E" w:rsidRDefault="00551303" w:rsidP="00DB686E">
      <w:pPr>
        <w:pStyle w:val="ListBullet"/>
        <w:spacing w:before="0"/>
        <w:rPr>
          <w:i/>
        </w:rPr>
      </w:pPr>
      <w:r w:rsidRPr="00892DE3">
        <w:t>AASB 2014</w:t>
      </w:r>
      <w:r w:rsidRPr="00892DE3">
        <w:noBreakHyphen/>
        <w:t xml:space="preserve">1 </w:t>
      </w:r>
      <w:r w:rsidRPr="00DB686E">
        <w:rPr>
          <w:i/>
        </w:rPr>
        <w:t>Amendments to Australian Accounting Standards [Part D – Consequential Amendments arising from AASB 14 Regulatory Deferral Accounts only]</w:t>
      </w:r>
    </w:p>
    <w:p w:rsidR="00DB686E" w:rsidRPr="00892DE3" w:rsidRDefault="00DB686E" w:rsidP="00DB686E">
      <w:pPr>
        <w:pStyle w:val="ListBullet"/>
        <w:numPr>
          <w:ilvl w:val="0"/>
          <w:numId w:val="0"/>
        </w:numPr>
        <w:spacing w:before="0"/>
        <w:ind w:left="284"/>
      </w:pPr>
    </w:p>
    <w:p w:rsidR="00551303" w:rsidRPr="00DB686E" w:rsidRDefault="00551303" w:rsidP="00DB686E">
      <w:pPr>
        <w:pStyle w:val="ListBullet"/>
        <w:spacing w:before="0"/>
        <w:rPr>
          <w:i/>
        </w:rPr>
      </w:pPr>
      <w:r w:rsidRPr="00892DE3">
        <w:t>AASB 2014</w:t>
      </w:r>
      <w:r w:rsidRPr="00892DE3">
        <w:noBreakHyphen/>
        <w:t xml:space="preserve">3 </w:t>
      </w:r>
      <w:r w:rsidRPr="00DB686E">
        <w:rPr>
          <w:i/>
        </w:rPr>
        <w:t>Amendments to Australian Accounting Standards – Accounting for Acquisitions of Interests in Joint Operations [AASB 1 &amp; AASB 11]</w:t>
      </w:r>
    </w:p>
    <w:p w:rsidR="00DB686E" w:rsidRPr="00892DE3" w:rsidRDefault="00DB686E" w:rsidP="00DB686E">
      <w:pPr>
        <w:pStyle w:val="ListBullet"/>
        <w:numPr>
          <w:ilvl w:val="0"/>
          <w:numId w:val="0"/>
        </w:numPr>
        <w:spacing w:before="0"/>
        <w:ind w:left="284"/>
      </w:pPr>
    </w:p>
    <w:p w:rsidR="00551303" w:rsidRDefault="00551303" w:rsidP="00DB686E">
      <w:pPr>
        <w:pStyle w:val="ListBullet"/>
        <w:spacing w:before="0"/>
      </w:pPr>
      <w:r w:rsidRPr="00892DE3">
        <w:t>AASB 2014</w:t>
      </w:r>
      <w:r w:rsidRPr="00892DE3">
        <w:noBreakHyphen/>
        <w:t xml:space="preserve">6 </w:t>
      </w:r>
      <w:r w:rsidRPr="00DB686E">
        <w:rPr>
          <w:i/>
        </w:rPr>
        <w:t>Amendments to Australian Accounting Standards – Agriculture: Bearer Plants [AASB 101, AASB 116, AASB 117, AASB 123, AASB 136, AASB 140 &amp; AASB 141]</w:t>
      </w:r>
    </w:p>
    <w:p w:rsidR="00DB686E" w:rsidRPr="00892DE3" w:rsidRDefault="00DB686E" w:rsidP="00DB686E">
      <w:pPr>
        <w:pStyle w:val="ListBullet"/>
        <w:numPr>
          <w:ilvl w:val="0"/>
          <w:numId w:val="0"/>
        </w:numPr>
        <w:spacing w:before="0"/>
        <w:ind w:left="284"/>
      </w:pPr>
    </w:p>
    <w:p w:rsidR="00551303" w:rsidRPr="00DB686E" w:rsidRDefault="00551303" w:rsidP="00DB686E">
      <w:pPr>
        <w:pStyle w:val="ListBullet"/>
        <w:spacing w:before="0"/>
        <w:rPr>
          <w:i/>
        </w:rPr>
      </w:pPr>
      <w:r w:rsidRPr="00892DE3">
        <w:t xml:space="preserve">AASB 2015-2 </w:t>
      </w:r>
      <w:r w:rsidRPr="00DB686E">
        <w:rPr>
          <w:i/>
        </w:rPr>
        <w:t>Amendments to Australian Accounting Standards – Disclosure Initiative: Amendments to AASB 101 [AASB 7, AASB 101, AASB 134 &amp; AASB 1049]</w:t>
      </w:r>
    </w:p>
    <w:p w:rsidR="00DB686E" w:rsidRPr="00892DE3" w:rsidRDefault="00DB686E" w:rsidP="00DB686E">
      <w:pPr>
        <w:pStyle w:val="ListBullet"/>
        <w:numPr>
          <w:ilvl w:val="0"/>
          <w:numId w:val="0"/>
        </w:numPr>
        <w:spacing w:before="0"/>
        <w:ind w:left="284"/>
      </w:pPr>
    </w:p>
    <w:p w:rsidR="00551303" w:rsidRPr="00DB686E" w:rsidRDefault="00551303" w:rsidP="00DB686E">
      <w:pPr>
        <w:pStyle w:val="ListBullet"/>
        <w:spacing w:before="0"/>
        <w:rPr>
          <w:i/>
        </w:rPr>
      </w:pPr>
      <w:r w:rsidRPr="00892DE3">
        <w:t>AASB 2015</w:t>
      </w:r>
      <w:r w:rsidRPr="00892DE3">
        <w:noBreakHyphen/>
        <w:t xml:space="preserve">5 </w:t>
      </w:r>
      <w:r w:rsidRPr="00DB686E">
        <w:rPr>
          <w:i/>
        </w:rPr>
        <w:t xml:space="preserve">Amendments to Australian Accounting Standards – Investment Entities: Applying the Consolidation Exception [AASB 10, AASB 12, AASB 128] </w:t>
      </w:r>
    </w:p>
    <w:p w:rsidR="00DB686E" w:rsidRPr="00892DE3" w:rsidRDefault="00DB686E" w:rsidP="00DB686E">
      <w:pPr>
        <w:pStyle w:val="ListBullet"/>
        <w:numPr>
          <w:ilvl w:val="0"/>
          <w:numId w:val="0"/>
        </w:numPr>
        <w:spacing w:before="0"/>
        <w:ind w:left="284"/>
      </w:pPr>
    </w:p>
    <w:p w:rsidR="00551303" w:rsidRDefault="00551303" w:rsidP="00DB686E">
      <w:pPr>
        <w:pStyle w:val="ListBullet"/>
        <w:spacing w:before="0"/>
      </w:pPr>
      <w:r w:rsidRPr="00892DE3">
        <w:t>AASB 2015</w:t>
      </w:r>
      <w:r w:rsidRPr="00892DE3">
        <w:noBreakHyphen/>
        <w:t xml:space="preserve">9 </w:t>
      </w:r>
      <w:r w:rsidRPr="00DB686E">
        <w:rPr>
          <w:i/>
        </w:rPr>
        <w:t>Amendments to Australian Accounting Standards – Scope and Application Paragraphs [AASB 8, AASB 133 &amp; AASB 1057]</w:t>
      </w:r>
    </w:p>
    <w:p w:rsidR="00DB686E" w:rsidRPr="00892DE3" w:rsidRDefault="00DB686E" w:rsidP="00DB686E">
      <w:pPr>
        <w:pStyle w:val="ListBullet"/>
        <w:numPr>
          <w:ilvl w:val="0"/>
          <w:numId w:val="0"/>
        </w:numPr>
        <w:spacing w:before="0"/>
        <w:ind w:left="284"/>
      </w:pPr>
    </w:p>
    <w:p w:rsidR="00551303" w:rsidRPr="00DB686E" w:rsidRDefault="00551303" w:rsidP="00DB686E">
      <w:pPr>
        <w:pStyle w:val="ListBullet"/>
        <w:spacing w:before="0"/>
        <w:rPr>
          <w:i/>
        </w:rPr>
      </w:pPr>
      <w:r w:rsidRPr="00892DE3">
        <w:t>AASB 2015</w:t>
      </w:r>
      <w:r w:rsidRPr="00892DE3">
        <w:noBreakHyphen/>
        <w:t xml:space="preserve">10 </w:t>
      </w:r>
      <w:r w:rsidRPr="00DB686E">
        <w:rPr>
          <w:i/>
        </w:rPr>
        <w:t>Amendments to Australian Accounting Standards – Effective Date of Amendments to AASB 10 and AASB 128</w:t>
      </w:r>
    </w:p>
    <w:p w:rsidR="00DB686E" w:rsidRPr="00892DE3" w:rsidRDefault="00DB686E" w:rsidP="00DB686E">
      <w:pPr>
        <w:pStyle w:val="ListBullet"/>
        <w:numPr>
          <w:ilvl w:val="0"/>
          <w:numId w:val="0"/>
        </w:numPr>
        <w:spacing w:before="0"/>
        <w:ind w:left="284"/>
      </w:pPr>
    </w:p>
    <w:p w:rsidR="00551303" w:rsidRDefault="00551303" w:rsidP="00DB686E">
      <w:pPr>
        <w:pStyle w:val="ListBullet"/>
        <w:spacing w:before="0"/>
      </w:pPr>
      <w:r w:rsidRPr="00892DE3">
        <w:t xml:space="preserve">AASB 2016-1 </w:t>
      </w:r>
      <w:r w:rsidRPr="00DB686E">
        <w:rPr>
          <w:i/>
        </w:rPr>
        <w:t>Amendments to Australian Accounting Standards – Recognition of Deferred Tax Assets for Unrealised Losses [AASB 112]</w:t>
      </w:r>
    </w:p>
    <w:p w:rsidR="00DB686E" w:rsidRPr="00892DE3" w:rsidRDefault="00DB686E" w:rsidP="00DB686E">
      <w:pPr>
        <w:pStyle w:val="ListBullet"/>
        <w:numPr>
          <w:ilvl w:val="0"/>
          <w:numId w:val="0"/>
        </w:numPr>
        <w:spacing w:before="0"/>
        <w:ind w:left="284"/>
      </w:pPr>
    </w:p>
    <w:p w:rsidR="00551303" w:rsidRPr="00892DE3" w:rsidRDefault="00551303" w:rsidP="00DB686E">
      <w:pPr>
        <w:pStyle w:val="ListBullet"/>
        <w:spacing w:before="0"/>
      </w:pPr>
      <w:r w:rsidRPr="00892DE3">
        <w:t xml:space="preserve">AASB 2016-2 </w:t>
      </w:r>
      <w:r w:rsidRPr="00DB686E">
        <w:rPr>
          <w:i/>
        </w:rPr>
        <w:t>Amendments to Australian Accounting Standards – Disclosure Initiative: Amendments to AASB 107</w:t>
      </w:r>
    </w:p>
    <w:p w:rsidR="00551303" w:rsidRPr="00892DE3" w:rsidRDefault="00551303" w:rsidP="00DB686E">
      <w:pPr>
        <w:spacing w:before="0"/>
      </w:pPr>
    </w:p>
    <w:p w:rsidR="00551303" w:rsidRPr="00892DE3" w:rsidRDefault="00551303" w:rsidP="00551303"/>
    <w:p w:rsidR="00551303" w:rsidRPr="00892DE3" w:rsidRDefault="00551303" w:rsidP="00551303">
      <w:pPr>
        <w:keepLines w:val="0"/>
        <w:rPr>
          <w:rFonts w:asciiTheme="majorHAnsi" w:eastAsiaTheme="majorEastAsia" w:hAnsiTheme="majorHAnsi" w:cstheme="majorBidi"/>
          <w:b/>
          <w:spacing w:val="-2"/>
          <w:sz w:val="24"/>
          <w:szCs w:val="26"/>
        </w:rPr>
      </w:pPr>
      <w:r w:rsidRPr="00892DE3">
        <w:br w:type="page"/>
      </w:r>
    </w:p>
    <w:p w:rsidR="00551303" w:rsidRPr="00892DE3" w:rsidRDefault="00551303" w:rsidP="00551303">
      <w:pPr>
        <w:pStyle w:val="Heading2nonTOC"/>
      </w:pPr>
      <w:r w:rsidRPr="00892DE3">
        <w:t>Future reporting periods</w:t>
      </w:r>
    </w:p>
    <w:p w:rsidR="00551303" w:rsidRPr="00892DE3" w:rsidRDefault="00551303" w:rsidP="00551303">
      <w:r w:rsidRPr="00892DE3">
        <w:t>The table below outlines the accounting pronouncements that have been issued but not effective for 2016-17, which may result in potential impacts on public sector reporting for future reporting periods.</w:t>
      </w:r>
    </w:p>
    <w:p w:rsidR="00551303" w:rsidRPr="00892DE3" w:rsidRDefault="00551303" w:rsidP="00551303"/>
    <w:tbl>
      <w:tblPr>
        <w:tblStyle w:val="DTFTextTable"/>
        <w:tblW w:w="9637" w:type="dxa"/>
        <w:tblInd w:w="45" w:type="dxa"/>
        <w:tblLayout w:type="fixed"/>
        <w:tblCellMar>
          <w:left w:w="45" w:type="dxa"/>
          <w:right w:w="45" w:type="dxa"/>
        </w:tblCellMar>
        <w:tblLook w:val="06E0" w:firstRow="1" w:lastRow="1" w:firstColumn="1" w:lastColumn="0" w:noHBand="1" w:noVBand="1"/>
      </w:tblPr>
      <w:tblGrid>
        <w:gridCol w:w="2721"/>
        <w:gridCol w:w="5486"/>
        <w:gridCol w:w="1430"/>
      </w:tblGrid>
      <w:tr w:rsidR="00551303" w:rsidRPr="00DB686E" w:rsidTr="00DB686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21" w:type="dxa"/>
            <w:tcBorders>
              <w:bottom w:val="nil"/>
            </w:tcBorders>
            <w:shd w:val="clear" w:color="auto" w:fill="262626" w:themeFill="text1" w:themeFillTint="D9"/>
          </w:tcPr>
          <w:p w:rsidR="00551303" w:rsidRPr="00DB686E" w:rsidRDefault="00551303" w:rsidP="00DB686E">
            <w:pPr>
              <w:spacing w:line="276" w:lineRule="auto"/>
              <w:ind w:left="0" w:firstLine="0"/>
              <w:rPr>
                <w:i w:val="0"/>
                <w:szCs w:val="18"/>
              </w:rPr>
            </w:pPr>
            <w:r w:rsidRPr="00DB686E">
              <w:rPr>
                <w:i w:val="0"/>
                <w:szCs w:val="18"/>
              </w:rPr>
              <w:t>Topic</w:t>
            </w:r>
          </w:p>
        </w:tc>
        <w:tc>
          <w:tcPr>
            <w:tcW w:w="5486" w:type="dxa"/>
            <w:tcBorders>
              <w:bottom w:val="nil"/>
            </w:tcBorders>
            <w:shd w:val="clear" w:color="auto" w:fill="262626" w:themeFill="text1" w:themeFillTint="D9"/>
          </w:tcPr>
          <w:p w:rsidR="00551303" w:rsidRPr="00DB686E" w:rsidRDefault="00551303" w:rsidP="00DB686E">
            <w:pPr>
              <w:spacing w:line="276" w:lineRule="auto"/>
              <w:cnfStyle w:val="100000000000" w:firstRow="1" w:lastRow="0" w:firstColumn="0" w:lastColumn="0" w:oddVBand="0" w:evenVBand="0" w:oddHBand="0" w:evenHBand="0" w:firstRowFirstColumn="0" w:firstRowLastColumn="0" w:lastRowFirstColumn="0" w:lastRowLastColumn="0"/>
              <w:rPr>
                <w:i w:val="0"/>
                <w:szCs w:val="18"/>
              </w:rPr>
            </w:pPr>
            <w:r w:rsidRPr="00DB686E">
              <w:rPr>
                <w:i w:val="0"/>
                <w:szCs w:val="18"/>
              </w:rPr>
              <w:t>Key requirements</w:t>
            </w:r>
          </w:p>
        </w:tc>
        <w:tc>
          <w:tcPr>
            <w:tcW w:w="1430" w:type="dxa"/>
            <w:tcBorders>
              <w:bottom w:val="nil"/>
            </w:tcBorders>
            <w:shd w:val="clear" w:color="auto" w:fill="262626" w:themeFill="text1" w:themeFillTint="D9"/>
          </w:tcPr>
          <w:p w:rsidR="00551303" w:rsidRPr="00DB686E" w:rsidRDefault="00551303" w:rsidP="00DB686E">
            <w:pPr>
              <w:spacing w:line="276" w:lineRule="auto"/>
              <w:jc w:val="center"/>
              <w:cnfStyle w:val="100000000000" w:firstRow="1" w:lastRow="0" w:firstColumn="0" w:lastColumn="0" w:oddVBand="0" w:evenVBand="0" w:oddHBand="0" w:evenHBand="0" w:firstRowFirstColumn="0" w:firstRowLastColumn="0" w:lastRowFirstColumn="0" w:lastRowLastColumn="0"/>
              <w:rPr>
                <w:i w:val="0"/>
                <w:szCs w:val="18"/>
              </w:rPr>
            </w:pPr>
            <w:r w:rsidRPr="00DB686E">
              <w:rPr>
                <w:i w:val="0"/>
                <w:szCs w:val="18"/>
              </w:rPr>
              <w:t>Effective date</w:t>
            </w:r>
          </w:p>
        </w:tc>
      </w:tr>
      <w:tr w:rsidR="00551303" w:rsidRPr="00DB686E" w:rsidTr="00DB686E">
        <w:tc>
          <w:tcPr>
            <w:cnfStyle w:val="001000000000" w:firstRow="0" w:lastRow="0" w:firstColumn="1" w:lastColumn="0" w:oddVBand="0" w:evenVBand="0" w:oddHBand="0" w:evenHBand="0" w:firstRowFirstColumn="0" w:firstRowLastColumn="0" w:lastRowFirstColumn="0" w:lastRowLastColumn="0"/>
            <w:tcW w:w="2721" w:type="dxa"/>
            <w:tcBorders>
              <w:bottom w:val="single" w:sz="2" w:space="0" w:color="808080" w:themeColor="background1" w:themeShade="80"/>
            </w:tcBorders>
          </w:tcPr>
          <w:p w:rsidR="00551303" w:rsidRPr="00DB686E" w:rsidRDefault="00551303" w:rsidP="00DB686E">
            <w:pPr>
              <w:spacing w:line="276" w:lineRule="auto"/>
              <w:ind w:left="0" w:firstLine="0"/>
              <w:rPr>
                <w:szCs w:val="18"/>
              </w:rPr>
            </w:pPr>
            <w:r w:rsidRPr="00DB686E">
              <w:rPr>
                <w:szCs w:val="18"/>
              </w:rPr>
              <w:t xml:space="preserve">AASB 9 </w:t>
            </w:r>
            <w:r w:rsidRPr="00DB686E">
              <w:rPr>
                <w:i/>
                <w:szCs w:val="18"/>
              </w:rPr>
              <w:t>Financial Instruments</w:t>
            </w:r>
          </w:p>
        </w:tc>
        <w:tc>
          <w:tcPr>
            <w:tcW w:w="5486" w:type="dxa"/>
            <w:tcBorders>
              <w:bottom w:val="single" w:sz="2" w:space="0" w:color="808080" w:themeColor="background1" w:themeShade="80"/>
            </w:tcBorders>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The key changes introduced by AASB 9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1430" w:type="dxa"/>
            <w:tcBorders>
              <w:bottom w:val="single" w:sz="2" w:space="0" w:color="808080" w:themeColor="background1" w:themeShade="80"/>
            </w:tcBorders>
          </w:tcPr>
          <w:p w:rsidR="00551303" w:rsidRPr="00DB686E" w:rsidRDefault="00551303" w:rsidP="00DB686E">
            <w:pPr>
              <w:spacing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2018</w:t>
            </w:r>
          </w:p>
        </w:tc>
      </w:tr>
      <w:tr w:rsidR="00551303" w:rsidRPr="00DB686E" w:rsidTr="00F97E48">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ind w:left="0" w:firstLine="0"/>
              <w:rPr>
                <w:szCs w:val="18"/>
              </w:rPr>
            </w:pPr>
            <w:r w:rsidRPr="00DB686E">
              <w:rPr>
                <w:szCs w:val="18"/>
              </w:rPr>
              <w:t>AASB 2010</w:t>
            </w:r>
            <w:r w:rsidRPr="00DB686E">
              <w:rPr>
                <w:szCs w:val="18"/>
              </w:rPr>
              <w:noBreakHyphen/>
              <w:t xml:space="preserve">7 </w:t>
            </w:r>
            <w:r w:rsidRPr="00DB686E">
              <w:rPr>
                <w:i/>
                <w:szCs w:val="18"/>
              </w:rPr>
              <w:t>Amendments to Australian Accounting Standards arising from AASB 9 (December 2010) [AASB 1, 3, 4, 5, 7, 101, 102, 108, 112, 118, 120, 121, 127, 128, 131, 132, 136, 137, 139, 1023 &amp; 1038 and Interpretations 2, 5, 10, 12, 19 &amp; 127]</w:t>
            </w:r>
          </w:p>
        </w:tc>
        <w:tc>
          <w:tcPr>
            <w:tcW w:w="5486"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The requirements for classifying and measuring financial liabilities were added to AASB 9. The existing requirements for the classification of financial liabilities and the ability to use the fair value option have been retained. However, where the fair value option is used for financial liabilities the change in fair value is accounted for as follows:</w:t>
            </w:r>
          </w:p>
          <w:p w:rsidR="00551303" w:rsidRPr="00DB686E" w:rsidRDefault="00551303" w:rsidP="00DB686E">
            <w:pPr>
              <w:pStyle w:val="ListBullet"/>
              <w:numPr>
                <w:ilvl w:val="0"/>
                <w:numId w:val="0"/>
              </w:numPr>
              <w:spacing w:after="120" w:line="276" w:lineRule="auto"/>
              <w:contextualSpacing w:val="0"/>
              <w:cnfStyle w:val="000000000000" w:firstRow="0" w:lastRow="0" w:firstColumn="0" w:lastColumn="0" w:oddVBand="0" w:evenVBand="0" w:oddHBand="0" w:evenHBand="0" w:firstRowFirstColumn="0" w:firstRowLastColumn="0" w:lastRowFirstColumn="0" w:lastRowLastColumn="0"/>
              <w:rPr>
                <w:szCs w:val="18"/>
              </w:rPr>
            </w:pPr>
            <w:r w:rsidRPr="00DB686E">
              <w:rPr>
                <w:szCs w:val="18"/>
              </w:rPr>
              <w:t>the change in fair value attributable to changes in credit risk is presented in other comprehensive income (OCI); and</w:t>
            </w:r>
          </w:p>
          <w:p w:rsidR="00551303" w:rsidRPr="00DB686E" w:rsidRDefault="00551303" w:rsidP="00DB686E">
            <w:pPr>
              <w:pStyle w:val="ListBullet"/>
              <w:numPr>
                <w:ilvl w:val="0"/>
                <w:numId w:val="0"/>
              </w:numPr>
              <w:spacing w:after="120" w:line="276" w:lineRule="auto"/>
              <w:contextualSpacing w:val="0"/>
              <w:cnfStyle w:val="000000000000" w:firstRow="0" w:lastRow="0" w:firstColumn="0" w:lastColumn="0" w:oddVBand="0" w:evenVBand="0" w:oddHBand="0" w:evenHBand="0" w:firstRowFirstColumn="0" w:firstRowLastColumn="0" w:lastRowFirstColumn="0" w:lastRowLastColumn="0"/>
              <w:rPr>
                <w:szCs w:val="18"/>
              </w:rPr>
            </w:pPr>
            <w:r w:rsidRPr="00DB686E">
              <w:rPr>
                <w:szCs w:val="18"/>
              </w:rPr>
              <w:t>other fair value changes are presented in profit or loss. If this approach creates or enlarges an accounting mismatch in the profit or loss, the effect of the changes in credit risk are also presented in profit or loss.</w:t>
            </w:r>
          </w:p>
        </w:tc>
        <w:tc>
          <w:tcPr>
            <w:tcW w:w="1430"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2018</w:t>
            </w:r>
          </w:p>
        </w:tc>
      </w:tr>
      <w:tr w:rsidR="00551303" w:rsidRPr="00DB686E" w:rsidTr="00DB686E">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ind w:left="0" w:firstLine="0"/>
              <w:rPr>
                <w:szCs w:val="18"/>
              </w:rPr>
            </w:pPr>
            <w:r w:rsidRPr="00DB686E">
              <w:rPr>
                <w:szCs w:val="18"/>
              </w:rPr>
              <w:t>AASB 2014</w:t>
            </w:r>
            <w:r w:rsidRPr="00DB686E">
              <w:rPr>
                <w:szCs w:val="18"/>
              </w:rPr>
              <w:noBreakHyphen/>
              <w:t xml:space="preserve">1 </w:t>
            </w:r>
            <w:r w:rsidRPr="00DB686E">
              <w:rPr>
                <w:i/>
                <w:szCs w:val="18"/>
              </w:rPr>
              <w:t>Amendments to Australian Accounting Standards [Part E Financial Instruments]</w:t>
            </w:r>
          </w:p>
        </w:tc>
        <w:tc>
          <w:tcPr>
            <w:tcW w:w="5486"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Amends various AASs to reflect the AASB’s decision to defer the mandatory application date of AASB 9 to annual reporting periods beginning on or after 1 January 2018; as a consequence of Chapter 6; and to amend reduced disclosure requirements.</w:t>
            </w:r>
          </w:p>
        </w:tc>
        <w:tc>
          <w:tcPr>
            <w:tcW w:w="1430"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2018</w:t>
            </w:r>
          </w:p>
        </w:tc>
      </w:tr>
      <w:tr w:rsidR="00551303" w:rsidRPr="00DB686E" w:rsidTr="00F97E48">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ind w:left="0" w:firstLine="0"/>
              <w:rPr>
                <w:szCs w:val="18"/>
              </w:rPr>
            </w:pPr>
            <w:r w:rsidRPr="00DB686E">
              <w:rPr>
                <w:szCs w:val="18"/>
              </w:rPr>
              <w:t>AASB 2014</w:t>
            </w:r>
            <w:r w:rsidRPr="00DB686E">
              <w:rPr>
                <w:szCs w:val="18"/>
              </w:rPr>
              <w:noBreakHyphen/>
              <w:t xml:space="preserve">7 </w:t>
            </w:r>
            <w:r w:rsidRPr="00DB686E">
              <w:rPr>
                <w:i/>
                <w:szCs w:val="18"/>
              </w:rPr>
              <w:t>Amendments to Australian Accounting Standards arising from AASB 9</w:t>
            </w:r>
          </w:p>
        </w:tc>
        <w:tc>
          <w:tcPr>
            <w:tcW w:w="5486"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Amends various AASs to incorporate the consequential amendments arising from the issuance of AASB 9.</w:t>
            </w:r>
          </w:p>
        </w:tc>
        <w:tc>
          <w:tcPr>
            <w:tcW w:w="1430"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2018</w:t>
            </w:r>
          </w:p>
        </w:tc>
      </w:tr>
      <w:tr w:rsidR="00551303" w:rsidRPr="00DB686E" w:rsidTr="00DB686E">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ind w:left="0" w:firstLine="0"/>
              <w:rPr>
                <w:szCs w:val="18"/>
              </w:rPr>
            </w:pPr>
            <w:r w:rsidRPr="00DB686E">
              <w:rPr>
                <w:szCs w:val="18"/>
              </w:rPr>
              <w:t xml:space="preserve">AASB 15 </w:t>
            </w:r>
            <w:r w:rsidRPr="00DB686E">
              <w:rPr>
                <w:i/>
                <w:szCs w:val="18"/>
              </w:rPr>
              <w:t>Revenue from Contracts with Customers</w:t>
            </w:r>
          </w:p>
        </w:tc>
        <w:tc>
          <w:tcPr>
            <w:tcW w:w="5486"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The core principle of AASB 15 requires an entity to recognise revenue when the entity satisfies a performance obligation by transferring a promised good or service to a customer. Note that amending standard AASB 2015</w:t>
            </w:r>
            <w:r w:rsidRPr="00DB686E">
              <w:rPr>
                <w:szCs w:val="18"/>
              </w:rPr>
              <w:noBreakHyphen/>
              <w:t xml:space="preserve">8 </w:t>
            </w:r>
            <w:r w:rsidRPr="00DB686E">
              <w:rPr>
                <w:i/>
                <w:szCs w:val="18"/>
              </w:rPr>
              <w:t>Amendments to Australian Accounting Standards – Effective Date of AASB 15</w:t>
            </w:r>
            <w:r w:rsidRPr="00DB686E">
              <w:rPr>
                <w:szCs w:val="18"/>
              </w:rPr>
              <w:t xml:space="preserve"> has deferred the effective date of AASB 15 to annual reporting periods beginning on or after 1 January 2018, instead of 1 January 2017.</w:t>
            </w:r>
          </w:p>
        </w:tc>
        <w:tc>
          <w:tcPr>
            <w:tcW w:w="1430"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2018</w:t>
            </w:r>
          </w:p>
        </w:tc>
      </w:tr>
      <w:tr w:rsidR="00551303" w:rsidRPr="00DB686E" w:rsidTr="00F97E48">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ind w:left="0" w:firstLine="0"/>
              <w:rPr>
                <w:szCs w:val="18"/>
              </w:rPr>
            </w:pPr>
            <w:r w:rsidRPr="00DB686E">
              <w:rPr>
                <w:szCs w:val="18"/>
              </w:rPr>
              <w:t>AASB 2014</w:t>
            </w:r>
            <w:r w:rsidRPr="00DB686E">
              <w:rPr>
                <w:szCs w:val="18"/>
              </w:rPr>
              <w:noBreakHyphen/>
              <w:t xml:space="preserve">5 </w:t>
            </w:r>
            <w:r w:rsidRPr="00DB686E">
              <w:rPr>
                <w:i/>
                <w:szCs w:val="18"/>
              </w:rPr>
              <w:t>Amendments to Australian Accounting Standards arising from AASB 15</w:t>
            </w:r>
          </w:p>
        </w:tc>
        <w:tc>
          <w:tcPr>
            <w:tcW w:w="5486"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Amends the measurement of trade receivables and the recognition of dividends.Trade receivables, that do not have a significant financing component, are to be measured at their transaction price, at initial recognition. Dividends are recognised in the profit and loss only when:</w:t>
            </w:r>
          </w:p>
          <w:p w:rsidR="00551303" w:rsidRPr="00DB686E" w:rsidRDefault="00551303" w:rsidP="00DB686E">
            <w:pPr>
              <w:pStyle w:val="ListBullet"/>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the entity’s right to receive payment of the dividend is established;</w:t>
            </w:r>
          </w:p>
          <w:p w:rsidR="00551303" w:rsidRPr="00DB686E" w:rsidRDefault="00551303" w:rsidP="00DB686E">
            <w:pPr>
              <w:pStyle w:val="ListBullet"/>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it is probable that the econmis benefits associated with the dividend will flow to the entity; and</w:t>
            </w:r>
          </w:p>
          <w:p w:rsidR="00551303" w:rsidRPr="00DB686E" w:rsidRDefault="00551303" w:rsidP="00DB686E">
            <w:pPr>
              <w:pStyle w:val="ListBullet"/>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the amount can be measured reliably.</w:t>
            </w:r>
          </w:p>
        </w:tc>
        <w:tc>
          <w:tcPr>
            <w:tcW w:w="1430"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91275C">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2017, except amendments to AASB 9 (Dec 2009) and AASB 9 (Dec 2010) apply 1 January 2018.</w:t>
            </w:r>
          </w:p>
        </w:tc>
      </w:tr>
      <w:tr w:rsidR="00551303" w:rsidRPr="00DB686E" w:rsidTr="00DB686E">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ind w:left="0" w:firstLine="0"/>
              <w:rPr>
                <w:szCs w:val="18"/>
              </w:rPr>
            </w:pPr>
            <w:r w:rsidRPr="00DB686E">
              <w:rPr>
                <w:szCs w:val="18"/>
              </w:rPr>
              <w:t xml:space="preserve">AASB 2015-8 </w:t>
            </w:r>
            <w:r w:rsidRPr="00DB686E">
              <w:rPr>
                <w:i/>
                <w:szCs w:val="18"/>
              </w:rPr>
              <w:t>Amendments to Australian Accounting Standards – Effective Date of AASB 15</w:t>
            </w:r>
          </w:p>
        </w:tc>
        <w:tc>
          <w:tcPr>
            <w:tcW w:w="5486"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This standard defers the mandatory effective date of AASB 15 from 1 January 2017 to 1 January 2018.</w:t>
            </w:r>
          </w:p>
        </w:tc>
        <w:tc>
          <w:tcPr>
            <w:tcW w:w="1430"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2018</w:t>
            </w:r>
          </w:p>
        </w:tc>
      </w:tr>
      <w:tr w:rsidR="00551303" w:rsidRPr="00DB686E" w:rsidTr="00F97E48">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ind w:left="0" w:firstLine="0"/>
              <w:rPr>
                <w:szCs w:val="18"/>
              </w:rPr>
            </w:pPr>
            <w:r w:rsidRPr="00DB686E">
              <w:rPr>
                <w:szCs w:val="18"/>
              </w:rPr>
              <w:t xml:space="preserve">AASB 2016-7 </w:t>
            </w:r>
            <w:r w:rsidRPr="00DB686E">
              <w:rPr>
                <w:i/>
                <w:szCs w:val="18"/>
              </w:rPr>
              <w:t>Amendments to Australian Accounting Standards – Deferral of AASB 15 for Not-for-Profit Entities</w:t>
            </w:r>
          </w:p>
        </w:tc>
        <w:tc>
          <w:tcPr>
            <w:tcW w:w="5486"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This standard defers the mandatory effective date of AASB 15 for not-for-profit entities from 1 January 2018 to 1 January 2019.</w:t>
            </w:r>
          </w:p>
        </w:tc>
        <w:tc>
          <w:tcPr>
            <w:tcW w:w="1430"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2019</w:t>
            </w:r>
          </w:p>
        </w:tc>
      </w:tr>
      <w:tr w:rsidR="00551303" w:rsidRPr="00DB686E" w:rsidTr="00DB686E">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ind w:left="0" w:firstLine="0"/>
              <w:rPr>
                <w:szCs w:val="18"/>
              </w:rPr>
            </w:pPr>
            <w:r w:rsidRPr="00DB686E">
              <w:rPr>
                <w:szCs w:val="18"/>
              </w:rPr>
              <w:t xml:space="preserve">AASB 2016-3 </w:t>
            </w:r>
            <w:r w:rsidRPr="00DB686E">
              <w:rPr>
                <w:i/>
                <w:szCs w:val="18"/>
              </w:rPr>
              <w:t>Amendments to Australian Accounting Standards – Clarifications to AASB 15</w:t>
            </w:r>
          </w:p>
        </w:tc>
        <w:tc>
          <w:tcPr>
            <w:tcW w:w="5486"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 xml:space="preserve">This Standard amends AASB 15 to clarify requirements on identifying performance obligations, principal versus agent considerations and the timing of recognising revenue from granting a licence. </w:t>
            </w:r>
          </w:p>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The amendments require:</w:t>
            </w:r>
          </w:p>
          <w:p w:rsidR="00551303" w:rsidRPr="00DB686E" w:rsidRDefault="00551303" w:rsidP="00DB686E">
            <w:pPr>
              <w:pStyle w:val="ListBullet"/>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a promise to transfer to a customer a good or service that is ‘distinct’ to be recognised as a separate performance obligation;</w:t>
            </w:r>
          </w:p>
          <w:p w:rsidR="00551303" w:rsidRPr="00DB686E" w:rsidRDefault="00551303" w:rsidP="00DB686E">
            <w:pPr>
              <w:pStyle w:val="ListBullet"/>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for items purchased online, the entity is a principal if it obtains control of the good or service prior to transferring to the customer; and</w:t>
            </w:r>
          </w:p>
          <w:p w:rsidR="00551303" w:rsidRPr="00DB686E" w:rsidRDefault="00551303" w:rsidP="00DB686E">
            <w:pPr>
              <w:pStyle w:val="ListBullet"/>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for licences identified as being distinct from other goods or services in a contract, entities need to determine whether the licence transfers to the customer over time (right to use) or at a point in time (right to access).</w:t>
            </w:r>
          </w:p>
        </w:tc>
        <w:tc>
          <w:tcPr>
            <w:tcW w:w="1430"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2018</w:t>
            </w:r>
          </w:p>
        </w:tc>
      </w:tr>
      <w:tr w:rsidR="00551303" w:rsidRPr="00DB686E" w:rsidTr="00F97E48">
        <w:trPr>
          <w:trHeight w:val="1460"/>
        </w:trPr>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pStyle w:val="Tabletext"/>
              <w:spacing w:line="276" w:lineRule="auto"/>
              <w:ind w:left="0" w:firstLine="0"/>
              <w:rPr>
                <w:i/>
                <w:sz w:val="18"/>
                <w:szCs w:val="18"/>
              </w:rPr>
            </w:pPr>
            <w:r w:rsidRPr="00DB686E">
              <w:rPr>
                <w:sz w:val="18"/>
                <w:szCs w:val="18"/>
              </w:rPr>
              <w:t xml:space="preserve">AASB 2016-4 </w:t>
            </w:r>
            <w:r w:rsidRPr="00DB686E">
              <w:rPr>
                <w:i/>
                <w:sz w:val="18"/>
                <w:szCs w:val="18"/>
              </w:rPr>
              <w:t xml:space="preserve">Amendments to Australian Accounting Standards – Recoverable Amount of Non-Cash-Generating Specialised Assets of Not-for-Profit Entities </w:t>
            </w:r>
          </w:p>
        </w:tc>
        <w:tc>
          <w:tcPr>
            <w:tcW w:w="5486"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pStyle w:val="Tabletext"/>
              <w:spacing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DB686E">
              <w:rPr>
                <w:rFonts w:eastAsiaTheme="minorHAnsi" w:cstheme="minorBidi"/>
                <w:noProof w:val="0"/>
                <w:sz w:val="18"/>
                <w:szCs w:val="18"/>
                <w:lang w:eastAsia="en-US"/>
              </w:rPr>
              <w:t>The standard amends AASB 136 Impairment of Assets to remove references to using depreciated replacement cost (DRC) as a measure of value in use for not-for-profit entities</w:t>
            </w:r>
            <w:r w:rsidRPr="00DB686E">
              <w:rPr>
                <w:sz w:val="18"/>
                <w:szCs w:val="18"/>
              </w:rPr>
              <w:t xml:space="preserve">. </w:t>
            </w:r>
          </w:p>
        </w:tc>
        <w:tc>
          <w:tcPr>
            <w:tcW w:w="1430"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pStyle w:val="Tabletext"/>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B686E">
              <w:rPr>
                <w:sz w:val="18"/>
                <w:szCs w:val="18"/>
              </w:rPr>
              <w:t>1 January 2017</w:t>
            </w:r>
          </w:p>
        </w:tc>
      </w:tr>
      <w:tr w:rsidR="00551303" w:rsidRPr="00DB686E" w:rsidTr="00DB686E">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ind w:left="0" w:firstLine="0"/>
              <w:rPr>
                <w:szCs w:val="18"/>
              </w:rPr>
            </w:pPr>
            <w:r w:rsidRPr="00DB686E">
              <w:rPr>
                <w:szCs w:val="18"/>
              </w:rPr>
              <w:t xml:space="preserve">AASB 16 </w:t>
            </w:r>
            <w:r w:rsidRPr="00DB686E">
              <w:rPr>
                <w:i/>
                <w:szCs w:val="18"/>
              </w:rPr>
              <w:t>Leases</w:t>
            </w:r>
          </w:p>
        </w:tc>
        <w:tc>
          <w:tcPr>
            <w:tcW w:w="5486"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The key changes introduced by AASB 16 include the recognition of most operating leases (which are currently not recognised) on balance sheet.</w:t>
            </w:r>
          </w:p>
        </w:tc>
        <w:tc>
          <w:tcPr>
            <w:tcW w:w="1430" w:type="dxa"/>
            <w:tcBorders>
              <w:top w:val="single" w:sz="2" w:space="0" w:color="808080" w:themeColor="background1" w:themeShade="80"/>
              <w:bottom w:val="single" w:sz="2" w:space="0" w:color="808080" w:themeColor="background1" w:themeShade="80"/>
            </w:tcBorders>
          </w:tcPr>
          <w:p w:rsidR="00551303" w:rsidRPr="00DB686E" w:rsidRDefault="00551303" w:rsidP="00DB686E">
            <w:pPr>
              <w:spacing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2019</w:t>
            </w:r>
          </w:p>
        </w:tc>
      </w:tr>
      <w:tr w:rsidR="00551303" w:rsidRPr="00DB686E" w:rsidTr="00F97E48">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ind w:left="0" w:firstLine="0"/>
              <w:rPr>
                <w:szCs w:val="18"/>
              </w:rPr>
            </w:pPr>
            <w:r w:rsidRPr="00DB686E">
              <w:rPr>
                <w:szCs w:val="18"/>
              </w:rPr>
              <w:t xml:space="preserve">AASB 1058 </w:t>
            </w:r>
            <w:r w:rsidRPr="00DB686E">
              <w:rPr>
                <w:i/>
                <w:szCs w:val="18"/>
              </w:rPr>
              <w:t>Income of Not-for-Profit Entities</w:t>
            </w:r>
          </w:p>
        </w:tc>
        <w:tc>
          <w:tcPr>
            <w:tcW w:w="5486"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DB686E">
              <w:rPr>
                <w:szCs w:val="18"/>
              </w:rPr>
              <w:t xml:space="preserve">This Standard will replace AASB 1004 </w:t>
            </w:r>
            <w:r w:rsidRPr="00DB686E">
              <w:rPr>
                <w:i/>
                <w:szCs w:val="18"/>
              </w:rPr>
              <w:t>Contributions</w:t>
            </w:r>
            <w:r w:rsidRPr="00DB686E">
              <w:rPr>
                <w:szCs w:val="18"/>
              </w:rPr>
              <w:t xml:space="preserve"> and establishes principles for transactions that are not within the scope of AASB 15, where the consideration to acquire an asset is significantly less than fair value to enable not-for-profit entities to further their objectives.</w:t>
            </w:r>
          </w:p>
        </w:tc>
        <w:tc>
          <w:tcPr>
            <w:tcW w:w="1430" w:type="dxa"/>
            <w:tcBorders>
              <w:top w:val="single" w:sz="2" w:space="0" w:color="808080" w:themeColor="background1" w:themeShade="80"/>
              <w:bottom w:val="single" w:sz="2" w:space="0" w:color="808080" w:themeColor="background1" w:themeShade="80"/>
            </w:tcBorders>
            <w:shd w:val="clear" w:color="auto" w:fill="BFBFBF" w:themeFill="background1" w:themeFillShade="BF"/>
          </w:tcPr>
          <w:p w:rsidR="00551303" w:rsidRPr="00DB686E" w:rsidRDefault="00551303" w:rsidP="00DB686E">
            <w:pPr>
              <w:spacing w:line="276" w:lineRule="auto"/>
              <w:jc w:val="center"/>
              <w:cnfStyle w:val="000000000000" w:firstRow="0" w:lastRow="0" w:firstColumn="0" w:lastColumn="0" w:oddVBand="0" w:evenVBand="0" w:oddHBand="0" w:evenHBand="0" w:firstRowFirstColumn="0" w:firstRowLastColumn="0" w:lastRowFirstColumn="0" w:lastRowLastColumn="0"/>
              <w:rPr>
                <w:szCs w:val="18"/>
              </w:rPr>
            </w:pPr>
            <w:r w:rsidRPr="00DB686E">
              <w:rPr>
                <w:szCs w:val="18"/>
              </w:rPr>
              <w:t>1 January 2019</w:t>
            </w:r>
          </w:p>
        </w:tc>
      </w:tr>
      <w:tr w:rsidR="00551303" w:rsidRPr="00DB686E" w:rsidTr="0052741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Borders>
              <w:top w:val="single" w:sz="2" w:space="0" w:color="808080" w:themeColor="background1" w:themeShade="80"/>
              <w:bottom w:val="single" w:sz="12" w:space="0" w:color="A6A6A6" w:themeColor="background1" w:themeShade="A6"/>
            </w:tcBorders>
          </w:tcPr>
          <w:p w:rsidR="00551303" w:rsidRPr="00DB686E" w:rsidRDefault="00551303" w:rsidP="00DB686E">
            <w:pPr>
              <w:spacing w:line="276" w:lineRule="auto"/>
              <w:ind w:left="0" w:firstLine="0"/>
              <w:rPr>
                <w:szCs w:val="18"/>
              </w:rPr>
            </w:pPr>
            <w:r w:rsidRPr="00DB686E">
              <w:rPr>
                <w:szCs w:val="18"/>
              </w:rPr>
              <w:t xml:space="preserve">AASB 2016-8 </w:t>
            </w:r>
            <w:r w:rsidRPr="00DB686E">
              <w:rPr>
                <w:i/>
                <w:szCs w:val="18"/>
              </w:rPr>
              <w:t>Amendments to Australian Accounting Standards – Australian Implementation Guidance for Not-for-Profit Entities</w:t>
            </w:r>
          </w:p>
        </w:tc>
        <w:tc>
          <w:tcPr>
            <w:tcW w:w="5486" w:type="dxa"/>
            <w:tcBorders>
              <w:top w:val="single" w:sz="2" w:space="0" w:color="808080" w:themeColor="background1" w:themeShade="80"/>
              <w:bottom w:val="single" w:sz="12" w:space="0" w:color="A6A6A6" w:themeColor="background1" w:themeShade="A6"/>
            </w:tcBorders>
          </w:tcPr>
          <w:p w:rsidR="00551303" w:rsidRPr="00DB686E" w:rsidRDefault="00551303" w:rsidP="00DB686E">
            <w:pPr>
              <w:spacing w:line="276" w:lineRule="auto"/>
              <w:cnfStyle w:val="010000000000" w:firstRow="0" w:lastRow="1" w:firstColumn="0" w:lastColumn="0" w:oddVBand="0" w:evenVBand="0" w:oddHBand="0" w:evenHBand="0" w:firstRowFirstColumn="0" w:firstRowLastColumn="0" w:lastRowFirstColumn="0" w:lastRowLastColumn="0"/>
              <w:rPr>
                <w:szCs w:val="18"/>
              </w:rPr>
            </w:pPr>
            <w:r w:rsidRPr="00DB686E">
              <w:rPr>
                <w:szCs w:val="18"/>
              </w:rPr>
              <w:t>This Standard amends AASB 9 and AASB 15 to include requirements and implementation guidance to assist not-for-profit entities in applying the respective standards to particular transactions and events.</w:t>
            </w:r>
          </w:p>
        </w:tc>
        <w:tc>
          <w:tcPr>
            <w:tcW w:w="1430" w:type="dxa"/>
            <w:tcBorders>
              <w:top w:val="single" w:sz="2" w:space="0" w:color="808080" w:themeColor="background1" w:themeShade="80"/>
              <w:bottom w:val="single" w:sz="12" w:space="0" w:color="A6A6A6" w:themeColor="background1" w:themeShade="A6"/>
            </w:tcBorders>
          </w:tcPr>
          <w:p w:rsidR="00551303" w:rsidRPr="00DB686E" w:rsidRDefault="00551303" w:rsidP="00DB686E">
            <w:pPr>
              <w:spacing w:line="276" w:lineRule="auto"/>
              <w:jc w:val="center"/>
              <w:cnfStyle w:val="010000000000" w:firstRow="0" w:lastRow="1" w:firstColumn="0" w:lastColumn="0" w:oddVBand="0" w:evenVBand="0" w:oddHBand="0" w:evenHBand="0" w:firstRowFirstColumn="0" w:firstRowLastColumn="0" w:lastRowFirstColumn="0" w:lastRowLastColumn="0"/>
              <w:rPr>
                <w:szCs w:val="18"/>
              </w:rPr>
            </w:pPr>
            <w:r w:rsidRPr="00DB686E">
              <w:rPr>
                <w:szCs w:val="18"/>
              </w:rPr>
              <w:t>1 January 2019</w:t>
            </w:r>
          </w:p>
        </w:tc>
      </w:tr>
    </w:tbl>
    <w:p w:rsidR="00DB686E" w:rsidRDefault="00DB686E" w:rsidP="00551303"/>
    <w:p w:rsidR="00551303" w:rsidRPr="00892DE3" w:rsidRDefault="00551303" w:rsidP="00DB686E">
      <w:pPr>
        <w:spacing w:after="240"/>
      </w:pPr>
      <w:r w:rsidRPr="00892DE3">
        <w:t>The following accounting pronouncements are also issued but not effective for the 2016</w:t>
      </w:r>
      <w:r w:rsidRPr="00892DE3">
        <w:noBreakHyphen/>
        <w:t>17 reporting period. At this stage, the preliminary assessment suggests they may have insignificant impacts on public sector reporting.</w:t>
      </w:r>
    </w:p>
    <w:p w:rsidR="00551303" w:rsidRPr="00892DE3" w:rsidRDefault="00551303" w:rsidP="0052741D">
      <w:pPr>
        <w:pStyle w:val="ListBullet"/>
        <w:numPr>
          <w:ilvl w:val="0"/>
          <w:numId w:val="46"/>
        </w:numPr>
        <w:contextualSpacing w:val="0"/>
      </w:pPr>
      <w:r w:rsidRPr="00892DE3">
        <w:t>AASB 2016-5 Amendments to Australian Accounting Standards – Classification and Measurement of Share</w:t>
      </w:r>
      <w:r w:rsidRPr="00892DE3">
        <w:noBreakHyphen/>
        <w:t>based Payment Transactions</w:t>
      </w:r>
    </w:p>
    <w:p w:rsidR="00551303" w:rsidRPr="00892DE3" w:rsidRDefault="00551303" w:rsidP="0052741D">
      <w:pPr>
        <w:pStyle w:val="ListBullet"/>
        <w:numPr>
          <w:ilvl w:val="0"/>
          <w:numId w:val="46"/>
        </w:numPr>
        <w:contextualSpacing w:val="0"/>
      </w:pPr>
      <w:r w:rsidRPr="00892DE3">
        <w:t>AASB 2016-6 Amendments to Australian Accounting Standards – Applying AASB 9 Financial Instruments with AASB 4 Insurance Contracts</w:t>
      </w:r>
    </w:p>
    <w:p w:rsidR="00551303" w:rsidRPr="00892DE3" w:rsidRDefault="00551303" w:rsidP="0052741D">
      <w:pPr>
        <w:pStyle w:val="ListBullet"/>
        <w:numPr>
          <w:ilvl w:val="0"/>
          <w:numId w:val="46"/>
        </w:numPr>
        <w:contextualSpacing w:val="0"/>
      </w:pPr>
      <w:r w:rsidRPr="00892DE3">
        <w:t>AASB 2017-1 Amendments to Australian Accounting Standards – Transfers of Investment Property, Annual Improvements 2014-2016 Cycle and Other Amendments</w:t>
      </w:r>
    </w:p>
    <w:p w:rsidR="00551303" w:rsidRPr="00892DE3" w:rsidRDefault="00551303" w:rsidP="0052741D">
      <w:pPr>
        <w:pStyle w:val="ListBullet"/>
        <w:numPr>
          <w:ilvl w:val="0"/>
          <w:numId w:val="46"/>
        </w:numPr>
        <w:contextualSpacing w:val="0"/>
      </w:pPr>
      <w:r w:rsidRPr="00892DE3">
        <w:t>AASB 2017-2 Amendments to Australian Accounting Standards</w:t>
      </w:r>
    </w:p>
    <w:p w:rsidR="00551303" w:rsidRPr="00892DE3" w:rsidRDefault="00551303" w:rsidP="00551303">
      <w:pPr>
        <w:rPr>
          <w:i/>
        </w:rPr>
      </w:pPr>
      <w:r w:rsidRPr="00DB686E">
        <w:rPr>
          <w:b/>
          <w:i/>
        </w:rPr>
        <w:t>Notes</w:t>
      </w:r>
      <w:r w:rsidR="00AA7F41" w:rsidRPr="00892DE3">
        <w:rPr>
          <w:i/>
        </w:rPr>
        <w:t>:</w:t>
      </w:r>
    </w:p>
    <w:p w:rsidR="00551303" w:rsidRPr="00892DE3" w:rsidRDefault="00551303" w:rsidP="00551303">
      <w:r w:rsidRPr="00892DE3">
        <w:t xml:space="preserve">For the current year, given the number of consequential amendments to AASB 9 </w:t>
      </w:r>
      <w:r w:rsidRPr="00892DE3">
        <w:rPr>
          <w:i/>
        </w:rPr>
        <w:t>Financial Instruments</w:t>
      </w:r>
      <w:r w:rsidRPr="00892DE3">
        <w:t xml:space="preserve"> and AASB 15 </w:t>
      </w:r>
      <w:r w:rsidRPr="00892DE3">
        <w:rPr>
          <w:i/>
        </w:rPr>
        <w:t>Revenue from Contracts with Customers</w:t>
      </w:r>
      <w:r w:rsidRPr="00892DE3">
        <w:t>, the standards/interpretations have been grouped together to provide a more relevant view of the upcoming changes.</w:t>
      </w:r>
    </w:p>
    <w:p w:rsidR="00DE6A24" w:rsidRPr="00892DE3" w:rsidRDefault="00DE6A24" w:rsidP="00551303">
      <w:pPr>
        <w:sectPr w:rsidR="00DE6A24" w:rsidRPr="00892DE3" w:rsidSect="00DE6A24">
          <w:headerReference w:type="even" r:id="rId250"/>
          <w:headerReference w:type="default" r:id="rId251"/>
          <w:footerReference w:type="first" r:id="rId252"/>
          <w:pgSz w:w="11906" w:h="16838" w:code="9"/>
          <w:pgMar w:top="1134" w:right="1134" w:bottom="1134" w:left="1134" w:header="624" w:footer="567" w:gutter="0"/>
          <w:cols w:space="708"/>
          <w:titlePg/>
          <w:docGrid w:linePitch="360"/>
        </w:sectPr>
      </w:pPr>
    </w:p>
    <w:p w:rsidR="00C52135" w:rsidRPr="00892DE3" w:rsidRDefault="00C52135" w:rsidP="00DE6A24">
      <w:pPr>
        <w:pStyle w:val="AppendixHeading"/>
      </w:pPr>
      <w:bookmarkStart w:id="326" w:name="_Toc481591401"/>
      <w:bookmarkStart w:id="327" w:name="_Toc481592348"/>
      <w:r w:rsidRPr="00892DE3">
        <w:t xml:space="preserve">Appendix </w:t>
      </w:r>
      <w:r w:rsidR="00551303" w:rsidRPr="00892DE3">
        <w:t>13</w:t>
      </w:r>
      <w:r w:rsidRPr="00892DE3">
        <w:t>:</w:t>
      </w:r>
      <w:r w:rsidRPr="00892DE3">
        <w:tab/>
        <w:t>AASB reporting requirements for For-Profit and Not-for-Profit entities in the Victorian Public Sector</w:t>
      </w:r>
      <w:bookmarkEnd w:id="326"/>
      <w:bookmarkEnd w:id="327"/>
    </w:p>
    <w:p w:rsidR="00C52135" w:rsidRPr="00892DE3" w:rsidRDefault="00C52135" w:rsidP="00C52135">
      <w:r w:rsidRPr="00892DE3">
        <w:t xml:space="preserve">The following table provides guidance on reporting requirements under Australian Accounting Standards applicable for for-profit entities (FP) and not-for-profit entities (NFP). </w:t>
      </w:r>
    </w:p>
    <w:tbl>
      <w:tblPr>
        <w:tblStyle w:val="CVtable2"/>
        <w:tblW w:w="3516" w:type="dxa"/>
        <w:tblInd w:w="6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2693"/>
      </w:tblGrid>
      <w:tr w:rsidR="00C52135" w:rsidRPr="00892DE3" w:rsidTr="00C52135">
        <w:tc>
          <w:tcPr>
            <w:tcW w:w="823" w:type="dxa"/>
          </w:tcPr>
          <w:p w:rsidR="00C52135" w:rsidRPr="00892DE3" w:rsidRDefault="00E650D1" w:rsidP="00C52135">
            <w:pPr>
              <w:keepLines w:val="0"/>
              <w:spacing w:before="40" w:after="40"/>
              <w:jc w:val="right"/>
              <w:rPr>
                <w:rFonts w:asciiTheme="minorHAnsi" w:hAnsiTheme="minorHAnsi" w:cstheme="minorHAnsi"/>
                <w:sz w:val="16"/>
              </w:rPr>
            </w:pPr>
            <w:r w:rsidRPr="00892DE3">
              <w:rPr>
                <w:rFonts w:ascii="Wingdings 2" w:hAnsi="Wingdings 2"/>
                <w:color w:val="000000"/>
              </w:rPr>
              <w:t></w:t>
            </w:r>
          </w:p>
        </w:tc>
        <w:tc>
          <w:tcPr>
            <w:tcW w:w="2693" w:type="dxa"/>
          </w:tcPr>
          <w:p w:rsidR="00C52135" w:rsidRPr="00892DE3" w:rsidRDefault="00C52135" w:rsidP="00C52135">
            <w:pPr>
              <w:keepLines w:val="0"/>
              <w:spacing w:before="40" w:after="40"/>
              <w:rPr>
                <w:rFonts w:asciiTheme="minorHAnsi" w:hAnsiTheme="minorHAnsi" w:cstheme="minorHAnsi"/>
                <w:sz w:val="16"/>
              </w:rPr>
            </w:pPr>
            <w:r w:rsidRPr="00892DE3">
              <w:rPr>
                <w:rFonts w:asciiTheme="minorHAnsi" w:hAnsiTheme="minorHAnsi" w:cstheme="minorHAnsi"/>
                <w:sz w:val="16"/>
              </w:rPr>
              <w:t>Standard is applicable</w:t>
            </w:r>
          </w:p>
        </w:tc>
      </w:tr>
      <w:tr w:rsidR="00C52135" w:rsidRPr="00892DE3" w:rsidTr="00C52135">
        <w:tc>
          <w:tcPr>
            <w:tcW w:w="823" w:type="dxa"/>
          </w:tcPr>
          <w:p w:rsidR="00C52135" w:rsidRPr="00892DE3" w:rsidRDefault="00C52135" w:rsidP="00C52135">
            <w:pPr>
              <w:keepLines w:val="0"/>
              <w:spacing w:before="40" w:after="40"/>
              <w:jc w:val="right"/>
              <w:rPr>
                <w:rFonts w:asciiTheme="minorHAnsi" w:hAnsiTheme="minorHAnsi" w:cstheme="minorHAnsi"/>
                <w:sz w:val="16"/>
              </w:rPr>
            </w:pPr>
            <w:r w:rsidRPr="00892DE3">
              <w:rPr>
                <w:rFonts w:asciiTheme="minorHAnsi" w:hAnsiTheme="minorHAnsi" w:cstheme="minorHAnsi"/>
                <w:color w:val="000000"/>
                <w:sz w:val="16"/>
              </w:rPr>
              <w:sym w:font="Wingdings 2" w:char="F04F"/>
            </w:r>
          </w:p>
        </w:tc>
        <w:tc>
          <w:tcPr>
            <w:tcW w:w="2693" w:type="dxa"/>
          </w:tcPr>
          <w:p w:rsidR="00C52135" w:rsidRPr="00892DE3" w:rsidRDefault="00C52135" w:rsidP="00C52135">
            <w:pPr>
              <w:keepLines w:val="0"/>
              <w:spacing w:before="40" w:after="40"/>
              <w:rPr>
                <w:rFonts w:asciiTheme="minorHAnsi" w:hAnsiTheme="minorHAnsi" w:cstheme="minorHAnsi"/>
                <w:sz w:val="16"/>
              </w:rPr>
            </w:pPr>
            <w:r w:rsidRPr="00892DE3">
              <w:rPr>
                <w:rFonts w:asciiTheme="minorHAnsi" w:hAnsiTheme="minorHAnsi" w:cstheme="minorHAnsi"/>
                <w:sz w:val="16"/>
              </w:rPr>
              <w:t>Standard is not applicable</w:t>
            </w:r>
          </w:p>
        </w:tc>
      </w:tr>
      <w:tr w:rsidR="00C52135" w:rsidRPr="00892DE3" w:rsidTr="00C52135">
        <w:tc>
          <w:tcPr>
            <w:tcW w:w="823" w:type="dxa"/>
          </w:tcPr>
          <w:p w:rsidR="00C52135" w:rsidRPr="00892DE3" w:rsidRDefault="00C52135" w:rsidP="00C52135">
            <w:pPr>
              <w:keepLines w:val="0"/>
              <w:spacing w:before="40" w:after="40"/>
              <w:jc w:val="right"/>
              <w:rPr>
                <w:rFonts w:asciiTheme="minorHAnsi" w:hAnsiTheme="minorHAnsi" w:cstheme="minorHAnsi"/>
                <w:sz w:val="16"/>
              </w:rPr>
            </w:pPr>
            <w:r w:rsidRPr="00892DE3">
              <w:rPr>
                <w:rFonts w:asciiTheme="minorHAnsi" w:hAnsiTheme="minorHAnsi" w:cstheme="minorHAnsi"/>
                <w:sz w:val="16"/>
              </w:rPr>
              <w:t>NR</w:t>
            </w:r>
          </w:p>
        </w:tc>
        <w:tc>
          <w:tcPr>
            <w:tcW w:w="2693" w:type="dxa"/>
          </w:tcPr>
          <w:p w:rsidR="00C52135" w:rsidRPr="00892DE3" w:rsidRDefault="00331934" w:rsidP="00C52135">
            <w:pPr>
              <w:keepLines w:val="0"/>
              <w:spacing w:before="40" w:after="40"/>
              <w:rPr>
                <w:rFonts w:asciiTheme="minorHAnsi" w:hAnsiTheme="minorHAnsi" w:cstheme="minorHAnsi"/>
                <w:sz w:val="16"/>
              </w:rPr>
            </w:pPr>
            <w:r>
              <w:rPr>
                <w:rFonts w:asciiTheme="minorHAnsi" w:hAnsiTheme="minorHAnsi" w:cstheme="minorHAnsi"/>
                <w:sz w:val="16"/>
              </w:rPr>
              <w:t>Standard is applicable but is not relevant to the entity</w:t>
            </w:r>
          </w:p>
        </w:tc>
      </w:tr>
    </w:tbl>
    <w:tbl>
      <w:tblPr>
        <w:tblW w:w="5000" w:type="pct"/>
        <w:tblLook w:val="04A0" w:firstRow="1" w:lastRow="0" w:firstColumn="1" w:lastColumn="0" w:noHBand="0" w:noVBand="1"/>
      </w:tblPr>
      <w:tblGrid>
        <w:gridCol w:w="778"/>
        <w:gridCol w:w="3906"/>
        <w:gridCol w:w="2322"/>
        <w:gridCol w:w="2848"/>
      </w:tblGrid>
      <w:tr w:rsidR="00C52135" w:rsidRPr="00892DE3" w:rsidTr="009B556F">
        <w:trPr>
          <w:trHeight w:val="300"/>
          <w:tblHeader/>
        </w:trPr>
        <w:tc>
          <w:tcPr>
            <w:tcW w:w="395" w:type="pct"/>
            <w:tcBorders>
              <w:top w:val="single" w:sz="4" w:space="0" w:color="auto"/>
              <w:left w:val="single" w:sz="4" w:space="0" w:color="auto"/>
              <w:right w:val="single" w:sz="4" w:space="0" w:color="auto"/>
            </w:tcBorders>
            <w:shd w:val="clear" w:color="000000" w:fill="000000"/>
            <w:noWrap/>
            <w:vAlign w:val="center"/>
            <w:hideMark/>
          </w:tcPr>
          <w:p w:rsidR="00C52135" w:rsidRPr="00DB686E" w:rsidRDefault="00C52135" w:rsidP="009C27B9">
            <w:pPr>
              <w:keepLines w:val="0"/>
              <w:spacing w:before="0"/>
              <w:jc w:val="center"/>
              <w:rPr>
                <w:rFonts w:asciiTheme="majorHAnsi" w:eastAsia="Times New Roman" w:hAnsiTheme="majorHAnsi" w:cstheme="majorHAnsi"/>
                <w:b/>
                <w:bCs/>
                <w:color w:val="FFFFFF"/>
                <w:lang w:eastAsia="en-AU"/>
              </w:rPr>
            </w:pPr>
            <w:r w:rsidRPr="00DB686E">
              <w:rPr>
                <w:rFonts w:asciiTheme="majorHAnsi" w:eastAsia="Times New Roman" w:hAnsiTheme="majorHAnsi" w:cstheme="majorHAnsi"/>
                <w:b/>
                <w:bCs/>
                <w:color w:val="FFFFFF"/>
                <w:lang w:eastAsia="en-AU"/>
              </w:rPr>
              <w:t xml:space="preserve">AASB </w:t>
            </w:r>
          </w:p>
        </w:tc>
        <w:tc>
          <w:tcPr>
            <w:tcW w:w="1982" w:type="pct"/>
            <w:tcBorders>
              <w:top w:val="single" w:sz="4" w:space="0" w:color="auto"/>
              <w:left w:val="nil"/>
              <w:right w:val="single" w:sz="4" w:space="0" w:color="auto"/>
            </w:tcBorders>
            <w:shd w:val="clear" w:color="000000" w:fill="000000"/>
            <w:vAlign w:val="center"/>
            <w:hideMark/>
          </w:tcPr>
          <w:p w:rsidR="00C52135" w:rsidRPr="00DB686E" w:rsidRDefault="00C52135" w:rsidP="009C27B9">
            <w:pPr>
              <w:keepLines w:val="0"/>
              <w:spacing w:before="0"/>
              <w:jc w:val="center"/>
              <w:rPr>
                <w:rFonts w:asciiTheme="majorHAnsi" w:eastAsia="Times New Roman" w:hAnsiTheme="majorHAnsi" w:cstheme="majorHAnsi"/>
                <w:b/>
                <w:bCs/>
                <w:color w:val="FFFFFF"/>
                <w:lang w:eastAsia="en-AU"/>
              </w:rPr>
            </w:pPr>
            <w:r w:rsidRPr="00DB686E">
              <w:rPr>
                <w:rFonts w:asciiTheme="majorHAnsi" w:eastAsia="Times New Roman" w:hAnsiTheme="majorHAnsi" w:cstheme="majorHAnsi"/>
                <w:b/>
                <w:bCs/>
                <w:color w:val="FFFFFF"/>
                <w:lang w:eastAsia="en-AU"/>
              </w:rPr>
              <w:t>Description</w:t>
            </w:r>
          </w:p>
        </w:tc>
        <w:tc>
          <w:tcPr>
            <w:tcW w:w="1178" w:type="pct"/>
            <w:tcBorders>
              <w:top w:val="single" w:sz="4" w:space="0" w:color="auto"/>
              <w:left w:val="nil"/>
              <w:right w:val="single" w:sz="4" w:space="0" w:color="auto"/>
            </w:tcBorders>
            <w:shd w:val="clear" w:color="000000" w:fill="000000"/>
            <w:noWrap/>
            <w:vAlign w:val="center"/>
            <w:hideMark/>
          </w:tcPr>
          <w:p w:rsidR="00C52135" w:rsidRPr="00DB686E" w:rsidRDefault="00C52135" w:rsidP="009C27B9">
            <w:pPr>
              <w:keepLines w:val="0"/>
              <w:spacing w:before="0"/>
              <w:jc w:val="center"/>
              <w:rPr>
                <w:rFonts w:asciiTheme="majorHAnsi" w:eastAsia="Times New Roman" w:hAnsiTheme="majorHAnsi" w:cstheme="majorHAnsi"/>
                <w:b/>
                <w:bCs/>
                <w:color w:val="FFFFFF"/>
                <w:lang w:eastAsia="en-AU"/>
              </w:rPr>
            </w:pPr>
            <w:r w:rsidRPr="00DB686E">
              <w:rPr>
                <w:rFonts w:asciiTheme="majorHAnsi" w:eastAsia="Times New Roman" w:hAnsiTheme="majorHAnsi" w:cstheme="majorHAnsi"/>
                <w:b/>
                <w:bCs/>
                <w:color w:val="FFFFFF"/>
                <w:lang w:eastAsia="en-AU"/>
              </w:rPr>
              <w:t>For profit</w:t>
            </w:r>
          </w:p>
        </w:tc>
        <w:tc>
          <w:tcPr>
            <w:tcW w:w="1445" w:type="pct"/>
            <w:tcBorders>
              <w:top w:val="single" w:sz="4" w:space="0" w:color="auto"/>
              <w:left w:val="nil"/>
              <w:right w:val="single" w:sz="4" w:space="0" w:color="auto"/>
            </w:tcBorders>
            <w:shd w:val="clear" w:color="000000" w:fill="000000"/>
            <w:noWrap/>
            <w:vAlign w:val="center"/>
            <w:hideMark/>
          </w:tcPr>
          <w:p w:rsidR="00C52135" w:rsidRPr="00DB686E" w:rsidRDefault="00C52135" w:rsidP="00C52135">
            <w:pPr>
              <w:keepLines w:val="0"/>
              <w:spacing w:before="0"/>
              <w:jc w:val="center"/>
              <w:rPr>
                <w:rFonts w:asciiTheme="majorHAnsi" w:eastAsia="Times New Roman" w:hAnsiTheme="majorHAnsi" w:cstheme="majorHAnsi"/>
                <w:b/>
                <w:bCs/>
                <w:color w:val="FFFFFF"/>
                <w:lang w:eastAsia="en-AU"/>
              </w:rPr>
            </w:pPr>
            <w:r w:rsidRPr="00DB686E">
              <w:rPr>
                <w:rFonts w:asciiTheme="majorHAnsi" w:eastAsia="Times New Roman" w:hAnsiTheme="majorHAnsi" w:cstheme="majorHAnsi"/>
                <w:b/>
                <w:bCs/>
                <w:color w:val="FFFFFF"/>
                <w:lang w:eastAsia="en-AU"/>
              </w:rPr>
              <w:t>Not-for-profit</w:t>
            </w:r>
          </w:p>
        </w:tc>
      </w:tr>
      <w:tr w:rsidR="00C52135" w:rsidRPr="00892DE3" w:rsidTr="00F97E48">
        <w:trPr>
          <w:trHeight w:val="70"/>
        </w:trPr>
        <w:tc>
          <w:tcPr>
            <w:tcW w:w="395" w:type="pct"/>
            <w:tcBorders>
              <w:top w:val="nil"/>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w:t>
            </w:r>
          </w:p>
        </w:tc>
        <w:tc>
          <w:tcPr>
            <w:tcW w:w="1982" w:type="pct"/>
            <w:tcBorders>
              <w:top w:val="nil"/>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First-time Adoption of Australian Accounting Standards</w:t>
            </w:r>
          </w:p>
        </w:tc>
        <w:tc>
          <w:tcPr>
            <w:tcW w:w="1178" w:type="pct"/>
            <w:tcBorders>
              <w:top w:val="nil"/>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nil"/>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64"/>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2</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Share-based Payment</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331934" w:rsidP="009C27B9">
            <w:pPr>
              <w:keepLines w:val="0"/>
              <w:spacing w:before="0"/>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NR</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AE3D73" w:rsidP="009C27B9">
            <w:pPr>
              <w:keepLines w:val="0"/>
              <w:spacing w:before="0"/>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NR</w:t>
            </w:r>
          </w:p>
        </w:tc>
      </w:tr>
      <w:tr w:rsidR="00C52135" w:rsidRPr="00892DE3" w:rsidTr="00F97E48">
        <w:trPr>
          <w:trHeight w:val="335"/>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3</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Business Combinations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4</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Insurance Contracts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AE3D73" w:rsidP="009C27B9">
            <w:pPr>
              <w:keepLines w:val="0"/>
              <w:spacing w:before="0"/>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NR</w:t>
            </w:r>
          </w:p>
        </w:tc>
      </w:tr>
      <w:tr w:rsidR="00C52135" w:rsidRPr="00892DE3" w:rsidTr="00F97E48">
        <w:trPr>
          <w:trHeight w:val="7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5</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Non-current Assets Held for Sale and Discontinued Operations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469"/>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6</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Exploration for and Evaluation of Mineral Resources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331934"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331934"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F97E48">
        <w:trPr>
          <w:trHeight w:val="332"/>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7</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Financial Instruments: Disclosures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54"/>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8</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Operating Segments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r>
      <w:tr w:rsidR="008F764F" w:rsidRPr="00892DE3" w:rsidTr="009B556F">
        <w:trPr>
          <w:trHeight w:val="415"/>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8F764F" w:rsidRPr="00892DE3" w:rsidRDefault="008F764F"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9</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8F764F" w:rsidRPr="00892DE3" w:rsidRDefault="008F764F"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Financial Instruments</w:t>
            </w:r>
            <w:r w:rsidRPr="00892DE3">
              <w:rPr>
                <w:rFonts w:eastAsia="Times New Roman" w:cstheme="minorHAnsi"/>
                <w:color w:val="000000"/>
                <w:vertAlign w:val="superscript"/>
                <w:lang w:eastAsia="en-AU"/>
              </w:rPr>
              <w:footnoteReference w:id="13"/>
            </w:r>
          </w:p>
        </w:tc>
        <w:tc>
          <w:tcPr>
            <w:tcW w:w="2623" w:type="pct"/>
            <w:gridSpan w:val="2"/>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8F764F" w:rsidRPr="00892DE3" w:rsidRDefault="008F764F"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Applicable from reporting periods</w:t>
            </w:r>
          </w:p>
          <w:p w:rsidR="008F764F" w:rsidRPr="00892DE3" w:rsidRDefault="008F764F"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beginning or after 1 January 2018.</w:t>
            </w:r>
          </w:p>
        </w:tc>
      </w:tr>
      <w:tr w:rsidR="00C52135" w:rsidRPr="00892DE3" w:rsidTr="00F97E48">
        <w:trPr>
          <w:trHeight w:val="6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Consolidated Financial Statements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73"/>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11</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Joint Arrangements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266"/>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12</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Disclosure of Interests in Other Entities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283"/>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13</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Fair Value Measurement</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274"/>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14</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Regulatory Deferral Accounts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331934" w:rsidP="009C27B9">
            <w:pPr>
              <w:keepLines w:val="0"/>
              <w:spacing w:before="0"/>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NR</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331934" w:rsidP="009C27B9">
            <w:pPr>
              <w:keepLines w:val="0"/>
              <w:spacing w:before="0"/>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NR</w:t>
            </w:r>
          </w:p>
        </w:tc>
      </w:tr>
      <w:tr w:rsidR="00C52135" w:rsidRPr="00892DE3" w:rsidTr="00F97E48">
        <w:trPr>
          <w:trHeight w:val="585"/>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15</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Revenue from Contracts with Customers</w:t>
            </w:r>
            <w:r w:rsidRPr="00892DE3">
              <w:rPr>
                <w:rFonts w:eastAsia="Times New Roman" w:cstheme="minorHAnsi"/>
                <w:color w:val="000000"/>
                <w:vertAlign w:val="superscript"/>
                <w:lang w:eastAsia="en-AU"/>
              </w:rPr>
              <w:footnoteReference w:id="14"/>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Applicable from reporting periods beginning or after 1 January 2018.</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 xml:space="preserve">Applicable from reporting periods beginning or after </w:t>
            </w:r>
            <w:r w:rsidR="00F46516">
              <w:rPr>
                <w:rFonts w:eastAsia="Times New Roman" w:cstheme="minorHAnsi"/>
                <w:color w:val="000000"/>
                <w:lang w:eastAsia="en-AU"/>
              </w:rPr>
              <w:br/>
            </w:r>
            <w:r w:rsidRPr="00892DE3">
              <w:rPr>
                <w:rFonts w:eastAsia="Times New Roman" w:cstheme="minorHAnsi"/>
                <w:color w:val="000000"/>
                <w:lang w:eastAsia="en-AU"/>
              </w:rPr>
              <w:t>1 January 2019.</w:t>
            </w:r>
          </w:p>
        </w:tc>
      </w:tr>
      <w:tr w:rsidR="00C52135" w:rsidRPr="00892DE3" w:rsidTr="009B556F">
        <w:trPr>
          <w:trHeight w:val="507"/>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16</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Leases</w:t>
            </w:r>
            <w:r w:rsidRPr="00892DE3">
              <w:rPr>
                <w:rFonts w:eastAsia="Times New Roman" w:cstheme="minorHAnsi"/>
                <w:color w:val="000000"/>
                <w:vertAlign w:val="superscript"/>
                <w:lang w:eastAsia="en-AU"/>
              </w:rPr>
              <w:footnoteReference w:id="15"/>
            </w:r>
          </w:p>
        </w:tc>
        <w:tc>
          <w:tcPr>
            <w:tcW w:w="2623" w:type="pct"/>
            <w:gridSpan w:val="2"/>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F46516">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 xml:space="preserve">Applicable from reporting periods beginning or after </w:t>
            </w:r>
            <w:r w:rsidR="00F46516">
              <w:rPr>
                <w:rFonts w:eastAsia="Times New Roman" w:cstheme="minorHAnsi"/>
                <w:color w:val="000000"/>
                <w:lang w:eastAsia="en-AU"/>
              </w:rPr>
              <w:br/>
            </w:r>
            <w:r w:rsidRPr="00892DE3">
              <w:rPr>
                <w:rFonts w:eastAsia="Times New Roman" w:cstheme="minorHAnsi"/>
                <w:color w:val="000000"/>
                <w:lang w:eastAsia="en-AU"/>
              </w:rPr>
              <w:t>1 January 2019.</w:t>
            </w:r>
          </w:p>
        </w:tc>
      </w:tr>
      <w:tr w:rsidR="00C52135" w:rsidRPr="00892DE3" w:rsidTr="00F97E48">
        <w:trPr>
          <w:trHeight w:val="375"/>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101</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Presentation of Financial Statements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949"/>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102</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Inventories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The cost of inventories comprises all costs of purchase, costs of conversion and other costs incurred.</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Where inventories are acquired at no cost, or for nominal consideration, the cost shall be the current replacement cost as at the date of acquisition.</w:t>
            </w:r>
          </w:p>
        </w:tc>
      </w:tr>
      <w:tr w:rsidR="00C52135" w:rsidRPr="00892DE3" w:rsidTr="00F97E48">
        <w:trPr>
          <w:trHeight w:val="417"/>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107</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Statement of Cash Flows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r w:rsidRPr="00892DE3">
              <w:rPr>
                <w:rFonts w:ascii="Calibri" w:eastAsia="Tahoma" w:hAnsi="Calibri" w:cs="Tahoma"/>
                <w:vertAlign w:val="superscript"/>
                <w:lang w:eastAsia="en-AU"/>
              </w:rPr>
              <w:footnoteReference w:id="16"/>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6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108</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Accounting Policies, Changes in Accounting Estimates and Errors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44"/>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110</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Events after the Reporting Period</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126"/>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111</w:t>
            </w:r>
            <w:r w:rsidRPr="00892DE3">
              <w:rPr>
                <w:rFonts w:eastAsia="Times New Roman" w:cstheme="minorHAnsi"/>
                <w:color w:val="000000"/>
                <w:vertAlign w:val="superscript"/>
                <w:lang w:eastAsia="en-AU"/>
              </w:rPr>
              <w:footnoteReference w:id="17"/>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Construction Contracts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7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112</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Income Taxes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A deferred tax asset can arise on non- taxable government grant related to an asset.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A deferred tax asset does not arise on a non-taxable government grant related to an asset.</w:t>
            </w:r>
          </w:p>
        </w:tc>
      </w:tr>
      <w:tr w:rsidR="00C52135" w:rsidRPr="00892DE3" w:rsidTr="00F97E48">
        <w:trPr>
          <w:trHeight w:val="309"/>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116</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Property, Plant and Equipment</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Revaluation increments and decrements are offset by individual asset.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Revaluation increments and decrements are offset by class of assets.</w:t>
            </w:r>
          </w:p>
        </w:tc>
      </w:tr>
      <w:tr w:rsidR="00C52135" w:rsidRPr="00892DE3" w:rsidTr="00F97E48">
        <w:trPr>
          <w:trHeight w:val="82"/>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117</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Leases</w:t>
            </w:r>
            <w:r w:rsidRPr="00892DE3">
              <w:rPr>
                <w:rFonts w:eastAsia="Times New Roman" w:cstheme="minorHAnsi"/>
                <w:color w:val="000000"/>
                <w:vertAlign w:val="superscript"/>
                <w:lang w:eastAsia="en-AU"/>
              </w:rPr>
              <w:footnoteReference w:id="18"/>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241"/>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118</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Revenue</w:t>
            </w:r>
            <w:r w:rsidRPr="00892DE3">
              <w:rPr>
                <w:rFonts w:eastAsia="Times New Roman" w:cstheme="minorHAnsi"/>
                <w:color w:val="000000"/>
                <w:vertAlign w:val="superscript"/>
                <w:lang w:eastAsia="en-AU"/>
              </w:rPr>
              <w:footnoteReference w:id="19"/>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1224"/>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119</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Employee Benefits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Employee benefit obligations shall be determined using market yields on high quality corporate bonds.</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Employee benefit obligations shall be determined using market yields on government bonds.</w:t>
            </w:r>
          </w:p>
        </w:tc>
      </w:tr>
      <w:tr w:rsidR="00C52135" w:rsidRPr="00892DE3" w:rsidTr="00F97E48">
        <w:trPr>
          <w:trHeight w:val="307"/>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120</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Accounting for Government Grants and Disclosure of Government Assistance</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jc w:val="center"/>
              <w:rPr>
                <w:rFonts w:ascii="Garamond" w:eastAsia="Times New Roman" w:hAnsi="Garamond"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F97E48">
        <w:trPr>
          <w:trHeight w:val="599"/>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121</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The Effects of Changes in Foreign Exchange Rates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331934" w:rsidP="009C27B9">
            <w:pPr>
              <w:keepLines w:val="0"/>
              <w:spacing w:before="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331934" w:rsidP="009C27B9">
            <w:pPr>
              <w:keepLines w:val="0"/>
              <w:spacing w:before="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r>
      <w:tr w:rsidR="00C52135" w:rsidRPr="00892DE3" w:rsidTr="00F97E48">
        <w:trPr>
          <w:trHeight w:val="405"/>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123</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Borrowing Costs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Wingdings 2" w:eastAsia="Times New Roman" w:hAnsi="Wingdings 2" w:cs="Times New Roman"/>
                <w:color w:val="000000"/>
                <w:lang w:eastAsia="en-AU"/>
              </w:rPr>
              <w:t></w:t>
            </w:r>
            <w:r w:rsidRPr="00892DE3">
              <w:rPr>
                <w:rFonts w:ascii="Calibri" w:eastAsia="Tahoma" w:hAnsi="Calibri" w:cs="Tahoma"/>
                <w:vertAlign w:val="superscript"/>
                <w:lang w:eastAsia="en-AU"/>
              </w:rPr>
              <w:footnoteReference w:id="20"/>
            </w:r>
          </w:p>
        </w:tc>
      </w:tr>
      <w:tr w:rsidR="00C52135" w:rsidRPr="00892DE3" w:rsidTr="00F97E48">
        <w:trPr>
          <w:trHeight w:val="238"/>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124</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Related Party Disclosures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86"/>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127</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Separate Financial Statements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88"/>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128</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Investments in Associates and Joint Ventures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111"/>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129</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Financial Reporting in Hyperinflationary Economies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331934" w:rsidP="009C27B9">
            <w:pPr>
              <w:keepLines w:val="0"/>
              <w:spacing w:before="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331934" w:rsidP="009C27B9">
            <w:pPr>
              <w:keepLines w:val="0"/>
              <w:spacing w:before="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r>
      <w:tr w:rsidR="00C52135" w:rsidRPr="00892DE3" w:rsidTr="00F97E48">
        <w:trPr>
          <w:trHeight w:val="147"/>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132</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Financial Instruments: Presentation</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7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133</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Earnings per Share</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331934" w:rsidP="009C27B9">
            <w:pPr>
              <w:keepLines w:val="0"/>
              <w:spacing w:before="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331934" w:rsidP="009C27B9">
            <w:pPr>
              <w:keepLines w:val="0"/>
              <w:spacing w:before="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r>
      <w:tr w:rsidR="00C52135" w:rsidRPr="00892DE3" w:rsidTr="00F97E48">
        <w:trPr>
          <w:trHeight w:val="297"/>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134</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Interim Financial Reporting</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331934" w:rsidP="009C27B9">
            <w:pPr>
              <w:keepLines w:val="0"/>
              <w:spacing w:before="0"/>
              <w:jc w:val="center"/>
              <w:rPr>
                <w:rFonts w:ascii="Garamond" w:eastAsia="Times New Roman" w:hAnsi="Garamond"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F97E48">
        <w:trPr>
          <w:trHeight w:val="401"/>
        </w:trPr>
        <w:tc>
          <w:tcPr>
            <w:tcW w:w="395" w:type="pct"/>
            <w:vMerge w:val="restart"/>
            <w:tcBorders>
              <w:top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136</w:t>
            </w:r>
          </w:p>
          <w:p w:rsidR="00C52135" w:rsidRPr="00892DE3" w:rsidRDefault="00C52135" w:rsidP="009C27B9">
            <w:pPr>
              <w:spacing w:before="0"/>
              <w:rPr>
                <w:rFonts w:eastAsia="Times New Roman" w:cstheme="minorHAnsi"/>
                <w:color w:val="000000"/>
                <w:lang w:eastAsia="en-AU"/>
              </w:rPr>
            </w:pPr>
            <w:r w:rsidRPr="00892DE3">
              <w:rPr>
                <w:rFonts w:eastAsia="Times New Roman" w:cstheme="minorHAnsi"/>
                <w:color w:val="000000"/>
                <w:lang w:eastAsia="en-AU"/>
              </w:rPr>
              <w:t> </w:t>
            </w:r>
          </w:p>
        </w:tc>
        <w:tc>
          <w:tcPr>
            <w:tcW w:w="1982" w:type="pct"/>
            <w:vMerge w:val="restart"/>
            <w:tcBorders>
              <w:top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Impairment of Assets</w:t>
            </w:r>
          </w:p>
          <w:p w:rsidR="00C52135" w:rsidRPr="00892DE3" w:rsidRDefault="00C52135" w:rsidP="009C27B9">
            <w:pPr>
              <w:spacing w:before="0"/>
              <w:rPr>
                <w:rFonts w:eastAsia="Times New Roman" w:cstheme="minorHAnsi"/>
                <w:color w:val="000000"/>
                <w:lang w:eastAsia="en-AU"/>
              </w:rPr>
            </w:pPr>
            <w:r w:rsidRPr="00892DE3">
              <w:rPr>
                <w:rFonts w:eastAsia="Times New Roman" w:cstheme="minorHAnsi"/>
                <w:color w:val="000000"/>
                <w:lang w:eastAsia="en-AU"/>
              </w:rPr>
              <w:t> </w:t>
            </w:r>
          </w:p>
        </w:tc>
        <w:tc>
          <w:tcPr>
            <w:tcW w:w="1178" w:type="pct"/>
            <w:tcBorders>
              <w:top w:val="single" w:sz="2" w:space="0" w:color="808080" w:themeColor="background1" w:themeShade="80"/>
            </w:tcBorders>
            <w:shd w:val="clear" w:color="auto" w:fill="D9D9D9" w:themeFill="background1" w:themeFillShade="D9"/>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Value in use is determined by the present value of future cash flows associated with asset.</w:t>
            </w:r>
          </w:p>
        </w:tc>
        <w:tc>
          <w:tcPr>
            <w:tcW w:w="1445" w:type="pct"/>
            <w:tcBorders>
              <w:top w:val="single" w:sz="2" w:space="0" w:color="808080" w:themeColor="background1" w:themeShade="80"/>
            </w:tcBorders>
            <w:shd w:val="clear" w:color="auto" w:fill="F2F2F2" w:themeFill="background1" w:themeFillShade="F2"/>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Value in use shall be determined by depreciated replacement cost.</w:t>
            </w:r>
          </w:p>
        </w:tc>
      </w:tr>
      <w:tr w:rsidR="00C52135" w:rsidRPr="00892DE3" w:rsidTr="00F97E48">
        <w:trPr>
          <w:trHeight w:val="335"/>
        </w:trPr>
        <w:tc>
          <w:tcPr>
            <w:tcW w:w="395" w:type="pct"/>
            <w:vMerge/>
            <w:tcBorders>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rPr>
                <w:rFonts w:eastAsia="Times New Roman" w:cstheme="minorHAnsi"/>
                <w:color w:val="000000"/>
                <w:lang w:eastAsia="en-AU"/>
              </w:rPr>
            </w:pPr>
          </w:p>
        </w:tc>
        <w:tc>
          <w:tcPr>
            <w:tcW w:w="1982" w:type="pct"/>
            <w:vMerge/>
            <w:tcBorders>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p>
        </w:tc>
        <w:tc>
          <w:tcPr>
            <w:tcW w:w="1178" w:type="pct"/>
            <w:tcBorders>
              <w:top w:val="nil"/>
              <w:bottom w:val="single" w:sz="2" w:space="0" w:color="808080" w:themeColor="background1" w:themeShade="80"/>
            </w:tcBorders>
            <w:shd w:val="clear" w:color="auto" w:fill="D9D9D9" w:themeFill="background1" w:themeFillShade="D9"/>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Impairment loss on a revalued asset can be applied against revaluation reserve for the same asset</w:t>
            </w:r>
          </w:p>
        </w:tc>
        <w:tc>
          <w:tcPr>
            <w:tcW w:w="1445" w:type="pct"/>
            <w:tcBorders>
              <w:top w:val="nil"/>
              <w:bottom w:val="single" w:sz="2" w:space="0" w:color="808080" w:themeColor="background1" w:themeShade="80"/>
            </w:tcBorders>
            <w:shd w:val="clear" w:color="auto" w:fill="F2F2F2" w:themeFill="background1" w:themeFillShade="F2"/>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Impairment loss on a revalued asset can be applied against revaluation reserve by class of assets.</w:t>
            </w:r>
          </w:p>
        </w:tc>
      </w:tr>
      <w:tr w:rsidR="00C52135" w:rsidRPr="00892DE3" w:rsidTr="00F97E48">
        <w:trPr>
          <w:trHeight w:val="376"/>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137</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Provisions, Contingent Liabilities and Contingent Assets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1402"/>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138</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Intangible Assets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331934">
            <w:pPr>
              <w:keepLines w:val="0"/>
              <w:spacing w:before="0" w:after="240"/>
              <w:jc w:val="center"/>
              <w:rPr>
                <w:rFonts w:eastAsia="Times New Roman" w:cstheme="minorHAnsi"/>
                <w:color w:val="000000"/>
                <w:lang w:eastAsia="en-AU"/>
              </w:rPr>
            </w:pPr>
            <w:r w:rsidRPr="00892DE3">
              <w:rPr>
                <w:rFonts w:eastAsia="Times New Roman" w:cstheme="minorHAnsi"/>
                <w:color w:val="000000"/>
                <w:lang w:eastAsia="en-AU"/>
              </w:rPr>
              <w:t>Revaluation increments and decrements are offset by individual asset.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331934">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Revaluation increments and decrements are offset by class of assets.</w:t>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139</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Financial Instruments: Recognition and Measurement</w:t>
            </w:r>
            <w:r w:rsidRPr="00892DE3">
              <w:rPr>
                <w:rFonts w:eastAsia="Times New Roman" w:cstheme="minorHAnsi"/>
                <w:color w:val="000000"/>
                <w:vertAlign w:val="superscript"/>
                <w:lang w:eastAsia="en-AU"/>
              </w:rPr>
              <w:footnoteReference w:id="21"/>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140</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Investment Property</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2111"/>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141</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Agriculture</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Unconditional government grants are recognised in the profit and loss only when they become receivable.</w:t>
            </w:r>
          </w:p>
          <w:p w:rsidR="00C52135" w:rsidRPr="00892DE3" w:rsidRDefault="00C52135" w:rsidP="009C27B9">
            <w:pPr>
              <w:keepLines w:val="0"/>
              <w:spacing w:before="0"/>
              <w:rPr>
                <w:rFonts w:eastAsia="Times New Roman" w:cstheme="minorHAnsi"/>
                <w:color w:val="000000"/>
                <w:lang w:eastAsia="en-AU"/>
              </w:rPr>
            </w:pPr>
          </w:p>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Conditional government grants are recognised in the profit and loss only when conditions attaching to the grant are met.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Both unconditional and conditional</w:t>
            </w:r>
            <w:r w:rsidRPr="00892DE3">
              <w:rPr>
                <w:rStyle w:val="FootnoteReference"/>
                <w:rFonts w:eastAsia="Times New Roman" w:cstheme="minorHAnsi"/>
                <w:color w:val="000000"/>
                <w:lang w:eastAsia="en-AU"/>
              </w:rPr>
              <w:footnoteReference w:id="22"/>
            </w:r>
            <w:r w:rsidRPr="00892DE3">
              <w:rPr>
                <w:rFonts w:eastAsia="Times New Roman" w:cstheme="minorHAnsi"/>
                <w:color w:val="000000"/>
                <w:lang w:eastAsia="en-AU"/>
              </w:rPr>
              <w:t xml:space="preserve"> government grants are recognised in the profit and loss on the receipt of the grant which is non-reciprocal. </w:t>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1004</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Contributions</w:t>
            </w:r>
            <w:r w:rsidRPr="00892DE3">
              <w:rPr>
                <w:rFonts w:eastAsia="Times New Roman" w:cstheme="minorHAnsi"/>
                <w:color w:val="000000"/>
                <w:vertAlign w:val="superscript"/>
                <w:lang w:eastAsia="en-AU"/>
              </w:rPr>
              <w:footnoteReference w:id="23"/>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331934" w:rsidP="009C27B9">
            <w:pPr>
              <w:keepLines w:val="0"/>
              <w:spacing w:before="0"/>
              <w:jc w:val="center"/>
              <w:rPr>
                <w:rFonts w:ascii="Wingdings 2" w:eastAsia="Times New Roman" w:hAnsi="Wingdings 2" w:cs="Times New Roman"/>
                <w:color w:val="000000"/>
                <w:lang w:eastAsia="en-AU"/>
              </w:rPr>
            </w:pPr>
            <w:r>
              <w:rPr>
                <w:rFonts w:ascii="Calibri" w:eastAsia="Times New Roman" w:hAnsi="Calibri" w:cs="Times New Roman"/>
                <w:color w:val="000000"/>
                <w:lang w:eastAsia="en-AU"/>
              </w:rPr>
              <w:t>NR</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1023</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General Insurance Contracts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6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1038</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Life Insurance Contracts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Wingdings 2" w:eastAsia="Times New Roman" w:hAnsi="Wingdings 2" w:cs="Times New Roman"/>
                <w:color w:val="000000"/>
                <w:lang w:eastAsia="en-AU"/>
              </w:rPr>
              <w:t></w:t>
            </w:r>
            <w:r w:rsidRPr="00892DE3">
              <w:rPr>
                <w:rFonts w:ascii="Calibri" w:eastAsia="Tahoma" w:hAnsi="Calibri" w:cs="Tahoma"/>
                <w:vertAlign w:val="superscript"/>
                <w:lang w:eastAsia="en-AU"/>
              </w:rPr>
              <w:footnoteReference w:id="24"/>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1039</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Concise Financial Reports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1048</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Interpretation of Standards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6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1049</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Whole of Government and General Government Sector Financial Reporting</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7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1050</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Administered Items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331934" w:rsidP="009C27B9">
            <w:pPr>
              <w:keepLines w:val="0"/>
              <w:spacing w:before="0"/>
              <w:jc w:val="center"/>
              <w:rPr>
                <w:rFonts w:ascii="Wingdings 2" w:eastAsia="Times New Roman" w:hAnsi="Wingdings 2" w:cs="Times New Roman"/>
                <w:color w:val="000000"/>
                <w:lang w:eastAsia="en-AU"/>
              </w:rPr>
            </w:pPr>
            <w:r>
              <w:rPr>
                <w:rFonts w:ascii="Calibri" w:eastAsia="Times New Roman" w:hAnsi="Calibri" w:cs="Times New Roman"/>
                <w:color w:val="000000"/>
                <w:lang w:eastAsia="en-AU"/>
              </w:rPr>
              <w:t>NR</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7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1051</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Land Under Roads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1052</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Disaggregated Disclosures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7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1053</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Application of Tiers of Australian Accounting Standards </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7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1054</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Australian Additional Disclosures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1055</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Budgetary Reporting</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1056</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Superannuation Entities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vAlign w:val="center"/>
            <w:hideMark/>
          </w:tcPr>
          <w:p w:rsidR="00C52135" w:rsidRPr="00892DE3" w:rsidRDefault="00331934"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F97E48">
        <w:trPr>
          <w:trHeight w:val="300"/>
        </w:trPr>
        <w:tc>
          <w:tcPr>
            <w:tcW w:w="395" w:type="pct"/>
            <w:tcBorders>
              <w:top w:val="single" w:sz="2" w:space="0" w:color="808080" w:themeColor="background1" w:themeShade="80"/>
              <w:bottom w:val="single" w:sz="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1057</w:t>
            </w:r>
          </w:p>
        </w:tc>
        <w:tc>
          <w:tcPr>
            <w:tcW w:w="1982" w:type="pct"/>
            <w:tcBorders>
              <w:top w:val="single" w:sz="2" w:space="0" w:color="808080" w:themeColor="background1" w:themeShade="80"/>
              <w:bottom w:val="single" w:sz="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Application of Australian Accounting Standards</w:t>
            </w:r>
          </w:p>
        </w:tc>
        <w:tc>
          <w:tcPr>
            <w:tcW w:w="1178" w:type="pct"/>
            <w:tcBorders>
              <w:top w:val="single" w:sz="2" w:space="0" w:color="808080" w:themeColor="background1" w:themeShade="80"/>
              <w:bottom w:val="single" w:sz="2" w:space="0" w:color="808080" w:themeColor="background1" w:themeShade="80"/>
            </w:tcBorders>
            <w:shd w:val="clear" w:color="auto" w:fill="D9D9D9" w:themeFill="background1" w:themeFillShade="D9"/>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tcBorders>
              <w:top w:val="single" w:sz="2" w:space="0" w:color="808080" w:themeColor="background1" w:themeShade="80"/>
              <w:bottom w:val="single" w:sz="2" w:space="0" w:color="808080" w:themeColor="background1" w:themeShade="80"/>
            </w:tcBorders>
            <w:shd w:val="clear" w:color="auto" w:fill="F2F2F2" w:themeFill="background1" w:themeFillShade="F2"/>
            <w:noWrap/>
            <w:vAlign w:val="center"/>
            <w:hideMark/>
          </w:tcPr>
          <w:p w:rsidR="00C52135" w:rsidRPr="00892DE3" w:rsidRDefault="00C52135" w:rsidP="009C27B9">
            <w:pPr>
              <w:keepLines w:val="0"/>
              <w:spacing w:before="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F97E48">
        <w:trPr>
          <w:trHeight w:val="234"/>
        </w:trPr>
        <w:tc>
          <w:tcPr>
            <w:tcW w:w="395" w:type="pct"/>
            <w:tcBorders>
              <w:top w:val="single" w:sz="2" w:space="0" w:color="808080" w:themeColor="background1" w:themeShade="80"/>
              <w:bottom w:val="single" w:sz="12" w:space="0" w:color="808080" w:themeColor="background1" w:themeShade="80"/>
            </w:tcBorders>
            <w:shd w:val="clear" w:color="auto" w:fill="auto"/>
            <w:noWrap/>
            <w:vAlign w:val="center"/>
            <w:hideMark/>
          </w:tcPr>
          <w:p w:rsidR="00C52135" w:rsidRPr="00892DE3" w:rsidRDefault="00C52135" w:rsidP="009C27B9">
            <w:pPr>
              <w:keepLines w:val="0"/>
              <w:spacing w:before="0"/>
              <w:jc w:val="center"/>
              <w:rPr>
                <w:rFonts w:eastAsia="Times New Roman" w:cstheme="minorHAnsi"/>
                <w:color w:val="000000"/>
                <w:lang w:eastAsia="en-AU"/>
              </w:rPr>
            </w:pPr>
            <w:r w:rsidRPr="00892DE3">
              <w:rPr>
                <w:rFonts w:eastAsia="Times New Roman" w:cstheme="minorHAnsi"/>
                <w:color w:val="000000"/>
                <w:lang w:eastAsia="en-AU"/>
              </w:rPr>
              <w:t>1058</w:t>
            </w:r>
          </w:p>
        </w:tc>
        <w:tc>
          <w:tcPr>
            <w:tcW w:w="1982" w:type="pct"/>
            <w:tcBorders>
              <w:top w:val="single" w:sz="2" w:space="0" w:color="808080" w:themeColor="background1" w:themeShade="80"/>
              <w:bottom w:val="single" w:sz="12" w:space="0" w:color="808080" w:themeColor="background1" w:themeShade="80"/>
            </w:tcBorders>
            <w:shd w:val="clear" w:color="auto" w:fill="auto"/>
            <w:vAlign w:val="center"/>
            <w:hideMark/>
          </w:tcPr>
          <w:p w:rsidR="00C52135" w:rsidRPr="00892DE3" w:rsidRDefault="00C52135" w:rsidP="009C27B9">
            <w:pPr>
              <w:keepLines w:val="0"/>
              <w:spacing w:before="0"/>
              <w:rPr>
                <w:rFonts w:eastAsia="Times New Roman" w:cstheme="minorHAnsi"/>
                <w:color w:val="000000"/>
                <w:vertAlign w:val="superscript"/>
                <w:lang w:eastAsia="en-AU"/>
              </w:rPr>
            </w:pPr>
            <w:r w:rsidRPr="00892DE3">
              <w:rPr>
                <w:rFonts w:eastAsia="Times New Roman" w:cstheme="minorHAnsi"/>
                <w:color w:val="000000"/>
                <w:lang w:eastAsia="en-AU"/>
              </w:rPr>
              <w:t>Income of Not-for-Profit Entities</w:t>
            </w:r>
            <w:r w:rsidRPr="00892DE3">
              <w:rPr>
                <w:rFonts w:eastAsia="Times New Roman" w:cstheme="minorHAnsi"/>
                <w:color w:val="000000"/>
                <w:vertAlign w:val="superscript"/>
                <w:lang w:eastAsia="en-AU"/>
              </w:rPr>
              <w:footnoteReference w:id="25"/>
            </w:r>
          </w:p>
        </w:tc>
        <w:tc>
          <w:tcPr>
            <w:tcW w:w="1178" w:type="pct"/>
            <w:tcBorders>
              <w:top w:val="single" w:sz="2" w:space="0" w:color="808080" w:themeColor="background1" w:themeShade="80"/>
              <w:bottom w:val="single" w:sz="12" w:space="0" w:color="808080" w:themeColor="background1" w:themeShade="80"/>
            </w:tcBorders>
            <w:shd w:val="clear" w:color="auto" w:fill="D9D9D9" w:themeFill="background1" w:themeFillShade="D9"/>
            <w:vAlign w:val="center"/>
            <w:hideMark/>
          </w:tcPr>
          <w:p w:rsidR="00C52135" w:rsidRPr="00892DE3" w:rsidRDefault="00C52135" w:rsidP="009C27B9">
            <w:pPr>
              <w:keepLines w:val="0"/>
              <w:spacing w:before="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tcBorders>
              <w:top w:val="single" w:sz="2" w:space="0" w:color="808080" w:themeColor="background1" w:themeShade="80"/>
              <w:bottom w:val="single" w:sz="12" w:space="0" w:color="808080" w:themeColor="background1" w:themeShade="80"/>
            </w:tcBorders>
            <w:shd w:val="clear" w:color="auto" w:fill="F2F2F2" w:themeFill="background1" w:themeFillShade="F2"/>
            <w:vAlign w:val="center"/>
            <w:hideMark/>
          </w:tcPr>
          <w:p w:rsidR="00C52135" w:rsidRPr="00892DE3" w:rsidRDefault="00C52135" w:rsidP="009C27B9">
            <w:pPr>
              <w:keepLines w:val="0"/>
              <w:spacing w:before="0"/>
              <w:rPr>
                <w:rFonts w:eastAsia="Times New Roman" w:cstheme="minorHAnsi"/>
                <w:color w:val="000000"/>
                <w:lang w:eastAsia="en-AU"/>
              </w:rPr>
            </w:pPr>
            <w:r w:rsidRPr="00892DE3">
              <w:rPr>
                <w:rFonts w:eastAsia="Times New Roman" w:cstheme="minorHAnsi"/>
                <w:color w:val="000000"/>
                <w:lang w:eastAsia="en-AU"/>
              </w:rPr>
              <w:t xml:space="preserve">Applicable from reporting periods beginning or after </w:t>
            </w:r>
            <w:r w:rsidR="00F46516">
              <w:rPr>
                <w:rFonts w:eastAsia="Times New Roman" w:cstheme="minorHAnsi"/>
                <w:color w:val="000000"/>
                <w:lang w:eastAsia="en-AU"/>
              </w:rPr>
              <w:br/>
            </w:r>
            <w:r w:rsidRPr="00892DE3">
              <w:rPr>
                <w:rFonts w:eastAsia="Times New Roman" w:cstheme="minorHAnsi"/>
                <w:color w:val="000000"/>
                <w:lang w:eastAsia="en-AU"/>
              </w:rPr>
              <w:t>1 January 2019.</w:t>
            </w:r>
          </w:p>
        </w:tc>
      </w:tr>
    </w:tbl>
    <w:p w:rsidR="00DB686E" w:rsidRPr="00892DE3" w:rsidRDefault="00DB686E" w:rsidP="00C52135">
      <w:pPr>
        <w:pStyle w:val="AppendixHeading"/>
        <w:sectPr w:rsidR="00DB686E" w:rsidRPr="00892DE3" w:rsidSect="00DE6A24">
          <w:headerReference w:type="even" r:id="rId253"/>
          <w:headerReference w:type="default" r:id="rId254"/>
          <w:footerReference w:type="first" r:id="rId255"/>
          <w:footnotePr>
            <w:numRestart w:val="eachSect"/>
          </w:footnotePr>
          <w:pgSz w:w="11906" w:h="16838" w:code="9"/>
          <w:pgMar w:top="1134" w:right="1134" w:bottom="1134" w:left="1134" w:header="624" w:footer="567" w:gutter="0"/>
          <w:cols w:space="708"/>
          <w:titlePg/>
          <w:docGrid w:linePitch="360"/>
        </w:sectPr>
      </w:pPr>
    </w:p>
    <w:p w:rsidR="00C52135" w:rsidRPr="00892DE3" w:rsidRDefault="00C52135" w:rsidP="001B29CF">
      <w:pPr>
        <w:keepLines w:val="0"/>
        <w:sectPr w:rsidR="00C52135" w:rsidRPr="00892DE3" w:rsidSect="006640D8">
          <w:headerReference w:type="even" r:id="rId256"/>
          <w:headerReference w:type="default" r:id="rId257"/>
          <w:footerReference w:type="even" r:id="rId258"/>
          <w:footerReference w:type="default" r:id="rId259"/>
          <w:type w:val="continuous"/>
          <w:pgSz w:w="11906" w:h="16838" w:code="9"/>
          <w:pgMar w:top="1134" w:right="1134" w:bottom="1134" w:left="1134" w:header="431" w:footer="431" w:gutter="0"/>
          <w:cols w:space="708"/>
          <w:docGrid w:linePitch="360"/>
        </w:sectPr>
      </w:pPr>
    </w:p>
    <w:p w:rsidR="00C952AB" w:rsidRPr="00892DE3" w:rsidRDefault="00C952AB" w:rsidP="00B4596C">
      <w:pPr>
        <w:rPr>
          <w:color w:val="0072CE"/>
          <w:sz w:val="22"/>
        </w:rPr>
      </w:pPr>
      <w:r w:rsidRPr="00892DE3">
        <w:rPr>
          <w:color w:val="0072CE"/>
          <w:sz w:val="32"/>
        </w:rPr>
        <w:t>2016-17 Model Report</w:t>
      </w:r>
      <w:r w:rsidRPr="00892DE3">
        <w:rPr>
          <w:color w:val="0072CE"/>
          <w:sz w:val="32"/>
        </w:rPr>
        <w:br/>
        <w:t>for Victorian Government Departments</w:t>
      </w:r>
    </w:p>
    <w:p w:rsidR="00A839DE" w:rsidRPr="00892DE3" w:rsidRDefault="00A839DE" w:rsidP="00B4596C">
      <w:pPr>
        <w:rPr>
          <w:sz w:val="20"/>
        </w:rPr>
      </w:pPr>
    </w:p>
    <w:p w:rsidR="00C952AB" w:rsidRPr="00892DE3" w:rsidRDefault="00C952AB" w:rsidP="00B4596C">
      <w:pPr>
        <w:rPr>
          <w:sz w:val="20"/>
        </w:rPr>
      </w:pPr>
      <w:r w:rsidRPr="00892DE3">
        <w:rPr>
          <w:sz w:val="20"/>
        </w:rPr>
        <w:t>Model financial statement and report of operations guidance</w:t>
      </w:r>
      <w:r w:rsidRPr="00892DE3">
        <w:rPr>
          <w:sz w:val="20"/>
        </w:rPr>
        <w:br/>
        <w:t>for reporting period ending 30 June 2017</w:t>
      </w:r>
    </w:p>
    <w:p w:rsidR="00C952AB" w:rsidRPr="00892DE3" w:rsidRDefault="00C952AB" w:rsidP="00B4596C">
      <w:pPr>
        <w:rPr>
          <w:sz w:val="16"/>
        </w:rPr>
      </w:pPr>
      <w:r w:rsidRPr="00892DE3">
        <w:rPr>
          <w:sz w:val="16"/>
        </w:rPr>
        <w:t>dtf.vic.gov.au</w:t>
      </w:r>
    </w:p>
    <w:p w:rsidR="00C952AB" w:rsidRPr="00C952AB" w:rsidRDefault="00C952AB" w:rsidP="00B4596C">
      <w:pPr>
        <w:rPr>
          <w:sz w:val="16"/>
        </w:rPr>
      </w:pPr>
      <w:r w:rsidRPr="00892DE3">
        <w:rPr>
          <w:noProof/>
          <w:sz w:val="16"/>
          <w:lang w:eastAsia="en-AU"/>
        </w:rPr>
        <w:drawing>
          <wp:anchor distT="0" distB="0" distL="114300" distR="114300" simplePos="0" relativeHeight="251666432" behindDoc="0" locked="0" layoutInCell="1" allowOverlap="1" wp14:anchorId="01A51D28" wp14:editId="365C2D12">
            <wp:simplePos x="0" y="0"/>
            <wp:positionH relativeFrom="column">
              <wp:posOffset>-40640</wp:posOffset>
            </wp:positionH>
            <wp:positionV relativeFrom="paragraph">
              <wp:posOffset>7669810</wp:posOffset>
            </wp:positionV>
            <wp:extent cx="1621766" cy="484913"/>
            <wp:effectExtent l="0" t="0" r="0" b="0"/>
            <wp:wrapNone/>
            <wp:docPr id="289" name="Picture 289" descr="T:\Corpcom_CSS\COMMUNICATIONS\Logos and branding\Brand Victoria logos\Victoria State Government DTF\Victoria State Gov DTF right aligned\png\Victoria State Gov DTF right black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Corpcom_CSS\COMMUNICATIONS\Logos and branding\Brand Victoria logos\Victoria State Government DTF\Victoria State Gov DTF right aligned\png\Victoria State Gov DTF right black rgb.pn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621766" cy="48491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952AB" w:rsidRPr="00C952AB" w:rsidSect="00B00A21">
      <w:footerReference w:type="even" r:id="rId261"/>
      <w:type w:val="evenPage"/>
      <w:pgSz w:w="11906" w:h="16838" w:code="9"/>
      <w:pgMar w:top="1134" w:right="1134" w:bottom="1134" w:left="1134" w:header="431"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41D" w:rsidRDefault="00A4241D" w:rsidP="00474C53">
      <w:r>
        <w:separator/>
      </w:r>
    </w:p>
  </w:endnote>
  <w:endnote w:type="continuationSeparator" w:id="0">
    <w:p w:rsidR="00A4241D" w:rsidRDefault="00A4241D"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EY Gothic Cond MedPS">
    <w:altName w:val="Arial"/>
    <w:panose1 w:val="00000000000000000000"/>
    <w:charset w:val="00"/>
    <w:family w:val="swiss"/>
    <w:notTrueType/>
    <w:pitch w:val="variable"/>
    <w:sig w:usb0="00000083" w:usb1="00000000" w:usb2="00000000" w:usb3="00000000" w:csb0="00000009" w:csb1="00000000"/>
  </w:font>
  <w:font w:name="Stag Medium">
    <w:altName w:val="Calibri"/>
    <w:panose1 w:val="00000000000000000000"/>
    <w:charset w:val="00"/>
    <w:family w:val="roman"/>
    <w:notTrueType/>
    <w:pitch w:val="default"/>
    <w:sig w:usb0="00000003" w:usb1="00000000" w:usb2="00000000" w:usb3="00000000" w:csb0="00000001" w:csb1="00000000"/>
  </w:font>
  <w:font w:name="EYInterstate">
    <w:altName w:val="Corbel"/>
    <w:charset w:val="00"/>
    <w:family w:val="auto"/>
    <w:pitch w:val="variable"/>
    <w:sig w:usb0="A00002AF" w:usb1="5000206A"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B5273" w:rsidRDefault="00A4241D" w:rsidP="00DB5273">
    <w:pPr>
      <w:pStyle w:val="Footerodd"/>
      <w:tabs>
        <w:tab w:val="clear" w:pos="4819"/>
      </w:tabs>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6</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B5273" w:rsidRDefault="00A4241D" w:rsidP="00DB5273">
    <w:pPr>
      <w:pStyle w:val="Footerodd"/>
    </w:pP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B5273">
      <w:rPr>
        <w:rStyle w:val="PageNumber"/>
        <w:rFonts w:asciiTheme="majorHAnsi" w:hAnsiTheme="majorHAnsi"/>
      </w:rPr>
      <w:fldChar w:fldCharType="end"/>
    </w:r>
    <w:r w:rsidRPr="00DB5273">
      <w:tab/>
    </w: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3C212D">
      <w:rPr>
        <w:rStyle w:val="PageNumber"/>
        <w:rFonts w:asciiTheme="majorHAnsi" w:hAnsiTheme="majorHAnsi"/>
        <w:noProof/>
      </w:rPr>
      <w:t>7</w:t>
    </w:r>
    <w:r w:rsidRPr="00DB5273">
      <w:rPr>
        <w:rStyle w:val="PageNumber"/>
        <w:rFonts w:asciiTheme="majorHAnsi" w:hAnsiTheme="majorHAns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9C1D64" w:rsidRDefault="00A4241D" w:rsidP="009C1D64">
    <w:pPr>
      <w:pStyle w:val="Footerodd"/>
    </w:pPr>
    <w:r w:rsidRPr="009C1D64">
      <w:rPr>
        <w:rStyle w:val="PageNumber"/>
        <w:rFonts w:asciiTheme="majorHAnsi" w:hAnsiTheme="majorHAnsi"/>
      </w:rPr>
      <w:fldChar w:fldCharType="begin"/>
    </w:r>
    <w:r w:rsidRPr="009C1D64">
      <w:rPr>
        <w:rStyle w:val="PageNumber"/>
        <w:rFonts w:asciiTheme="majorHAnsi" w:hAnsiTheme="majorHAnsi"/>
      </w:rPr>
      <w:instrText xml:space="preserve"> DOCPROPERTY  Subject </w:instrText>
    </w:r>
    <w:r w:rsidRPr="009C1D64">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9C1D64">
      <w:rPr>
        <w:rStyle w:val="PageNumber"/>
        <w:rFonts w:asciiTheme="majorHAnsi" w:hAnsiTheme="majorHAnsi"/>
      </w:rPr>
      <w:fldChar w:fldCharType="end"/>
    </w:r>
    <w:r w:rsidRPr="009C1D64">
      <w:tab/>
    </w:r>
    <w:r w:rsidRPr="009C1D64">
      <w:rPr>
        <w:rStyle w:val="PageNumber"/>
        <w:rFonts w:asciiTheme="majorHAnsi" w:hAnsiTheme="majorHAnsi"/>
      </w:rPr>
      <w:fldChar w:fldCharType="begin"/>
    </w:r>
    <w:r w:rsidRPr="009C1D64">
      <w:rPr>
        <w:rStyle w:val="PageNumber"/>
        <w:rFonts w:asciiTheme="majorHAnsi" w:hAnsiTheme="majorHAnsi"/>
      </w:rPr>
      <w:instrText xml:space="preserve"> PAGE </w:instrText>
    </w:r>
    <w:r w:rsidRPr="009C1D64">
      <w:rPr>
        <w:rStyle w:val="PageNumber"/>
        <w:rFonts w:asciiTheme="majorHAnsi" w:hAnsiTheme="majorHAnsi"/>
      </w:rPr>
      <w:fldChar w:fldCharType="separate"/>
    </w:r>
    <w:r w:rsidR="003C212D">
      <w:rPr>
        <w:rStyle w:val="PageNumber"/>
        <w:rFonts w:asciiTheme="majorHAnsi" w:hAnsiTheme="majorHAnsi"/>
        <w:noProof/>
      </w:rPr>
      <w:t>1</w:t>
    </w:r>
    <w:r w:rsidRPr="009C1D64">
      <w:rPr>
        <w:rStyle w:val="PageNumber"/>
        <w:rFonts w:asciiTheme="majorHAnsi" w:hAnsiTheme="majorHAnsi"/>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B5273" w:rsidRDefault="00A4241D" w:rsidP="00DB5273">
    <w:pPr>
      <w:pStyle w:val="Footereven"/>
    </w:pP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3C212D">
      <w:rPr>
        <w:rStyle w:val="PageNumber"/>
        <w:rFonts w:asciiTheme="majorHAnsi" w:hAnsiTheme="majorHAnsi"/>
        <w:noProof/>
      </w:rPr>
      <w:t>40</w:t>
    </w:r>
    <w:r w:rsidRPr="00DB5273">
      <w:rPr>
        <w:rStyle w:val="PageNumber"/>
        <w:rFonts w:asciiTheme="majorHAnsi" w:hAnsiTheme="majorHAnsi"/>
      </w:rPr>
      <w:fldChar w:fldCharType="end"/>
    </w:r>
    <w:r w:rsidRPr="00DB5273">
      <w:rPr>
        <w:rStyle w:val="PageNumber"/>
        <w:rFonts w:asciiTheme="majorHAnsi" w:hAnsiTheme="majorHAnsi"/>
      </w:rPr>
      <w:tab/>
    </w:r>
    <w:r w:rsidRPr="00DB5273">
      <w:rPr>
        <w:rStyle w:val="PageNumber"/>
        <w:rFonts w:asciiTheme="majorHAnsi" w:hAnsiTheme="majorHAnsi"/>
      </w:rPr>
      <w:tab/>
    </w: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B5273">
      <w:rPr>
        <w:rStyle w:val="PageNumber"/>
        <w:rFonts w:asciiTheme="majorHAnsi" w:hAnsiTheme="majorHAns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B5273" w:rsidRDefault="00A4241D" w:rsidP="000872A1">
    <w:pPr>
      <w:pStyle w:val="Footerodd"/>
    </w:pP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B5273">
      <w:rPr>
        <w:rStyle w:val="PageNumber"/>
        <w:rFonts w:asciiTheme="majorHAnsi" w:hAnsiTheme="majorHAnsi"/>
      </w:rPr>
      <w:fldChar w:fldCharType="end"/>
    </w:r>
    <w:r w:rsidRPr="00DB5273">
      <w:tab/>
    </w: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3C212D">
      <w:rPr>
        <w:rStyle w:val="PageNumber"/>
        <w:rFonts w:asciiTheme="majorHAnsi" w:hAnsiTheme="majorHAnsi"/>
        <w:noProof/>
      </w:rPr>
      <w:t>9</w:t>
    </w:r>
    <w:r w:rsidRPr="00DB5273">
      <w:rPr>
        <w:rStyle w:val="PageNumber"/>
        <w:rFonts w:asciiTheme="majorHAnsi" w:hAnsiTheme="majorHAns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8C514C">
    <w:pPr>
      <w:pStyle w:val="Footerodd"/>
      <w:tabs>
        <w:tab w:val="clear" w:pos="4819"/>
      </w:tabs>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8</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B5273" w:rsidRDefault="00A4241D" w:rsidP="009C1D64">
    <w:pPr>
      <w:pStyle w:val="Footerodd"/>
    </w:pP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B5273">
      <w:rPr>
        <w:rStyle w:val="PageNumber"/>
        <w:rFonts w:asciiTheme="majorHAnsi" w:hAnsiTheme="majorHAnsi"/>
      </w:rPr>
      <w:fldChar w:fldCharType="end"/>
    </w:r>
    <w:r w:rsidRPr="00DB5273">
      <w:tab/>
    </w: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3C212D">
      <w:rPr>
        <w:rStyle w:val="PageNumber"/>
        <w:rFonts w:asciiTheme="majorHAnsi" w:hAnsiTheme="majorHAnsi"/>
        <w:noProof/>
      </w:rPr>
      <w:t>39</w:t>
    </w:r>
    <w:r w:rsidRPr="00DB5273">
      <w:rPr>
        <w:rStyle w:val="PageNumber"/>
        <w:rFonts w:asciiTheme="majorHAnsi" w:hAnsiTheme="majorHAns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77028" w:rsidRDefault="00A4241D" w:rsidP="00080446"/>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77028" w:rsidRDefault="00A4241D" w:rsidP="00080446">
    <w:r>
      <w:rPr>
        <w:noProof/>
        <w:lang w:eastAsia="en-AU"/>
      </w:rPr>
      <mc:AlternateContent>
        <mc:Choice Requires="wps">
          <w:drawing>
            <wp:anchor distT="0" distB="0" distL="114300" distR="114300" simplePos="0" relativeHeight="251709440" behindDoc="0" locked="0" layoutInCell="1" allowOverlap="1" wp14:anchorId="482BFE91" wp14:editId="5AD1E2E8">
              <wp:simplePos x="0" y="0"/>
              <wp:positionH relativeFrom="column">
                <wp:posOffset>-504190</wp:posOffset>
              </wp:positionH>
              <wp:positionV relativeFrom="paragraph">
                <wp:posOffset>-6318885</wp:posOffset>
              </wp:positionV>
              <wp:extent cx="396000" cy="61920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B862F0" w:rsidRDefault="00A4241D" w:rsidP="00F22374">
                          <w:pPr>
                            <w:pStyle w:val="Footerodd"/>
                          </w:pPr>
                          <w:r w:rsidRPr="00DC4E5A">
                            <w:t>2016</w:t>
                          </w:r>
                          <w:r>
                            <w:t>-</w:t>
                          </w:r>
                          <w:r w:rsidRPr="00DC4E5A">
                            <w:t>17 Model Report for Victorian Government Departments</w:t>
                          </w:r>
                          <w:r w:rsidRPr="00B862F0">
                            <w:tab/>
                          </w:r>
                          <w:r w:rsidRPr="00B862F0">
                            <w:fldChar w:fldCharType="begin"/>
                          </w:r>
                          <w:r w:rsidRPr="00B862F0">
                            <w:instrText xml:space="preserve"> PAGE  \* Arabic  \* MERGEFORMAT </w:instrText>
                          </w:r>
                          <w:r w:rsidRPr="00B862F0">
                            <w:fldChar w:fldCharType="separate"/>
                          </w:r>
                          <w:r w:rsidR="003C212D">
                            <w:rPr>
                              <w:noProof/>
                            </w:rPr>
                            <w:t>41</w:t>
                          </w:r>
                          <w:r w:rsidRPr="00B862F0">
                            <w:fldChar w:fldCharType="end"/>
                          </w:r>
                        </w:p>
                        <w:p w:rsidR="00A4241D" w:rsidRDefault="00A4241D" w:rsidP="00F22374">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7" o:spid="_x0000_s1054" type="#_x0000_t202" style="position:absolute;margin-left:-39.7pt;margin-top:-497.55pt;width:31.2pt;height:48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5u7QIAAF0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" filled="f" stroked="f" strokeweight=".5pt">
              <v:textbox style="layout-flow:vertical">
                <w:txbxContent>
                  <w:p w:rsidR="00A4241D" w:rsidRPr="00B862F0" w:rsidRDefault="00A4241D" w:rsidP="00F22374">
                    <w:pPr>
                      <w:pStyle w:val="Footerodd"/>
                    </w:pPr>
                    <w:r w:rsidRPr="00DC4E5A">
                      <w:t>2016</w:t>
                    </w:r>
                    <w:r>
                      <w:t>-</w:t>
                    </w:r>
                    <w:r w:rsidRPr="00DC4E5A">
                      <w:t>17 Model Report for Victorian Government Departments</w:t>
                    </w:r>
                    <w:r w:rsidRPr="00B862F0">
                      <w:tab/>
                    </w:r>
                    <w:r w:rsidRPr="00B862F0">
                      <w:fldChar w:fldCharType="begin"/>
                    </w:r>
                    <w:r w:rsidRPr="00B862F0">
                      <w:instrText xml:space="preserve"> PAGE  \* Arabic  \* MERGEFORMAT </w:instrText>
                    </w:r>
                    <w:r w:rsidRPr="00B862F0">
                      <w:fldChar w:fldCharType="separate"/>
                    </w:r>
                    <w:r w:rsidR="003C212D">
                      <w:rPr>
                        <w:noProof/>
                      </w:rPr>
                      <w:t>41</w:t>
                    </w:r>
                    <w:r w:rsidRPr="00B862F0">
                      <w:fldChar w:fldCharType="end"/>
                    </w:r>
                  </w:p>
                  <w:p w:rsidR="00A4241D" w:rsidRDefault="00A4241D" w:rsidP="00F22374">
                    <w:pPr>
                      <w:pStyle w:val="Footerodd"/>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A5962" w:rsidRDefault="00A4241D" w:rsidP="000872A1">
    <w:pPr>
      <w:pStyle w:val="Footereven"/>
    </w:pPr>
    <w:r w:rsidRPr="00B862F0">
      <w:fldChar w:fldCharType="begin"/>
    </w:r>
    <w:r w:rsidRPr="00B862F0">
      <w:instrText xml:space="preserve"> PAGE  \* Arabic  \* MERGEFORMAT </w:instrText>
    </w:r>
    <w:r w:rsidRPr="00B862F0">
      <w:fldChar w:fldCharType="separate"/>
    </w:r>
    <w:r w:rsidR="003C212D">
      <w:rPr>
        <w:noProof/>
      </w:rPr>
      <w:t>68</w:t>
    </w:r>
    <w:r w:rsidRPr="00B862F0">
      <w:fldChar w:fldCharType="end"/>
    </w:r>
    <w:r w:rsidRPr="00B862F0">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A5962" w:rsidRDefault="00A4241D" w:rsidP="000872A1">
    <w:pPr>
      <w:pStyle w:val="Footerodd"/>
    </w:pPr>
    <w:r w:rsidRPr="00BD6A27">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D6A27">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D6A27">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65</w:t>
    </w:r>
    <w:r w:rsidRPr="00BA26F2">
      <w:rPr>
        <w:rStyle w:val="PageNumber"/>
        <w:rFonts w:asciiTheme="majorHAnsi" w:hAnsiTheme="majorHAnsi"/>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A5962" w:rsidRDefault="00A4241D" w:rsidP="00BD6A27">
    <w:pPr>
      <w:pStyle w:val="Footerodd"/>
    </w:pPr>
    <w:r w:rsidRPr="00BD6A27">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D6A27">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D6A27">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81</w:t>
    </w:r>
    <w:r w:rsidRPr="00BA26F2">
      <w:rPr>
        <w:rStyle w:val="PageNumber"/>
        <w:rFonts w:asciiTheme="majorHAnsi" w:hAnsiTheme="majorHAnsi"/>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A5962" w:rsidRDefault="00A4241D" w:rsidP="00BD6A27">
    <w:pPr>
      <w:pStyle w:val="Footereven"/>
    </w:pPr>
    <w:r w:rsidRPr="00B862F0">
      <w:fldChar w:fldCharType="begin"/>
    </w:r>
    <w:r w:rsidRPr="00B862F0">
      <w:instrText xml:space="preserve"> PAGE  \* Arabic  \* MERGEFORMAT </w:instrText>
    </w:r>
    <w:r w:rsidRPr="00B862F0">
      <w:fldChar w:fldCharType="separate"/>
    </w:r>
    <w:r w:rsidR="003C212D">
      <w:rPr>
        <w:noProof/>
      </w:rPr>
      <w:t>82</w:t>
    </w:r>
    <w:r w:rsidRPr="00B862F0">
      <w:fldChar w:fldCharType="end"/>
    </w:r>
    <w:r w:rsidRPr="00B862F0">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8C514C">
    <w:pPr>
      <w:pStyle w:val="Footerodd"/>
      <w:tabs>
        <w:tab w:val="clear" w:pos="4819"/>
      </w:tabs>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69</w:t>
    </w:r>
    <w:r w:rsidRPr="00BA26F2">
      <w:rPr>
        <w:rStyle w:val="PageNumber"/>
        <w:rFonts w:asciiTheme="majorHAnsi" w:hAnsiTheme="majorHAnsi"/>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7B48E7">
    <w:pPr>
      <w:pStyle w:val="Footereven"/>
    </w:pPr>
    <w:r w:rsidRPr="00B862F0">
      <w:fldChar w:fldCharType="begin"/>
    </w:r>
    <w:r w:rsidRPr="00B862F0">
      <w:instrText xml:space="preserve"> PAGE  \* Arabic  \* MERGEFORMAT </w:instrText>
    </w:r>
    <w:r w:rsidRPr="00B862F0">
      <w:fldChar w:fldCharType="separate"/>
    </w:r>
    <w:r w:rsidR="003C212D">
      <w:rPr>
        <w:noProof/>
      </w:rPr>
      <w:t>72</w:t>
    </w:r>
    <w:r w:rsidRPr="00B862F0">
      <w:fldChar w:fldCharType="end"/>
    </w:r>
    <w:r w:rsidRPr="00B862F0">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7B48E7">
    <w:pPr>
      <w:pStyle w:val="Footereven"/>
    </w:pPr>
    <w:r w:rsidRPr="00B862F0">
      <w:fldChar w:fldCharType="begin"/>
    </w:r>
    <w:r w:rsidRPr="00B862F0">
      <w:instrText xml:space="preserve"> PAGE  \* Arabic  \* MERGEFORMAT </w:instrText>
    </w:r>
    <w:r w:rsidRPr="00B862F0">
      <w:fldChar w:fldCharType="separate"/>
    </w:r>
    <w:r w:rsidR="003C212D">
      <w:rPr>
        <w:noProof/>
      </w:rPr>
      <w:t>74</w:t>
    </w:r>
    <w:r w:rsidRPr="00B862F0">
      <w:fldChar w:fldCharType="end"/>
    </w:r>
    <w:r>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7B48E7">
    <w:pPr>
      <w:pStyle w:val="Footereven"/>
    </w:pPr>
    <w:r w:rsidRPr="00B862F0">
      <w:fldChar w:fldCharType="begin"/>
    </w:r>
    <w:r w:rsidRPr="00B862F0">
      <w:instrText xml:space="preserve"> PAGE  \* Arabic  \* MERGEFORMAT </w:instrText>
    </w:r>
    <w:r w:rsidRPr="00B862F0">
      <w:fldChar w:fldCharType="separate"/>
    </w:r>
    <w:r w:rsidR="003C212D">
      <w:rPr>
        <w:noProof/>
      </w:rPr>
      <w:t>76</w:t>
    </w:r>
    <w:r w:rsidRPr="00B862F0">
      <w:fldChar w:fldCharType="end"/>
    </w:r>
    <w:r>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7B48E7">
    <w:pPr>
      <w:pStyle w:val="Footereven"/>
    </w:pPr>
    <w:r w:rsidRPr="00B862F0">
      <w:fldChar w:fldCharType="begin"/>
    </w:r>
    <w:r w:rsidRPr="00B862F0">
      <w:instrText xml:space="preserve"> PAGE  \* Arabic  \* MERGEFORMAT </w:instrText>
    </w:r>
    <w:r w:rsidRPr="00B862F0">
      <w:fldChar w:fldCharType="separate"/>
    </w:r>
    <w:r w:rsidR="003C212D">
      <w:rPr>
        <w:noProof/>
      </w:rPr>
      <w:t>80</w:t>
    </w:r>
    <w:r w:rsidRPr="00B862F0">
      <w:fldChar w:fldCharType="end"/>
    </w:r>
    <w:r>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811099">
    <w:r>
      <w:rPr>
        <w:noProof/>
        <w:lang w:eastAsia="en-AU"/>
      </w:rPr>
      <mc:AlternateContent>
        <mc:Choice Requires="wps">
          <w:drawing>
            <wp:anchor distT="0" distB="0" distL="114300" distR="114300" simplePos="0" relativeHeight="251692032" behindDoc="0" locked="0" layoutInCell="1" allowOverlap="1" wp14:anchorId="6C523B71" wp14:editId="29BF3C9D">
              <wp:simplePos x="0" y="0"/>
              <wp:positionH relativeFrom="column">
                <wp:posOffset>-504045</wp:posOffset>
              </wp:positionH>
              <wp:positionV relativeFrom="paragraph">
                <wp:posOffset>-6319330</wp:posOffset>
              </wp:positionV>
              <wp:extent cx="396000" cy="6192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D90086" w:rsidRDefault="00A4241D" w:rsidP="00811099">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96</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p>
                        <w:p w:rsidR="00A4241D" w:rsidRDefault="00A4241D" w:rsidP="00811099">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57" type="#_x0000_t202" style="position:absolute;margin-left:-39.7pt;margin-top:-497.6pt;width:31.2pt;height:487.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" filled="f" stroked="f" strokeweight=".5pt">
              <v:textbox style="layout-flow:vertical">
                <w:txbxContent>
                  <w:p w:rsidR="00A4241D" w:rsidRPr="00D90086" w:rsidRDefault="00A4241D" w:rsidP="00811099">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96</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p>
                  <w:p w:rsidR="00A4241D" w:rsidRDefault="00A4241D" w:rsidP="00811099">
                    <w:pPr>
                      <w:pStyle w:val="Footereven"/>
                    </w:pP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811099">
    <w:r>
      <w:rPr>
        <w:noProof/>
        <w:lang w:eastAsia="en-AU"/>
      </w:rPr>
      <mc:AlternateContent>
        <mc:Choice Requires="wps">
          <w:drawing>
            <wp:anchor distT="0" distB="0" distL="114300" distR="114300" simplePos="0" relativeHeight="251691008" behindDoc="0" locked="0" layoutInCell="1" allowOverlap="1" wp14:anchorId="28852648" wp14:editId="171A6A6E">
              <wp:simplePos x="0" y="0"/>
              <wp:positionH relativeFrom="column">
                <wp:posOffset>-504045</wp:posOffset>
              </wp:positionH>
              <wp:positionV relativeFrom="paragraph">
                <wp:posOffset>-6319330</wp:posOffset>
              </wp:positionV>
              <wp:extent cx="396000" cy="6192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BA26F2" w:rsidRDefault="00A4241D" w:rsidP="00811099">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83</w:t>
                          </w:r>
                          <w:r w:rsidRPr="00BA26F2">
                            <w:rPr>
                              <w:rStyle w:val="PageNumber"/>
                              <w:rFonts w:asciiTheme="majorHAnsi" w:hAnsiTheme="majorHAnsi"/>
                            </w:rPr>
                            <w:fldChar w:fldCharType="end"/>
                          </w:r>
                        </w:p>
                        <w:p w:rsidR="00A4241D" w:rsidRDefault="00A4241D" w:rsidP="00811099">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58" type="#_x0000_t202" style="position:absolute;margin-left:-39.7pt;margin-top:-497.6pt;width:31.2pt;height:487.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" filled="f" stroked="f" strokeweight=".5pt">
              <v:textbox style="layout-flow:vertical">
                <w:txbxContent>
                  <w:p w:rsidR="00A4241D" w:rsidRPr="00BA26F2" w:rsidRDefault="00A4241D" w:rsidP="00811099">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83</w:t>
                    </w:r>
                    <w:r w:rsidRPr="00BA26F2">
                      <w:rPr>
                        <w:rStyle w:val="PageNumber"/>
                        <w:rFonts w:asciiTheme="majorHAnsi" w:hAnsiTheme="majorHAnsi"/>
                      </w:rPr>
                      <w:fldChar w:fldCharType="end"/>
                    </w:r>
                  </w:p>
                  <w:p w:rsidR="00A4241D" w:rsidRDefault="00A4241D" w:rsidP="00811099">
                    <w:pPr>
                      <w:pStyle w:val="Footerodd"/>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90086" w:rsidRDefault="00A4241D"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3C212D">
      <w:rPr>
        <w:rStyle w:val="PageNumber"/>
        <w:rFonts w:asciiTheme="majorHAnsi" w:hAnsiTheme="majorHAnsi"/>
        <w:noProof/>
      </w:rPr>
      <w:t>86</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A26F2" w:rsidRDefault="00A4241D" w:rsidP="008C514C">
    <w:pPr>
      <w:pStyle w:val="Footerodd"/>
      <w:tabs>
        <w:tab w:val="clear" w:pos="4819"/>
      </w:tabs>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87</w:t>
    </w:r>
    <w:r w:rsidRPr="00BA26F2">
      <w:rPr>
        <w:rStyle w:val="PageNumber"/>
        <w:rFonts w:asciiTheme="majorHAnsi" w:hAnsiTheme="majorHAnsi"/>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B48E7" w:rsidRDefault="00A4241D" w:rsidP="007B48E7">
    <w:pPr>
      <w:pStyle w:val="Footerodd"/>
      <w:tabs>
        <w:tab w:val="clear" w:pos="4819"/>
      </w:tabs>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84</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A1717E" w:rsidRDefault="00A4241D" w:rsidP="00821277">
    <w:pPr>
      <w:pStyle w:val="Footereven"/>
    </w:pPr>
    <w:r w:rsidRPr="00A1717E">
      <w:rPr>
        <w:rStyle w:val="PageNumber"/>
        <w:rFonts w:asciiTheme="majorHAnsi" w:hAnsiTheme="majorHAnsi"/>
      </w:rPr>
      <w:fldChar w:fldCharType="begin"/>
    </w:r>
    <w:r w:rsidRPr="00A1717E">
      <w:rPr>
        <w:rStyle w:val="PageNumber"/>
        <w:rFonts w:asciiTheme="majorHAnsi" w:hAnsiTheme="majorHAnsi"/>
      </w:rPr>
      <w:instrText xml:space="preserve"> DOCPROPERTY  Subject </w:instrText>
    </w:r>
    <w:r w:rsidRPr="00A1717E">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A1717E">
      <w:rPr>
        <w:rStyle w:val="PageNumber"/>
        <w:rFonts w:asciiTheme="majorHAnsi" w:hAnsiTheme="majorHAnsi"/>
      </w:rPr>
      <w:fldChar w:fldCharType="end"/>
    </w:r>
    <w:r>
      <w:rPr>
        <w:rStyle w:val="PageNumber"/>
        <w:rFonts w:asciiTheme="majorHAnsi" w:hAnsiTheme="majorHAnsi"/>
      </w:rPr>
      <w:tab/>
    </w:r>
    <w:r w:rsidRPr="00A1717E">
      <w:rPr>
        <w:rStyle w:val="PageNumber"/>
        <w:rFonts w:asciiTheme="majorHAnsi" w:hAnsiTheme="majorHAnsi"/>
      </w:rPr>
      <w:fldChar w:fldCharType="begin"/>
    </w:r>
    <w:r w:rsidRPr="00A1717E">
      <w:rPr>
        <w:rStyle w:val="PageNumber"/>
        <w:rFonts w:asciiTheme="majorHAnsi" w:hAnsiTheme="majorHAnsi"/>
      </w:rPr>
      <w:instrText xml:space="preserve"> PAGE </w:instrText>
    </w:r>
    <w:r w:rsidRPr="00A1717E">
      <w:rPr>
        <w:rStyle w:val="PageNumber"/>
        <w:rFonts w:asciiTheme="majorHAnsi" w:hAnsiTheme="majorHAnsi"/>
      </w:rPr>
      <w:fldChar w:fldCharType="separate"/>
    </w:r>
    <w:r w:rsidR="003C212D">
      <w:rPr>
        <w:rStyle w:val="PageNumber"/>
        <w:rFonts w:asciiTheme="majorHAnsi" w:hAnsiTheme="majorHAnsi"/>
        <w:noProof/>
      </w:rPr>
      <w:t>85</w:t>
    </w:r>
    <w:r w:rsidRPr="00A1717E">
      <w:rPr>
        <w:rStyle w:val="PageNumber"/>
        <w:rFonts w:asciiTheme="majorHAnsi" w:hAnsiTheme="majorHAnsi"/>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8C514C">
    <w:pPr>
      <w:pStyle w:val="Footerodd"/>
      <w:tabs>
        <w:tab w:val="clear" w:pos="4819"/>
      </w:tabs>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88</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6F16D1" w:rsidRDefault="00A4241D" w:rsidP="006F16D1">
    <w:r>
      <w:rPr>
        <w:noProof/>
        <w:lang w:eastAsia="en-AU"/>
      </w:rPr>
      <mc:AlternateContent>
        <mc:Choice Requires="wps">
          <w:drawing>
            <wp:anchor distT="0" distB="0" distL="114300" distR="114300" simplePos="0" relativeHeight="251660288" behindDoc="0" locked="0" layoutInCell="1" allowOverlap="1" wp14:anchorId="56885C87" wp14:editId="48528A8C">
              <wp:simplePos x="0" y="0"/>
              <wp:positionH relativeFrom="column">
                <wp:posOffset>-504045</wp:posOffset>
              </wp:positionH>
              <wp:positionV relativeFrom="paragraph">
                <wp:posOffset>-6319330</wp:posOffset>
              </wp:positionV>
              <wp:extent cx="396000" cy="6192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D90086" w:rsidRDefault="00A4241D" w:rsidP="006F16D1">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102</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sidRPr="00D90086">
                            <w:t xml:space="preserve"> </w:t>
                          </w:r>
                        </w:p>
                        <w:p w:rsidR="00A4241D" w:rsidRDefault="00A4241D" w:rsidP="006F16D1">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_x0000_s1061" type="#_x0000_t202" style="position:absolute;margin-left:-39.7pt;margin-top:-497.6pt;width:31.2pt;height:487.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" filled="f" stroked="f" strokeweight=".5pt">
              <v:textbox style="layout-flow:vertical">
                <w:txbxContent>
                  <w:p w:rsidR="00A4241D" w:rsidRPr="00D90086" w:rsidRDefault="00A4241D" w:rsidP="006F16D1">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102</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sidRPr="00D90086">
                      <w:t xml:space="preserve"> </w:t>
                    </w:r>
                  </w:p>
                  <w:p w:rsidR="00A4241D" w:rsidRDefault="00A4241D" w:rsidP="006F16D1">
                    <w:pPr>
                      <w:pStyle w:val="Footereven"/>
                    </w:pP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6F16D1" w:rsidRDefault="00A4241D" w:rsidP="006F16D1">
    <w:r>
      <w:rPr>
        <w:noProof/>
        <w:lang w:eastAsia="en-AU"/>
      </w:rPr>
      <mc:AlternateContent>
        <mc:Choice Requires="wps">
          <w:drawing>
            <wp:anchor distT="0" distB="0" distL="114300" distR="114300" simplePos="0" relativeHeight="251659264" behindDoc="0" locked="0" layoutInCell="1" allowOverlap="1" wp14:anchorId="2199FF18" wp14:editId="2BDBF437">
              <wp:simplePos x="0" y="0"/>
              <wp:positionH relativeFrom="column">
                <wp:posOffset>-504045</wp:posOffset>
              </wp:positionH>
              <wp:positionV relativeFrom="paragraph">
                <wp:posOffset>-6319330</wp:posOffset>
              </wp:positionV>
              <wp:extent cx="396000" cy="619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BA26F2" w:rsidRDefault="00A4241D" w:rsidP="006F16D1">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89</w:t>
                          </w:r>
                          <w:r w:rsidRPr="00BA26F2">
                            <w:rPr>
                              <w:rStyle w:val="PageNumber"/>
                              <w:rFonts w:asciiTheme="majorHAnsi" w:hAnsiTheme="majorHAnsi"/>
                            </w:rPr>
                            <w:fldChar w:fldCharType="end"/>
                          </w:r>
                        </w:p>
                        <w:p w:rsidR="00A4241D" w:rsidRDefault="00A4241D" w:rsidP="006F16D1">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62" type="#_x0000_t202" style="position:absolute;margin-left:-39.7pt;margin-top:-497.6pt;width:31.2pt;height:48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" filled="f" stroked="f" strokeweight=".5pt">
              <v:textbox style="layout-flow:vertical">
                <w:txbxContent>
                  <w:p w:rsidR="00A4241D" w:rsidRPr="00BA26F2" w:rsidRDefault="00A4241D" w:rsidP="006F16D1">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89</w:t>
                    </w:r>
                    <w:r w:rsidRPr="00BA26F2">
                      <w:rPr>
                        <w:rStyle w:val="PageNumber"/>
                        <w:rFonts w:asciiTheme="majorHAnsi" w:hAnsiTheme="majorHAnsi"/>
                      </w:rPr>
                      <w:fldChar w:fldCharType="end"/>
                    </w:r>
                  </w:p>
                  <w:p w:rsidR="00A4241D" w:rsidRDefault="00A4241D" w:rsidP="006F16D1">
                    <w:pPr>
                      <w:pStyle w:val="Footerodd"/>
                    </w:pP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90086" w:rsidRDefault="00A4241D"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3C212D">
      <w:rPr>
        <w:rStyle w:val="PageNumber"/>
        <w:rFonts w:asciiTheme="majorHAnsi" w:hAnsiTheme="majorHAnsi"/>
        <w:noProof/>
      </w:rPr>
      <w:t>94</w:t>
    </w:r>
    <w:r w:rsidRPr="00D90086">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33736" w:rsidRDefault="00A4241D" w:rsidP="00B33736">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93</w:t>
    </w:r>
    <w:r w:rsidRPr="00BA26F2">
      <w:rPr>
        <w:rStyle w:val="PageNumber"/>
        <w:rFonts w:asciiTheme="majorHAnsi" w:hAnsiTheme="majorHAnsi"/>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521681" w:rsidRDefault="00A4241D" w:rsidP="00521681">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Pr>
        <w:rStyle w:val="PageNumber"/>
        <w:rFonts w:asciiTheme="majorHAnsi" w:hAnsiTheme="majorHAnsi"/>
      </w:rPr>
      <w:tab/>
    </w: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3C212D">
      <w:rPr>
        <w:rStyle w:val="PageNumber"/>
        <w:rFonts w:asciiTheme="majorHAnsi" w:hAnsiTheme="majorHAnsi"/>
        <w:noProof/>
      </w:rPr>
      <w:t>95</w:t>
    </w:r>
    <w:r w:rsidRPr="00D90086">
      <w:rPr>
        <w:rStyle w:val="PageNumber"/>
        <w:rFonts w:asciiTheme="majorHAnsi" w:hAnsiTheme="majorHAns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90086" w:rsidRDefault="00A4241D" w:rsidP="00FB1AE1">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3C212D">
      <w:rPr>
        <w:rStyle w:val="PageNumber"/>
        <w:rFonts w:asciiTheme="majorHAnsi" w:hAnsiTheme="majorHAnsi"/>
        <w:noProof/>
      </w:rPr>
      <w:t>ii</w:t>
    </w:r>
    <w:r w:rsidRPr="00D90086">
      <w:rPr>
        <w:rStyle w:val="PageNumber"/>
        <w:rFonts w:asciiTheme="majorHAnsi" w:hAnsiTheme="majorHAnsi"/>
      </w:rPr>
      <w:fldChar w:fldCharType="end"/>
    </w:r>
    <w:r w:rsidRPr="00D90086">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90086" w:rsidRDefault="00A4241D"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3C212D">
      <w:rPr>
        <w:rStyle w:val="PageNumber"/>
        <w:rFonts w:asciiTheme="majorHAnsi" w:hAnsiTheme="majorHAnsi"/>
        <w:noProof/>
      </w:rPr>
      <w:t>100</w:t>
    </w:r>
    <w:r w:rsidRPr="00D90086">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33736" w:rsidRDefault="00A4241D" w:rsidP="00B33736">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101</w:t>
    </w:r>
    <w:r w:rsidRPr="00BA26F2">
      <w:rPr>
        <w:rStyle w:val="PageNumber"/>
        <w:rFonts w:asciiTheme="majorHAnsi" w:hAnsiTheme="majorHAnsi"/>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521681" w:rsidRDefault="00A4241D" w:rsidP="0041634C">
    <w:pPr>
      <w:pStyle w:val="Footereven"/>
    </w:pPr>
    <w:r w:rsidRPr="00521681">
      <w:rPr>
        <w:rStyle w:val="PageNumber"/>
        <w:rFonts w:asciiTheme="majorHAnsi" w:hAnsiTheme="majorHAnsi"/>
      </w:rPr>
      <w:fldChar w:fldCharType="begin"/>
    </w:r>
    <w:r w:rsidRPr="00521681">
      <w:rPr>
        <w:rStyle w:val="PageNumber"/>
        <w:rFonts w:asciiTheme="majorHAnsi" w:hAnsiTheme="majorHAnsi"/>
      </w:rPr>
      <w:instrText xml:space="preserve"> PAGE </w:instrText>
    </w:r>
    <w:r w:rsidRPr="00521681">
      <w:rPr>
        <w:rStyle w:val="PageNumber"/>
        <w:rFonts w:asciiTheme="majorHAnsi" w:hAnsiTheme="majorHAnsi"/>
      </w:rPr>
      <w:fldChar w:fldCharType="separate"/>
    </w:r>
    <w:r w:rsidR="003C212D">
      <w:rPr>
        <w:rStyle w:val="PageNumber"/>
        <w:rFonts w:asciiTheme="majorHAnsi" w:hAnsiTheme="majorHAnsi"/>
        <w:noProof/>
      </w:rPr>
      <w:t>102</w:t>
    </w:r>
    <w:r w:rsidRPr="00521681">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521681">
      <w:rPr>
        <w:rStyle w:val="PageNumber"/>
        <w:rFonts w:asciiTheme="majorHAnsi" w:hAnsiTheme="majorHAnsi"/>
      </w:rPr>
      <w:fldChar w:fldCharType="begin"/>
    </w:r>
    <w:r w:rsidRPr="00521681">
      <w:rPr>
        <w:rStyle w:val="PageNumber"/>
        <w:rFonts w:asciiTheme="majorHAnsi" w:hAnsiTheme="majorHAnsi"/>
      </w:rPr>
      <w:instrText xml:space="preserve"> DOCPROPERTY  Subject </w:instrText>
    </w:r>
    <w:r w:rsidRPr="00521681">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521681">
      <w:rPr>
        <w:rStyle w:val="PageNumber"/>
        <w:rFonts w:asciiTheme="majorHAnsi" w:hAnsiTheme="majorHAnsi"/>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7839E2">
    <w:r>
      <w:rPr>
        <w:noProof/>
        <w:lang w:eastAsia="en-AU"/>
      </w:rPr>
      <mc:AlternateContent>
        <mc:Choice Requires="wps">
          <w:drawing>
            <wp:anchor distT="0" distB="0" distL="114300" distR="114300" simplePos="0" relativeHeight="251664384" behindDoc="0" locked="0" layoutInCell="1" allowOverlap="1" wp14:anchorId="346380E6" wp14:editId="6854B85E">
              <wp:simplePos x="0" y="0"/>
              <wp:positionH relativeFrom="column">
                <wp:posOffset>-504045</wp:posOffset>
              </wp:positionH>
              <wp:positionV relativeFrom="paragraph">
                <wp:posOffset>-6319330</wp:posOffset>
              </wp:positionV>
              <wp:extent cx="396000" cy="6192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D90086" w:rsidRDefault="00A4241D" w:rsidP="00BB48EC">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3C212D">
                            <w:rPr>
                              <w:rStyle w:val="PageNumber"/>
                              <w:rFonts w:asciiTheme="majorHAnsi" w:hAnsiTheme="majorHAnsi"/>
                              <w:noProof/>
                            </w:rPr>
                            <w:t>104</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sidRPr="00D90086">
                            <w:t xml:space="preserve"> </w:t>
                          </w:r>
                        </w:p>
                        <w:p w:rsidR="00A4241D" w:rsidRDefault="00A4241D" w:rsidP="007839E2">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65" type="#_x0000_t202" style="position:absolute;margin-left:-39.7pt;margin-top:-497.6pt;width:31.2pt;height:487.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" filled="f" stroked="f" strokeweight=".5pt">
              <v:textbox style="layout-flow:vertical">
                <w:txbxContent>
                  <w:p w:rsidR="00A4241D" w:rsidRPr="00D90086" w:rsidRDefault="00A4241D" w:rsidP="00BB48EC">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3C212D">
                      <w:rPr>
                        <w:rStyle w:val="PageNumber"/>
                        <w:rFonts w:asciiTheme="majorHAnsi" w:hAnsiTheme="majorHAnsi"/>
                        <w:noProof/>
                      </w:rPr>
                      <w:t>104</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sidRPr="00D90086">
                      <w:t xml:space="preserve"> </w:t>
                    </w:r>
                  </w:p>
                  <w:p w:rsidR="00A4241D" w:rsidRDefault="00A4241D" w:rsidP="007839E2">
                    <w:pPr>
                      <w:pStyle w:val="Footereven"/>
                    </w:pP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7839E2">
    <w:r>
      <w:rPr>
        <w:noProof/>
        <w:lang w:eastAsia="en-AU"/>
      </w:rPr>
      <mc:AlternateContent>
        <mc:Choice Requires="wps">
          <w:drawing>
            <wp:anchor distT="0" distB="0" distL="114300" distR="114300" simplePos="0" relativeHeight="251663360" behindDoc="0" locked="0" layoutInCell="1" allowOverlap="1" wp14:anchorId="1531CC90" wp14:editId="32815EB2">
              <wp:simplePos x="0" y="0"/>
              <wp:positionH relativeFrom="column">
                <wp:posOffset>-504045</wp:posOffset>
              </wp:positionH>
              <wp:positionV relativeFrom="paragraph">
                <wp:posOffset>-6319330</wp:posOffset>
              </wp:positionV>
              <wp:extent cx="396000" cy="6192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BA26F2" w:rsidRDefault="00A4241D" w:rsidP="00BB48EC">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103</w:t>
                          </w:r>
                          <w:r w:rsidRPr="00BA26F2">
                            <w:rPr>
                              <w:rStyle w:val="PageNumber"/>
                              <w:rFonts w:asciiTheme="majorHAnsi" w:hAnsiTheme="majorHAnsi"/>
                            </w:rPr>
                            <w:fldChar w:fldCharType="end"/>
                          </w:r>
                        </w:p>
                        <w:p w:rsidR="00A4241D" w:rsidRDefault="00A4241D" w:rsidP="007839E2">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66" type="#_x0000_t202" style="position:absolute;margin-left:-39.7pt;margin-top:-497.6pt;width:31.2pt;height:48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" filled="f" stroked="f" strokeweight=".5pt">
              <v:textbox style="layout-flow:vertical">
                <w:txbxContent>
                  <w:p w:rsidR="00A4241D" w:rsidRPr="00BA26F2" w:rsidRDefault="00A4241D" w:rsidP="00BB48EC">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103</w:t>
                    </w:r>
                    <w:r w:rsidRPr="00BA26F2">
                      <w:rPr>
                        <w:rStyle w:val="PageNumber"/>
                        <w:rFonts w:asciiTheme="majorHAnsi" w:hAnsiTheme="majorHAnsi"/>
                      </w:rPr>
                      <w:fldChar w:fldCharType="end"/>
                    </w:r>
                  </w:p>
                  <w:p w:rsidR="00A4241D" w:rsidRDefault="00A4241D" w:rsidP="007839E2">
                    <w:pPr>
                      <w:pStyle w:val="Footerodd"/>
                    </w:pP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D0431C">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118</w:t>
    </w:r>
    <w:r w:rsidRPr="00D90086">
      <w:rPr>
        <w:rStyle w:val="PageNumber"/>
        <w:rFonts w:asciiTheme="majorHAnsi" w:hAnsiTheme="majorHAnsi"/>
      </w:rPr>
      <w:fldChar w:fldCharType="end"/>
    </w:r>
    <w:r w:rsidRPr="00D90086">
      <w:tab/>
    </w:r>
    <w:r>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D0431C">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105</w:t>
    </w:r>
    <w:r w:rsidRPr="00BA26F2">
      <w:rPr>
        <w:rStyle w:val="PageNumber"/>
        <w:rFonts w:asciiTheme="majorHAnsi" w:hAnsiTheme="majorHAnsi"/>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7839E2">
    <w:r>
      <w:rPr>
        <w:noProof/>
        <w:lang w:eastAsia="en-AU"/>
      </w:rPr>
      <mc:AlternateContent>
        <mc:Choice Requires="wps">
          <w:drawing>
            <wp:anchor distT="0" distB="0" distL="114300" distR="114300" simplePos="0" relativeHeight="251686912" behindDoc="0" locked="0" layoutInCell="1" allowOverlap="1" wp14:anchorId="3F57ADFB" wp14:editId="21BA5246">
              <wp:simplePos x="0" y="0"/>
              <wp:positionH relativeFrom="column">
                <wp:posOffset>-504045</wp:posOffset>
              </wp:positionH>
              <wp:positionV relativeFrom="paragraph">
                <wp:posOffset>-6319330</wp:posOffset>
              </wp:positionV>
              <wp:extent cx="396000" cy="6192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D90086" w:rsidRDefault="00A4241D" w:rsidP="007839E2">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3C212D">
                            <w:rPr>
                              <w:rStyle w:val="PageNumber"/>
                              <w:rFonts w:asciiTheme="majorHAnsi" w:hAnsiTheme="majorHAnsi"/>
                              <w:noProof/>
                            </w:rPr>
                            <w:t>106</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sidRPr="00D90086">
                            <w:t xml:space="preserve"> </w:t>
                          </w:r>
                        </w:p>
                        <w:p w:rsidR="00A4241D" w:rsidRDefault="00A4241D" w:rsidP="007839E2">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71" type="#_x0000_t202" style="position:absolute;margin-left:-39.7pt;margin-top:-497.6pt;width:31.2pt;height:487.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" filled="f" stroked="f" strokeweight=".5pt">
              <v:textbox style="layout-flow:vertical">
                <w:txbxContent>
                  <w:p w:rsidR="00A4241D" w:rsidRPr="00D90086" w:rsidRDefault="00A4241D" w:rsidP="007839E2">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3C212D">
                      <w:rPr>
                        <w:rStyle w:val="PageNumber"/>
                        <w:rFonts w:asciiTheme="majorHAnsi" w:hAnsiTheme="majorHAnsi"/>
                        <w:noProof/>
                      </w:rPr>
                      <w:t>106</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sidRPr="00D90086">
                      <w:t xml:space="preserve"> </w:t>
                    </w:r>
                  </w:p>
                  <w:p w:rsidR="00A4241D" w:rsidRDefault="00A4241D" w:rsidP="007839E2">
                    <w:pPr>
                      <w:pStyle w:val="Footereven"/>
                    </w:pP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7839E2">
    <w:r>
      <w:rPr>
        <w:noProof/>
        <w:lang w:eastAsia="en-AU"/>
      </w:rPr>
      <mc:AlternateContent>
        <mc:Choice Requires="wps">
          <w:drawing>
            <wp:anchor distT="0" distB="0" distL="114300" distR="114300" simplePos="0" relativeHeight="251682816" behindDoc="0" locked="0" layoutInCell="1" allowOverlap="1" wp14:anchorId="03F303FA" wp14:editId="1CEC384F">
              <wp:simplePos x="0" y="0"/>
              <wp:positionH relativeFrom="column">
                <wp:posOffset>-504045</wp:posOffset>
              </wp:positionH>
              <wp:positionV relativeFrom="paragraph">
                <wp:posOffset>-6319330</wp:posOffset>
              </wp:positionV>
              <wp:extent cx="396000" cy="6192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BA26F2" w:rsidRDefault="00A4241D" w:rsidP="007839E2">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107</w:t>
                          </w:r>
                          <w:r w:rsidRPr="00BA26F2">
                            <w:rPr>
                              <w:rStyle w:val="PageNumber"/>
                              <w:rFonts w:asciiTheme="majorHAnsi" w:hAnsiTheme="majorHAnsi"/>
                            </w:rPr>
                            <w:fldChar w:fldCharType="end"/>
                          </w:r>
                        </w:p>
                        <w:p w:rsidR="00A4241D" w:rsidRDefault="00A4241D" w:rsidP="007839E2">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72" type="#_x0000_t202" style="position:absolute;margin-left:-39.7pt;margin-top:-497.6pt;width:31.2pt;height:487.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" filled="f" stroked="f" strokeweight=".5pt">
              <v:textbox style="layout-flow:vertical">
                <w:txbxContent>
                  <w:p w:rsidR="00A4241D" w:rsidRPr="00BA26F2" w:rsidRDefault="00A4241D" w:rsidP="007839E2">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107</w:t>
                    </w:r>
                    <w:r w:rsidRPr="00BA26F2">
                      <w:rPr>
                        <w:rStyle w:val="PageNumber"/>
                        <w:rFonts w:asciiTheme="majorHAnsi" w:hAnsiTheme="majorHAnsi"/>
                      </w:rPr>
                      <w:fldChar w:fldCharType="end"/>
                    </w:r>
                  </w:p>
                  <w:p w:rsidR="00A4241D" w:rsidRDefault="00A4241D" w:rsidP="007839E2">
                    <w:pPr>
                      <w:pStyle w:val="Footerodd"/>
                    </w:pP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90086" w:rsidRDefault="00A4241D"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3C212D">
      <w:rPr>
        <w:rStyle w:val="PageNumber"/>
        <w:rFonts w:asciiTheme="majorHAnsi" w:hAnsiTheme="majorHAnsi"/>
        <w:noProof/>
      </w:rPr>
      <w:t>112</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sidRPr="00D90086">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A26F2" w:rsidRDefault="00A4241D" w:rsidP="008C514C">
    <w:pPr>
      <w:pStyle w:val="Footerodd"/>
      <w:tabs>
        <w:tab w:val="clear" w:pos="4819"/>
      </w:tabs>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v</w:t>
    </w:r>
    <w:r w:rsidRPr="00BA26F2">
      <w:rPr>
        <w:rStyle w:val="PageNumber"/>
        <w:rFonts w:asciiTheme="majorHAnsi" w:hAnsiTheme="majorHAnsi"/>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A26F2" w:rsidRDefault="00A4241D" w:rsidP="008155D0">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109</w:t>
    </w:r>
    <w:r w:rsidRPr="00BA26F2">
      <w:rPr>
        <w:rStyle w:val="PageNumber"/>
        <w:rFonts w:asciiTheme="majorHAnsi" w:hAnsiTheme="majorHAnsi"/>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521681" w:rsidRDefault="00A4241D" w:rsidP="004D4FCC">
    <w:pPr>
      <w:pStyle w:val="Footerodd"/>
    </w:pPr>
    <w:r w:rsidRPr="00521681">
      <w:rPr>
        <w:rStyle w:val="PageNumber"/>
        <w:rFonts w:asciiTheme="majorHAnsi" w:hAnsiTheme="majorHAnsi"/>
      </w:rPr>
      <w:fldChar w:fldCharType="begin"/>
    </w:r>
    <w:r w:rsidRPr="00521681">
      <w:rPr>
        <w:rStyle w:val="PageNumber"/>
        <w:rFonts w:asciiTheme="majorHAnsi" w:hAnsiTheme="majorHAnsi"/>
      </w:rPr>
      <w:instrText xml:space="preserve"> DOCPROPERTY  Subject </w:instrText>
    </w:r>
    <w:r w:rsidRPr="00521681">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521681">
      <w:rPr>
        <w:rStyle w:val="PageNumber"/>
        <w:rFonts w:asciiTheme="majorHAnsi" w:hAnsiTheme="majorHAnsi"/>
      </w:rPr>
      <w:fldChar w:fldCharType="end"/>
    </w:r>
    <w:r>
      <w:rPr>
        <w:rStyle w:val="PageNumber"/>
        <w:rFonts w:asciiTheme="majorHAnsi" w:hAnsiTheme="majorHAnsi"/>
      </w:rPr>
      <w:tab/>
    </w:r>
    <w:r w:rsidRPr="00521681">
      <w:rPr>
        <w:rStyle w:val="PageNumber"/>
        <w:rFonts w:asciiTheme="majorHAnsi" w:hAnsiTheme="majorHAnsi"/>
      </w:rPr>
      <w:fldChar w:fldCharType="begin"/>
    </w:r>
    <w:r w:rsidRPr="00521681">
      <w:rPr>
        <w:rStyle w:val="PageNumber"/>
        <w:rFonts w:asciiTheme="majorHAnsi" w:hAnsiTheme="majorHAnsi"/>
      </w:rPr>
      <w:instrText xml:space="preserve"> PAGE </w:instrText>
    </w:r>
    <w:r w:rsidRPr="00521681">
      <w:rPr>
        <w:rStyle w:val="PageNumber"/>
        <w:rFonts w:asciiTheme="majorHAnsi" w:hAnsiTheme="majorHAnsi"/>
      </w:rPr>
      <w:fldChar w:fldCharType="separate"/>
    </w:r>
    <w:r w:rsidR="00BF77B6">
      <w:rPr>
        <w:rStyle w:val="PageNumber"/>
        <w:rFonts w:asciiTheme="majorHAnsi" w:hAnsiTheme="majorHAnsi"/>
        <w:noProof/>
      </w:rPr>
      <w:t>113</w:t>
    </w:r>
    <w:r w:rsidRPr="00521681">
      <w:rPr>
        <w:rStyle w:val="PageNumber"/>
        <w:rFonts w:asciiTheme="majorHAnsi" w:hAnsiTheme="majorHAnsi"/>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60291" w:rsidRDefault="00A4241D" w:rsidP="00B60291">
    <w:r>
      <w:rPr>
        <w:noProof/>
        <w:lang w:eastAsia="en-AU"/>
      </w:rPr>
      <mc:AlternateContent>
        <mc:Choice Requires="wps">
          <w:drawing>
            <wp:anchor distT="0" distB="0" distL="114300" distR="114300" simplePos="0" relativeHeight="251668480" behindDoc="0" locked="0" layoutInCell="1" allowOverlap="1" wp14:anchorId="441EEDDE" wp14:editId="71983D7B">
              <wp:simplePos x="0" y="0"/>
              <wp:positionH relativeFrom="column">
                <wp:posOffset>-504045</wp:posOffset>
              </wp:positionH>
              <wp:positionV relativeFrom="paragraph">
                <wp:posOffset>-6319330</wp:posOffset>
              </wp:positionV>
              <wp:extent cx="396000" cy="6192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D90086" w:rsidRDefault="00A4241D" w:rsidP="00B60291">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BF77B6">
                            <w:rPr>
                              <w:rStyle w:val="PageNumber"/>
                              <w:rFonts w:asciiTheme="majorHAnsi" w:hAnsiTheme="majorHAnsi"/>
                              <w:noProof/>
                            </w:rPr>
                            <w:t>116</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sidRPr="00D90086">
                            <w:t xml:space="preserve"> </w:t>
                          </w:r>
                        </w:p>
                        <w:p w:rsidR="00A4241D" w:rsidRDefault="00A4241D" w:rsidP="00B60291">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76" type="#_x0000_t202" style="position:absolute;margin-left:-39.7pt;margin-top:-497.6pt;width:31.2pt;height:487.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" filled="f" stroked="f" strokeweight=".5pt">
              <v:textbox style="layout-flow:vertical">
                <w:txbxContent>
                  <w:p w:rsidR="00A4241D" w:rsidRPr="00D90086" w:rsidRDefault="00A4241D" w:rsidP="00B60291">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BF77B6">
                      <w:rPr>
                        <w:rStyle w:val="PageNumber"/>
                        <w:rFonts w:asciiTheme="majorHAnsi" w:hAnsiTheme="majorHAnsi"/>
                        <w:noProof/>
                      </w:rPr>
                      <w:t>116</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sidRPr="00D90086">
                      <w:t xml:space="preserve"> </w:t>
                    </w:r>
                  </w:p>
                  <w:p w:rsidR="00A4241D" w:rsidRDefault="00A4241D" w:rsidP="00B60291">
                    <w:pPr>
                      <w:pStyle w:val="Footereven"/>
                    </w:pP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60291" w:rsidRDefault="00A4241D" w:rsidP="00B60291">
    <w:r>
      <w:rPr>
        <w:noProof/>
        <w:lang w:eastAsia="en-AU"/>
      </w:rPr>
      <mc:AlternateContent>
        <mc:Choice Requires="wps">
          <w:drawing>
            <wp:anchor distT="0" distB="0" distL="114300" distR="114300" simplePos="0" relativeHeight="251667456" behindDoc="0" locked="0" layoutInCell="1" allowOverlap="1" wp14:anchorId="787B7DBC" wp14:editId="34937E46">
              <wp:simplePos x="0" y="0"/>
              <wp:positionH relativeFrom="column">
                <wp:posOffset>-504045</wp:posOffset>
              </wp:positionH>
              <wp:positionV relativeFrom="paragraph">
                <wp:posOffset>-6319330</wp:posOffset>
              </wp:positionV>
              <wp:extent cx="396000" cy="6192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BA26F2" w:rsidRDefault="00A4241D" w:rsidP="009500E2">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129</w:t>
                          </w:r>
                          <w:r w:rsidRPr="00BA26F2">
                            <w:rPr>
                              <w:rStyle w:val="PageNumber"/>
                              <w:rFonts w:asciiTheme="majorHAnsi" w:hAnsiTheme="majorHAnsi"/>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77" type="#_x0000_t202" style="position:absolute;margin-left:-39.7pt;margin-top:-497.6pt;width:31.2pt;height:487.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" filled="f" stroked="f" strokeweight=".5pt">
              <v:textbox style="layout-flow:vertical">
                <w:txbxContent>
                  <w:p w:rsidR="00A4241D" w:rsidRPr="00BA26F2" w:rsidRDefault="00A4241D" w:rsidP="009500E2">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129</w:t>
                    </w:r>
                    <w:r w:rsidRPr="00BA26F2">
                      <w:rPr>
                        <w:rStyle w:val="PageNumber"/>
                        <w:rFonts w:asciiTheme="majorHAnsi" w:hAnsiTheme="majorHAnsi"/>
                      </w:rP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90086" w:rsidRDefault="00A4241D" w:rsidP="00821277">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BF77B6">
      <w:rPr>
        <w:rStyle w:val="PageNumber"/>
        <w:rFonts w:asciiTheme="majorHAnsi" w:hAnsiTheme="majorHAnsi"/>
        <w:noProof/>
      </w:rPr>
      <w:t>216</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sidRPr="00D90086">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A26F2" w:rsidRDefault="00A4241D" w:rsidP="00F73105">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217</w:t>
    </w:r>
    <w:r w:rsidRPr="00BA26F2">
      <w:rPr>
        <w:rStyle w:val="PageNumber"/>
        <w:rFonts w:asciiTheme="majorHAnsi" w:hAnsiTheme="majorHAnsi"/>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521681" w:rsidRDefault="00A4241D" w:rsidP="00821277">
    <w:pPr>
      <w:pStyle w:val="Footerodd"/>
    </w:pP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r>
      <w:rPr>
        <w:rStyle w:val="PageNumber"/>
        <w:rFonts w:asciiTheme="majorHAnsi" w:hAnsiTheme="majorHAnsi"/>
      </w:rPr>
      <w:tab/>
    </w: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BF77B6">
      <w:rPr>
        <w:rStyle w:val="PageNumber"/>
        <w:rFonts w:asciiTheme="majorHAnsi" w:hAnsiTheme="majorHAnsi"/>
        <w:noProof/>
      </w:rPr>
      <w:t>117</w:t>
    </w:r>
    <w:r w:rsidRPr="00D90086">
      <w:rPr>
        <w:rStyle w:val="PageNumber"/>
        <w:rFonts w:asciiTheme="majorHAnsi" w:hAnsiTheme="majorHAnsi"/>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521681" w:rsidRDefault="00A4241D" w:rsidP="00521681">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BF77B6">
      <w:rPr>
        <w:rStyle w:val="PageNumber"/>
        <w:rFonts w:asciiTheme="majorHAnsi" w:hAnsiTheme="majorHAnsi"/>
        <w:noProof/>
      </w:rPr>
      <w:t>134</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CB4F65">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143</w:t>
    </w:r>
    <w:r w:rsidRPr="00BA26F2">
      <w:rPr>
        <w:rStyle w:val="PageNumber"/>
        <w:rFonts w:asciiTheme="majorHAnsi" w:hAnsiTheme="majorHAnsi"/>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A1717E" w:rsidRDefault="00A4241D" w:rsidP="00A1717E">
    <w:pPr>
      <w:pStyle w:val="Footereven"/>
    </w:pPr>
    <w:r w:rsidRPr="00A1717E">
      <w:rPr>
        <w:rStyle w:val="PageNumber"/>
        <w:rFonts w:asciiTheme="majorHAnsi" w:hAnsiTheme="majorHAnsi"/>
      </w:rPr>
      <w:fldChar w:fldCharType="begin"/>
    </w:r>
    <w:r w:rsidRPr="00A1717E">
      <w:rPr>
        <w:rStyle w:val="PageNumber"/>
        <w:rFonts w:asciiTheme="majorHAnsi" w:hAnsiTheme="majorHAnsi"/>
      </w:rPr>
      <w:instrText xml:space="preserve"> PAGE </w:instrText>
    </w:r>
    <w:r w:rsidRPr="00A1717E">
      <w:rPr>
        <w:rStyle w:val="PageNumber"/>
        <w:rFonts w:asciiTheme="majorHAnsi" w:hAnsiTheme="majorHAnsi"/>
      </w:rPr>
      <w:fldChar w:fldCharType="separate"/>
    </w:r>
    <w:r w:rsidR="00BF77B6">
      <w:rPr>
        <w:rStyle w:val="PageNumber"/>
        <w:rFonts w:asciiTheme="majorHAnsi" w:hAnsiTheme="majorHAnsi"/>
        <w:noProof/>
      </w:rPr>
      <w:t>156</w:t>
    </w:r>
    <w:r w:rsidRPr="00A1717E">
      <w:rPr>
        <w:rStyle w:val="PageNumber"/>
        <w:rFonts w:asciiTheme="majorHAnsi" w:hAnsiTheme="majorHAnsi"/>
      </w:rPr>
      <w:fldChar w:fldCharType="end"/>
    </w:r>
    <w:r w:rsidRPr="00A1717E">
      <w:rPr>
        <w:rStyle w:val="PageNumber"/>
        <w:rFonts w:asciiTheme="majorHAnsi" w:hAnsiTheme="majorHAnsi"/>
      </w:rPr>
      <w:tab/>
    </w:r>
    <w:r>
      <w:rPr>
        <w:rStyle w:val="PageNumber"/>
        <w:rFonts w:asciiTheme="majorHAnsi" w:hAnsiTheme="majorHAnsi"/>
      </w:rPr>
      <w:tab/>
    </w:r>
    <w:r w:rsidRPr="00A1717E">
      <w:rPr>
        <w:rStyle w:val="PageNumber"/>
        <w:rFonts w:asciiTheme="majorHAnsi" w:hAnsiTheme="majorHAnsi"/>
      </w:rPr>
      <w:fldChar w:fldCharType="begin"/>
    </w:r>
    <w:r w:rsidRPr="00A1717E">
      <w:rPr>
        <w:rStyle w:val="PageNumber"/>
        <w:rFonts w:asciiTheme="majorHAnsi" w:hAnsiTheme="majorHAnsi"/>
      </w:rPr>
      <w:instrText xml:space="preserve"> DOCPROPERTY  Subject </w:instrText>
    </w:r>
    <w:r w:rsidRPr="00A1717E">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A1717E">
      <w:rPr>
        <w:rStyle w:val="PageNumber"/>
        <w:rFonts w:asciiTheme="majorHAnsi" w:hAnsiTheme="majorHAns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FB1AE1">
    <w:pPr>
      <w:jc w:val="right"/>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i</w:t>
    </w:r>
    <w:r w:rsidRPr="00BA26F2">
      <w:rPr>
        <w:rStyle w:val="PageNumber"/>
        <w:rFonts w:asciiTheme="majorHAnsi" w:hAnsiTheme="majorHAnsi"/>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CB4F65">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BF77B6">
      <w:rPr>
        <w:rStyle w:val="PageNumber"/>
        <w:rFonts w:asciiTheme="majorHAnsi" w:hAnsiTheme="majorHAnsi"/>
        <w:noProof/>
      </w:rPr>
      <w:t>194</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CB4F65">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BF77B6">
      <w:rPr>
        <w:rStyle w:val="PageNumber"/>
        <w:rFonts w:asciiTheme="majorHAnsi" w:hAnsiTheme="majorHAnsi"/>
        <w:noProof/>
      </w:rPr>
      <w:t>218</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90086">
      <w:rPr>
        <w:rStyle w:val="PageNumber"/>
        <w:rFonts w:asciiTheme="majorHAnsi" w:hAnsiTheme="majorHAnsi"/>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CB4F65">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219</w:t>
    </w:r>
    <w:r w:rsidRPr="00BA26F2">
      <w:rPr>
        <w:rStyle w:val="PageNumber"/>
        <w:rFonts w:asciiTheme="majorHAnsi" w:hAnsiTheme="majorHAnsi"/>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F042B6">
    <w:pPr>
      <w:pStyle w:val="Footereven"/>
    </w:pPr>
    <w:r>
      <w:fldChar w:fldCharType="begin"/>
    </w:r>
    <w:r>
      <w:instrText xml:space="preserve"> PAGE </w:instrText>
    </w:r>
    <w:r>
      <w:fldChar w:fldCharType="separate"/>
    </w:r>
    <w:r w:rsidR="00BF77B6">
      <w:rPr>
        <w:noProof/>
      </w:rPr>
      <w:t>254</w:t>
    </w:r>
    <w:r>
      <w:fldChar w:fldCharType="end"/>
    </w:r>
    <w:r>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E4328C" w:rsidRDefault="00A4241D" w:rsidP="00F042B6">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E4328C">
      <w:tab/>
    </w:r>
    <w:r w:rsidRPr="00E4328C">
      <w:fldChar w:fldCharType="begin"/>
    </w:r>
    <w:r w:rsidRPr="00E4328C">
      <w:instrText xml:space="preserve"> PAGE </w:instrText>
    </w:r>
    <w:r w:rsidRPr="00E4328C">
      <w:fldChar w:fldCharType="separate"/>
    </w:r>
    <w:r w:rsidR="00BF77B6">
      <w:rPr>
        <w:noProof/>
      </w:rPr>
      <w:t>255</w:t>
    </w:r>
    <w:r w:rsidRPr="00E4328C">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AA329A" w:rsidRDefault="00A4241D" w:rsidP="00AA329A">
    <w:pPr>
      <w:pStyle w:val="Footereven"/>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236</w:t>
    </w:r>
    <w:r w:rsidRPr="00BA26F2">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AA329A" w:rsidRDefault="00A4241D" w:rsidP="002774BB">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237</w:t>
    </w:r>
    <w:r w:rsidRPr="00BA26F2">
      <w:rPr>
        <w:rStyle w:val="PageNumber"/>
        <w:rFonts w:asciiTheme="majorHAnsi" w:hAnsiTheme="majorHAnsi"/>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4E35BA" w:rsidRDefault="00A4241D" w:rsidP="004E35BA">
    <w:pPr>
      <w:pStyle w:val="Footereven"/>
    </w:pPr>
    <w:r w:rsidRPr="004E35BA">
      <w:rPr>
        <w:rStyle w:val="PageNumber"/>
        <w:rFonts w:asciiTheme="majorHAnsi" w:hAnsiTheme="majorHAnsi"/>
      </w:rPr>
      <w:fldChar w:fldCharType="begin"/>
    </w:r>
    <w:r w:rsidRPr="004E35BA">
      <w:rPr>
        <w:rStyle w:val="PageNumber"/>
        <w:rFonts w:asciiTheme="majorHAnsi" w:hAnsiTheme="majorHAnsi"/>
      </w:rPr>
      <w:instrText xml:space="preserve"> PAGE </w:instrText>
    </w:r>
    <w:r w:rsidRPr="004E35BA">
      <w:rPr>
        <w:rStyle w:val="PageNumber"/>
        <w:rFonts w:asciiTheme="majorHAnsi" w:hAnsiTheme="majorHAnsi"/>
      </w:rPr>
      <w:fldChar w:fldCharType="separate"/>
    </w:r>
    <w:r w:rsidR="00BF77B6">
      <w:rPr>
        <w:rStyle w:val="PageNumber"/>
        <w:rFonts w:asciiTheme="majorHAnsi" w:hAnsiTheme="majorHAnsi"/>
        <w:noProof/>
      </w:rPr>
      <w:t>260</w:t>
    </w:r>
    <w:r w:rsidRPr="004E35BA">
      <w:rPr>
        <w:rStyle w:val="PageNumber"/>
        <w:rFonts w:asciiTheme="majorHAnsi" w:hAnsiTheme="majorHAnsi"/>
      </w:rPr>
      <w:fldChar w:fldCharType="end"/>
    </w:r>
    <w:r w:rsidRPr="004E35BA">
      <w:rPr>
        <w:rStyle w:val="PageNumber"/>
        <w:rFonts w:asciiTheme="majorHAnsi" w:hAnsiTheme="majorHAnsi"/>
      </w:rPr>
      <w:tab/>
    </w:r>
    <w:r w:rsidRPr="004E35BA">
      <w:rPr>
        <w:rStyle w:val="PageNumber"/>
        <w:rFonts w:asciiTheme="majorHAnsi" w:hAnsiTheme="majorHAnsi"/>
      </w:rPr>
      <w:tab/>
    </w:r>
    <w:r w:rsidRPr="004E35BA">
      <w:rPr>
        <w:rStyle w:val="PageNumber"/>
        <w:rFonts w:asciiTheme="majorHAnsi" w:hAnsiTheme="majorHAnsi"/>
      </w:rPr>
      <w:fldChar w:fldCharType="begin"/>
    </w:r>
    <w:r w:rsidRPr="004E35BA">
      <w:rPr>
        <w:rStyle w:val="PageNumber"/>
        <w:rFonts w:asciiTheme="majorHAnsi" w:hAnsiTheme="majorHAnsi"/>
      </w:rPr>
      <w:instrText xml:space="preserve"> DOCPROPERTY  Subject </w:instrText>
    </w:r>
    <w:r w:rsidRPr="004E35BA">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4E35BA">
      <w:rPr>
        <w:rStyle w:val="PageNumber"/>
        <w:rFonts w:asciiTheme="majorHAnsi" w:hAnsiTheme="majorHAnsi"/>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F042B6">
    <w:r>
      <w:rPr>
        <w:noProof/>
        <w:lang w:eastAsia="en-AU"/>
      </w:rPr>
      <mc:AlternateContent>
        <mc:Choice Requires="wps">
          <w:drawing>
            <wp:anchor distT="0" distB="0" distL="114300" distR="114300" simplePos="0" relativeHeight="251745280" behindDoc="0" locked="0" layoutInCell="1" allowOverlap="1" wp14:anchorId="1B5B7DF5" wp14:editId="1FFBEA56">
              <wp:simplePos x="0" y="0"/>
              <wp:positionH relativeFrom="column">
                <wp:posOffset>-504045</wp:posOffset>
              </wp:positionH>
              <wp:positionV relativeFrom="paragraph">
                <wp:posOffset>-6319330</wp:posOffset>
              </wp:positionV>
              <wp:extent cx="396000" cy="619200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D90086" w:rsidRDefault="00A4241D" w:rsidP="00F042B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BF77B6">
                            <w:rPr>
                              <w:rStyle w:val="PageNumber"/>
                              <w:noProof/>
                            </w:rPr>
                            <w:t>256</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F63B17">
                            <w:rPr>
                              <w:rStyle w:val="PageNumber"/>
                            </w:rPr>
                            <w:t>2016-17 Model Report for Victorian Government Departments</w:t>
                          </w:r>
                          <w:r w:rsidRPr="00D90086">
                            <w:rPr>
                              <w:rStyle w:val="PageNumber"/>
                            </w:rPr>
                            <w:fldChar w:fldCharType="end"/>
                          </w:r>
                        </w:p>
                        <w:p w:rsidR="00A4241D" w:rsidRDefault="00A4241D" w:rsidP="00F042B6">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0" o:spid="_x0000_s1080" type="#_x0000_t202" style="position:absolute;margin-left:-39.7pt;margin-top:-497.6pt;width:31.2pt;height:487.5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" filled="f" stroked="f" strokeweight=".5pt">
              <v:textbox style="layout-flow:vertical">
                <w:txbxContent>
                  <w:p w:rsidR="00A4241D" w:rsidRPr="00D90086" w:rsidRDefault="00A4241D" w:rsidP="00F042B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BF77B6">
                      <w:rPr>
                        <w:rStyle w:val="PageNumber"/>
                        <w:noProof/>
                      </w:rPr>
                      <w:t>256</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F63B17">
                      <w:rPr>
                        <w:rStyle w:val="PageNumber"/>
                      </w:rPr>
                      <w:t>2016-17 Model Report for Victorian Government Departments</w:t>
                    </w:r>
                    <w:r w:rsidRPr="00D90086">
                      <w:rPr>
                        <w:rStyle w:val="PageNumber"/>
                      </w:rPr>
                      <w:fldChar w:fldCharType="end"/>
                    </w:r>
                  </w:p>
                  <w:p w:rsidR="00A4241D" w:rsidRDefault="00A4241D" w:rsidP="00F042B6">
                    <w:pPr>
                      <w:pStyle w:val="Footereven"/>
                    </w:pP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F042B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B5273" w:rsidRDefault="00A4241D" w:rsidP="00093662">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iv</w:t>
    </w:r>
    <w:r w:rsidRPr="00BA26F2">
      <w:rPr>
        <w:rStyle w:val="PageNumber"/>
        <w:rFonts w:asciiTheme="majorHAnsi" w:hAnsiTheme="majorHAnsi"/>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F63BCA">
    <w:pPr>
      <w:pStyle w:val="Footerodd"/>
      <w:tabs>
        <w:tab w:val="clear" w:pos="4819"/>
      </w:tabs>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E4328C">
      <w:tab/>
    </w:r>
    <w:r w:rsidRPr="00E4328C">
      <w:fldChar w:fldCharType="begin"/>
    </w:r>
    <w:r w:rsidRPr="00E4328C">
      <w:instrText xml:space="preserve"> PAGE </w:instrText>
    </w:r>
    <w:r w:rsidRPr="00E4328C">
      <w:fldChar w:fldCharType="separate"/>
    </w:r>
    <w:r w:rsidR="00BF77B6">
      <w:rPr>
        <w:noProof/>
      </w:rPr>
      <w:t>257</w:t>
    </w:r>
    <w:r w:rsidRPr="00E4328C">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4596C" w:rsidRDefault="00A4241D" w:rsidP="00B4596C">
    <w:pPr>
      <w:pStyle w:val="Footer"/>
    </w:pPr>
    <w:r>
      <w:rPr>
        <w:noProof/>
        <w:lang w:eastAsia="en-AU"/>
      </w:rPr>
      <mc:AlternateContent>
        <mc:Choice Requires="wps">
          <w:drawing>
            <wp:anchor distT="0" distB="0" distL="114300" distR="114300" simplePos="0" relativeHeight="251769856" behindDoc="0" locked="0" layoutInCell="1" allowOverlap="1" wp14:anchorId="233FA837" wp14:editId="5C24F842">
              <wp:simplePos x="0" y="0"/>
              <wp:positionH relativeFrom="column">
                <wp:posOffset>-504190</wp:posOffset>
              </wp:positionH>
              <wp:positionV relativeFrom="paragraph">
                <wp:posOffset>-6444615</wp:posOffset>
              </wp:positionV>
              <wp:extent cx="396000" cy="6192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D90086" w:rsidRDefault="00A4241D" w:rsidP="00644EB2">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BF77B6">
                            <w:rPr>
                              <w:rStyle w:val="PageNumber"/>
                              <w:noProof/>
                            </w:rPr>
                            <w:t>258</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F63B17">
                            <w:rPr>
                              <w:rStyle w:val="PageNumber"/>
                            </w:rPr>
                            <w:t>2016-17 Model Report for Victorian Government Departments</w:t>
                          </w:r>
                          <w:r w:rsidRPr="00D90086">
                            <w:rPr>
                              <w:rStyle w:val="PageNumber"/>
                            </w:rPr>
                            <w:fldChar w:fldCharType="end"/>
                          </w:r>
                        </w:p>
                        <w:p w:rsidR="00A4241D" w:rsidRDefault="00A4241D" w:rsidP="00644EB2">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83" type="#_x0000_t202" style="position:absolute;margin-left:-39.7pt;margin-top:-507.45pt;width:31.2pt;height:487.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BH7AIAAFwGAAAOAAAAZHJzL2Uyb0RvYy54bWysVV1P2zAUfZ+0/2D5vSRpQy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" filled="f" stroked="f" strokeweight=".5pt">
              <v:textbox style="layout-flow:vertical">
                <w:txbxContent>
                  <w:p w:rsidR="00A4241D" w:rsidRPr="00D90086" w:rsidRDefault="00A4241D" w:rsidP="00644EB2">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BF77B6">
                      <w:rPr>
                        <w:rStyle w:val="PageNumber"/>
                        <w:noProof/>
                      </w:rPr>
                      <w:t>258</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F63B17">
                      <w:rPr>
                        <w:rStyle w:val="PageNumber"/>
                      </w:rPr>
                      <w:t>2016-17 Model Report for Victorian Government Departments</w:t>
                    </w:r>
                    <w:r w:rsidRPr="00D90086">
                      <w:rPr>
                        <w:rStyle w:val="PageNumber"/>
                      </w:rPr>
                      <w:fldChar w:fldCharType="end"/>
                    </w:r>
                  </w:p>
                  <w:p w:rsidR="00A4241D" w:rsidRDefault="00A4241D" w:rsidP="00644EB2">
                    <w:pPr>
                      <w:pStyle w:val="Footereven"/>
                    </w:pP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4596C" w:rsidRDefault="00A4241D" w:rsidP="00B4596C">
    <w:pPr>
      <w:pStyle w:val="Footer"/>
    </w:pPr>
    <w:r>
      <w:rPr>
        <w:noProof/>
        <w:lang w:eastAsia="en-AU"/>
      </w:rPr>
      <mc:AlternateContent>
        <mc:Choice Requires="wps">
          <w:drawing>
            <wp:anchor distT="0" distB="0" distL="114300" distR="114300" simplePos="0" relativeHeight="251754496" behindDoc="0" locked="0" layoutInCell="1" allowOverlap="1" wp14:anchorId="1154D140" wp14:editId="7DEC2C7C">
              <wp:simplePos x="0" y="0"/>
              <wp:positionH relativeFrom="column">
                <wp:posOffset>-504190</wp:posOffset>
              </wp:positionH>
              <wp:positionV relativeFrom="paragraph">
                <wp:posOffset>-6444615</wp:posOffset>
              </wp:positionV>
              <wp:extent cx="396000" cy="6192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BA26F2" w:rsidRDefault="00A4241D" w:rsidP="00B4596C">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259</w:t>
                          </w:r>
                          <w:r w:rsidRPr="00BA26F2">
                            <w:rPr>
                              <w:rStyle w:val="PageNumber"/>
                              <w:rFonts w:asciiTheme="majorHAnsi" w:hAnsiTheme="majorHAnsi"/>
                            </w:rPr>
                            <w:fldChar w:fldCharType="end"/>
                          </w:r>
                        </w:p>
                        <w:p w:rsidR="00A4241D" w:rsidRDefault="00A4241D" w:rsidP="00B4596C">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84" type="#_x0000_t202" style="position:absolute;margin-left:-39.7pt;margin-top:-507.45pt;width:31.2pt;height:487.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XK7QIAAFwGAAAOAAAAZHJzL2Uyb0RvYy54bWysVV1P2zAUfZ+0/2D5vSRpQy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" filled="f" stroked="f" strokeweight=".5pt">
              <v:textbox style="layout-flow:vertical">
                <w:txbxContent>
                  <w:p w:rsidR="00A4241D" w:rsidRPr="00BA26F2" w:rsidRDefault="00A4241D" w:rsidP="00B4596C">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259</w:t>
                    </w:r>
                    <w:r w:rsidRPr="00BA26F2">
                      <w:rPr>
                        <w:rStyle w:val="PageNumber"/>
                        <w:rFonts w:asciiTheme="majorHAnsi" w:hAnsiTheme="majorHAnsi"/>
                      </w:rPr>
                      <w:fldChar w:fldCharType="end"/>
                    </w:r>
                  </w:p>
                  <w:p w:rsidR="00A4241D" w:rsidRDefault="00A4241D" w:rsidP="00B4596C">
                    <w:pPr>
                      <w:pStyle w:val="Footerodd"/>
                    </w:pP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4596C" w:rsidRDefault="00A4241D" w:rsidP="00125B6F">
    <w:pPr>
      <w:pStyle w:val="Footereven"/>
    </w:pPr>
    <w:r>
      <w:fldChar w:fldCharType="begin"/>
    </w:r>
    <w:r>
      <w:instrText xml:space="preserve"> PAGE </w:instrText>
    </w:r>
    <w:r>
      <w:fldChar w:fldCharType="separate"/>
    </w:r>
    <w:r>
      <w:rPr>
        <w:noProof/>
      </w:rPr>
      <w:t>260</w:t>
    </w:r>
    <w:r>
      <w:fldChar w:fldCharType="end"/>
    </w:r>
    <w:r>
      <w:tab/>
    </w:r>
    <w:r>
      <w:tab/>
    </w:r>
    <w:r w:rsidRPr="00B736A6">
      <w:t>Model Report</w:t>
    </w:r>
    <w:r>
      <w:t xml:space="preserve"> </w:t>
    </w:r>
    <w:r w:rsidRPr="00B736A6">
      <w:t>for Victorian Government Departments</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125B6F" w:rsidRDefault="00A4241D" w:rsidP="00125B6F">
    <w:pPr>
      <w:pStyle w:val="Footereven"/>
    </w:pPr>
    <w:r>
      <w:fldChar w:fldCharType="begin"/>
    </w:r>
    <w:r>
      <w:instrText xml:space="preserve"> PAGE </w:instrText>
    </w:r>
    <w:r>
      <w:fldChar w:fldCharType="separate"/>
    </w:r>
    <w:r w:rsidR="00BF77B6">
      <w:rPr>
        <w:noProof/>
      </w:rPr>
      <w:t>282</w:t>
    </w:r>
    <w:r>
      <w:fldChar w:fldCharType="end"/>
    </w:r>
    <w:r>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4596C" w:rsidRDefault="00A4241D" w:rsidP="004E35BA">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E4328C">
      <w:tab/>
    </w:r>
    <w:r w:rsidRPr="00E4328C">
      <w:fldChar w:fldCharType="begin"/>
    </w:r>
    <w:r w:rsidRPr="00E4328C">
      <w:instrText xml:space="preserve"> PAGE </w:instrText>
    </w:r>
    <w:r w:rsidRPr="00E4328C">
      <w:fldChar w:fldCharType="separate"/>
    </w:r>
    <w:r w:rsidR="00BF77B6">
      <w:rPr>
        <w:noProof/>
      </w:rPr>
      <w:t>275</w:t>
    </w:r>
    <w:r w:rsidRPr="00E4328C">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4E35BA" w:rsidRDefault="00A4241D" w:rsidP="004E35BA">
    <w:pPr>
      <w:pStyle w:val="Footereven"/>
    </w:pPr>
    <w:r w:rsidRPr="004E35BA">
      <w:rPr>
        <w:rStyle w:val="PageNumber"/>
        <w:rFonts w:asciiTheme="majorHAnsi" w:hAnsiTheme="majorHAnsi"/>
      </w:rPr>
      <w:fldChar w:fldCharType="begin"/>
    </w:r>
    <w:r w:rsidRPr="004E35BA">
      <w:rPr>
        <w:rStyle w:val="PageNumber"/>
        <w:rFonts w:asciiTheme="majorHAnsi" w:hAnsiTheme="majorHAnsi"/>
      </w:rPr>
      <w:instrText xml:space="preserve"> DOCPROPERTY  Subject </w:instrText>
    </w:r>
    <w:r w:rsidRPr="004E35BA">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4E35BA">
      <w:rPr>
        <w:rStyle w:val="PageNumber"/>
        <w:rFonts w:asciiTheme="majorHAnsi" w:hAnsiTheme="majorHAnsi"/>
      </w:rPr>
      <w:fldChar w:fldCharType="end"/>
    </w:r>
    <w:r>
      <w:rPr>
        <w:rStyle w:val="PageNumber"/>
        <w:rFonts w:asciiTheme="majorHAnsi" w:hAnsiTheme="majorHAnsi"/>
      </w:rPr>
      <w:tab/>
    </w:r>
    <w:r w:rsidRPr="004E35BA">
      <w:rPr>
        <w:rStyle w:val="PageNumber"/>
        <w:rFonts w:asciiTheme="majorHAnsi" w:hAnsiTheme="majorHAnsi"/>
      </w:rPr>
      <w:fldChar w:fldCharType="begin"/>
    </w:r>
    <w:r w:rsidRPr="004E35BA">
      <w:rPr>
        <w:rStyle w:val="PageNumber"/>
        <w:rFonts w:asciiTheme="majorHAnsi" w:hAnsiTheme="majorHAnsi"/>
      </w:rPr>
      <w:instrText xml:space="preserve"> PAGE </w:instrText>
    </w:r>
    <w:r w:rsidRPr="004E35BA">
      <w:rPr>
        <w:rStyle w:val="PageNumber"/>
        <w:rFonts w:asciiTheme="majorHAnsi" w:hAnsiTheme="majorHAnsi"/>
      </w:rPr>
      <w:fldChar w:fldCharType="separate"/>
    </w:r>
    <w:r w:rsidR="00BF77B6">
      <w:rPr>
        <w:rStyle w:val="PageNumber"/>
        <w:rFonts w:asciiTheme="majorHAnsi" w:hAnsiTheme="majorHAnsi"/>
        <w:noProof/>
      </w:rPr>
      <w:t>261</w:t>
    </w:r>
    <w:r w:rsidRPr="004E35BA">
      <w:rPr>
        <w:rStyle w:val="PageNumber"/>
        <w:rFonts w:asciiTheme="majorHAnsi" w:hAnsiTheme="majorHAnsi"/>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2C2301">
    <w:pPr>
      <w:pStyle w:val="Footereven"/>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270</w:t>
    </w:r>
    <w:r w:rsidRPr="00BA26F2">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AA329A">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273</w:t>
    </w:r>
    <w:r w:rsidRPr="00BA26F2">
      <w:rPr>
        <w:rStyle w:val="PageNumber"/>
        <w:rFonts w:asciiTheme="majorHAnsi" w:hAnsiTheme="majorHAnsi"/>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C82275">
    <w:pPr>
      <w:pStyle w:val="Footerodd"/>
    </w:pPr>
    <w:r w:rsidRPr="004E35BA">
      <w:rPr>
        <w:rStyle w:val="PageNumber"/>
        <w:rFonts w:asciiTheme="majorHAnsi" w:hAnsiTheme="majorHAnsi"/>
      </w:rPr>
      <w:fldChar w:fldCharType="begin"/>
    </w:r>
    <w:r w:rsidRPr="004E35BA">
      <w:rPr>
        <w:rStyle w:val="PageNumber"/>
        <w:rFonts w:asciiTheme="majorHAnsi" w:hAnsiTheme="majorHAnsi"/>
      </w:rPr>
      <w:instrText xml:space="preserve"> DOCPROPERTY  Subject </w:instrText>
    </w:r>
    <w:r w:rsidRPr="004E35BA">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4E35BA">
      <w:rPr>
        <w:rStyle w:val="PageNumber"/>
        <w:rFonts w:asciiTheme="majorHAnsi" w:hAnsiTheme="majorHAnsi"/>
      </w:rPr>
      <w:fldChar w:fldCharType="end"/>
    </w:r>
    <w:r w:rsidRPr="00E4328C">
      <w:tab/>
    </w:r>
    <w:r w:rsidRPr="00E4328C">
      <w:fldChar w:fldCharType="begin"/>
    </w:r>
    <w:r w:rsidRPr="00E4328C">
      <w:instrText xml:space="preserve"> PAGE </w:instrText>
    </w:r>
    <w:r w:rsidRPr="00E4328C">
      <w:fldChar w:fldCharType="separate"/>
    </w:r>
    <w:r w:rsidR="00BF77B6">
      <w:rPr>
        <w:noProof/>
      </w:rPr>
      <w:t>281</w:t>
    </w:r>
    <w:r w:rsidRPr="00E4328C">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B5273" w:rsidRDefault="00A4241D" w:rsidP="00DB5273">
    <w:pPr>
      <w:pStyle w:val="Footerodd"/>
    </w:pP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DB5273">
      <w:rPr>
        <w:rStyle w:val="PageNumber"/>
        <w:rFonts w:asciiTheme="majorHAnsi" w:hAnsiTheme="majorHAnsi"/>
      </w:rPr>
      <w:fldChar w:fldCharType="end"/>
    </w:r>
    <w:r w:rsidRPr="00DB5273">
      <w:tab/>
    </w: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Pr>
        <w:rStyle w:val="PageNumber"/>
        <w:rFonts w:asciiTheme="majorHAnsi" w:hAnsiTheme="majorHAnsi"/>
        <w:noProof/>
      </w:rPr>
      <w:t>3</w:t>
    </w:r>
    <w:r w:rsidRPr="00DB5273">
      <w:rPr>
        <w:rStyle w:val="PageNumber"/>
        <w:rFonts w:asciiTheme="majorHAnsi" w:hAnsiTheme="majorHAnsi"/>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2C2301">
    <w:pPr>
      <w:pStyle w:val="Footereven"/>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276</w:t>
    </w:r>
    <w:r w:rsidRPr="00BA26F2">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4E35BA">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277</w:t>
    </w:r>
    <w:r w:rsidRPr="00BA26F2">
      <w:rPr>
        <w:rStyle w:val="PageNumber"/>
        <w:rFonts w:asciiTheme="majorHAnsi" w:hAnsiTheme="majorHAnsi"/>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EF420B" w:rsidRDefault="00A4241D" w:rsidP="00EF420B">
    <w:pPr>
      <w:pStyle w:val="Footer"/>
    </w:pPr>
    <w:r>
      <w:rPr>
        <w:noProof/>
        <w:lang w:eastAsia="en-AU"/>
      </w:rPr>
      <mc:AlternateContent>
        <mc:Choice Requires="wps">
          <w:drawing>
            <wp:anchor distT="0" distB="0" distL="114300" distR="114300" simplePos="0" relativeHeight="251752448" behindDoc="0" locked="0" layoutInCell="1" allowOverlap="1" wp14:anchorId="56662922" wp14:editId="2844D35F">
              <wp:simplePos x="0" y="0"/>
              <wp:positionH relativeFrom="column">
                <wp:posOffset>-504190</wp:posOffset>
              </wp:positionH>
              <wp:positionV relativeFrom="paragraph">
                <wp:posOffset>-6318885</wp:posOffset>
              </wp:positionV>
              <wp:extent cx="392400" cy="619560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392400" cy="61956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EF420B" w:rsidRDefault="00A4241D" w:rsidP="00EF420B">
                          <w:pPr>
                            <w:pStyle w:val="Footereven"/>
                          </w:pPr>
                          <w:r w:rsidRPr="00EF420B">
                            <w:rPr>
                              <w:rStyle w:val="PageNumber"/>
                              <w:rFonts w:asciiTheme="majorHAnsi" w:hAnsiTheme="majorHAnsi"/>
                            </w:rPr>
                            <w:fldChar w:fldCharType="begin"/>
                          </w:r>
                          <w:r w:rsidRPr="00EF420B">
                            <w:rPr>
                              <w:rStyle w:val="PageNumber"/>
                              <w:rFonts w:asciiTheme="majorHAnsi" w:hAnsiTheme="majorHAnsi"/>
                            </w:rPr>
                            <w:instrText xml:space="preserve"> PAGE </w:instrText>
                          </w:r>
                          <w:r w:rsidRPr="00EF420B">
                            <w:rPr>
                              <w:rStyle w:val="PageNumber"/>
                              <w:rFonts w:asciiTheme="majorHAnsi" w:hAnsiTheme="majorHAnsi"/>
                            </w:rPr>
                            <w:fldChar w:fldCharType="separate"/>
                          </w:r>
                          <w:r w:rsidR="00BF77B6">
                            <w:rPr>
                              <w:rStyle w:val="PageNumber"/>
                              <w:rFonts w:asciiTheme="majorHAnsi" w:hAnsiTheme="majorHAnsi"/>
                              <w:noProof/>
                            </w:rPr>
                            <w:t>284</w:t>
                          </w:r>
                          <w:r w:rsidRPr="00EF420B">
                            <w:rPr>
                              <w:rStyle w:val="PageNumber"/>
                              <w:rFonts w:asciiTheme="majorHAnsi" w:hAnsiTheme="majorHAnsi"/>
                            </w:rPr>
                            <w:fldChar w:fldCharType="end"/>
                          </w:r>
                          <w:r>
                            <w:rPr>
                              <w:rStyle w:val="PageNumber"/>
                              <w:rFonts w:asciiTheme="majorHAnsi" w:hAnsiTheme="majorHAnsi"/>
                            </w:rPr>
                            <w:tab/>
                          </w:r>
                          <w:r w:rsidRPr="00EF420B">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4" o:spid="_x0000_s1087" type="#_x0000_t202" style="position:absolute;margin-left:-39.7pt;margin-top:-497.55pt;width:30.9pt;height:487.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" filled="f" stroked="f" strokeweight=".5pt">
              <v:textbox style="layout-flow:vertical">
                <w:txbxContent>
                  <w:p w:rsidR="00A4241D" w:rsidRPr="00EF420B" w:rsidRDefault="00A4241D" w:rsidP="00EF420B">
                    <w:pPr>
                      <w:pStyle w:val="Footereven"/>
                    </w:pPr>
                    <w:r w:rsidRPr="00EF420B">
                      <w:rPr>
                        <w:rStyle w:val="PageNumber"/>
                        <w:rFonts w:asciiTheme="majorHAnsi" w:hAnsiTheme="majorHAnsi"/>
                      </w:rPr>
                      <w:fldChar w:fldCharType="begin"/>
                    </w:r>
                    <w:r w:rsidRPr="00EF420B">
                      <w:rPr>
                        <w:rStyle w:val="PageNumber"/>
                        <w:rFonts w:asciiTheme="majorHAnsi" w:hAnsiTheme="majorHAnsi"/>
                      </w:rPr>
                      <w:instrText xml:space="preserve"> PAGE </w:instrText>
                    </w:r>
                    <w:r w:rsidRPr="00EF420B">
                      <w:rPr>
                        <w:rStyle w:val="PageNumber"/>
                        <w:rFonts w:asciiTheme="majorHAnsi" w:hAnsiTheme="majorHAnsi"/>
                      </w:rPr>
                      <w:fldChar w:fldCharType="separate"/>
                    </w:r>
                    <w:r w:rsidR="00BF77B6">
                      <w:rPr>
                        <w:rStyle w:val="PageNumber"/>
                        <w:rFonts w:asciiTheme="majorHAnsi" w:hAnsiTheme="majorHAnsi"/>
                        <w:noProof/>
                      </w:rPr>
                      <w:t>284</w:t>
                    </w:r>
                    <w:r w:rsidRPr="00EF420B">
                      <w:rPr>
                        <w:rStyle w:val="PageNumber"/>
                        <w:rFonts w:asciiTheme="majorHAnsi" w:hAnsiTheme="majorHAnsi"/>
                      </w:rPr>
                      <w:fldChar w:fldCharType="end"/>
                    </w:r>
                    <w:r>
                      <w:rPr>
                        <w:rStyle w:val="PageNumber"/>
                        <w:rFonts w:asciiTheme="majorHAnsi" w:hAnsiTheme="majorHAnsi"/>
                      </w:rPr>
                      <w:tab/>
                    </w:r>
                    <w:r w:rsidRPr="00EF420B">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EF420B" w:rsidRDefault="00A4241D" w:rsidP="00EF420B">
    <w:r>
      <w:rPr>
        <w:noProof/>
        <w:lang w:eastAsia="en-AU"/>
      </w:rPr>
      <mc:AlternateContent>
        <mc:Choice Requires="wps">
          <w:drawing>
            <wp:anchor distT="0" distB="0" distL="114300" distR="114300" simplePos="0" relativeHeight="251750400" behindDoc="0" locked="0" layoutInCell="1" allowOverlap="1" wp14:anchorId="736DAB11" wp14:editId="514896EC">
              <wp:simplePos x="0" y="0"/>
              <wp:positionH relativeFrom="column">
                <wp:posOffset>-504190</wp:posOffset>
              </wp:positionH>
              <wp:positionV relativeFrom="paragraph">
                <wp:posOffset>-6318885</wp:posOffset>
              </wp:positionV>
              <wp:extent cx="392400" cy="61956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392400" cy="61956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E35B20" w:rsidRDefault="00A4241D" w:rsidP="00EF420B">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E35B20">
                            <w:tab/>
                          </w:r>
                          <w:r w:rsidRPr="00E35B20">
                            <w:rPr>
                              <w:rStyle w:val="PageNumber"/>
                            </w:rPr>
                            <w:fldChar w:fldCharType="begin"/>
                          </w:r>
                          <w:r w:rsidRPr="00E35B20">
                            <w:rPr>
                              <w:rStyle w:val="PageNumber"/>
                            </w:rPr>
                            <w:instrText xml:space="preserve"> PAGE </w:instrText>
                          </w:r>
                          <w:r w:rsidRPr="00E35B20">
                            <w:rPr>
                              <w:rStyle w:val="PageNumber"/>
                            </w:rPr>
                            <w:fldChar w:fldCharType="separate"/>
                          </w:r>
                          <w:r w:rsidR="00BF77B6">
                            <w:rPr>
                              <w:rStyle w:val="PageNumber"/>
                              <w:noProof/>
                            </w:rPr>
                            <w:t>285</w:t>
                          </w:r>
                          <w:r w:rsidRPr="00E35B20">
                            <w:rPr>
                              <w:rStyle w:val="PageNumber"/>
                            </w:rPr>
                            <w:fldChar w:fldCharType="end"/>
                          </w:r>
                        </w:p>
                        <w:p w:rsidR="00A4241D" w:rsidRPr="00E35B20" w:rsidRDefault="00A4241D" w:rsidP="00EF420B">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3" o:spid="_x0000_s1088" type="#_x0000_t202" style="position:absolute;margin-left:-39.7pt;margin-top:-497.55pt;width:30.9pt;height:487.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" filled="f" stroked="f" strokeweight=".5pt">
              <v:textbox style="layout-flow:vertical">
                <w:txbxContent>
                  <w:p w:rsidR="00A4241D" w:rsidRPr="00E35B20" w:rsidRDefault="00A4241D" w:rsidP="00EF420B">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E35B20">
                      <w:tab/>
                    </w:r>
                    <w:r w:rsidRPr="00E35B20">
                      <w:rPr>
                        <w:rStyle w:val="PageNumber"/>
                      </w:rPr>
                      <w:fldChar w:fldCharType="begin"/>
                    </w:r>
                    <w:r w:rsidRPr="00E35B20">
                      <w:rPr>
                        <w:rStyle w:val="PageNumber"/>
                      </w:rPr>
                      <w:instrText xml:space="preserve"> PAGE </w:instrText>
                    </w:r>
                    <w:r w:rsidRPr="00E35B20">
                      <w:rPr>
                        <w:rStyle w:val="PageNumber"/>
                      </w:rPr>
                      <w:fldChar w:fldCharType="separate"/>
                    </w:r>
                    <w:r w:rsidR="00BF77B6">
                      <w:rPr>
                        <w:rStyle w:val="PageNumber"/>
                        <w:noProof/>
                      </w:rPr>
                      <w:t>285</w:t>
                    </w:r>
                    <w:r w:rsidRPr="00E35B20">
                      <w:rPr>
                        <w:rStyle w:val="PageNumber"/>
                      </w:rPr>
                      <w:fldChar w:fldCharType="end"/>
                    </w:r>
                  </w:p>
                  <w:p w:rsidR="00A4241D" w:rsidRPr="00E35B20" w:rsidRDefault="00A4241D" w:rsidP="00EF420B">
                    <w:pPr>
                      <w:pStyle w:val="Footerodd"/>
                    </w:pP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10C07" w:rsidRDefault="00A4241D" w:rsidP="00F042B6">
    <w:pPr>
      <w:pStyle w:val="Footereven"/>
    </w:pPr>
    <w:r>
      <w:fldChar w:fldCharType="begin"/>
    </w:r>
    <w:r>
      <w:instrText xml:space="preserve"> PAGE </w:instrText>
    </w:r>
    <w:r>
      <w:fldChar w:fldCharType="separate"/>
    </w:r>
    <w:r w:rsidR="00BF77B6">
      <w:rPr>
        <w:noProof/>
      </w:rPr>
      <w:t>288</w:t>
    </w:r>
    <w:r>
      <w:fldChar w:fldCharType="end"/>
    </w:r>
    <w:r>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4E35BA">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E4328C">
      <w:tab/>
    </w:r>
    <w:r w:rsidRPr="00E4328C">
      <w:fldChar w:fldCharType="begin"/>
    </w:r>
    <w:r w:rsidRPr="00E4328C">
      <w:instrText xml:space="preserve"> PAGE </w:instrText>
    </w:r>
    <w:r w:rsidRPr="00E4328C">
      <w:fldChar w:fldCharType="separate"/>
    </w:r>
    <w:r w:rsidR="00BF77B6">
      <w:rPr>
        <w:noProof/>
      </w:rPr>
      <w:t>287</w:t>
    </w:r>
    <w:r w:rsidRPr="00E4328C">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10C07" w:rsidRDefault="00A4241D" w:rsidP="00F042B6">
    <w:pPr>
      <w:pStyle w:val="Footereven"/>
    </w:pPr>
    <w:r>
      <w:fldChar w:fldCharType="begin"/>
    </w:r>
    <w:r>
      <w:instrText xml:space="preserve"> PAGE </w:instrText>
    </w:r>
    <w:r>
      <w:fldChar w:fldCharType="separate"/>
    </w:r>
    <w:r w:rsidR="00BF77B6">
      <w:rPr>
        <w:noProof/>
      </w:rPr>
      <w:t>314</w:t>
    </w:r>
    <w:r>
      <w:fldChar w:fldCharType="end"/>
    </w:r>
    <w:r>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82275" w:rsidRDefault="00A4241D" w:rsidP="00C82275">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sidRPr="00E4328C">
      <w:tab/>
    </w:r>
    <w:r w:rsidRPr="00E4328C">
      <w:fldChar w:fldCharType="begin"/>
    </w:r>
    <w:r w:rsidRPr="00E4328C">
      <w:instrText xml:space="preserve"> PAGE </w:instrText>
    </w:r>
    <w:r w:rsidRPr="00E4328C">
      <w:fldChar w:fldCharType="separate"/>
    </w:r>
    <w:r w:rsidR="00BF77B6">
      <w:rPr>
        <w:noProof/>
      </w:rPr>
      <w:t>315</w:t>
    </w:r>
    <w:r w:rsidRPr="00E4328C">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2C2301">
    <w:pPr>
      <w:pStyle w:val="Footereven"/>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306</w:t>
    </w:r>
    <w:r w:rsidRPr="00BA26F2">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2C2301">
    <w:pPr>
      <w:pStyle w:val="Footereven"/>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310</w:t>
    </w:r>
    <w:r w:rsidRPr="00BA26F2">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B07BA0">
    <w:pPr>
      <w:jc w:val="right"/>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3C212D">
      <w:rPr>
        <w:rStyle w:val="PageNumber"/>
        <w:rFonts w:asciiTheme="majorHAnsi" w:hAnsiTheme="majorHAnsi"/>
        <w:noProof/>
      </w:rPr>
      <w:t>iii</w:t>
    </w:r>
    <w:r w:rsidRPr="00BA26F2">
      <w:rPr>
        <w:rStyle w:val="PageNumber"/>
        <w:rFonts w:asciiTheme="majorHAnsi" w:hAnsiTheme="majorHAnsi"/>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B4F65" w:rsidRDefault="00A4241D" w:rsidP="00DE6A24">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F63B17">
      <w:rPr>
        <w:rStyle w:val="PageNumber"/>
        <w:rFonts w:asciiTheme="majorHAnsi" w:hAnsiTheme="majorHAnsi"/>
      </w:rPr>
      <w:t>2016-17 Model Report for Victorian Government Departments</w:t>
    </w:r>
    <w:r w:rsidRPr="00BA26F2">
      <w:rPr>
        <w:rStyle w:val="PageNumber"/>
        <w:rFonts w:asciiTheme="majorHAnsi" w:hAnsiTheme="majorHAnsi"/>
      </w:rPr>
      <w:fldChar w:fldCharType="end"/>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BF77B6">
      <w:rPr>
        <w:rStyle w:val="PageNumber"/>
        <w:rFonts w:asciiTheme="majorHAnsi" w:hAnsiTheme="majorHAnsi"/>
        <w:noProof/>
      </w:rPr>
      <w:t>313</w:t>
    </w:r>
    <w:r w:rsidRPr="00BA26F2">
      <w:rPr>
        <w:rStyle w:val="PageNumber"/>
        <w:rFonts w:asciiTheme="majorHAnsi" w:hAnsiTheme="majorHAnsi"/>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4596C" w:rsidRDefault="00A4241D" w:rsidP="00B00A21">
    <w:pPr>
      <w:pStyle w:val="Footereven"/>
    </w:pPr>
    <w:r>
      <w:fldChar w:fldCharType="begin"/>
    </w:r>
    <w:r>
      <w:instrText xml:space="preserve"> PAGE </w:instrText>
    </w:r>
    <w:r>
      <w:fldChar w:fldCharType="separate"/>
    </w:r>
    <w:r>
      <w:rPr>
        <w:noProof/>
      </w:rPr>
      <w:t>334</w:t>
    </w:r>
    <w:r>
      <w:fldChar w:fldCharType="end"/>
    </w:r>
    <w:r>
      <w:tab/>
    </w:r>
    <w:r>
      <w:tab/>
    </w:r>
    <w:r w:rsidRPr="00B736A6">
      <w:t>Model Report</w:t>
    </w:r>
    <w:r>
      <w:t xml:space="preserve"> </w:t>
    </w:r>
    <w:r w:rsidRPr="00B736A6">
      <w:t>for Victorian Government Departments</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4596C" w:rsidRDefault="00A4241D" w:rsidP="00B00A21">
    <w:pPr>
      <w:pStyle w:val="Footerodd"/>
    </w:pPr>
    <w:r w:rsidRPr="00E4328C">
      <w:t>Model Report</w:t>
    </w:r>
    <w:r>
      <w:t xml:space="preserve"> </w:t>
    </w:r>
    <w:r w:rsidRPr="00E4328C">
      <w:t>for Victorian Government Departments</w:t>
    </w:r>
    <w:r>
      <w:tab/>
    </w:r>
    <w:r w:rsidRPr="00E4328C">
      <w:tab/>
    </w:r>
    <w:r w:rsidRPr="00E4328C">
      <w:fldChar w:fldCharType="begin"/>
    </w:r>
    <w:r w:rsidRPr="00E4328C">
      <w:instrText xml:space="preserve"> PAGE </w:instrText>
    </w:r>
    <w:r w:rsidRPr="00E4328C">
      <w:fldChar w:fldCharType="separate"/>
    </w:r>
    <w:r>
      <w:rPr>
        <w:noProof/>
      </w:rPr>
      <w:t>317</w:t>
    </w:r>
    <w:r w:rsidRPr="00E4328C">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4596C" w:rsidRDefault="00A4241D" w:rsidP="00B4596C">
    <w:pPr>
      <w:pStyle w:val="Footer"/>
    </w:pPr>
    <w:r>
      <w:rPr>
        <w:noProof/>
        <w:lang w:eastAsia="en-AU"/>
      </w:rPr>
      <mc:AlternateContent>
        <mc:Choice Requires="wps">
          <w:drawing>
            <wp:anchor distT="0" distB="0" distL="114300" distR="114300" simplePos="0" relativeHeight="251757568" behindDoc="0" locked="0" layoutInCell="1" allowOverlap="1" wp14:anchorId="4BD9A290" wp14:editId="773E4C0C">
              <wp:simplePos x="0" y="0"/>
              <wp:positionH relativeFrom="column">
                <wp:posOffset>5529390</wp:posOffset>
              </wp:positionH>
              <wp:positionV relativeFrom="paragraph">
                <wp:posOffset>-4502785</wp:posOffset>
              </wp:positionV>
              <wp:extent cx="2203359" cy="5672487"/>
              <wp:effectExtent l="1123950" t="209550" r="0" b="0"/>
              <wp:wrapNone/>
              <wp:docPr id="32" name="Rectangle 3"/>
              <wp:cNvGraphicFramePr/>
              <a:graphic xmlns:a="http://schemas.openxmlformats.org/drawingml/2006/main">
                <a:graphicData uri="http://schemas.microsoft.com/office/word/2010/wordprocessingShape">
                  <wps:wsp>
                    <wps:cNvSpPr/>
                    <wps:spPr>
                      <a:xfrm rot="1530703">
                        <a:off x="0" y="0"/>
                        <a:ext cx="2203359" cy="5672487"/>
                      </a:xfrm>
                      <a:custGeom>
                        <a:avLst/>
                        <a:gdLst>
                          <a:gd name="connsiteX0" fmla="*/ 0 w 2352040"/>
                          <a:gd name="connsiteY0" fmla="*/ 0 h 6097270"/>
                          <a:gd name="connsiteX1" fmla="*/ 2352040 w 2352040"/>
                          <a:gd name="connsiteY1" fmla="*/ 0 h 6097270"/>
                          <a:gd name="connsiteX2" fmla="*/ 2352040 w 2352040"/>
                          <a:gd name="connsiteY2" fmla="*/ 6097270 h 6097270"/>
                          <a:gd name="connsiteX3" fmla="*/ 0 w 2352040"/>
                          <a:gd name="connsiteY3" fmla="*/ 6097270 h 6097270"/>
                          <a:gd name="connsiteX4" fmla="*/ 0 w 2352040"/>
                          <a:gd name="connsiteY4" fmla="*/ 0 h 6097270"/>
                          <a:gd name="connsiteX0" fmla="*/ 0 w 2352040"/>
                          <a:gd name="connsiteY0" fmla="*/ 0 h 6097270"/>
                          <a:gd name="connsiteX1" fmla="*/ 1348821 w 2352040"/>
                          <a:gd name="connsiteY1" fmla="*/ 2040762 h 6097270"/>
                          <a:gd name="connsiteX2" fmla="*/ 2352040 w 2352040"/>
                          <a:gd name="connsiteY2" fmla="*/ 6097270 h 6097270"/>
                          <a:gd name="connsiteX3" fmla="*/ 0 w 2352040"/>
                          <a:gd name="connsiteY3" fmla="*/ 6097270 h 6097270"/>
                          <a:gd name="connsiteX4" fmla="*/ 0 w 2352040"/>
                          <a:gd name="connsiteY4" fmla="*/ 0 h 6097270"/>
                          <a:gd name="connsiteX0" fmla="*/ 0 w 2177823"/>
                          <a:gd name="connsiteY0" fmla="*/ 0 h 6097270"/>
                          <a:gd name="connsiteX1" fmla="*/ 1348821 w 2177823"/>
                          <a:gd name="connsiteY1" fmla="*/ 2040762 h 6097270"/>
                          <a:gd name="connsiteX2" fmla="*/ 2177823 w 2177823"/>
                          <a:gd name="connsiteY2" fmla="*/ 4759132 h 6097270"/>
                          <a:gd name="connsiteX3" fmla="*/ 0 w 2177823"/>
                          <a:gd name="connsiteY3" fmla="*/ 6097270 h 6097270"/>
                          <a:gd name="connsiteX4" fmla="*/ 0 w 2177823"/>
                          <a:gd name="connsiteY4" fmla="*/ 0 h 6097270"/>
                          <a:gd name="connsiteX0" fmla="*/ 2985 w 2180808"/>
                          <a:gd name="connsiteY0" fmla="*/ 0 h 5796144"/>
                          <a:gd name="connsiteX1" fmla="*/ 1351806 w 2180808"/>
                          <a:gd name="connsiteY1" fmla="*/ 2040762 h 5796144"/>
                          <a:gd name="connsiteX2" fmla="*/ 2180808 w 2180808"/>
                          <a:gd name="connsiteY2" fmla="*/ 4759132 h 5796144"/>
                          <a:gd name="connsiteX3" fmla="*/ 0 w 2180808"/>
                          <a:gd name="connsiteY3" fmla="*/ 5796144 h 5796144"/>
                          <a:gd name="connsiteX4" fmla="*/ 2985 w 2180808"/>
                          <a:gd name="connsiteY4" fmla="*/ 0 h 5796144"/>
                          <a:gd name="connsiteX0" fmla="*/ 5323 w 2180808"/>
                          <a:gd name="connsiteY0" fmla="*/ 0 h 5614323"/>
                          <a:gd name="connsiteX1" fmla="*/ 1351806 w 2180808"/>
                          <a:gd name="connsiteY1" fmla="*/ 1858941 h 5614323"/>
                          <a:gd name="connsiteX2" fmla="*/ 2180808 w 2180808"/>
                          <a:gd name="connsiteY2" fmla="*/ 4577311 h 5614323"/>
                          <a:gd name="connsiteX3" fmla="*/ 0 w 2180808"/>
                          <a:gd name="connsiteY3" fmla="*/ 5614323 h 5614323"/>
                          <a:gd name="connsiteX4" fmla="*/ 5323 w 2180808"/>
                          <a:gd name="connsiteY4" fmla="*/ 0 h 5614323"/>
                          <a:gd name="connsiteX0" fmla="*/ 5323 w 2180808"/>
                          <a:gd name="connsiteY0" fmla="*/ 0 h 5614323"/>
                          <a:gd name="connsiteX1" fmla="*/ 2180808 w 2180808"/>
                          <a:gd name="connsiteY1" fmla="*/ 4577311 h 5614323"/>
                          <a:gd name="connsiteX2" fmla="*/ 0 w 2180808"/>
                          <a:gd name="connsiteY2" fmla="*/ 5614323 h 5614323"/>
                          <a:gd name="connsiteX3" fmla="*/ 5323 w 2180808"/>
                          <a:gd name="connsiteY3" fmla="*/ 0 h 5614323"/>
                        </a:gdLst>
                        <a:ahLst/>
                        <a:cxnLst>
                          <a:cxn ang="0">
                            <a:pos x="connsiteX0" y="connsiteY0"/>
                          </a:cxn>
                          <a:cxn ang="0">
                            <a:pos x="connsiteX1" y="connsiteY1"/>
                          </a:cxn>
                          <a:cxn ang="0">
                            <a:pos x="connsiteX2" y="connsiteY2"/>
                          </a:cxn>
                          <a:cxn ang="0">
                            <a:pos x="connsiteX3" y="connsiteY3"/>
                          </a:cxn>
                        </a:cxnLst>
                        <a:rect l="l" t="t" r="r" b="b"/>
                        <a:pathLst>
                          <a:path w="2180808" h="5614323">
                            <a:moveTo>
                              <a:pt x="5323" y="0"/>
                            </a:moveTo>
                            <a:lnTo>
                              <a:pt x="2180808" y="4577311"/>
                            </a:lnTo>
                            <a:lnTo>
                              <a:pt x="0" y="5614323"/>
                            </a:lnTo>
                            <a:cubicBezTo>
                              <a:pt x="1774" y="3742882"/>
                              <a:pt x="3549" y="1871441"/>
                              <a:pt x="5323" y="0"/>
                            </a:cubicBezTo>
                            <a:close/>
                          </a:path>
                        </a:pathLst>
                      </a:cu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41D" w:rsidRDefault="00A4241D" w:rsidP="0033632B">
                          <w:pPr>
                            <w:pStyle w:val="NormalWeb"/>
                            <w:jc w:val="center"/>
                          </w:pPr>
                          <w:r>
                            <w:rPr>
                              <w:rFonts w:asciiTheme="minorHAnsi" w:eastAsia="Arial" w:hAnsi="Arial"/>
                              <w:color w:val="FFFFFF" w:themeColor="light1"/>
                              <w:kern w:val="24"/>
                              <w:sz w:val="18"/>
                              <w:szCs w:val="18"/>
                            </w:rPr>
                            <w:t> </w:t>
                          </w:r>
                        </w:p>
                        <w:p w:rsidR="00A4241D" w:rsidRDefault="00A4241D" w:rsidP="0033632B">
                          <w:pPr>
                            <w:pStyle w:val="NormalWeb"/>
                            <w:jc w:val="center"/>
                          </w:pPr>
                          <w:r>
                            <w:rPr>
                              <w:rFonts w:asciiTheme="minorHAnsi" w:eastAsia="Arial" w:hAnsi="Arial"/>
                              <w:color w:val="FFFFFF" w:themeColor="light1"/>
                              <w:kern w:val="24"/>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3" o:spid="_x0000_s1094" style="position:absolute;margin-left:435.4pt;margin-top:-354.55pt;width:173.5pt;height:446.65pt;rotation:1671936fd;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2180808,5614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" adj="-11796480,,5400" path="m5323,l2180808,4577311,,5614323c1774,3742882,3549,1871441,5323,xe" fillcolor="#201547" stroked="f" strokeweight="2pt">
              <v:stroke joinstyle="miter"/>
              <v:formulas/>
              <v:path arrowok="t" o:connecttype="custom" o:connectlocs="5378,0;2203359,4624732;0,5672487;5378,0" o:connectangles="0,0,0,0" textboxrect="0,0,2180808,5614323"/>
              <v:textbox>
                <w:txbxContent>
                  <w:p w:rsidR="00A4241D" w:rsidRDefault="00A4241D" w:rsidP="0033632B">
                    <w:pPr>
                      <w:pStyle w:val="NormalWeb"/>
                      <w:jc w:val="center"/>
                    </w:pPr>
                    <w:r>
                      <w:rPr>
                        <w:rFonts w:asciiTheme="minorHAnsi" w:eastAsia="Arial" w:hAnsi="Arial"/>
                        <w:color w:val="FFFFFF" w:themeColor="light1"/>
                        <w:kern w:val="24"/>
                        <w:sz w:val="18"/>
                        <w:szCs w:val="18"/>
                      </w:rPr>
                      <w:t> </w:t>
                    </w:r>
                  </w:p>
                  <w:p w:rsidR="00A4241D" w:rsidRDefault="00A4241D" w:rsidP="0033632B">
                    <w:pPr>
                      <w:pStyle w:val="NormalWeb"/>
                      <w:jc w:val="center"/>
                    </w:pPr>
                    <w:r>
                      <w:rPr>
                        <w:rFonts w:asciiTheme="minorHAnsi" w:eastAsia="Arial" w:hAnsi="Arial"/>
                        <w:color w:val="FFFFFF" w:themeColor="light1"/>
                        <w:kern w:val="24"/>
                        <w:sz w:val="18"/>
                        <w:szCs w:val="18"/>
                      </w:rPr>
                      <w:t>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41D" w:rsidRDefault="00A4241D" w:rsidP="00474C53">
      <w:r>
        <w:separator/>
      </w:r>
    </w:p>
  </w:footnote>
  <w:footnote w:type="continuationSeparator" w:id="0">
    <w:p w:rsidR="00A4241D" w:rsidRDefault="00A4241D" w:rsidP="00474C53">
      <w:r>
        <w:continuationSeparator/>
      </w:r>
    </w:p>
  </w:footnote>
  <w:footnote w:id="1">
    <w:p w:rsidR="00A4241D" w:rsidRPr="00C75D5D" w:rsidRDefault="00A4241D" w:rsidP="00B70DED">
      <w:pPr>
        <w:pStyle w:val="FootnoteText"/>
      </w:pPr>
      <w:r w:rsidRPr="00C75D5D">
        <w:rPr>
          <w:vertAlign w:val="superscript"/>
        </w:rPr>
        <w:footnoteRef/>
      </w:r>
      <w:r>
        <w:t xml:space="preserve"> DTF provides the State’s consolidated financial data to the ABS based on the</w:t>
      </w:r>
      <w:r w:rsidRPr="00C75D5D">
        <w:t xml:space="preserve"> </w:t>
      </w:r>
      <w:r w:rsidRPr="00DC1418">
        <w:rPr>
          <w:i/>
        </w:rPr>
        <w:t>Australian System of Government Finance Statistics: Concepts, Sources and Methods</w:t>
      </w:r>
      <w:r w:rsidRPr="00DC1418">
        <w:t>, 2005 (Catalogue No. 5514.0)</w:t>
      </w:r>
      <w:r w:rsidRPr="00DC1418">
        <w:rPr>
          <w:i/>
          <w:iCs/>
        </w:rPr>
        <w:t>,</w:t>
      </w:r>
      <w:r w:rsidRPr="00DC1418">
        <w:t xml:space="preserve"> published by the ABS. The ABS released a new manual, </w:t>
      </w:r>
      <w:r w:rsidRPr="00DC1418">
        <w:rPr>
          <w:i/>
        </w:rPr>
        <w:t>Australian System of Government Finance Statistics: Concepts, Sources and Methods 2015</w:t>
      </w:r>
      <w:r w:rsidRPr="00DC1418">
        <w:t xml:space="preserve"> on 23 December 2015. The new manual will be operative from 1 July 2017. For the purpose of financial reporting under AASB 1049</w:t>
      </w:r>
      <w:r w:rsidRPr="00C75D5D">
        <w:rPr>
          <w:i/>
          <w:iCs/>
        </w:rPr>
        <w:t xml:space="preserve"> Whole of government and general government sector financial reporting</w:t>
      </w:r>
      <w:r w:rsidRPr="00C75D5D">
        <w:t>, the new manual will apply for reporting periods beginning from 1 July 2018. DTF is currently in the process of assessing the impact of the changes and will consult departments where appropriate.</w:t>
      </w:r>
    </w:p>
  </w:footnote>
  <w:footnote w:id="2">
    <w:p w:rsidR="00A4241D" w:rsidRPr="00F815C8" w:rsidRDefault="00A4241D" w:rsidP="006D4EA2">
      <w:pPr>
        <w:pStyle w:val="FootnoteText"/>
        <w:rPr>
          <w:rStyle w:val="Hyperlink"/>
        </w:rPr>
      </w:pPr>
      <w:r w:rsidRPr="00EE3A30">
        <w:rPr>
          <w:vertAlign w:val="superscript"/>
        </w:rPr>
        <w:footnoteRef/>
      </w:r>
      <w:r w:rsidRPr="00EE3A30">
        <w:rPr>
          <w:vertAlign w:val="superscript"/>
        </w:rPr>
        <w:t xml:space="preserve"> </w:t>
      </w:r>
      <w:r w:rsidRPr="00EE3A30">
        <w:t xml:space="preserve">Located on the DTF website at </w:t>
      </w:r>
      <w:r w:rsidRPr="00F815C8">
        <w:rPr>
          <w:rStyle w:val="Hyperlink"/>
        </w:rPr>
        <w:t>www.dtf.vic.gov.au/Publications/Government</w:t>
      </w:r>
      <w:r w:rsidRPr="00F815C8">
        <w:rPr>
          <w:rStyle w:val="Hyperlink"/>
        </w:rPr>
        <w:noBreakHyphen/>
        <w:t>Financial</w:t>
      </w:r>
      <w:r w:rsidRPr="00F815C8">
        <w:rPr>
          <w:rStyle w:val="Hyperlink"/>
        </w:rPr>
        <w:noBreakHyphen/>
        <w:t>Management</w:t>
      </w:r>
      <w:r w:rsidRPr="00F815C8">
        <w:rPr>
          <w:rStyle w:val="Hyperlink"/>
        </w:rPr>
        <w:noBreakHyphen/>
        <w:t>publications/Financial</w:t>
      </w:r>
      <w:r w:rsidRPr="00F815C8">
        <w:rPr>
          <w:rStyle w:val="Hyperlink"/>
        </w:rPr>
        <w:noBreakHyphen/>
        <w:t>Reporting</w:t>
      </w:r>
      <w:r w:rsidRPr="00F815C8">
        <w:rPr>
          <w:rStyle w:val="Hyperlink"/>
        </w:rPr>
        <w:noBreakHyphen/>
        <w:t>Policy/Financial</w:t>
      </w:r>
      <w:r w:rsidRPr="00F815C8">
        <w:rPr>
          <w:rStyle w:val="Hyperlink"/>
        </w:rPr>
        <w:noBreakHyphen/>
        <w:t>reporting</w:t>
      </w:r>
      <w:r w:rsidRPr="00F815C8">
        <w:rPr>
          <w:rStyle w:val="Hyperlink"/>
        </w:rPr>
        <w:noBreakHyphen/>
        <w:t>directions</w:t>
      </w:r>
      <w:r w:rsidRPr="00F815C8">
        <w:rPr>
          <w:rStyle w:val="Hyperlink"/>
        </w:rPr>
        <w:noBreakHyphen/>
        <w:t>and</w:t>
      </w:r>
      <w:r w:rsidRPr="00F815C8">
        <w:rPr>
          <w:rStyle w:val="Hyperlink"/>
        </w:rPr>
        <w:noBreakHyphen/>
      </w:r>
      <w:r>
        <w:rPr>
          <w:rStyle w:val="Hyperlink"/>
        </w:rPr>
        <w:br/>
      </w:r>
      <w:r w:rsidRPr="00F815C8">
        <w:rPr>
          <w:rStyle w:val="Hyperlink"/>
        </w:rPr>
        <w:t>guidance</w:t>
      </w:r>
    </w:p>
  </w:footnote>
  <w:footnote w:id="3">
    <w:p w:rsidR="00A4241D" w:rsidRPr="00EE3A30" w:rsidRDefault="00A4241D" w:rsidP="006D4EA2">
      <w:pPr>
        <w:pStyle w:val="FootnoteText"/>
      </w:pPr>
      <w:r>
        <w:rPr>
          <w:rStyle w:val="FootnoteReference"/>
        </w:rPr>
        <w:t>3</w:t>
      </w:r>
      <w:r w:rsidRPr="00EE3A30">
        <w:t xml:space="preserve"> The System of National Accounts 1993 was released under the auspices of the Commission of the European Communities, International Monetary Fund, Organisation for Economic Cooperation and Development, United Nations and World Bank.</w:t>
      </w:r>
    </w:p>
  </w:footnote>
  <w:footnote w:id="4">
    <w:p w:rsidR="00A4241D" w:rsidRDefault="00A4241D" w:rsidP="00125B6F">
      <w:pPr>
        <w:pStyle w:val="Note"/>
      </w:pPr>
      <w:r>
        <w:rPr>
          <w:rStyle w:val="FootnoteReference"/>
        </w:rPr>
        <w:footnoteRef/>
      </w:r>
      <w:r>
        <w:t xml:space="preserve"> </w:t>
      </w:r>
      <w:r>
        <w:tab/>
      </w:r>
      <w:r w:rsidRPr="005A7E04">
        <w:t xml:space="preserve">From the perspective of a </w:t>
      </w:r>
      <w:r>
        <w:t>NFP</w:t>
      </w:r>
      <w:r w:rsidRPr="005A7E04">
        <w:t xml:space="preserve"> entity, the scope of the nature of returns is broad and encompasses financial, non</w:t>
      </w:r>
      <w:r>
        <w:noBreakHyphen/>
      </w:r>
      <w:r w:rsidRPr="005A7E04">
        <w:t>financial, direct and indirect benefits, whether positive or negative, including the achievement or furtherance of the investor</w:t>
      </w:r>
      <w:r>
        <w:t>’</w:t>
      </w:r>
      <w:r w:rsidRPr="005A7E04">
        <w:t>s objectives.</w:t>
      </w:r>
      <w:r>
        <w:t xml:space="preserve"> </w:t>
      </w:r>
      <w:r w:rsidRPr="0079620E">
        <w:t xml:space="preserve">For more detailed guidance on the </w:t>
      </w:r>
      <w:r>
        <w:t>‘</w:t>
      </w:r>
      <w:r w:rsidRPr="0079620E">
        <w:t>control</w:t>
      </w:r>
      <w:r>
        <w:t>’</w:t>
      </w:r>
      <w:r w:rsidRPr="0079620E">
        <w:t xml:space="preserve"> criteria, please refer to </w:t>
      </w:r>
      <w:r w:rsidRPr="0019533A">
        <w:t xml:space="preserve">Detailed guidance for application of </w:t>
      </w:r>
      <w:r w:rsidRPr="00C90E31">
        <w:rPr>
          <w:i w:val="0"/>
        </w:rPr>
        <w:t>AASB 10 Consolidated Financial Statements</w:t>
      </w:r>
      <w:r w:rsidRPr="0019533A">
        <w:t xml:space="preserve"> at the end of this appendix</w:t>
      </w:r>
      <w:r w:rsidRPr="0079620E">
        <w:t>.</w:t>
      </w:r>
    </w:p>
  </w:footnote>
  <w:footnote w:id="5">
    <w:p w:rsidR="00A4241D" w:rsidRPr="008B71C4" w:rsidRDefault="00A4241D">
      <w:pPr>
        <w:pStyle w:val="FootnoteText"/>
      </w:pPr>
      <w:r>
        <w:rPr>
          <w:rStyle w:val="FootnoteReference"/>
        </w:rPr>
        <w:footnoteRef/>
      </w:r>
      <w:r>
        <w:t xml:space="preserve"> Refer to item 1 of the Definition and Guidance section</w:t>
      </w:r>
      <w:r w:rsidRPr="008B71C4">
        <w:t xml:space="preserve"> </w:t>
      </w:r>
      <w:r>
        <w:t>on page 291.</w:t>
      </w:r>
    </w:p>
  </w:footnote>
  <w:footnote w:id="6">
    <w:p w:rsidR="00A4241D" w:rsidRPr="008B71C4" w:rsidRDefault="00A4241D">
      <w:pPr>
        <w:pStyle w:val="FootnoteText"/>
        <w:rPr>
          <w:lang w:val="en-AU"/>
        </w:rPr>
      </w:pPr>
      <w:r>
        <w:rPr>
          <w:rStyle w:val="FootnoteReference"/>
        </w:rPr>
        <w:footnoteRef/>
      </w:r>
      <w:r>
        <w:t xml:space="preserve"> </w:t>
      </w:r>
      <w:r>
        <w:rPr>
          <w:lang w:val="en-AU"/>
        </w:rPr>
        <w:t>Refer to item 2 of the Definition and Guidance section</w:t>
      </w:r>
      <w:r w:rsidRPr="008B71C4">
        <w:t xml:space="preserve"> </w:t>
      </w:r>
      <w:r>
        <w:t>on page 292.</w:t>
      </w:r>
    </w:p>
  </w:footnote>
  <w:footnote w:id="7">
    <w:p w:rsidR="00A4241D" w:rsidRPr="008B71C4" w:rsidRDefault="00A4241D">
      <w:pPr>
        <w:pStyle w:val="FootnoteText"/>
        <w:rPr>
          <w:lang w:val="en-AU"/>
        </w:rPr>
      </w:pPr>
      <w:r>
        <w:rPr>
          <w:rStyle w:val="FootnoteReference"/>
        </w:rPr>
        <w:footnoteRef/>
      </w:r>
      <w:r>
        <w:t xml:space="preserve"> </w:t>
      </w:r>
      <w:r>
        <w:rPr>
          <w:lang w:val="en-AU"/>
        </w:rPr>
        <w:t>Refer to item 3 of the Definition and Guidance section</w:t>
      </w:r>
      <w:r>
        <w:t xml:space="preserve"> on page 292.</w:t>
      </w:r>
    </w:p>
  </w:footnote>
  <w:footnote w:id="8">
    <w:p w:rsidR="00A4241D" w:rsidRPr="008B71C4" w:rsidRDefault="00A4241D">
      <w:pPr>
        <w:pStyle w:val="FootnoteText"/>
        <w:rPr>
          <w:lang w:val="en-AU"/>
        </w:rPr>
      </w:pPr>
      <w:r>
        <w:rPr>
          <w:rStyle w:val="FootnoteReference"/>
        </w:rPr>
        <w:footnoteRef/>
      </w:r>
      <w:r>
        <w:t xml:space="preserve"> </w:t>
      </w:r>
      <w:r>
        <w:rPr>
          <w:lang w:val="en-AU"/>
        </w:rPr>
        <w:t>Refer to item 7 of the Definition and Guidance section</w:t>
      </w:r>
      <w:r w:rsidRPr="008B71C4">
        <w:t xml:space="preserve"> </w:t>
      </w:r>
      <w:r>
        <w:t>on page 293.</w:t>
      </w:r>
    </w:p>
  </w:footnote>
  <w:footnote w:id="9">
    <w:p w:rsidR="00A4241D" w:rsidRPr="008B71C4" w:rsidRDefault="00A4241D">
      <w:pPr>
        <w:pStyle w:val="FootnoteText"/>
        <w:rPr>
          <w:lang w:val="en-AU"/>
        </w:rPr>
      </w:pPr>
      <w:r>
        <w:rPr>
          <w:rStyle w:val="FootnoteReference"/>
        </w:rPr>
        <w:footnoteRef/>
      </w:r>
      <w:r>
        <w:t xml:space="preserve"> Refer to item 8 of the Definition and Guidance section on page 293.</w:t>
      </w:r>
    </w:p>
  </w:footnote>
  <w:footnote w:id="10">
    <w:p w:rsidR="00A4241D" w:rsidRPr="00BF13F7" w:rsidRDefault="00A4241D">
      <w:pPr>
        <w:pStyle w:val="FootnoteText"/>
        <w:rPr>
          <w:lang w:val="en-AU"/>
        </w:rPr>
      </w:pPr>
      <w:r>
        <w:rPr>
          <w:rStyle w:val="FootnoteReference"/>
        </w:rPr>
        <w:footnoteRef/>
      </w:r>
      <w:r>
        <w:t xml:space="preserve"> Refer to item 4 of the Definition and Guidance section on 292.</w:t>
      </w:r>
    </w:p>
  </w:footnote>
  <w:footnote w:id="11">
    <w:p w:rsidR="00A4241D" w:rsidRPr="00BF13F7" w:rsidRDefault="00A4241D">
      <w:pPr>
        <w:pStyle w:val="FootnoteText"/>
        <w:rPr>
          <w:lang w:val="en-AU"/>
        </w:rPr>
      </w:pPr>
      <w:r>
        <w:rPr>
          <w:rStyle w:val="FootnoteReference"/>
        </w:rPr>
        <w:footnoteRef/>
      </w:r>
      <w:r>
        <w:t xml:space="preserve"> </w:t>
      </w:r>
      <w:r>
        <w:rPr>
          <w:lang w:val="en-AU"/>
        </w:rPr>
        <w:t>Refer to item 5 and 6 of the Definition and Guidance section on page 293.</w:t>
      </w:r>
    </w:p>
  </w:footnote>
  <w:footnote w:id="12">
    <w:p w:rsidR="00A4241D" w:rsidRPr="000B04D5" w:rsidRDefault="00A4241D">
      <w:pPr>
        <w:pStyle w:val="FootnoteText"/>
        <w:rPr>
          <w:lang w:val="en-AU"/>
        </w:rPr>
      </w:pPr>
      <w:r>
        <w:rPr>
          <w:rStyle w:val="FootnoteReference"/>
        </w:rPr>
        <w:footnoteRef/>
      </w:r>
      <w:r>
        <w:t xml:space="preserve"> </w:t>
      </w:r>
      <w:r>
        <w:rPr>
          <w:lang w:val="en-AU"/>
        </w:rPr>
        <w:t>The disclosure of procurement approaches will enhance the transparency of related party transactions and is considered relevant information to users of financial statements.</w:t>
      </w:r>
    </w:p>
  </w:footnote>
  <w:footnote w:id="13">
    <w:p w:rsidR="00A4241D" w:rsidRPr="004C7643" w:rsidRDefault="00A4241D" w:rsidP="00C52135">
      <w:pPr>
        <w:pStyle w:val="FootnoteText"/>
        <w:rPr>
          <w:rFonts w:cstheme="minorHAnsi"/>
        </w:rPr>
      </w:pPr>
      <w:r>
        <w:rPr>
          <w:rStyle w:val="FootnoteReference"/>
        </w:rPr>
        <w:footnoteRef/>
      </w:r>
      <w:r w:rsidRPr="004C7643">
        <w:rPr>
          <w:rFonts w:cstheme="minorHAnsi"/>
        </w:rPr>
        <w:t xml:space="preserve"> AASB 9 </w:t>
      </w:r>
      <w:r w:rsidRPr="004C7643">
        <w:rPr>
          <w:rFonts w:cstheme="minorHAnsi"/>
          <w:i/>
        </w:rPr>
        <w:t>Financial Instruments</w:t>
      </w:r>
      <w:r w:rsidRPr="004C7643">
        <w:rPr>
          <w:rFonts w:cstheme="minorHAnsi"/>
        </w:rPr>
        <w:t xml:space="preserve"> will supersede AASB 9 (2009), AASB 9 (2010) and AASB 139 </w:t>
      </w:r>
      <w:r w:rsidRPr="004C7643">
        <w:rPr>
          <w:rFonts w:cstheme="minorHAnsi"/>
          <w:i/>
        </w:rPr>
        <w:t xml:space="preserve">Financial Instruments: Recognition and Measurement </w:t>
      </w:r>
      <w:r w:rsidRPr="004C7643">
        <w:rPr>
          <w:rFonts w:cstheme="minorHAnsi"/>
        </w:rPr>
        <w:t>from 2018-19.</w:t>
      </w:r>
    </w:p>
  </w:footnote>
  <w:footnote w:id="14">
    <w:p w:rsidR="00A4241D" w:rsidRPr="004C7643" w:rsidRDefault="00A4241D" w:rsidP="00C52135">
      <w:pPr>
        <w:pStyle w:val="FootnoteText"/>
        <w:rPr>
          <w:rFonts w:cstheme="minorHAnsi"/>
        </w:rPr>
      </w:pPr>
      <w:r w:rsidRPr="004C7643">
        <w:rPr>
          <w:rStyle w:val="FootnoteReference"/>
          <w:rFonts w:cstheme="minorHAnsi"/>
        </w:rPr>
        <w:footnoteRef/>
      </w:r>
      <w:r w:rsidRPr="004C7643">
        <w:rPr>
          <w:rFonts w:cstheme="minorHAnsi"/>
        </w:rPr>
        <w:t xml:space="preserve"> AASB 15 </w:t>
      </w:r>
      <w:r w:rsidRPr="004C7643">
        <w:rPr>
          <w:rFonts w:cstheme="minorHAnsi"/>
          <w:i/>
        </w:rPr>
        <w:t>Revenue from Contracts with Customers</w:t>
      </w:r>
      <w:r w:rsidRPr="004C7643">
        <w:rPr>
          <w:rFonts w:cstheme="minorHAnsi"/>
        </w:rPr>
        <w:t xml:space="preserve"> will supersede AASB 111 </w:t>
      </w:r>
      <w:r w:rsidRPr="004C7643">
        <w:rPr>
          <w:rFonts w:cstheme="minorHAnsi"/>
          <w:i/>
        </w:rPr>
        <w:t>Construction Contract</w:t>
      </w:r>
      <w:r w:rsidRPr="004C7643">
        <w:rPr>
          <w:rFonts w:cstheme="minorHAnsi"/>
        </w:rPr>
        <w:t xml:space="preserve"> and AASB 118 </w:t>
      </w:r>
      <w:r w:rsidRPr="004C7643">
        <w:rPr>
          <w:rFonts w:cstheme="minorHAnsi"/>
          <w:i/>
        </w:rPr>
        <w:t>Revenue</w:t>
      </w:r>
      <w:r w:rsidRPr="004C7643">
        <w:rPr>
          <w:rFonts w:cstheme="minorHAnsi"/>
        </w:rPr>
        <w:t xml:space="preserve"> from 2018-19 for FP entities and 2019-20 for NPF entities.</w:t>
      </w:r>
    </w:p>
  </w:footnote>
  <w:footnote w:id="15">
    <w:p w:rsidR="00A4241D" w:rsidRPr="004C7643" w:rsidRDefault="00A4241D" w:rsidP="00C52135">
      <w:pPr>
        <w:pStyle w:val="FootnoteText"/>
        <w:rPr>
          <w:rFonts w:cstheme="minorHAnsi"/>
          <w:sz w:val="12"/>
        </w:rPr>
      </w:pPr>
      <w:r w:rsidRPr="004C7643">
        <w:rPr>
          <w:rStyle w:val="FootnoteReference"/>
          <w:rFonts w:cstheme="minorHAnsi"/>
        </w:rPr>
        <w:footnoteRef/>
      </w:r>
      <w:r w:rsidRPr="004C7643">
        <w:rPr>
          <w:rFonts w:cstheme="minorHAnsi"/>
        </w:rPr>
        <w:t xml:space="preserve"> AASB 16 </w:t>
      </w:r>
      <w:r w:rsidRPr="004C7643">
        <w:rPr>
          <w:rFonts w:cstheme="minorHAnsi"/>
          <w:i/>
        </w:rPr>
        <w:t>Leases</w:t>
      </w:r>
      <w:r w:rsidRPr="004C7643">
        <w:rPr>
          <w:rFonts w:cstheme="minorHAnsi"/>
        </w:rPr>
        <w:t xml:space="preserve"> will supersede AASB 117 </w:t>
      </w:r>
      <w:r w:rsidRPr="004C7643">
        <w:rPr>
          <w:rFonts w:cstheme="minorHAnsi"/>
          <w:i/>
        </w:rPr>
        <w:t>Leases</w:t>
      </w:r>
      <w:r w:rsidRPr="004C7643">
        <w:rPr>
          <w:rFonts w:cstheme="minorHAnsi"/>
        </w:rPr>
        <w:t xml:space="preserve"> from 2019-2020.</w:t>
      </w:r>
    </w:p>
  </w:footnote>
  <w:footnote w:id="16">
    <w:p w:rsidR="00A4241D" w:rsidRPr="004C7643" w:rsidRDefault="00A4241D" w:rsidP="00C52135">
      <w:pPr>
        <w:pStyle w:val="FootnoteText"/>
        <w:rPr>
          <w:rFonts w:cstheme="minorHAnsi"/>
          <w:sz w:val="16"/>
        </w:rPr>
      </w:pPr>
      <w:r w:rsidRPr="004C7643">
        <w:rPr>
          <w:rStyle w:val="FootnoteReference"/>
          <w:rFonts w:cstheme="minorHAnsi"/>
        </w:rPr>
        <w:footnoteRef/>
      </w:r>
      <w:r w:rsidRPr="004C7643">
        <w:rPr>
          <w:rFonts w:cstheme="minorHAnsi"/>
        </w:rPr>
        <w:t xml:space="preserve"> Treasury Corporation of Victoria report their cash flows on</w:t>
      </w:r>
      <w:r>
        <w:rPr>
          <w:rFonts w:cstheme="minorHAnsi"/>
        </w:rPr>
        <w:t xml:space="preserve"> a</w:t>
      </w:r>
      <w:r w:rsidRPr="004C7643">
        <w:rPr>
          <w:rFonts w:cstheme="minorHAnsi"/>
        </w:rPr>
        <w:t xml:space="preserve"> net basis as it satisfies the criteria in AASB 107.22. </w:t>
      </w:r>
    </w:p>
  </w:footnote>
  <w:footnote w:id="17">
    <w:p w:rsidR="00A4241D" w:rsidRPr="004C7643" w:rsidRDefault="00A4241D" w:rsidP="00C52135">
      <w:pPr>
        <w:pStyle w:val="FootnoteText"/>
        <w:rPr>
          <w:rFonts w:asciiTheme="majorHAnsi" w:hAnsiTheme="majorHAnsi"/>
        </w:rPr>
      </w:pPr>
      <w:r w:rsidRPr="004C7643">
        <w:rPr>
          <w:rStyle w:val="FootnoteReference"/>
          <w:rFonts w:asciiTheme="majorHAnsi" w:hAnsiTheme="majorHAnsi"/>
        </w:rPr>
        <w:footnoteRef/>
      </w:r>
      <w:r w:rsidRPr="004C7643">
        <w:rPr>
          <w:rFonts w:asciiTheme="majorHAnsi" w:hAnsiTheme="majorHAnsi"/>
        </w:rPr>
        <w:t xml:space="preserve"> AASB 111 </w:t>
      </w:r>
      <w:r w:rsidRPr="004C7643">
        <w:rPr>
          <w:rFonts w:asciiTheme="majorHAnsi" w:hAnsiTheme="majorHAnsi"/>
          <w:i/>
        </w:rPr>
        <w:t>Construction Contract</w:t>
      </w:r>
      <w:r w:rsidRPr="004C7643">
        <w:rPr>
          <w:rFonts w:asciiTheme="majorHAnsi" w:hAnsiTheme="majorHAnsi"/>
        </w:rPr>
        <w:t xml:space="preserve"> will be superseded by AASB 15 from 2018-19 for FP entities and 2019-20 for NPF entities</w:t>
      </w:r>
    </w:p>
  </w:footnote>
  <w:footnote w:id="18">
    <w:p w:rsidR="00A4241D" w:rsidRPr="004C7643" w:rsidRDefault="00A4241D" w:rsidP="00C52135">
      <w:pPr>
        <w:pStyle w:val="FootnoteText"/>
        <w:rPr>
          <w:rFonts w:asciiTheme="majorHAnsi" w:hAnsiTheme="majorHAnsi"/>
        </w:rPr>
      </w:pPr>
      <w:r w:rsidRPr="004C7643">
        <w:rPr>
          <w:rStyle w:val="FootnoteReference"/>
          <w:rFonts w:asciiTheme="majorHAnsi" w:hAnsiTheme="majorHAnsi"/>
        </w:rPr>
        <w:footnoteRef/>
      </w:r>
      <w:r w:rsidRPr="004C7643">
        <w:rPr>
          <w:rFonts w:asciiTheme="majorHAnsi" w:hAnsiTheme="majorHAnsi"/>
        </w:rPr>
        <w:t xml:space="preserve"> AASB 117 </w:t>
      </w:r>
      <w:r w:rsidRPr="004C7643">
        <w:rPr>
          <w:rFonts w:asciiTheme="majorHAnsi" w:hAnsiTheme="majorHAnsi"/>
          <w:i/>
        </w:rPr>
        <w:t>Leases</w:t>
      </w:r>
      <w:r w:rsidRPr="004C7643">
        <w:rPr>
          <w:rFonts w:asciiTheme="majorHAnsi" w:hAnsiTheme="majorHAnsi"/>
        </w:rPr>
        <w:t xml:space="preserve"> will be superseded by AASB 16 </w:t>
      </w:r>
      <w:r w:rsidRPr="004C7643">
        <w:rPr>
          <w:rFonts w:asciiTheme="majorHAnsi" w:hAnsiTheme="majorHAnsi"/>
          <w:i/>
        </w:rPr>
        <w:t>Leases</w:t>
      </w:r>
      <w:r w:rsidRPr="004C7643">
        <w:rPr>
          <w:rFonts w:asciiTheme="majorHAnsi" w:hAnsiTheme="majorHAnsi"/>
        </w:rPr>
        <w:t xml:space="preserve"> from 2019-20. </w:t>
      </w:r>
    </w:p>
  </w:footnote>
  <w:footnote w:id="19">
    <w:p w:rsidR="00A4241D" w:rsidRPr="004C7643" w:rsidRDefault="00A4241D" w:rsidP="00C52135">
      <w:pPr>
        <w:pStyle w:val="FootnoteText"/>
        <w:rPr>
          <w:rFonts w:asciiTheme="majorHAnsi" w:hAnsiTheme="majorHAnsi"/>
        </w:rPr>
      </w:pPr>
      <w:r w:rsidRPr="004C7643">
        <w:rPr>
          <w:rStyle w:val="FootnoteReference"/>
          <w:rFonts w:asciiTheme="majorHAnsi" w:hAnsiTheme="majorHAnsi"/>
        </w:rPr>
        <w:footnoteRef/>
      </w:r>
      <w:r w:rsidRPr="004C7643">
        <w:rPr>
          <w:rFonts w:asciiTheme="majorHAnsi" w:hAnsiTheme="majorHAnsi"/>
        </w:rPr>
        <w:t xml:space="preserve"> AASB 118 </w:t>
      </w:r>
      <w:r w:rsidRPr="004C7643">
        <w:rPr>
          <w:rFonts w:asciiTheme="majorHAnsi" w:hAnsiTheme="majorHAnsi"/>
          <w:i/>
        </w:rPr>
        <w:t>Revenue</w:t>
      </w:r>
      <w:r w:rsidRPr="004C7643">
        <w:rPr>
          <w:rFonts w:asciiTheme="majorHAnsi" w:hAnsiTheme="majorHAnsi"/>
        </w:rPr>
        <w:t xml:space="preserve"> will be superseded by AASB 15 from 2018-19 for FP entities and 2019-20 for NPF entities. </w:t>
      </w:r>
    </w:p>
  </w:footnote>
  <w:footnote w:id="20">
    <w:p w:rsidR="00A4241D" w:rsidRPr="00B551B7" w:rsidRDefault="00A4241D" w:rsidP="00C52135">
      <w:pPr>
        <w:pStyle w:val="FootnoteText"/>
        <w:rPr>
          <w:rFonts w:asciiTheme="majorHAnsi" w:hAnsiTheme="majorHAnsi"/>
          <w:sz w:val="16"/>
        </w:rPr>
      </w:pPr>
      <w:r w:rsidRPr="004C7643">
        <w:rPr>
          <w:rStyle w:val="FootnoteReference"/>
          <w:rFonts w:asciiTheme="majorHAnsi" w:hAnsiTheme="majorHAnsi"/>
        </w:rPr>
        <w:footnoteRef/>
      </w:r>
      <w:r w:rsidRPr="004C7643">
        <w:rPr>
          <w:rFonts w:asciiTheme="majorHAnsi" w:hAnsiTheme="majorHAnsi"/>
        </w:rPr>
        <w:t xml:space="preserve"> Under AASB 123 </w:t>
      </w:r>
      <w:r w:rsidRPr="004C7643">
        <w:rPr>
          <w:rFonts w:asciiTheme="majorHAnsi" w:hAnsiTheme="majorHAnsi"/>
          <w:i/>
        </w:rPr>
        <w:t>Borrowing Costs</w:t>
      </w:r>
      <w:r w:rsidRPr="004C7643">
        <w:rPr>
          <w:rFonts w:asciiTheme="majorHAnsi" w:hAnsiTheme="majorHAnsi"/>
        </w:rPr>
        <w:t>, NFP e</w:t>
      </w:r>
      <w:r w:rsidRPr="004C7643">
        <w:rPr>
          <w:rFonts w:asciiTheme="majorHAnsi" w:eastAsia="Times New Roman" w:hAnsiTheme="majorHAnsi" w:cs="Times New Roman"/>
          <w:color w:val="000000"/>
        </w:rPr>
        <w:t xml:space="preserve">ntities can elect to recognise borrowing cost as an expense regardless of how the borrowings are applied. However, FRD 105B </w:t>
      </w:r>
      <w:r w:rsidRPr="004C7643">
        <w:rPr>
          <w:rFonts w:asciiTheme="majorHAnsi" w:eastAsia="Times New Roman" w:hAnsiTheme="majorHAnsi" w:cs="Times New Roman"/>
          <w:i/>
          <w:color w:val="000000"/>
        </w:rPr>
        <w:t>Borrowing costs</w:t>
      </w:r>
      <w:r w:rsidRPr="004C7643">
        <w:rPr>
          <w:rFonts w:asciiTheme="majorHAnsi" w:eastAsia="Times New Roman" w:hAnsiTheme="majorHAnsi" w:cs="Times New Roman"/>
          <w:color w:val="000000"/>
        </w:rPr>
        <w:t xml:space="preserve"> requires entities to expense all borrowing costs.</w:t>
      </w:r>
    </w:p>
  </w:footnote>
  <w:footnote w:id="21">
    <w:p w:rsidR="00A4241D" w:rsidRPr="00B551B7" w:rsidRDefault="00A4241D" w:rsidP="00C52135">
      <w:pPr>
        <w:pStyle w:val="FootnoteText"/>
        <w:rPr>
          <w:rFonts w:asciiTheme="majorHAnsi" w:hAnsiTheme="majorHAnsi"/>
          <w:sz w:val="16"/>
        </w:rPr>
      </w:pPr>
      <w:r w:rsidRPr="004C7643">
        <w:rPr>
          <w:rStyle w:val="FootnoteReference"/>
          <w:rFonts w:asciiTheme="majorHAnsi" w:hAnsiTheme="majorHAnsi"/>
        </w:rPr>
        <w:footnoteRef/>
      </w:r>
      <w:r w:rsidRPr="004C7643">
        <w:rPr>
          <w:rFonts w:asciiTheme="majorHAnsi" w:hAnsiTheme="majorHAnsi"/>
        </w:rPr>
        <w:t xml:space="preserve"> AASB 9 </w:t>
      </w:r>
      <w:r w:rsidRPr="004C7643">
        <w:rPr>
          <w:rFonts w:asciiTheme="majorHAnsi" w:hAnsiTheme="majorHAnsi"/>
          <w:i/>
        </w:rPr>
        <w:t>Financial Instruments</w:t>
      </w:r>
      <w:r w:rsidRPr="004C7643">
        <w:rPr>
          <w:rFonts w:asciiTheme="majorHAnsi" w:hAnsiTheme="majorHAnsi"/>
        </w:rPr>
        <w:t xml:space="preserve"> will supersede AASB 9 (2009), AASB 9 (2010) and AASB 139 </w:t>
      </w:r>
      <w:r w:rsidRPr="004C7643">
        <w:rPr>
          <w:rFonts w:asciiTheme="majorHAnsi" w:hAnsiTheme="majorHAnsi"/>
          <w:i/>
        </w:rPr>
        <w:t xml:space="preserve">Financial Instruments: Recognition and Measurement </w:t>
      </w:r>
      <w:r w:rsidRPr="004C7643">
        <w:rPr>
          <w:rFonts w:asciiTheme="majorHAnsi" w:hAnsiTheme="majorHAnsi"/>
        </w:rPr>
        <w:t>from 2018-19.</w:t>
      </w:r>
    </w:p>
  </w:footnote>
  <w:footnote w:id="22">
    <w:p w:rsidR="00A4241D" w:rsidRPr="00536568" w:rsidRDefault="00A4241D" w:rsidP="00C52135">
      <w:pPr>
        <w:pStyle w:val="FootnoteText"/>
        <w:rPr>
          <w:lang w:val="en-AU"/>
        </w:rPr>
      </w:pPr>
      <w:r>
        <w:rPr>
          <w:rStyle w:val="FootnoteReference"/>
        </w:rPr>
        <w:footnoteRef/>
      </w:r>
      <w:r>
        <w:t xml:space="preserve"> From 2019-20, the treatment of unconditional grants related to a biological asset will fall under AASB 1058 and the conditional grants will fall under AASB 15. The recognition requirements for unconditional grants will be the same, however, conditional grants will be recognised as revenue when the performance obligations are satisfied.  </w:t>
      </w:r>
    </w:p>
  </w:footnote>
  <w:footnote w:id="23">
    <w:p w:rsidR="00A4241D" w:rsidRPr="004C7643" w:rsidRDefault="00A4241D" w:rsidP="00C52135">
      <w:pPr>
        <w:pStyle w:val="FootnoteText"/>
        <w:rPr>
          <w:rFonts w:asciiTheme="majorHAnsi" w:hAnsiTheme="majorHAnsi"/>
        </w:rPr>
      </w:pPr>
      <w:r w:rsidRPr="004C7643">
        <w:rPr>
          <w:rStyle w:val="FootnoteReference"/>
          <w:rFonts w:asciiTheme="majorHAnsi" w:hAnsiTheme="majorHAnsi"/>
        </w:rPr>
        <w:footnoteRef/>
      </w:r>
      <w:r w:rsidRPr="004C7643">
        <w:rPr>
          <w:rFonts w:asciiTheme="majorHAnsi" w:hAnsiTheme="majorHAnsi"/>
        </w:rPr>
        <w:t xml:space="preserve"> The majority of income recognition requirements in AASB 1004 will be superseded by AASB 15 and AASB 1058 from 2019-20. However, AASB 1004 will still retain the accounting requirements in relation to parliamentary appropriations by government departments, restructures of administrative arrangements for other government controlled NFP entities and contributions by owners and distributions to owners by WoG and local government. </w:t>
      </w:r>
    </w:p>
  </w:footnote>
  <w:footnote w:id="24">
    <w:p w:rsidR="00A4241D" w:rsidRPr="004C7643" w:rsidRDefault="00A4241D" w:rsidP="00C52135">
      <w:pPr>
        <w:pStyle w:val="FootnoteText"/>
        <w:rPr>
          <w:rFonts w:asciiTheme="majorHAnsi" w:hAnsiTheme="majorHAnsi"/>
          <w:szCs w:val="16"/>
        </w:rPr>
      </w:pPr>
      <w:r w:rsidRPr="004C7643">
        <w:rPr>
          <w:rStyle w:val="FootnoteReference"/>
          <w:rFonts w:asciiTheme="majorHAnsi" w:hAnsiTheme="majorHAnsi"/>
          <w:szCs w:val="16"/>
        </w:rPr>
        <w:footnoteRef/>
      </w:r>
      <w:r w:rsidRPr="004C7643">
        <w:rPr>
          <w:rFonts w:asciiTheme="majorHAnsi" w:hAnsiTheme="majorHAnsi"/>
          <w:szCs w:val="16"/>
        </w:rPr>
        <w:t xml:space="preserve"> </w:t>
      </w:r>
      <w:r>
        <w:rPr>
          <w:rFonts w:asciiTheme="majorHAnsi" w:hAnsiTheme="majorHAnsi"/>
          <w:szCs w:val="16"/>
        </w:rPr>
        <w:t>A</w:t>
      </w:r>
      <w:r w:rsidRPr="004C7643">
        <w:rPr>
          <w:rFonts w:asciiTheme="majorHAnsi" w:hAnsiTheme="majorHAnsi"/>
          <w:szCs w:val="16"/>
        </w:rPr>
        <w:t>pplicable to FPs with life insurance contracts.</w:t>
      </w:r>
    </w:p>
  </w:footnote>
  <w:footnote w:id="25">
    <w:p w:rsidR="00A4241D" w:rsidRPr="00B551B7" w:rsidRDefault="00A4241D" w:rsidP="00C52135">
      <w:pPr>
        <w:pStyle w:val="FootnoteText"/>
        <w:rPr>
          <w:rFonts w:asciiTheme="majorHAnsi" w:hAnsiTheme="majorHAnsi"/>
          <w:sz w:val="16"/>
          <w:szCs w:val="16"/>
        </w:rPr>
      </w:pPr>
      <w:r w:rsidRPr="004C7643">
        <w:rPr>
          <w:rStyle w:val="FootnoteReference"/>
          <w:rFonts w:asciiTheme="majorHAnsi" w:hAnsiTheme="majorHAnsi"/>
          <w:szCs w:val="16"/>
        </w:rPr>
        <w:footnoteRef/>
      </w:r>
      <w:r w:rsidRPr="004C7643">
        <w:rPr>
          <w:rFonts w:asciiTheme="majorHAnsi" w:hAnsiTheme="majorHAnsi"/>
          <w:szCs w:val="16"/>
        </w:rPr>
        <w:t xml:space="preserve"> AASB 1058 </w:t>
      </w:r>
      <w:r w:rsidRPr="004C7643">
        <w:rPr>
          <w:rFonts w:asciiTheme="majorHAnsi" w:hAnsiTheme="majorHAnsi"/>
          <w:i/>
          <w:szCs w:val="16"/>
        </w:rPr>
        <w:t>Income of Not-for-Profit</w:t>
      </w:r>
      <w:r w:rsidRPr="004C7643">
        <w:rPr>
          <w:rFonts w:asciiTheme="majorHAnsi" w:hAnsiTheme="majorHAnsi"/>
          <w:szCs w:val="16"/>
        </w:rPr>
        <w:t xml:space="preserve"> Entities will be effective from 2019-20.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BF77B6">
    <w:pPr>
      <w:pStyle w:val="Header"/>
    </w:pPr>
    <w:fldSimple w:instr=" STYLEREF  &quot;Heading 1&quot;  \* MERGEFORMAT ">
      <w:r w:rsidR="003C212D">
        <w:rPr>
          <w:noProof/>
        </w:rPr>
        <w:t>Introduction</w:t>
      </w:r>
    </w:fldSimple>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DE6A24">
    <w:pPr>
      <w:pStyle w:val="Header"/>
    </w:pPr>
    <w:r>
      <w:rPr>
        <w:noProof/>
        <w:lang w:eastAsia="en-AU"/>
      </w:rPr>
      <mc:AlternateContent>
        <mc:Choice Requires="wps">
          <w:drawing>
            <wp:anchor distT="0" distB="0" distL="114300" distR="114300" simplePos="0" relativeHeight="251765760" behindDoc="0" locked="0" layoutInCell="1" allowOverlap="1" wp14:anchorId="3A215400" wp14:editId="2BA04471">
              <wp:simplePos x="0" y="0"/>
              <wp:positionH relativeFrom="column">
                <wp:posOffset>9269910</wp:posOffset>
              </wp:positionH>
              <wp:positionV relativeFrom="paragraph">
                <wp:posOffset>276960</wp:posOffset>
              </wp:positionV>
              <wp:extent cx="396000" cy="61920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F042B6">
                          <w:pPr>
                            <w:pStyle w:val="Header"/>
                          </w:pPr>
                          <w:r>
                            <w:fldChar w:fldCharType="begin"/>
                          </w:r>
                          <w:r>
                            <w:instrText xml:space="preserve"> STYLEREF  "Heading 1"  \* MERGEFORMAT </w:instrText>
                          </w:r>
                          <w:r>
                            <w:rPr>
                              <w:noProof/>
                            </w:rPr>
                            <w:fldChar w:fldCharType="end"/>
                          </w:r>
                        </w:p>
                        <w:p w:rsidR="00A4241D" w:rsidRDefault="00A4241D"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4" o:spid="_x0000_s1093" type="#_x0000_t202" style="position:absolute;margin-left:729.9pt;margin-top:21.8pt;width:31.2pt;height:487.5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Eg7QIAAF4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" filled="f" stroked="f" strokeweight=".5pt">
              <v:textbox style="layout-flow:vertical">
                <w:txbxContent>
                  <w:p w:rsidR="00A4241D" w:rsidRDefault="00A4241D" w:rsidP="00F042B6">
                    <w:pPr>
                      <w:pStyle w:val="Header"/>
                    </w:pPr>
                    <w:r>
                      <w:fldChar w:fldCharType="begin"/>
                    </w:r>
                    <w:r>
                      <w:instrText xml:space="preserve"> STYLEREF  "Heading 1"  \* MERGEFORMAT </w:instrText>
                    </w:r>
                    <w:r>
                      <w:rPr>
                        <w:noProof/>
                      </w:rPr>
                      <w:fldChar w:fldCharType="end"/>
                    </w:r>
                  </w:p>
                  <w:p w:rsidR="00A4241D" w:rsidRDefault="00A4241D" w:rsidP="00F042B6">
                    <w:pPr>
                      <w:pStyle w:val="Header"/>
                    </w:pPr>
                  </w:p>
                </w:txbxContent>
              </v:textbox>
            </v:shape>
          </w:pict>
        </mc:Fallback>
      </mc:AlternateContent>
    </w:r>
    <w:r>
      <w:t>Appendix 11</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37C0D" w:rsidRDefault="00A4241D" w:rsidP="00DE6A24">
    <w:pPr>
      <w:pStyle w:val="Header"/>
      <w:jc w:val="right"/>
      <w:rPr>
        <w:sz w:val="24"/>
        <w:szCs w:val="24"/>
      </w:rPr>
    </w:pPr>
    <w:r w:rsidRPr="00CC43A8">
      <w:t xml:space="preserve">Appendix </w:t>
    </w:r>
    <w:r>
      <w:t>11</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FD0181" w:rsidRDefault="00A4241D" w:rsidP="00FD0181">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508CB" w:rsidRDefault="00A4241D" w:rsidP="00F042B6">
    <w:pPr>
      <w:pStyle w:val="Header"/>
    </w:pPr>
    <w:r>
      <w:rPr>
        <w:bCs/>
      </w:rPr>
      <w:t>Appendix 12</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DE6A24">
    <w:pPr>
      <w:pStyle w:val="Header"/>
      <w:jc w:val="right"/>
    </w:pPr>
    <w:r w:rsidRPr="00551303">
      <w:t xml:space="preserve">Appendix </w:t>
    </w:r>
    <w:r>
      <w:t>12</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508CB" w:rsidRDefault="00A4241D" w:rsidP="00F042B6">
    <w:pPr>
      <w:pStyle w:val="Header"/>
    </w:pPr>
    <w:r>
      <w:rPr>
        <w:bCs/>
      </w:rPr>
      <w:t>Appendix 13</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DE6A24">
    <w:pPr>
      <w:pStyle w:val="Header"/>
      <w:jc w:val="right"/>
    </w:pPr>
    <w:r w:rsidRPr="00551303">
      <w:t xml:space="preserve">Appendix </w:t>
    </w:r>
    <w:r>
      <w:t>13</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935B60" w:rsidRDefault="00A4241D" w:rsidP="00F042B6">
    <w:pPr>
      <w:pStyle w:val="Header"/>
      <w:rPr>
        <w:b w:val="0"/>
        <w:bCs/>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6D4EA2">
    <w:pPr>
      <w:pStyle w:val="Header"/>
      <w:jc w:val="right"/>
    </w:pPr>
    <w:r>
      <w:fldChar w:fldCharType="begin"/>
    </w:r>
    <w:r>
      <w:instrText xml:space="preserve"> STYLEREF  "Heading 1 (unnumbered)"  \* MERGEFORMAT </w:instrText>
    </w:r>
    <w:r>
      <w:fldChar w:fldCharType="separate"/>
    </w:r>
    <w:r w:rsidR="00F63B17">
      <w:rPr>
        <w:b w:val="0"/>
        <w:bCs/>
        <w:noProof/>
        <w:lang w:val="en-US"/>
      </w:rPr>
      <w:t>Error! Use the Home tab to apply Heading 1 (unnumbered) to the text that you want to appear here.</w:t>
    </w:r>
    <w:r>
      <w:rPr>
        <w:b w:val="0"/>
        <w:bCs/>
        <w:noProof/>
        <w:lang w:val="en-US"/>
      </w:rPr>
      <w:fldChar w:fldCharType="end"/>
    </w:r>
  </w:p>
  <w:p w:rsidR="00A4241D" w:rsidRPr="00EE3A30" w:rsidRDefault="00A4241D" w:rsidP="006D4EA2">
    <w:pPr>
      <w:pStyle w:val="Header"/>
    </w:pPr>
  </w:p>
  <w:p w:rsidR="00A4241D" w:rsidRPr="00EE3A30" w:rsidRDefault="00A4241D" w:rsidP="006D4EA2">
    <w:pPr>
      <w:pStyle w:val="Reference"/>
    </w:pPr>
    <w:r w:rsidRPr="00EE3A30">
      <mc:AlternateContent>
        <mc:Choice Requires="wps">
          <w:drawing>
            <wp:anchor distT="0" distB="0" distL="114300" distR="114300" simplePos="0" relativeHeight="251702272" behindDoc="0" locked="0" layoutInCell="1" allowOverlap="0" wp14:anchorId="7C94ACA8" wp14:editId="6EB09646">
              <wp:simplePos x="0" y="0"/>
              <wp:positionH relativeFrom="page">
                <wp:posOffset>1589735</wp:posOffset>
              </wp:positionH>
              <wp:positionV relativeFrom="page">
                <wp:posOffset>669290</wp:posOffset>
              </wp:positionV>
              <wp:extent cx="0" cy="9427464"/>
              <wp:effectExtent l="0" t="0" r="19050" b="21590"/>
              <wp:wrapNone/>
              <wp:docPr id="224"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2pt,52.7pt" to="125.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k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" o:allowoverlap="f">
              <w10:wrap anchorx="page" anchory="page"/>
            </v:line>
          </w:pict>
        </mc:Fallback>
      </mc:AlternateContent>
    </w:r>
    <w:r w:rsidRPr="00EE3A30">
      <w:t>Source reference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r w:rsidRPr="00EE3A30">
      <w:rPr>
        <w:noProof/>
        <w:lang w:eastAsia="en-AU"/>
      </w:rPr>
      <mc:AlternateContent>
        <mc:Choice Requires="wps">
          <w:drawing>
            <wp:anchor distT="0" distB="0" distL="114300" distR="114300" simplePos="0" relativeHeight="251714560" behindDoc="0" locked="0" layoutInCell="1" allowOverlap="0" wp14:anchorId="4D359D4F" wp14:editId="1CE0C947">
              <wp:simplePos x="0" y="0"/>
              <wp:positionH relativeFrom="page">
                <wp:posOffset>1589405</wp:posOffset>
              </wp:positionH>
              <wp:positionV relativeFrom="page">
                <wp:posOffset>711788</wp:posOffset>
              </wp:positionV>
              <wp:extent cx="0" cy="9427210"/>
              <wp:effectExtent l="0" t="0" r="19050" b="21590"/>
              <wp:wrapNone/>
              <wp:docPr id="242"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5pt,56.05pt" to="125.15pt,7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K+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" o:allowoverlap="f">
              <w10:wrap anchorx="page" anchory="page"/>
            </v:line>
          </w:pict>
        </mc:Fallback>
      </mc:AlternateContent>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080446">
    <w:pPr>
      <w:pStyle w:val="Header"/>
      <w:jc w:val="right"/>
    </w:pPr>
    <w:r>
      <w:fldChar w:fldCharType="begin"/>
    </w:r>
    <w:r>
      <w:instrText xml:space="preserve"> STYLEREF  "Heading 1 (unnumbered)"  \* MERGEFORMAT </w:instrText>
    </w:r>
    <w:r>
      <w:fldChar w:fldCharType="separate"/>
    </w:r>
    <w:r w:rsidR="00F63B17">
      <w:rPr>
        <w:b w:val="0"/>
        <w:bCs/>
        <w:noProof/>
        <w:lang w:val="en-US"/>
      </w:rPr>
      <w:t>Error! Use the Home tab to apply Heading 1 (unnumbered) to the text that you want to appear here.</w:t>
    </w:r>
    <w:r>
      <w:rPr>
        <w:noProof/>
      </w:rPr>
      <w:fldChar w:fldCharType="end"/>
    </w:r>
  </w:p>
  <w:p w:rsidR="00A4241D" w:rsidRPr="00EE3A30" w:rsidRDefault="00A4241D" w:rsidP="00080446">
    <w:pPr>
      <w:pStyle w:val="Header"/>
    </w:pPr>
  </w:p>
  <w:p w:rsidR="00A4241D" w:rsidRPr="00EE3A30" w:rsidRDefault="00A4241D" w:rsidP="00080446">
    <w:pPr>
      <w:pStyle w:val="Reference"/>
    </w:pPr>
    <w:r w:rsidRPr="00EE3A30">
      <mc:AlternateContent>
        <mc:Choice Requires="wps">
          <w:drawing>
            <wp:anchor distT="0" distB="0" distL="114300" distR="114300" simplePos="0" relativeHeight="251704320" behindDoc="0" locked="0" layoutInCell="1" allowOverlap="0" wp14:anchorId="59772E37" wp14:editId="4C34E26D">
              <wp:simplePos x="0" y="0"/>
              <wp:positionH relativeFrom="page">
                <wp:posOffset>1589735</wp:posOffset>
              </wp:positionH>
              <wp:positionV relativeFrom="page">
                <wp:posOffset>669290</wp:posOffset>
              </wp:positionV>
              <wp:extent cx="0" cy="9427464"/>
              <wp:effectExtent l="0" t="0" r="19050" b="21590"/>
              <wp:wrapNone/>
              <wp:docPr id="231"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2pt,52.7pt" to="125.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12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" o:allowoverlap="f">
              <w10:wrap anchorx="page" anchory="page"/>
            </v:line>
          </w:pict>
        </mc:Fallback>
      </mc:AlternateContent>
    </w:r>
    <w:r w:rsidRPr="00EE3A30">
      <w:t>Source reference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99105B" w:rsidRDefault="00BF77B6" w:rsidP="0099105B">
    <w:pPr>
      <w:pStyle w:val="Header"/>
    </w:pPr>
    <w:fldSimple w:instr=" STYLEREF  &quot;Heading 1&quot;  \* MERGEFORMAT ">
      <w:r w:rsidR="003C212D">
        <w:rPr>
          <w:noProof/>
        </w:rPr>
        <w:t>Department of Technology – Model report of operations</w:t>
      </w:r>
    </w:fldSimple>
  </w:p>
  <w:p w:rsidR="00A4241D" w:rsidRPr="00EE3A30" w:rsidRDefault="00A4241D" w:rsidP="00002E17">
    <w:pPr>
      <w:pStyle w:val="Reference"/>
    </w:pPr>
    <w:r w:rsidRPr="00EE3A30">
      <mc:AlternateContent>
        <mc:Choice Requires="wps">
          <w:drawing>
            <wp:anchor distT="0" distB="0" distL="114300" distR="114300" simplePos="0" relativeHeight="251705344" behindDoc="0" locked="0" layoutInCell="1" allowOverlap="0" wp14:anchorId="1B117877" wp14:editId="08472F9F">
              <wp:simplePos x="0" y="0"/>
              <wp:positionH relativeFrom="page">
                <wp:posOffset>1592275</wp:posOffset>
              </wp:positionH>
              <wp:positionV relativeFrom="page">
                <wp:posOffset>667385</wp:posOffset>
              </wp:positionV>
              <wp:extent cx="0" cy="9427210"/>
              <wp:effectExtent l="0" t="0" r="19050" b="21590"/>
              <wp:wrapNone/>
              <wp:docPr id="232"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4pt,52.55pt" to="125.4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sQFg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" o:allowoverlap="f">
              <w10:wrap anchorx="page" anchory="page"/>
            </v:line>
          </w:pict>
        </mc:Fallback>
      </mc:AlternateContent>
    </w:r>
    <w:r w:rsidRPr="00EE3A30">
      <w:t>Source reference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EE3A30" w:rsidRDefault="00BF77B6" w:rsidP="0099105B">
    <w:pPr>
      <w:pStyle w:val="Header"/>
      <w:jc w:val="right"/>
    </w:pPr>
    <w:fldSimple w:instr=" STYLEREF  &quot;Heading 1&quot;  \* MERGEFORMAT ">
      <w:r w:rsidR="003C212D">
        <w:rPr>
          <w:noProof/>
        </w:rPr>
        <w:t>Department of Technology – Model report of operations</w:t>
      </w:r>
    </w:fldSimple>
  </w:p>
  <w:p w:rsidR="00A4241D" w:rsidRPr="00EE3A30" w:rsidRDefault="00A4241D" w:rsidP="00C42E5E">
    <w:pPr>
      <w:pStyle w:val="Reference"/>
    </w:pPr>
    <w:r w:rsidRPr="00EE3A30">
      <mc:AlternateContent>
        <mc:Choice Requires="wps">
          <w:drawing>
            <wp:anchor distT="0" distB="0" distL="114300" distR="114300" simplePos="0" relativeHeight="251716608" behindDoc="0" locked="0" layoutInCell="1" allowOverlap="0" wp14:anchorId="129F9F7D" wp14:editId="10B63FE7">
              <wp:simplePos x="0" y="0"/>
              <wp:positionH relativeFrom="page">
                <wp:posOffset>1589735</wp:posOffset>
              </wp:positionH>
              <wp:positionV relativeFrom="page">
                <wp:posOffset>669290</wp:posOffset>
              </wp:positionV>
              <wp:extent cx="0" cy="9427464"/>
              <wp:effectExtent l="0" t="0" r="19050" b="21590"/>
              <wp:wrapNone/>
              <wp:docPr id="243"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2pt,52.7pt" to="125.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UC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" o:allowoverlap="f">
              <w10:wrap anchorx="page" anchory="page"/>
            </v:line>
          </w:pict>
        </mc:Fallback>
      </mc:AlternateContent>
    </w:r>
    <w:r w:rsidRPr="00EE3A30">
      <w:t>Source reference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EE3A30" w:rsidRDefault="00BF77B6" w:rsidP="0099105B">
    <w:pPr>
      <w:pStyle w:val="Header"/>
      <w:jc w:val="right"/>
    </w:pPr>
    <w:fldSimple w:instr=" STYLEREF  &quot;Heading 1&quot;  \* MERGEFORMAT ">
      <w:r w:rsidR="003C212D">
        <w:rPr>
          <w:noProof/>
        </w:rPr>
        <w:t>Department of Technology – Model report of operations</w:t>
      </w:r>
    </w:fldSimple>
  </w:p>
  <w:p w:rsidR="00A4241D" w:rsidRPr="00EE3A30" w:rsidRDefault="00A4241D" w:rsidP="00080446">
    <w:pPr>
      <w:pStyle w:val="Reference"/>
    </w:pPr>
    <w:r w:rsidRPr="00EE3A30">
      <mc:AlternateContent>
        <mc:Choice Requires="wps">
          <w:drawing>
            <wp:anchor distT="0" distB="0" distL="114300" distR="114300" simplePos="0" relativeHeight="251708416" behindDoc="0" locked="0" layoutInCell="1" allowOverlap="0" wp14:anchorId="1AC63716" wp14:editId="413C0FBF">
              <wp:simplePos x="0" y="0"/>
              <wp:positionH relativeFrom="page">
                <wp:posOffset>1589735</wp:posOffset>
              </wp:positionH>
              <wp:positionV relativeFrom="page">
                <wp:posOffset>669290</wp:posOffset>
              </wp:positionV>
              <wp:extent cx="0" cy="9427464"/>
              <wp:effectExtent l="0" t="0" r="19050" b="21590"/>
              <wp:wrapNone/>
              <wp:docPr id="233"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2pt,52.7pt" to="125.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kFQIAAC0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" o:allowoverlap="f">
              <w10:wrap anchorx="page" anchory="page"/>
            </v:line>
          </w:pict>
        </mc:Fallback>
      </mc:AlternateContent>
    </w:r>
    <w:r w:rsidRPr="00EE3A30">
      <w:t>Source reference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080446">
    <w:pPr>
      <w:pStyle w:val="Header"/>
      <w:jc w:val="right"/>
    </w:pPr>
    <w:r>
      <w:rPr>
        <w:noProof/>
        <w:lang w:eastAsia="en-AU"/>
      </w:rPr>
      <mc:AlternateContent>
        <mc:Choice Requires="wps">
          <w:drawing>
            <wp:anchor distT="0" distB="0" distL="114300" distR="114300" simplePos="0" relativeHeight="251711488" behindDoc="0" locked="0" layoutInCell="1" allowOverlap="1" wp14:anchorId="2980FF77" wp14:editId="54D52F87">
              <wp:simplePos x="0" y="0"/>
              <wp:positionH relativeFrom="column">
                <wp:posOffset>-501650</wp:posOffset>
              </wp:positionH>
              <wp:positionV relativeFrom="paragraph">
                <wp:posOffset>303056</wp:posOffset>
              </wp:positionV>
              <wp:extent cx="393065" cy="6189980"/>
              <wp:effectExtent l="0" t="0" r="0" b="1270"/>
              <wp:wrapNone/>
              <wp:docPr id="234" name="Text Box 23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9001B6" w:rsidRDefault="00A4241D" w:rsidP="00080446">
                          <w:pPr>
                            <w:pStyle w:val="Footer"/>
                          </w:pPr>
                          <w:r w:rsidRPr="009001B6">
                            <w:fldChar w:fldCharType="begin"/>
                          </w:r>
                          <w:r w:rsidRPr="009001B6">
                            <w:instrText xml:space="preserve"> PAGE  \* Arabic  \* MERGEFORMAT </w:instrText>
                          </w:r>
                          <w:r w:rsidRPr="009001B6">
                            <w:fldChar w:fldCharType="separate"/>
                          </w:r>
                          <w:r>
                            <w:rPr>
                              <w:noProof/>
                            </w:rPr>
                            <w:t>44</w:t>
                          </w:r>
                          <w:r w:rsidRPr="009001B6">
                            <w:fldChar w:fldCharType="end"/>
                          </w:r>
                          <w:r>
                            <w:tab/>
                          </w:r>
                          <w:r>
                            <w:tab/>
                            <w:t>2</w:t>
                          </w:r>
                          <w:r w:rsidRPr="009001B6">
                            <w:t>016-17 Model Report for Victorian Government Departments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4" o:spid="_x0000_s1052" type="#_x0000_t202" style="position:absolute;left:0;text-align:left;margin-left:-39.5pt;margin-top:23.85pt;width:30.95pt;height:48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" filled="f" stroked="f" strokeweight=".5pt">
              <v:textbox style="layout-flow:vertical">
                <w:txbxContent>
                  <w:p w:rsidR="00A4241D" w:rsidRPr="009001B6" w:rsidRDefault="00A4241D" w:rsidP="00080446">
                    <w:pPr>
                      <w:pStyle w:val="Footer"/>
                    </w:pPr>
                    <w:r w:rsidRPr="009001B6">
                      <w:fldChar w:fldCharType="begin"/>
                    </w:r>
                    <w:r w:rsidRPr="009001B6">
                      <w:instrText xml:space="preserve"> PAGE  \* Arabic  \* MERGEFORMAT </w:instrText>
                    </w:r>
                    <w:r w:rsidRPr="009001B6">
                      <w:fldChar w:fldCharType="separate"/>
                    </w:r>
                    <w:r>
                      <w:rPr>
                        <w:noProof/>
                      </w:rPr>
                      <w:t>44</w:t>
                    </w:r>
                    <w:r w:rsidRPr="009001B6">
                      <w:fldChar w:fldCharType="end"/>
                    </w:r>
                    <w:r>
                      <w:tab/>
                    </w:r>
                    <w:r>
                      <w:tab/>
                      <w:t>2</w:t>
                    </w:r>
                    <w:r w:rsidRPr="009001B6">
                      <w:t>016-17 Model Report for Victorian Government Departments</w:t>
                    </w:r>
                  </w:p>
                </w:txbxContent>
              </v:textbox>
            </v:shape>
          </w:pict>
        </mc:Fallback>
      </mc:AlternateContent>
    </w:r>
    <w:r>
      <w:fldChar w:fldCharType="begin"/>
    </w:r>
    <w:r>
      <w:instrText xml:space="preserve"> STYLEREF  "</w:instrText>
    </w:r>
    <w:r w:rsidRPr="00402D62">
      <w:instrText>Chapter heading</w:instrText>
    </w:r>
    <w:r>
      <w:instrText xml:space="preserve">"  \* MERGEFORMAT </w:instrTex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77028" w:rsidRDefault="00A4241D" w:rsidP="00080446">
    <w:r>
      <w:rPr>
        <w:noProof/>
        <w:lang w:eastAsia="en-AU"/>
      </w:rPr>
      <mc:AlternateContent>
        <mc:Choice Requires="wps">
          <w:drawing>
            <wp:anchor distT="0" distB="0" distL="114300" distR="114300" simplePos="0" relativeHeight="251710464" behindDoc="0" locked="0" layoutInCell="1" allowOverlap="1" wp14:anchorId="3AF272FA" wp14:editId="0231B651">
              <wp:simplePos x="0" y="0"/>
              <wp:positionH relativeFrom="column">
                <wp:posOffset>9271000</wp:posOffset>
              </wp:positionH>
              <wp:positionV relativeFrom="paragraph">
                <wp:posOffset>306070</wp:posOffset>
              </wp:positionV>
              <wp:extent cx="396000" cy="61920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BF77B6" w:rsidP="004F4882">
                          <w:pPr>
                            <w:pStyle w:val="Header"/>
                            <w:jc w:val="right"/>
                          </w:pPr>
                          <w:fldSimple w:instr=" STYLEREF  &quot;Heading 1&quot;  \* MERGEFORMAT ">
                            <w:r w:rsidR="003C212D">
                              <w:rPr>
                                <w:noProof/>
                              </w:rPr>
                              <w:t>Department of Technology – Model report of operations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9" o:spid="_x0000_s1053" type="#_x0000_t202" style="position:absolute;margin-left:730pt;margin-top:24.1pt;width:31.2pt;height:48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Hi7QIAAF0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" filled="f" stroked="f" strokeweight=".5pt">
              <v:textbox style="layout-flow:vertical">
                <w:txbxContent>
                  <w:p w:rsidR="00A4241D" w:rsidRDefault="00BF77B6" w:rsidP="004F4882">
                    <w:pPr>
                      <w:pStyle w:val="Header"/>
                      <w:jc w:val="right"/>
                    </w:pPr>
                    <w:fldSimple w:instr=" STYLEREF  &quot;Heading 1&quot;  \* MERGEFORMAT ">
                      <w:r w:rsidR="003C212D">
                        <w:rPr>
                          <w:noProof/>
                        </w:rPr>
                        <w:t>Department of Technology – Model report of operations</w:t>
                      </w:r>
                    </w:fldSimple>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080446">
    <w:pPr>
      <w:pStyle w:val="Header"/>
      <w:jc w:val="right"/>
    </w:pPr>
    <w:r>
      <w:fldChar w:fldCharType="begin"/>
    </w:r>
    <w:r>
      <w:instrText xml:space="preserve"> STYLEREF  "</w:instrText>
    </w:r>
    <w:r w:rsidRPr="00402D62">
      <w:instrText>Chapter heading</w:instrText>
    </w:r>
    <w:r>
      <w:instrText xml:space="preserve">"  \* MERGEFORMAT </w:instrText>
    </w:r>
    <w:r>
      <w:fldChar w:fldCharType="end"/>
    </w:r>
  </w:p>
  <w:p w:rsidR="00A4241D" w:rsidRPr="00EE3A30" w:rsidRDefault="00A4241D" w:rsidP="00080446">
    <w:pPr>
      <w:pStyle w:val="Header"/>
      <w:rPr>
        <w:bCs/>
      </w:rPr>
    </w:pPr>
  </w:p>
  <w:p w:rsidR="00A4241D" w:rsidRPr="00EE3A30" w:rsidRDefault="00A4241D" w:rsidP="00080446">
    <w:pPr>
      <w:pStyle w:val="Reference"/>
    </w:pPr>
    <w:r w:rsidRPr="00EE3A30">
      <mc:AlternateContent>
        <mc:Choice Requires="wps">
          <w:drawing>
            <wp:anchor distT="0" distB="0" distL="114300" distR="114300" simplePos="0" relativeHeight="251707392" behindDoc="0" locked="0" layoutInCell="1" allowOverlap="0" wp14:anchorId="09368BAD" wp14:editId="0C990EB1">
              <wp:simplePos x="0" y="0"/>
              <wp:positionH relativeFrom="page">
                <wp:posOffset>1592275</wp:posOffset>
              </wp:positionH>
              <wp:positionV relativeFrom="page">
                <wp:posOffset>667385</wp:posOffset>
              </wp:positionV>
              <wp:extent cx="0" cy="9427210"/>
              <wp:effectExtent l="0" t="0" r="19050" b="21590"/>
              <wp:wrapNone/>
              <wp:docPr id="196"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4pt,52.55pt" to="125.4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" o:allowoverlap="f">
              <w10:wrap anchorx="page" anchory="page"/>
            </v:line>
          </w:pict>
        </mc:Fallback>
      </mc:AlternateContent>
    </w:r>
    <w:r w:rsidRPr="00EE3A30">
      <w:t>Source reference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r w:rsidRPr="00752605">
      <w:rPr>
        <w:noProof/>
        <w:lang w:eastAsia="en-AU"/>
      </w:rPr>
      <mc:AlternateContent>
        <mc:Choice Requires="wpg">
          <w:drawing>
            <wp:anchor distT="0" distB="0" distL="114300" distR="114300" simplePos="0" relativeHeight="251731968" behindDoc="0" locked="0" layoutInCell="1" allowOverlap="1" wp14:anchorId="55662570" wp14:editId="4AB7291C">
              <wp:simplePos x="0" y="0"/>
              <wp:positionH relativeFrom="column">
                <wp:posOffset>-1431509</wp:posOffset>
              </wp:positionH>
              <wp:positionV relativeFrom="paragraph">
                <wp:posOffset>-290086</wp:posOffset>
              </wp:positionV>
              <wp:extent cx="10296339" cy="12816521"/>
              <wp:effectExtent l="0" t="0" r="0" b="0"/>
              <wp:wrapNone/>
              <wp:docPr id="53" name="Group 12"/>
              <wp:cNvGraphicFramePr/>
              <a:graphic xmlns:a="http://schemas.openxmlformats.org/drawingml/2006/main">
                <a:graphicData uri="http://schemas.microsoft.com/office/word/2010/wordprocessingGroup">
                  <wpg:wgp>
                    <wpg:cNvGrpSpPr/>
                    <wpg:grpSpPr>
                      <a:xfrm>
                        <a:off x="0" y="0"/>
                        <a:ext cx="10296339" cy="12816521"/>
                        <a:chOff x="0" y="0"/>
                        <a:chExt cx="10190512" cy="12684791"/>
                      </a:xfrm>
                    </wpg:grpSpPr>
                    <wps:wsp>
                      <wps:cNvPr id="54" name="Rectangle 5"/>
                      <wps:cNvSpPr/>
                      <wps:spPr>
                        <a:xfrm rot="1591456" flipH="1">
                          <a:off x="4195258" y="130173"/>
                          <a:ext cx="5995254" cy="12554618"/>
                        </a:xfrm>
                        <a:custGeom>
                          <a:avLst/>
                          <a:gdLst>
                            <a:gd name="connsiteX0" fmla="*/ 0 w 6021070"/>
                            <a:gd name="connsiteY0" fmla="*/ 0 h 12974320"/>
                            <a:gd name="connsiteX1" fmla="*/ 6021070 w 6021070"/>
                            <a:gd name="connsiteY1" fmla="*/ 0 h 12974320"/>
                            <a:gd name="connsiteX2" fmla="*/ 6021070 w 6021070"/>
                            <a:gd name="connsiteY2" fmla="*/ 12974320 h 12974320"/>
                            <a:gd name="connsiteX3" fmla="*/ 0 w 6021070"/>
                            <a:gd name="connsiteY3" fmla="*/ 12974320 h 12974320"/>
                            <a:gd name="connsiteX4" fmla="*/ 0 w 6021070"/>
                            <a:gd name="connsiteY4" fmla="*/ 0 h 12974320"/>
                            <a:gd name="connsiteX0" fmla="*/ 0 w 6026782"/>
                            <a:gd name="connsiteY0" fmla="*/ 0 h 13019753"/>
                            <a:gd name="connsiteX1" fmla="*/ 6021070 w 6026782"/>
                            <a:gd name="connsiteY1" fmla="*/ 0 h 13019753"/>
                            <a:gd name="connsiteX2" fmla="*/ 6026782 w 6026782"/>
                            <a:gd name="connsiteY2" fmla="*/ 13019753 h 13019753"/>
                            <a:gd name="connsiteX3" fmla="*/ 0 w 6026782"/>
                            <a:gd name="connsiteY3" fmla="*/ 12974320 h 13019753"/>
                            <a:gd name="connsiteX4" fmla="*/ 0 w 6026782"/>
                            <a:gd name="connsiteY4" fmla="*/ 0 h 13019753"/>
                            <a:gd name="connsiteX0" fmla="*/ 0 w 6026782"/>
                            <a:gd name="connsiteY0" fmla="*/ 0 h 13019753"/>
                            <a:gd name="connsiteX1" fmla="*/ 6021070 w 6026782"/>
                            <a:gd name="connsiteY1" fmla="*/ 0 h 13019753"/>
                            <a:gd name="connsiteX2" fmla="*/ 6026782 w 6026782"/>
                            <a:gd name="connsiteY2" fmla="*/ 13019753 h 13019753"/>
                            <a:gd name="connsiteX3" fmla="*/ 57540 w 6026782"/>
                            <a:gd name="connsiteY3" fmla="*/ 10029399 h 13019753"/>
                            <a:gd name="connsiteX4" fmla="*/ 0 w 6026782"/>
                            <a:gd name="connsiteY4" fmla="*/ 0 h 13019753"/>
                            <a:gd name="connsiteX0" fmla="*/ 0 w 6026782"/>
                            <a:gd name="connsiteY0" fmla="*/ 0 h 13019753"/>
                            <a:gd name="connsiteX1" fmla="*/ 6021828 w 6026782"/>
                            <a:gd name="connsiteY1" fmla="*/ 1064927 h 13019753"/>
                            <a:gd name="connsiteX2" fmla="*/ 6026782 w 6026782"/>
                            <a:gd name="connsiteY2" fmla="*/ 13019753 h 13019753"/>
                            <a:gd name="connsiteX3" fmla="*/ 57540 w 6026782"/>
                            <a:gd name="connsiteY3" fmla="*/ 10029399 h 13019753"/>
                            <a:gd name="connsiteX4" fmla="*/ 0 w 6026782"/>
                            <a:gd name="connsiteY4" fmla="*/ 0 h 13019753"/>
                            <a:gd name="connsiteX0" fmla="*/ 0 w 6026782"/>
                            <a:gd name="connsiteY0" fmla="*/ 0 h 13019753"/>
                            <a:gd name="connsiteX1" fmla="*/ 6021818 w 6026782"/>
                            <a:gd name="connsiteY1" fmla="*/ 1050728 h 13019753"/>
                            <a:gd name="connsiteX2" fmla="*/ 6026782 w 6026782"/>
                            <a:gd name="connsiteY2" fmla="*/ 13019753 h 13019753"/>
                            <a:gd name="connsiteX3" fmla="*/ 57540 w 6026782"/>
                            <a:gd name="connsiteY3" fmla="*/ 10029399 h 13019753"/>
                            <a:gd name="connsiteX4" fmla="*/ 0 w 6026782"/>
                            <a:gd name="connsiteY4" fmla="*/ 0 h 13019753"/>
                            <a:gd name="connsiteX0" fmla="*/ 4756264 w 5969242"/>
                            <a:gd name="connsiteY0" fmla="*/ 0 h 12554612"/>
                            <a:gd name="connsiteX1" fmla="*/ 5964278 w 5969242"/>
                            <a:gd name="connsiteY1" fmla="*/ 585587 h 12554612"/>
                            <a:gd name="connsiteX2" fmla="*/ 5969242 w 5969242"/>
                            <a:gd name="connsiteY2" fmla="*/ 12554612 h 12554612"/>
                            <a:gd name="connsiteX3" fmla="*/ 0 w 5969242"/>
                            <a:gd name="connsiteY3" fmla="*/ 9564258 h 12554612"/>
                            <a:gd name="connsiteX4" fmla="*/ 4756264 w 5969242"/>
                            <a:gd name="connsiteY4" fmla="*/ 0 h 12554612"/>
                            <a:gd name="connsiteX0" fmla="*/ 4764782 w 5969242"/>
                            <a:gd name="connsiteY0" fmla="*/ 0 h 12555682"/>
                            <a:gd name="connsiteX1" fmla="*/ 5964278 w 5969242"/>
                            <a:gd name="connsiteY1" fmla="*/ 586657 h 12555682"/>
                            <a:gd name="connsiteX2" fmla="*/ 5969242 w 5969242"/>
                            <a:gd name="connsiteY2" fmla="*/ 12555682 h 12555682"/>
                            <a:gd name="connsiteX3" fmla="*/ 0 w 5969242"/>
                            <a:gd name="connsiteY3" fmla="*/ 9565328 h 12555682"/>
                            <a:gd name="connsiteX4" fmla="*/ 4764782 w 5969242"/>
                            <a:gd name="connsiteY4" fmla="*/ 0 h 12555682"/>
                            <a:gd name="connsiteX0" fmla="*/ 4764782 w 5969242"/>
                            <a:gd name="connsiteY0" fmla="*/ 0 h 12555682"/>
                            <a:gd name="connsiteX1" fmla="*/ 5965350 w 5969242"/>
                            <a:gd name="connsiteY1" fmla="*/ 595176 h 12555682"/>
                            <a:gd name="connsiteX2" fmla="*/ 5969242 w 5969242"/>
                            <a:gd name="connsiteY2" fmla="*/ 12555682 h 12555682"/>
                            <a:gd name="connsiteX3" fmla="*/ 0 w 5969242"/>
                            <a:gd name="connsiteY3" fmla="*/ 9565328 h 12555682"/>
                            <a:gd name="connsiteX4" fmla="*/ 4764782 w 5969242"/>
                            <a:gd name="connsiteY4" fmla="*/ 0 h 12555682"/>
                            <a:gd name="connsiteX0" fmla="*/ 4766913 w 5969242"/>
                            <a:gd name="connsiteY0" fmla="*/ 0 h 12554618"/>
                            <a:gd name="connsiteX1" fmla="*/ 5965350 w 5969242"/>
                            <a:gd name="connsiteY1" fmla="*/ 594112 h 12554618"/>
                            <a:gd name="connsiteX2" fmla="*/ 5969242 w 5969242"/>
                            <a:gd name="connsiteY2" fmla="*/ 12554618 h 12554618"/>
                            <a:gd name="connsiteX3" fmla="*/ 0 w 5969242"/>
                            <a:gd name="connsiteY3" fmla="*/ 9564264 h 12554618"/>
                            <a:gd name="connsiteX4" fmla="*/ 4766913 w 5969242"/>
                            <a:gd name="connsiteY4" fmla="*/ 0 h 12554618"/>
                            <a:gd name="connsiteX0" fmla="*/ 4766913 w 5995254"/>
                            <a:gd name="connsiteY0" fmla="*/ 0 h 12554618"/>
                            <a:gd name="connsiteX1" fmla="*/ 5995187 w 5995254"/>
                            <a:gd name="connsiteY1" fmla="*/ 619649 h 12554618"/>
                            <a:gd name="connsiteX2" fmla="*/ 5969242 w 5995254"/>
                            <a:gd name="connsiteY2" fmla="*/ 12554618 h 12554618"/>
                            <a:gd name="connsiteX3" fmla="*/ 0 w 5995254"/>
                            <a:gd name="connsiteY3" fmla="*/ 9564264 h 12554618"/>
                            <a:gd name="connsiteX4" fmla="*/ 4766913 w 5995254"/>
                            <a:gd name="connsiteY4" fmla="*/ 0 h 125546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95254" h="12554618">
                              <a:moveTo>
                                <a:pt x="4766913" y="0"/>
                              </a:moveTo>
                              <a:lnTo>
                                <a:pt x="5995187" y="619649"/>
                              </a:lnTo>
                              <a:cubicBezTo>
                                <a:pt x="5996838" y="4604591"/>
                                <a:pt x="5967591" y="8569676"/>
                                <a:pt x="5969242" y="12554618"/>
                              </a:cubicBezTo>
                              <a:lnTo>
                                <a:pt x="0" y="9564264"/>
                              </a:lnTo>
                              <a:lnTo>
                                <a:pt x="4766913" y="0"/>
                              </a:lnTo>
                              <a:close/>
                            </a:path>
                          </a:pathLst>
                        </a:custGeom>
                        <a:solidFill>
                          <a:srgbClr val="0072C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41D" w:rsidRDefault="00A4241D" w:rsidP="00752605">
                            <w:pPr>
                              <w:pStyle w:val="NormalWeb"/>
                              <w:jc w:val="center"/>
                            </w:pPr>
                            <w:r>
                              <w:rPr>
                                <w:rFonts w:asciiTheme="minorHAnsi" w:eastAsia="Arial" w:hAnsi="Arial"/>
                                <w:color w:val="FFFFFF" w:themeColor="light1"/>
                                <w:kern w:val="24"/>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T:\Corpcom_CSS\COMMUNICATIONS\Logos and branding\Brand Victoria logos\Victoria\png\Victoria Logo black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64586" y="8364675"/>
                          <a:ext cx="1354815" cy="775373"/>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3"/>
                      <wps:cNvSpPr/>
                      <wps:spPr>
                        <a:xfrm rot="20069297" flipH="1">
                          <a:off x="0" y="5816981"/>
                          <a:ext cx="2180808" cy="5614323"/>
                        </a:xfrm>
                        <a:custGeom>
                          <a:avLst/>
                          <a:gdLst>
                            <a:gd name="connsiteX0" fmla="*/ 0 w 2352040"/>
                            <a:gd name="connsiteY0" fmla="*/ 0 h 6097270"/>
                            <a:gd name="connsiteX1" fmla="*/ 2352040 w 2352040"/>
                            <a:gd name="connsiteY1" fmla="*/ 0 h 6097270"/>
                            <a:gd name="connsiteX2" fmla="*/ 2352040 w 2352040"/>
                            <a:gd name="connsiteY2" fmla="*/ 6097270 h 6097270"/>
                            <a:gd name="connsiteX3" fmla="*/ 0 w 2352040"/>
                            <a:gd name="connsiteY3" fmla="*/ 6097270 h 6097270"/>
                            <a:gd name="connsiteX4" fmla="*/ 0 w 2352040"/>
                            <a:gd name="connsiteY4" fmla="*/ 0 h 6097270"/>
                            <a:gd name="connsiteX0" fmla="*/ 0 w 2352040"/>
                            <a:gd name="connsiteY0" fmla="*/ 0 h 6097270"/>
                            <a:gd name="connsiteX1" fmla="*/ 1348821 w 2352040"/>
                            <a:gd name="connsiteY1" fmla="*/ 2040762 h 6097270"/>
                            <a:gd name="connsiteX2" fmla="*/ 2352040 w 2352040"/>
                            <a:gd name="connsiteY2" fmla="*/ 6097270 h 6097270"/>
                            <a:gd name="connsiteX3" fmla="*/ 0 w 2352040"/>
                            <a:gd name="connsiteY3" fmla="*/ 6097270 h 6097270"/>
                            <a:gd name="connsiteX4" fmla="*/ 0 w 2352040"/>
                            <a:gd name="connsiteY4" fmla="*/ 0 h 6097270"/>
                            <a:gd name="connsiteX0" fmla="*/ 0 w 2177823"/>
                            <a:gd name="connsiteY0" fmla="*/ 0 h 6097270"/>
                            <a:gd name="connsiteX1" fmla="*/ 1348821 w 2177823"/>
                            <a:gd name="connsiteY1" fmla="*/ 2040762 h 6097270"/>
                            <a:gd name="connsiteX2" fmla="*/ 2177823 w 2177823"/>
                            <a:gd name="connsiteY2" fmla="*/ 4759132 h 6097270"/>
                            <a:gd name="connsiteX3" fmla="*/ 0 w 2177823"/>
                            <a:gd name="connsiteY3" fmla="*/ 6097270 h 6097270"/>
                            <a:gd name="connsiteX4" fmla="*/ 0 w 2177823"/>
                            <a:gd name="connsiteY4" fmla="*/ 0 h 6097270"/>
                            <a:gd name="connsiteX0" fmla="*/ 2985 w 2180808"/>
                            <a:gd name="connsiteY0" fmla="*/ 0 h 5796144"/>
                            <a:gd name="connsiteX1" fmla="*/ 1351806 w 2180808"/>
                            <a:gd name="connsiteY1" fmla="*/ 2040762 h 5796144"/>
                            <a:gd name="connsiteX2" fmla="*/ 2180808 w 2180808"/>
                            <a:gd name="connsiteY2" fmla="*/ 4759132 h 5796144"/>
                            <a:gd name="connsiteX3" fmla="*/ 0 w 2180808"/>
                            <a:gd name="connsiteY3" fmla="*/ 5796144 h 5796144"/>
                            <a:gd name="connsiteX4" fmla="*/ 2985 w 2180808"/>
                            <a:gd name="connsiteY4" fmla="*/ 0 h 5796144"/>
                            <a:gd name="connsiteX0" fmla="*/ 5323 w 2180808"/>
                            <a:gd name="connsiteY0" fmla="*/ 0 h 5614323"/>
                            <a:gd name="connsiteX1" fmla="*/ 1351806 w 2180808"/>
                            <a:gd name="connsiteY1" fmla="*/ 1858941 h 5614323"/>
                            <a:gd name="connsiteX2" fmla="*/ 2180808 w 2180808"/>
                            <a:gd name="connsiteY2" fmla="*/ 4577311 h 5614323"/>
                            <a:gd name="connsiteX3" fmla="*/ 0 w 2180808"/>
                            <a:gd name="connsiteY3" fmla="*/ 5614323 h 5614323"/>
                            <a:gd name="connsiteX4" fmla="*/ 5323 w 2180808"/>
                            <a:gd name="connsiteY4" fmla="*/ 0 h 5614323"/>
                            <a:gd name="connsiteX0" fmla="*/ 5323 w 2180808"/>
                            <a:gd name="connsiteY0" fmla="*/ 0 h 5614323"/>
                            <a:gd name="connsiteX1" fmla="*/ 2180808 w 2180808"/>
                            <a:gd name="connsiteY1" fmla="*/ 4577311 h 5614323"/>
                            <a:gd name="connsiteX2" fmla="*/ 0 w 2180808"/>
                            <a:gd name="connsiteY2" fmla="*/ 5614323 h 5614323"/>
                            <a:gd name="connsiteX3" fmla="*/ 5323 w 2180808"/>
                            <a:gd name="connsiteY3" fmla="*/ 0 h 5614323"/>
                          </a:gdLst>
                          <a:ahLst/>
                          <a:cxnLst>
                            <a:cxn ang="0">
                              <a:pos x="connsiteX0" y="connsiteY0"/>
                            </a:cxn>
                            <a:cxn ang="0">
                              <a:pos x="connsiteX1" y="connsiteY1"/>
                            </a:cxn>
                            <a:cxn ang="0">
                              <a:pos x="connsiteX2" y="connsiteY2"/>
                            </a:cxn>
                            <a:cxn ang="0">
                              <a:pos x="connsiteX3" y="connsiteY3"/>
                            </a:cxn>
                          </a:cxnLst>
                          <a:rect l="l" t="t" r="r" b="b"/>
                          <a:pathLst>
                            <a:path w="2180808" h="5614323">
                              <a:moveTo>
                                <a:pt x="5323" y="0"/>
                              </a:moveTo>
                              <a:lnTo>
                                <a:pt x="2180808" y="4577311"/>
                              </a:lnTo>
                              <a:lnTo>
                                <a:pt x="0" y="5614323"/>
                              </a:lnTo>
                              <a:cubicBezTo>
                                <a:pt x="1774" y="3742882"/>
                                <a:pt x="3549" y="1871441"/>
                                <a:pt x="5323" y="0"/>
                              </a:cubicBezTo>
                              <a:close/>
                            </a:path>
                          </a:pathLst>
                        </a:cu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41D" w:rsidRDefault="00A4241D" w:rsidP="00752605">
                            <w:pPr>
                              <w:pStyle w:val="NormalWeb"/>
                              <w:jc w:val="center"/>
                            </w:pPr>
                            <w:r>
                              <w:rPr>
                                <w:rFonts w:asciiTheme="minorHAnsi" w:eastAsia="Arial" w:hAnsi="Arial"/>
                                <w:color w:val="FFFFFF" w:themeColor="light1"/>
                                <w:kern w:val="24"/>
                                <w:sz w:val="18"/>
                                <w:szCs w:val="18"/>
                              </w:rPr>
                              <w:t> </w:t>
                            </w:r>
                          </w:p>
                          <w:p w:rsidR="00A4241D" w:rsidRDefault="00A4241D" w:rsidP="00752605">
                            <w:pPr>
                              <w:pStyle w:val="NormalWeb"/>
                              <w:jc w:val="center"/>
                            </w:pPr>
                            <w:r>
                              <w:rPr>
                                <w:rFonts w:asciiTheme="minorHAnsi" w:eastAsia="Arial" w:hAnsi="Arial"/>
                                <w:color w:val="FFFFFF" w:themeColor="light1"/>
                                <w:kern w:val="24"/>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ight Triangle 58"/>
                      <wps:cNvSpPr/>
                      <wps:spPr>
                        <a:xfrm rot="10800000">
                          <a:off x="4966110" y="0"/>
                          <a:ext cx="3444947" cy="7437655"/>
                        </a:xfrm>
                        <a:prstGeom prst="rtTriangle">
                          <a:avLst/>
                        </a:prstGeom>
                        <a:solidFill>
                          <a:srgbClr val="D9D9D6">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047" style="position:absolute;margin-left:-112.7pt;margin-top:-22.85pt;width:810.75pt;height:1009.15pt;z-index:251731968;mso-position-horizontal-relative:text;mso-position-vertical-relative:text" coordsize="101905,126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">
              <v:shape id="Rectangle 5" o:spid="_x0000_s1048" style="position:absolute;left:41952;top:1301;width:59953;height:125546;rotation:-1738294fd;flip:x;visibility:visible;mso-wrap-style:square;v-text-anchor:middle" coordsize="5995254,125546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wgcQA&#10;AADbAAAADwAAAGRycy9kb3ducmV2LnhtbESP3WoCMRSE7wu+QziCdzVr/aGsRhFpURAEbQteHjbH&#10;3cXNyTaJ7vr2RhC8HGbmG2a2aE0lruR8aVnBoJ+AIM6sLjlX8Pvz/f4JwgdkjZVlUnAjD4t5522G&#10;qbYN7+l6CLmIEPYpKihCqFMpfVaQQd+3NXH0TtYZDFG6XGqHTYSbSn4kyUQaLDkuFFjTqqDsfLgY&#10;Bbtm819P/rRbbpP2uHZfw7HTa6V63XY5BRGoDa/ws73RCsYj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cIHEAAAA2wAAAA8AAAAAAAAAAAAAAAAAmAIAAGRycy9k&#10;b3ducmV2LnhtbFBLBQYAAAAABAAEAPUAAACJAwAAAAA=&#10;" adj="-11796480,,5400" path="m4766913,l5995187,619649v1651,3984942,-27596,7950027,-25945,11934969l,9564264,4766913,xe" fillcolor="#0072ce" stroked="f" strokeweight="2pt">
                <v:stroke joinstyle="miter"/>
                <v:formulas/>
                <v:path arrowok="t" o:connecttype="custom" o:connectlocs="4766913,0;5995187,619649;5969242,12554618;0,9564264;4766913,0" o:connectangles="0,0,0,0,0" textboxrect="0,0,5995254,12554618"/>
                <v:textbox>
                  <w:txbxContent>
                    <w:p w:rsidR="00A4241D" w:rsidRDefault="00A4241D" w:rsidP="00752605">
                      <w:pPr>
                        <w:pStyle w:val="NormalWeb"/>
                        <w:jc w:val="center"/>
                      </w:pPr>
                      <w:r>
                        <w:rPr>
                          <w:rFonts w:asciiTheme="minorHAnsi" w:eastAsia="Arial" w:hAnsi="Arial"/>
                          <w:color w:val="FFFFFF" w:themeColor="light1"/>
                          <w:kern w:val="24"/>
                          <w:sz w:val="18"/>
                          <w:szCs w:val="18"/>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49" type="#_x0000_t75" style="position:absolute;left:21645;top:83646;width:13549;height:7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KNk/DAAAA2wAAAA8AAABkcnMvZG93bnJldi54bWxEj09rwkAUxO+C32F5gre6UTFK6ioilPYm&#10;/rn09pp9TaLZtyH71LSfvisUPA4z8xtmue5crW7UhsqzgfEoAUWce1txYeB0fHtZgAqCbLH2TAZ+&#10;KMB61e8tMbP+znu6HaRQEcIhQwOlSJNpHfKSHIaRb4ij9+1bhxJlW2jb4j3CXa0nSZJqhxXHhRIb&#10;2paUXw5XZ2CXLn7r8HkV2lmZnzt+/0pmU2OGg27zCkqok2f4v/1hDcxSeHyJP0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o2T8MAAADbAAAADwAAAAAAAAAAAAAAAACf&#10;AgAAZHJzL2Rvd25yZXYueG1sUEsFBgAAAAAEAAQA9wAAAI8DAAAAAA==&#10;">
                <v:imagedata r:id="rId2" o:title="Victoria Logo black rgb"/>
              </v:shape>
              <v:shape id="_x0000_s1050" style="position:absolute;top:58169;width:21808;height:56144;rotation:1671936fd;flip:x;visibility:visible;mso-wrap-style:square;v-text-anchor:middle" coordsize="2180808,5614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tpMMA&#10;AADbAAAADwAAAGRycy9kb3ducmV2LnhtbESPS2vCQBSF94L/YbiCO534qLXRUUqhIK58Uenukrkm&#10;0cydkJkm8d87QsHl4Tw+znLdmkLUVLncsoLRMAJBnFidc6rgdPwezEE4j6yxsEwK7uRgvep2lhhr&#10;2/Ce6oNPRRhhF6OCzPsyltIlGRl0Q1sSB+9iK4M+yCqVusImjJtCjqNoJg3mHAgZlvSVUXI7/JkA&#10;uf9Om6u2H2crk91x+3Oe1fOJUv1e+7kA4an1r/B/e6MVvL3D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BtpMMAAADbAAAADwAAAAAAAAAAAAAAAACYAgAAZHJzL2Rv&#10;d25yZXYueG1sUEsFBgAAAAAEAAQA9QAAAIgDAAAAAA==&#10;" adj="-11796480,,5400" path="m5323,l2180808,4577311,,5614323c1774,3742882,3549,1871441,5323,xe" fillcolor="#201547" stroked="f" strokeweight="2pt">
                <v:stroke joinstyle="miter"/>
                <v:formulas/>
                <v:path arrowok="t" o:connecttype="custom" o:connectlocs="5323,0;2180808,4577311;0,5614323;5323,0" o:connectangles="0,0,0,0" textboxrect="0,0,2180808,5614323"/>
                <v:textbox>
                  <w:txbxContent>
                    <w:p w:rsidR="00A4241D" w:rsidRDefault="00A4241D" w:rsidP="00752605">
                      <w:pPr>
                        <w:pStyle w:val="NormalWeb"/>
                        <w:jc w:val="center"/>
                      </w:pPr>
                      <w:r>
                        <w:rPr>
                          <w:rFonts w:asciiTheme="minorHAnsi" w:eastAsia="Arial" w:hAnsi="Arial"/>
                          <w:color w:val="FFFFFF" w:themeColor="light1"/>
                          <w:kern w:val="24"/>
                          <w:sz w:val="18"/>
                          <w:szCs w:val="18"/>
                        </w:rPr>
                        <w:t> </w:t>
                      </w:r>
                    </w:p>
                    <w:p w:rsidR="00A4241D" w:rsidRDefault="00A4241D" w:rsidP="00752605">
                      <w:pPr>
                        <w:pStyle w:val="NormalWeb"/>
                        <w:jc w:val="center"/>
                      </w:pPr>
                      <w:r>
                        <w:rPr>
                          <w:rFonts w:asciiTheme="minorHAnsi" w:eastAsia="Arial" w:hAnsi="Arial"/>
                          <w:color w:val="FFFFFF" w:themeColor="light1"/>
                          <w:kern w:val="24"/>
                          <w:sz w:val="18"/>
                          <w:szCs w:val="18"/>
                        </w:rPr>
                        <w:t> </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58" o:spid="_x0000_s1051" type="#_x0000_t6" style="position:absolute;left:49661;width:34449;height:7437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ywMMA&#10;AADbAAAADwAAAGRycy9kb3ducmV2LnhtbERPTWvCQBC9C/0PyxR6002FisZspGgrlhKkqQjehuyY&#10;pM3Ohuwa03/fPQgeH+87WQ2mET11rras4HkSgSAurK65VHD4fh/PQTiPrLGxTAr+yMEqfRglGGt7&#10;5S/qc1+KEMIuRgWV920spSsqMugmtiUO3Nl2Bn2AXSl1h9cQbho5jaKZNFhzaKiwpXVFxW9+MQo2&#10;n32Wbd1hgc10bzJ9/Gjffk5KPT0Or0sQngZ/F9/cO63gJYwN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lywMMAAADbAAAADwAAAAAAAAAAAAAAAACYAgAAZHJzL2Rv&#10;d25yZXYueG1sUEsFBgAAAAAEAAQA9QAAAIgDAAAAAA==&#10;" fillcolor="#d9d9d6" stroked="f" strokeweight="2pt">
                <v:fill opacity="39321f"/>
              </v:shap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EE3A30" w:rsidRDefault="00BF77B6" w:rsidP="00080446">
    <w:pPr>
      <w:pStyle w:val="Header"/>
      <w:rPr>
        <w:bCs/>
      </w:rPr>
    </w:pPr>
    <w:fldSimple w:instr=" STYLEREF  &quot;Heading 1&quot;  \* MERGEFORMAT ">
      <w:r w:rsidR="003C212D">
        <w:rPr>
          <w:noProof/>
        </w:rPr>
        <w:t>Department of Technology – Model report of operations</w:t>
      </w:r>
    </w:fldSimple>
    <w:r w:rsidR="00A4241D">
      <w:fldChar w:fldCharType="begin"/>
    </w:r>
    <w:r w:rsidR="00A4241D">
      <w:instrText xml:space="preserve"> STYLEREF  "</w:instrText>
    </w:r>
    <w:r w:rsidR="00A4241D" w:rsidRPr="00402D62">
      <w:instrText>Chapter heading</w:instrText>
    </w:r>
    <w:r w:rsidR="00A4241D">
      <w:instrText xml:space="preserve">"  \* MERGEFORMAT </w:instrText>
    </w:r>
    <w:r w:rsidR="00A4241D">
      <w:fldChar w:fldCharType="end"/>
    </w:r>
  </w:p>
  <w:p w:rsidR="00A4241D" w:rsidRPr="00EE3A30" w:rsidRDefault="00A4241D" w:rsidP="00080446">
    <w:pPr>
      <w:pStyle w:val="Reference"/>
    </w:pPr>
    <w:r w:rsidRPr="00EE3A30">
      <mc:AlternateContent>
        <mc:Choice Requires="wps">
          <w:drawing>
            <wp:anchor distT="0" distB="0" distL="114300" distR="114300" simplePos="0" relativeHeight="251706368" behindDoc="0" locked="0" layoutInCell="1" allowOverlap="0" wp14:anchorId="0EDF2336" wp14:editId="2156828B">
              <wp:simplePos x="0" y="0"/>
              <wp:positionH relativeFrom="page">
                <wp:posOffset>1592275</wp:posOffset>
              </wp:positionH>
              <wp:positionV relativeFrom="page">
                <wp:posOffset>667385</wp:posOffset>
              </wp:positionV>
              <wp:extent cx="0" cy="9427210"/>
              <wp:effectExtent l="0" t="0" r="19050" b="21590"/>
              <wp:wrapNone/>
              <wp:docPr id="235"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4pt,52.55pt" to="125.4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CFw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" o:allowoverlap="f">
              <w10:wrap anchorx="page" anchory="page"/>
            </v:line>
          </w:pict>
        </mc:Fallback>
      </mc:AlternateContent>
    </w:r>
    <w:r w:rsidRPr="00EE3A30">
      <w:t>Source reference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EE3A30" w:rsidRDefault="00BF77B6" w:rsidP="0099105B">
    <w:pPr>
      <w:pStyle w:val="Header"/>
      <w:jc w:val="right"/>
    </w:pPr>
    <w:fldSimple w:instr=" STYLEREF  &quot;Heading 1&quot;  \* MERGEFORMAT ">
      <w:r w:rsidR="003C212D">
        <w:rPr>
          <w:noProof/>
        </w:rPr>
        <w:t>Department of Technology – Model report of operations</w:t>
      </w:r>
    </w:fldSimple>
  </w:p>
  <w:p w:rsidR="00A4241D" w:rsidRPr="00EE3A30" w:rsidRDefault="00A4241D" w:rsidP="00080446">
    <w:pPr>
      <w:pStyle w:val="Reference"/>
    </w:pPr>
    <w:r w:rsidRPr="00EE3A30">
      <mc:AlternateContent>
        <mc:Choice Requires="wps">
          <w:drawing>
            <wp:anchor distT="0" distB="0" distL="114300" distR="114300" simplePos="0" relativeHeight="251712512" behindDoc="0" locked="0" layoutInCell="1" allowOverlap="0" wp14:anchorId="0012674A" wp14:editId="5D113881">
              <wp:simplePos x="0" y="0"/>
              <wp:positionH relativeFrom="page">
                <wp:posOffset>1589735</wp:posOffset>
              </wp:positionH>
              <wp:positionV relativeFrom="page">
                <wp:posOffset>669290</wp:posOffset>
              </wp:positionV>
              <wp:extent cx="0" cy="9427464"/>
              <wp:effectExtent l="0" t="0" r="19050" b="21590"/>
              <wp:wrapNone/>
              <wp:docPr id="230"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2pt,52.7pt" to="125.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uS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" o:allowoverlap="f">
              <w10:wrap anchorx="page" anchory="page"/>
            </v:line>
          </w:pict>
        </mc:Fallback>
      </mc:AlternateContent>
    </w:r>
    <w:r w:rsidRPr="00EE3A30">
      <w:t>Source reference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EE3A30" w:rsidRDefault="00BF77B6" w:rsidP="00080446">
    <w:pPr>
      <w:pStyle w:val="Header"/>
      <w:rPr>
        <w:bCs/>
      </w:rPr>
    </w:pPr>
    <w:fldSimple w:instr=" STYLEREF  &quot;Heading 1&quot;  \* MERGEFORMAT ">
      <w:r w:rsidR="003C212D">
        <w:rPr>
          <w:noProof/>
        </w:rPr>
        <w:t>Department of Technology – Model financial statements</w:t>
      </w:r>
    </w:fldSimple>
    <w:r w:rsidR="00A4241D">
      <w:fldChar w:fldCharType="begin"/>
    </w:r>
    <w:r w:rsidR="00A4241D">
      <w:instrText xml:space="preserve"> STYLEREF  "</w:instrText>
    </w:r>
    <w:r w:rsidR="00A4241D" w:rsidRPr="00402D62">
      <w:instrText>Chapter heading</w:instrText>
    </w:r>
    <w:r w:rsidR="00A4241D">
      <w:instrText xml:space="preserve">"  \* MERGEFORMAT </w:instrText>
    </w:r>
    <w:r w:rsidR="00A4241D">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BF77B6" w:rsidP="00080446">
    <w:pPr>
      <w:pStyle w:val="Header"/>
      <w:jc w:val="right"/>
    </w:pPr>
    <w:fldSimple w:instr=" STYLEREF  &quot;Heading 1&quot;  \* MERGEFORMAT ">
      <w:r w:rsidR="003C212D">
        <w:rPr>
          <w:noProof/>
        </w:rPr>
        <w:t>Department of Technology – Model financial statements</w:t>
      </w:r>
    </w:fldSimple>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BF77B6" w:rsidP="000F6592">
    <w:pPr>
      <w:pStyle w:val="Header"/>
    </w:pPr>
    <w:fldSimple w:instr=" STYLEREF  &quot;Heading 1&quot;  \* MERGEFORMAT ">
      <w:r w:rsidR="003C212D">
        <w:rPr>
          <w:noProof/>
        </w:rPr>
        <w:t>Department of Technology – Model financial statements</w:t>
      </w:r>
    </w:fldSimple>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EE3A30" w:rsidRDefault="00BF77B6" w:rsidP="00080446">
    <w:pPr>
      <w:pStyle w:val="Header"/>
      <w:rPr>
        <w:bCs/>
      </w:rPr>
    </w:pPr>
    <w:fldSimple w:instr=" STYLEREF  &quot;Heading 2 (non TOC)&quot;  \* MERGEFORMAT ">
      <w:r w:rsidR="003C212D">
        <w:rPr>
          <w:noProof/>
        </w:rPr>
        <w:t>Cash flow statement</w:t>
      </w:r>
    </w:fldSimple>
    <w:r w:rsidR="00A4241D">
      <w:fldChar w:fldCharType="begin"/>
    </w:r>
    <w:r w:rsidR="00A4241D">
      <w:instrText xml:space="preserve"> STYLEREF  "</w:instrText>
    </w:r>
    <w:r w:rsidR="00A4241D" w:rsidRPr="00402D62">
      <w:instrText>Chapter heading</w:instrText>
    </w:r>
    <w:r w:rsidR="00A4241D">
      <w:instrText xml:space="preserve">"  \* MERGEFORMAT </w:instrText>
    </w:r>
    <w:r w:rsidR="00A4241D">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BF77B6" w:rsidP="00080446">
    <w:pPr>
      <w:pStyle w:val="Header"/>
      <w:jc w:val="right"/>
    </w:pPr>
    <w:fldSimple w:instr=" STYLEREF  &quot;Heading 2 (non TOC)&quot;  \* MERGEFORMAT ">
      <w:r w:rsidR="003C212D">
        <w:rPr>
          <w:noProof/>
        </w:rPr>
        <w:t>Cash flow statement</w:t>
      </w:r>
    </w:fldSimple>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BF77B6" w:rsidP="000F6592">
    <w:pPr>
      <w:pStyle w:val="Header"/>
    </w:pPr>
    <w:fldSimple w:instr=" STYLEREF  &quot;Heading 2 (non TOC)&quot;  \* MERGEFORMAT ">
      <w:r w:rsidR="003C212D">
        <w:rPr>
          <w:noProof/>
        </w:rPr>
        <w:t>Cash flow statement</w:t>
      </w:r>
    </w:fldSimple>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811099">
    <w:r>
      <w:rPr>
        <w:noProof/>
        <w:lang w:eastAsia="en-AU"/>
      </w:rPr>
      <mc:AlternateContent>
        <mc:Choice Requires="wps">
          <w:drawing>
            <wp:anchor distT="0" distB="0" distL="114300" distR="114300" simplePos="0" relativeHeight="251694080" behindDoc="0" locked="0" layoutInCell="1" allowOverlap="1" wp14:anchorId="043A09B3" wp14:editId="4192B925">
              <wp:simplePos x="0" y="0"/>
              <wp:positionH relativeFrom="column">
                <wp:posOffset>9269910</wp:posOffset>
              </wp:positionH>
              <wp:positionV relativeFrom="paragraph">
                <wp:posOffset>276960</wp:posOffset>
              </wp:positionV>
              <wp:extent cx="396000" cy="6192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BF77B6" w:rsidP="00811099">
                          <w:pPr>
                            <w:pStyle w:val="Header"/>
                          </w:pPr>
                          <w:fldSimple w:instr=" STYLEREF  &quot;Heading 1&quot;  \* MERGEFORMAT ">
                            <w:r w:rsidR="00F63B17">
                              <w:rPr>
                                <w:noProof/>
                              </w:rPr>
                              <w:t>Department of Technology – Model financial statements</w:t>
                            </w:r>
                          </w:fldSimple>
                        </w:p>
                        <w:p w:rsidR="00A4241D" w:rsidRDefault="00A4241D" w:rsidP="00811099">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55" type="#_x0000_t202" style="position:absolute;margin-left:729.9pt;margin-top:21.8pt;width:31.2pt;height:487.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" filled="f" stroked="f" strokeweight=".5pt">
              <v:textbox style="layout-flow:vertical">
                <w:txbxContent>
                  <w:p w:rsidR="00A4241D" w:rsidRDefault="00BF77B6" w:rsidP="00811099">
                    <w:pPr>
                      <w:pStyle w:val="Header"/>
                    </w:pPr>
                    <w:r>
                      <w:fldChar w:fldCharType="begin"/>
                    </w:r>
                    <w:r>
                      <w:instrText xml:space="preserve"> STYLEREF  "Heading 1"  \* MERGEFORMAT </w:instrText>
                    </w:r>
                    <w:r>
                      <w:fldChar w:fldCharType="separate"/>
                    </w:r>
                    <w:r w:rsidR="00F63B17">
                      <w:rPr>
                        <w:noProof/>
                      </w:rPr>
                      <w:t>Department of Technology – Model financial statements</w:t>
                    </w:r>
                    <w:r>
                      <w:rPr>
                        <w:noProof/>
                      </w:rPr>
                      <w:fldChar w:fldCharType="end"/>
                    </w:r>
                  </w:p>
                  <w:p w:rsidR="00A4241D" w:rsidRDefault="00A4241D" w:rsidP="00811099">
                    <w:pPr>
                      <w:pStyle w:val="Heade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811099">
    <w:r>
      <w:rPr>
        <w:noProof/>
        <w:lang w:eastAsia="en-AU"/>
      </w:rPr>
      <mc:AlternateContent>
        <mc:Choice Requires="wps">
          <w:drawing>
            <wp:anchor distT="0" distB="0" distL="114300" distR="114300" simplePos="0" relativeHeight="251693056" behindDoc="0" locked="0" layoutInCell="1" allowOverlap="1" wp14:anchorId="34D5A539" wp14:editId="03303AF3">
              <wp:simplePos x="0" y="0"/>
              <wp:positionH relativeFrom="column">
                <wp:posOffset>9271000</wp:posOffset>
              </wp:positionH>
              <wp:positionV relativeFrom="paragraph">
                <wp:posOffset>306070</wp:posOffset>
              </wp:positionV>
              <wp:extent cx="396000" cy="6192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BF77B6" w:rsidP="00811099">
                          <w:pPr>
                            <w:pStyle w:val="Header"/>
                            <w:jc w:val="right"/>
                          </w:pPr>
                          <w:fldSimple w:instr=" STYLEREF  &quot;Heading 2 (non TOC)&quot;  \* MERGEFORMAT ">
                            <w:r w:rsidR="003C212D">
                              <w:rPr>
                                <w:noProof/>
                              </w:rPr>
                              <w:t>Statement of changes in equity</w:t>
                            </w:r>
                          </w:fldSimple>
                        </w:p>
                        <w:p w:rsidR="00A4241D" w:rsidRDefault="00A4241D" w:rsidP="00811099">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56" type="#_x0000_t202" style="position:absolute;margin-left:730pt;margin-top:24.1pt;width:31.2pt;height:48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" filled="f" stroked="f" strokeweight=".5pt">
              <v:textbox style="layout-flow:vertical">
                <w:txbxContent>
                  <w:p w:rsidR="00A4241D" w:rsidRDefault="00BF77B6" w:rsidP="00811099">
                    <w:pPr>
                      <w:pStyle w:val="Header"/>
                      <w:jc w:val="right"/>
                    </w:pPr>
                    <w:fldSimple w:instr=" STYLEREF  &quot;Heading 2 (non TOC)&quot;  \* MERGEFORMAT ">
                      <w:r w:rsidR="003C212D">
                        <w:rPr>
                          <w:noProof/>
                        </w:rPr>
                        <w:t>Statement of changes in equity</w:t>
                      </w:r>
                    </w:fldSimple>
                  </w:p>
                  <w:p w:rsidR="00A4241D" w:rsidRDefault="00A4241D" w:rsidP="00811099">
                    <w:pPr>
                      <w:pStyle w:val="Header"/>
                      <w:jc w:val="right"/>
                    </w:pP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r>
      <w:rPr>
        <w:noProof/>
      </w:rPr>
      <w:fldChar w:fldCharType="begin"/>
    </w:r>
    <w:r>
      <w:rPr>
        <w:noProof/>
      </w:rPr>
      <w:instrText xml:space="preserve"> STYLEREF  "Heading 1 (#)" \n \w  \* MERGEFORMAT </w:instrText>
    </w:r>
    <w:r>
      <w:rPr>
        <w:noProof/>
      </w:rPr>
      <w:fldChar w:fldCharType="separate"/>
    </w:r>
    <w:r w:rsidR="003C212D">
      <w:rPr>
        <w:noProof/>
      </w:rPr>
      <w:t>1</w:t>
    </w:r>
    <w:r>
      <w:rPr>
        <w:noProof/>
      </w:rPr>
      <w:fldChar w:fldCharType="end"/>
    </w:r>
    <w:r>
      <w:rPr>
        <w:noProof/>
      </w:rPr>
      <w:t xml:space="preserve">. </w:t>
    </w:r>
    <w:fldSimple w:instr=" STYLEREF  &quot;Heading 1 (#)&quot;  \* MERGEFORMAT ">
      <w:r w:rsidR="003C212D">
        <w:rPr>
          <w:noProof/>
        </w:rPr>
        <w:t>ABOUT THIS REPORT</w:t>
      </w:r>
    </w:fldSimple>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EB6480">
    <w:pPr>
      <w:pStyle w:val="Header"/>
      <w:jc w:val="right"/>
    </w:pPr>
    <w:r>
      <w:rPr>
        <w:noProof/>
      </w:rPr>
      <w:fldChar w:fldCharType="begin"/>
    </w:r>
    <w:r>
      <w:rPr>
        <w:noProof/>
      </w:rPr>
      <w:instrText xml:space="preserve"> STYLEREF  "Heading 1 (#)" \n \w  \* MERGEFORMAT </w:instrText>
    </w:r>
    <w:r>
      <w:rPr>
        <w:noProof/>
      </w:rPr>
      <w:fldChar w:fldCharType="separate"/>
    </w:r>
    <w:r w:rsidR="003C212D">
      <w:rPr>
        <w:noProof/>
      </w:rPr>
      <w:t>1</w:t>
    </w:r>
    <w:r>
      <w:rPr>
        <w:noProof/>
      </w:rPr>
      <w:fldChar w:fldCharType="end"/>
    </w:r>
    <w:r>
      <w:rPr>
        <w:noProof/>
      </w:rPr>
      <w:t xml:space="preserve">. </w:t>
    </w:r>
    <w:fldSimple w:instr=" STYLEREF  &quot;Heading 1 (#)&quot;  \* MERGEFORMAT ">
      <w:r w:rsidR="003C212D">
        <w:rPr>
          <w:noProof/>
        </w:rPr>
        <w:t>ABOUT THIS REPORT</w:t>
      </w:r>
    </w:fldSimple>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BF77B6">
    <w:pPr>
      <w:pStyle w:val="Header"/>
    </w:pPr>
    <w:fldSimple w:instr=" STYLEREF  &quot;Heading 2 (non TOC)&quot;  \* MERGEFORMAT ">
      <w:r w:rsidR="003C212D">
        <w:rPr>
          <w:noProof/>
        </w:rPr>
        <w:t>Statement of changes in equity</w:t>
      </w:r>
    </w:fldSimple>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6F16D1" w:rsidRDefault="00A4241D" w:rsidP="006F16D1">
    <w:r>
      <w:rPr>
        <w:noProof/>
        <w:lang w:eastAsia="en-AU"/>
      </w:rPr>
      <mc:AlternateContent>
        <mc:Choice Requires="wps">
          <w:drawing>
            <wp:anchor distT="0" distB="0" distL="114300" distR="114300" simplePos="0" relativeHeight="251662336" behindDoc="0" locked="0" layoutInCell="1" allowOverlap="1" wp14:anchorId="6B71C25E" wp14:editId="063A8A23">
              <wp:simplePos x="0" y="0"/>
              <wp:positionH relativeFrom="column">
                <wp:posOffset>9269910</wp:posOffset>
              </wp:positionH>
              <wp:positionV relativeFrom="paragraph">
                <wp:posOffset>276960</wp:posOffset>
              </wp:positionV>
              <wp:extent cx="396000" cy="619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6F16D1">
                          <w:pPr>
                            <w:pStyle w:val="Header"/>
                          </w:pPr>
                        </w:p>
                        <w:p w:rsidR="00A4241D" w:rsidRDefault="00A4241D" w:rsidP="006F16D1">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59" type="#_x0000_t202" style="position:absolute;margin-left:729.9pt;margin-top:21.8pt;width:31.2pt;height:487.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" filled="f" stroked="f" strokeweight=".5pt">
              <v:textbox style="layout-flow:vertical">
                <w:txbxContent>
                  <w:p w:rsidR="00A4241D" w:rsidRDefault="00A4241D" w:rsidP="006F16D1">
                    <w:pPr>
                      <w:pStyle w:val="Header"/>
                    </w:pPr>
                  </w:p>
                  <w:p w:rsidR="00A4241D" w:rsidRDefault="00A4241D" w:rsidP="006F16D1">
                    <w:pPr>
                      <w:pStyle w:val="Header"/>
                    </w:pP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6F16D1" w:rsidRDefault="00A4241D" w:rsidP="006F16D1">
    <w:r>
      <w:rPr>
        <w:noProof/>
        <w:lang w:eastAsia="en-AU"/>
      </w:rPr>
      <mc:AlternateContent>
        <mc:Choice Requires="wps">
          <w:drawing>
            <wp:anchor distT="0" distB="0" distL="114300" distR="114300" simplePos="0" relativeHeight="251661312" behindDoc="0" locked="0" layoutInCell="1" allowOverlap="1" wp14:anchorId="0ED2091B" wp14:editId="2AB4009D">
              <wp:simplePos x="0" y="0"/>
              <wp:positionH relativeFrom="column">
                <wp:posOffset>9271000</wp:posOffset>
              </wp:positionH>
              <wp:positionV relativeFrom="paragraph">
                <wp:posOffset>306070</wp:posOffset>
              </wp:positionV>
              <wp:extent cx="396000" cy="6192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F73D4D">
                          <w:pPr>
                            <w:pStyle w:val="Header"/>
                            <w:jc w:val="right"/>
                          </w:pPr>
                          <w:r>
                            <w:rPr>
                              <w:noProof/>
                            </w:rPr>
                            <w:fldChar w:fldCharType="begin"/>
                          </w:r>
                          <w:r>
                            <w:rPr>
                              <w:noProof/>
                            </w:rPr>
                            <w:instrText xml:space="preserve"> STYLEREF  "Heading 1 (#)" \n \w  \* MERGEFORMAT </w:instrText>
                          </w:r>
                          <w:r>
                            <w:rPr>
                              <w:noProof/>
                            </w:rPr>
                            <w:fldChar w:fldCharType="separate"/>
                          </w:r>
                          <w:r w:rsidR="003C212D">
                            <w:rPr>
                              <w:noProof/>
                            </w:rPr>
                            <w:t>2</w:t>
                          </w:r>
                          <w:r>
                            <w:rPr>
                              <w:noProof/>
                            </w:rPr>
                            <w:fldChar w:fldCharType="end"/>
                          </w:r>
                          <w:r>
                            <w:rPr>
                              <w:noProof/>
                            </w:rPr>
                            <w:t xml:space="preserve">. </w:t>
                          </w:r>
                          <w:fldSimple w:instr=" STYLEREF  &quot;Heading 1 (#)&quot;  \* MERGEFORMAT ">
                            <w:r w:rsidR="003C212D">
                              <w:rPr>
                                <w:noProof/>
                              </w:rPr>
                              <w:t>FUNDING DELIVERY OF OUR SERVICES</w:t>
                            </w:r>
                          </w:fldSimple>
                        </w:p>
                        <w:p w:rsidR="00A4241D" w:rsidRDefault="00A4241D" w:rsidP="006F16D1">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60" type="#_x0000_t202" style="position:absolute;margin-left:730pt;margin-top:24.1pt;width:31.2pt;height:48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" filled="f" stroked="f" strokeweight=".5pt">
              <v:textbox style="layout-flow:vertical">
                <w:txbxContent>
                  <w:p w:rsidR="00A4241D" w:rsidRDefault="00A4241D" w:rsidP="00F73D4D">
                    <w:pPr>
                      <w:pStyle w:val="Header"/>
                      <w:jc w:val="right"/>
                    </w:pPr>
                    <w:r>
                      <w:rPr>
                        <w:noProof/>
                      </w:rPr>
                      <w:fldChar w:fldCharType="begin"/>
                    </w:r>
                    <w:r>
                      <w:rPr>
                        <w:noProof/>
                      </w:rPr>
                      <w:instrText xml:space="preserve"> STYLEREF  "Heading 1 (#)" \n \w  \* MERGEFORMAT </w:instrText>
                    </w:r>
                    <w:r>
                      <w:rPr>
                        <w:noProof/>
                      </w:rPr>
                      <w:fldChar w:fldCharType="separate"/>
                    </w:r>
                    <w:r w:rsidR="003C212D">
                      <w:rPr>
                        <w:noProof/>
                      </w:rPr>
                      <w:t>2</w:t>
                    </w:r>
                    <w:r>
                      <w:rPr>
                        <w:noProof/>
                      </w:rPr>
                      <w:fldChar w:fldCharType="end"/>
                    </w:r>
                    <w:r>
                      <w:rPr>
                        <w:noProof/>
                      </w:rPr>
                      <w:t xml:space="preserve">. </w:t>
                    </w:r>
                    <w:fldSimple w:instr=" STYLEREF  &quot;Heading 1 (#)&quot;  \* MERGEFORMAT ">
                      <w:r w:rsidR="003C212D">
                        <w:rPr>
                          <w:noProof/>
                        </w:rPr>
                        <w:t>FUNDING DELIVERY OF OUR SERVICES</w:t>
                      </w:r>
                    </w:fldSimple>
                  </w:p>
                  <w:p w:rsidR="00A4241D" w:rsidRDefault="00A4241D" w:rsidP="006F16D1">
                    <w:pPr>
                      <w:pStyle w:val="Header"/>
                      <w:jc w:val="right"/>
                    </w:pP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F73D4D" w:rsidRDefault="00A4241D" w:rsidP="00F73D4D">
    <w:pPr>
      <w:pStyle w:val="Header"/>
    </w:pPr>
    <w:r>
      <w:rPr>
        <w:noProof/>
      </w:rPr>
      <w:fldChar w:fldCharType="begin"/>
    </w:r>
    <w:r>
      <w:rPr>
        <w:noProof/>
      </w:rPr>
      <w:instrText xml:space="preserve"> STYLEREF  "Heading 1 (#)" \n \w  \* MERGEFORMAT </w:instrText>
    </w:r>
    <w:r>
      <w:rPr>
        <w:noProof/>
      </w:rPr>
      <w:fldChar w:fldCharType="separate"/>
    </w:r>
    <w:r w:rsidR="003C212D">
      <w:rPr>
        <w:noProof/>
      </w:rPr>
      <w:t>3</w:t>
    </w:r>
    <w:r>
      <w:rPr>
        <w:noProof/>
      </w:rPr>
      <w:fldChar w:fldCharType="end"/>
    </w:r>
    <w:r>
      <w:rPr>
        <w:noProof/>
      </w:rPr>
      <w:t xml:space="preserve">. </w:t>
    </w:r>
    <w:fldSimple w:instr=" STYLEREF  &quot;Heading 1 (#)&quot;  \* MERGEFORMAT ">
      <w:r w:rsidR="003C212D">
        <w:rPr>
          <w:noProof/>
        </w:rPr>
        <w:t>THE COST OF DELIVERING SERVICES</w:t>
      </w:r>
    </w:fldSimple>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F73D4D">
    <w:pPr>
      <w:pStyle w:val="Header"/>
      <w:jc w:val="right"/>
    </w:pPr>
    <w:r>
      <w:rPr>
        <w:noProof/>
      </w:rPr>
      <w:fldChar w:fldCharType="begin"/>
    </w:r>
    <w:r>
      <w:rPr>
        <w:noProof/>
      </w:rPr>
      <w:instrText xml:space="preserve"> STYLEREF  "Heading 1 (#)" \n \w  \* MERGEFORMAT </w:instrText>
    </w:r>
    <w:r>
      <w:rPr>
        <w:noProof/>
      </w:rPr>
      <w:fldChar w:fldCharType="separate"/>
    </w:r>
    <w:r w:rsidR="003C212D">
      <w:rPr>
        <w:noProof/>
      </w:rPr>
      <w:t>3</w:t>
    </w:r>
    <w:r>
      <w:rPr>
        <w:noProof/>
      </w:rPr>
      <w:fldChar w:fldCharType="end"/>
    </w:r>
    <w:r>
      <w:rPr>
        <w:noProof/>
      </w:rPr>
      <w:t xml:space="preserve">. </w:t>
    </w:r>
    <w:fldSimple w:instr=" STYLEREF  &quot;Heading 1 (#)&quot;  \* MERGEFORMAT ">
      <w:r w:rsidR="003C212D">
        <w:rPr>
          <w:noProof/>
        </w:rPr>
        <w:t>THE COST OF DELIVERING SERVICES</w:t>
      </w:r>
    </w:fldSimple>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7839E2">
    <w:r>
      <w:rPr>
        <w:noProof/>
        <w:lang w:eastAsia="en-AU"/>
      </w:rPr>
      <mc:AlternateContent>
        <mc:Choice Requires="wps">
          <w:drawing>
            <wp:anchor distT="0" distB="0" distL="114300" distR="114300" simplePos="0" relativeHeight="251666432" behindDoc="0" locked="0" layoutInCell="1" allowOverlap="1" wp14:anchorId="3034BA2C" wp14:editId="71D6FBCE">
              <wp:simplePos x="0" y="0"/>
              <wp:positionH relativeFrom="column">
                <wp:posOffset>9271000</wp:posOffset>
              </wp:positionH>
              <wp:positionV relativeFrom="paragraph">
                <wp:posOffset>306070</wp:posOffset>
              </wp:positionV>
              <wp:extent cx="396000" cy="6192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7839E2">
                          <w:pPr>
                            <w:pStyle w:val="Header"/>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p>
                        <w:p w:rsidR="00A4241D" w:rsidRDefault="00A4241D" w:rsidP="007839E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63" type="#_x0000_t202" style="position:absolute;margin-left:730pt;margin-top:24.1pt;width:31.2pt;height:48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" filled="f" stroked="f" strokeweight=".5pt">
              <v:textbox style="layout-flow:vertical">
                <w:txbxContent>
                  <w:p w:rsidR="00A4241D" w:rsidRDefault="00A4241D" w:rsidP="007839E2">
                    <w:pPr>
                      <w:pStyle w:val="Header"/>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p>
                  <w:p w:rsidR="00A4241D" w:rsidRDefault="00A4241D" w:rsidP="007839E2">
                    <w:pPr>
                      <w:pStyle w:val="Heade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7839E2">
    <w:r>
      <w:rPr>
        <w:noProof/>
        <w:lang w:eastAsia="en-AU"/>
      </w:rPr>
      <mc:AlternateContent>
        <mc:Choice Requires="wps">
          <w:drawing>
            <wp:anchor distT="0" distB="0" distL="114300" distR="114300" simplePos="0" relativeHeight="251665408" behindDoc="0" locked="0" layoutInCell="1" allowOverlap="1" wp14:anchorId="5F86F529" wp14:editId="57781251">
              <wp:simplePos x="0" y="0"/>
              <wp:positionH relativeFrom="column">
                <wp:posOffset>9271000</wp:posOffset>
              </wp:positionH>
              <wp:positionV relativeFrom="paragraph">
                <wp:posOffset>306070</wp:posOffset>
              </wp:positionV>
              <wp:extent cx="396000" cy="6192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FD0181">
                          <w:pPr>
                            <w:pStyle w:val="Header"/>
                            <w:jc w:val="right"/>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64" type="#_x0000_t202" style="position:absolute;margin-left:730pt;margin-top:24.1pt;width:31.2pt;height:48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" filled="f" stroked="f" strokeweight=".5pt">
              <v:textbox style="layout-flow:vertical">
                <w:txbxContent>
                  <w:p w:rsidR="00A4241D" w:rsidRDefault="00A4241D" w:rsidP="00FD0181">
                    <w:pPr>
                      <w:pStyle w:val="Header"/>
                      <w:jc w:val="right"/>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BF77B6" w:rsidP="00D0431C">
    <w:pPr>
      <w:pStyle w:val="Header"/>
    </w:pPr>
    <w:fldSimple w:instr=" STYLEREF  &quot;Heading 1 (#)&quot;  \* MERGEFORMAT ">
      <w:r w:rsidR="00F63B17">
        <w:rPr>
          <w:noProof/>
        </w:rPr>
        <w:t>DISAGGREGATED FINANCIAL INFORMATION BY OUTPUT</w:t>
      </w:r>
    </w:fldSimple>
    <w:r w:rsidR="00A4241D">
      <w:rPr>
        <w:noProof/>
        <w:lang w:eastAsia="en-AU"/>
      </w:rPr>
      <mc:AlternateContent>
        <mc:Choice Requires="wps">
          <w:drawing>
            <wp:anchor distT="0" distB="0" distL="114300" distR="114300" simplePos="0" relativeHeight="251676672" behindDoc="0" locked="0" layoutInCell="1" allowOverlap="1" wp14:anchorId="2D279ACE" wp14:editId="636A94A5">
              <wp:simplePos x="0" y="0"/>
              <wp:positionH relativeFrom="column">
                <wp:posOffset>9269910</wp:posOffset>
              </wp:positionH>
              <wp:positionV relativeFrom="paragraph">
                <wp:posOffset>276960</wp:posOffset>
              </wp:positionV>
              <wp:extent cx="396000" cy="6192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7839E2">
                          <w:pPr>
                            <w:pStyle w:val="Header"/>
                          </w:pPr>
                        </w:p>
                        <w:p w:rsidR="00A4241D" w:rsidRDefault="00A4241D" w:rsidP="007839E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67" type="#_x0000_t202" style="position:absolute;margin-left:729.9pt;margin-top:21.8pt;width:31.2pt;height:487.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" filled="f" stroked="f" strokeweight=".5pt">
              <v:textbox style="layout-flow:vertical">
                <w:txbxContent>
                  <w:p w:rsidR="00A4241D" w:rsidRDefault="00A4241D" w:rsidP="007839E2">
                    <w:pPr>
                      <w:pStyle w:val="Header"/>
                    </w:pPr>
                  </w:p>
                  <w:p w:rsidR="00A4241D" w:rsidRDefault="00A4241D" w:rsidP="007839E2">
                    <w:pPr>
                      <w:pStyle w:val="Header"/>
                    </w:pP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D0431C">
    <w:pPr>
      <w:pStyle w:val="Header"/>
      <w:jc w:val="right"/>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r>
      <w:rPr>
        <w:noProof/>
        <w:lang w:eastAsia="en-AU"/>
      </w:rPr>
      <mc:AlternateContent>
        <mc:Choice Requires="wps">
          <w:drawing>
            <wp:anchor distT="0" distB="0" distL="114300" distR="114300" simplePos="0" relativeHeight="251688960" behindDoc="0" locked="0" layoutInCell="1" allowOverlap="1" wp14:anchorId="05982CAD" wp14:editId="39F695BB">
              <wp:simplePos x="0" y="0"/>
              <wp:positionH relativeFrom="column">
                <wp:posOffset>9269910</wp:posOffset>
              </wp:positionH>
              <wp:positionV relativeFrom="paragraph">
                <wp:posOffset>276960</wp:posOffset>
              </wp:positionV>
              <wp:extent cx="396000" cy="6192000"/>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7839E2">
                          <w:pPr>
                            <w:pStyle w:val="Header"/>
                            <w:jc w:val="right"/>
                          </w:pPr>
                        </w:p>
                        <w:p w:rsidR="00A4241D" w:rsidRDefault="00A4241D" w:rsidP="007839E2">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4" o:spid="_x0000_s1068" type="#_x0000_t202" style="position:absolute;left:0;text-align:left;margin-left:729.9pt;margin-top:21.8pt;width:31.2pt;height:487.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" filled="f" stroked="f" strokeweight=".5pt">
              <v:textbox style="layout-flow:vertical">
                <w:txbxContent>
                  <w:p w:rsidR="00A4241D" w:rsidRDefault="00A4241D" w:rsidP="007839E2">
                    <w:pPr>
                      <w:pStyle w:val="Header"/>
                      <w:jc w:val="right"/>
                    </w:pPr>
                  </w:p>
                  <w:p w:rsidR="00A4241D" w:rsidRDefault="00A4241D" w:rsidP="007839E2">
                    <w:pPr>
                      <w:pStyle w:val="Header"/>
                      <w:jc w:val="right"/>
                    </w:pP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7839E2">
    <w:r>
      <w:rPr>
        <w:noProof/>
        <w:lang w:eastAsia="en-AU"/>
      </w:rPr>
      <mc:AlternateContent>
        <mc:Choice Requires="wps">
          <w:drawing>
            <wp:anchor distT="0" distB="0" distL="114300" distR="114300" simplePos="0" relativeHeight="251684864" behindDoc="0" locked="0" layoutInCell="1" allowOverlap="1" wp14:anchorId="068FE961" wp14:editId="59F8DC78">
              <wp:simplePos x="0" y="0"/>
              <wp:positionH relativeFrom="column">
                <wp:posOffset>9271000</wp:posOffset>
              </wp:positionH>
              <wp:positionV relativeFrom="paragraph">
                <wp:posOffset>306070</wp:posOffset>
              </wp:positionV>
              <wp:extent cx="396000" cy="6192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7839E2">
                          <w:pPr>
                            <w:pStyle w:val="Header"/>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p>
                        <w:p w:rsidR="00A4241D" w:rsidRDefault="00A4241D" w:rsidP="007839E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69" type="#_x0000_t202" style="position:absolute;margin-left:730pt;margin-top:24.1pt;width:31.2pt;height:48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" filled="f" stroked="f" strokeweight=".5pt">
              <v:textbox style="layout-flow:vertical">
                <w:txbxContent>
                  <w:p w:rsidR="00A4241D" w:rsidRDefault="00A4241D" w:rsidP="007839E2">
                    <w:pPr>
                      <w:pStyle w:val="Header"/>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p>
                  <w:p w:rsidR="00A4241D" w:rsidRDefault="00A4241D" w:rsidP="007839E2">
                    <w:pPr>
                      <w:pStyle w:val="Header"/>
                    </w:pP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7839E2" w:rsidRDefault="00A4241D" w:rsidP="007839E2">
    <w:r>
      <w:rPr>
        <w:noProof/>
        <w:lang w:eastAsia="en-AU"/>
      </w:rPr>
      <mc:AlternateContent>
        <mc:Choice Requires="wps">
          <w:drawing>
            <wp:anchor distT="0" distB="0" distL="114300" distR="114300" simplePos="0" relativeHeight="251680768" behindDoc="0" locked="0" layoutInCell="1" allowOverlap="1" wp14:anchorId="3B2EC435" wp14:editId="0C29EC37">
              <wp:simplePos x="0" y="0"/>
              <wp:positionH relativeFrom="column">
                <wp:posOffset>9271000</wp:posOffset>
              </wp:positionH>
              <wp:positionV relativeFrom="paragraph">
                <wp:posOffset>306070</wp:posOffset>
              </wp:positionV>
              <wp:extent cx="396000" cy="619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7839E2">
                          <w:pPr>
                            <w:pStyle w:val="Header"/>
                            <w:jc w:val="right"/>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p>
                        <w:p w:rsidR="00A4241D" w:rsidRDefault="00A4241D" w:rsidP="007839E2">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70" type="#_x0000_t202" style="position:absolute;margin-left:730pt;margin-top:24.1pt;width:31.2pt;height:48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" filled="f" stroked="f" strokeweight=".5pt">
              <v:textbox style="layout-flow:vertical">
                <w:txbxContent>
                  <w:p w:rsidR="00A4241D" w:rsidRDefault="00A4241D" w:rsidP="007839E2">
                    <w:pPr>
                      <w:pStyle w:val="Header"/>
                      <w:jc w:val="right"/>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p>
                  <w:p w:rsidR="00A4241D" w:rsidRDefault="00A4241D" w:rsidP="007839E2">
                    <w:pPr>
                      <w:pStyle w:val="Header"/>
                      <w:jc w:val="right"/>
                    </w:pP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D0431C">
    <w:pPr>
      <w:pStyle w:val="Header"/>
      <w:jc w:val="right"/>
    </w:pPr>
    <w:r>
      <w:rPr>
        <w:noProof/>
      </w:rPr>
      <w:fldChar w:fldCharType="begin"/>
    </w:r>
    <w:r>
      <w:rPr>
        <w:noProof/>
      </w:rPr>
      <w:instrText xml:space="preserve"> STYLEREF  "Heading 1 (#)" \n \w  \* MERGEFORMAT </w:instrText>
    </w:r>
    <w:r>
      <w:rPr>
        <w:noProof/>
      </w:rPr>
      <w:fldChar w:fldCharType="separate"/>
    </w:r>
    <w:r w:rsidR="003C212D">
      <w:rPr>
        <w:noProof/>
      </w:rPr>
      <w:t>4</w:t>
    </w:r>
    <w:r>
      <w:rPr>
        <w:noProof/>
      </w:rPr>
      <w:fldChar w:fldCharType="end"/>
    </w:r>
    <w:r>
      <w:rPr>
        <w:noProof/>
      </w:rPr>
      <w:t xml:space="preserve">. </w:t>
    </w:r>
    <w:fldSimple w:instr=" STYLEREF  &quot;Heading 1 (#)&quot;  \* MERGEFORMAT ">
      <w:r w:rsidR="003C212D">
        <w:rPr>
          <w:noProof/>
        </w:rPr>
        <w:t>DISAGGREGATED FINANCIAL INFORMATION BY OUTPUT</w:t>
      </w:r>
    </w:fldSimple>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60291" w:rsidRDefault="00A4241D" w:rsidP="00B60291">
    <w:r>
      <w:rPr>
        <w:noProof/>
        <w:lang w:eastAsia="en-AU"/>
      </w:rPr>
      <mc:AlternateContent>
        <mc:Choice Requires="wps">
          <w:drawing>
            <wp:anchor distT="0" distB="0" distL="114300" distR="114300" simplePos="0" relativeHeight="251696128" behindDoc="0" locked="0" layoutInCell="1" allowOverlap="1" wp14:anchorId="2D38E1CD" wp14:editId="7A3B4AAA">
              <wp:simplePos x="0" y="0"/>
              <wp:positionH relativeFrom="column">
                <wp:posOffset>9271000</wp:posOffset>
              </wp:positionH>
              <wp:positionV relativeFrom="paragraph">
                <wp:posOffset>306070</wp:posOffset>
              </wp:positionV>
              <wp:extent cx="396000" cy="6192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A1717E">
                          <w:pPr>
                            <w:pStyle w:val="Header"/>
                          </w:pPr>
                          <w:r>
                            <w:rPr>
                              <w:noProof/>
                            </w:rPr>
                            <w:fldChar w:fldCharType="begin"/>
                          </w:r>
                          <w:r>
                            <w:rPr>
                              <w:noProof/>
                            </w:rPr>
                            <w:instrText xml:space="preserve"> STYLEREF  "Heading 1 (#)" \n \w  \* MERGEFORMAT </w:instrText>
                          </w:r>
                          <w:r>
                            <w:rPr>
                              <w:noProof/>
                            </w:rPr>
                            <w:fldChar w:fldCharType="separate"/>
                          </w:r>
                          <w:r w:rsidR="00BF77B6">
                            <w:rPr>
                              <w:noProof/>
                            </w:rPr>
                            <w:t>5</w:t>
                          </w:r>
                          <w:r>
                            <w:rPr>
                              <w:noProof/>
                            </w:rPr>
                            <w:fldChar w:fldCharType="end"/>
                          </w:r>
                          <w:r>
                            <w:rPr>
                              <w:noProof/>
                            </w:rPr>
                            <w:t xml:space="preserve">. </w:t>
                          </w:r>
                          <w:fldSimple w:instr=" STYLEREF  &quot;Heading 1 (#)&quot;  \* MERGEFORMAT ">
                            <w:r w:rsidR="00BF77B6">
                              <w:rPr>
                                <w:noProof/>
                              </w:rPr>
                              <w:t>KEY ASSETS AVAILABLE TO SUPPORT OUTPUT DELIVERY</w:t>
                            </w:r>
                          </w:fldSimple>
                        </w:p>
                        <w:p w:rsidR="00A4241D" w:rsidRDefault="00A4241D" w:rsidP="00FD0181">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73" type="#_x0000_t202" style="position:absolute;margin-left:730pt;margin-top:24.1pt;width:31.2pt;height:48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" filled="f" stroked="f" strokeweight=".5pt">
              <v:textbox style="layout-flow:vertical">
                <w:txbxContent>
                  <w:p w:rsidR="00A4241D" w:rsidRDefault="00A4241D" w:rsidP="00A1717E">
                    <w:pPr>
                      <w:pStyle w:val="Header"/>
                    </w:pPr>
                    <w:r>
                      <w:rPr>
                        <w:noProof/>
                      </w:rPr>
                      <w:fldChar w:fldCharType="begin"/>
                    </w:r>
                    <w:r>
                      <w:rPr>
                        <w:noProof/>
                      </w:rPr>
                      <w:instrText xml:space="preserve"> STYLEREF  "Heading 1 (#)" \n \w  \* MERGEFORMAT </w:instrText>
                    </w:r>
                    <w:r>
                      <w:rPr>
                        <w:noProof/>
                      </w:rPr>
                      <w:fldChar w:fldCharType="separate"/>
                    </w:r>
                    <w:r w:rsidR="00BF77B6">
                      <w:rPr>
                        <w:noProof/>
                      </w:rPr>
                      <w:t>5</w:t>
                    </w:r>
                    <w:r>
                      <w:rPr>
                        <w:noProof/>
                      </w:rPr>
                      <w:fldChar w:fldCharType="end"/>
                    </w:r>
                    <w:r>
                      <w:rPr>
                        <w:noProof/>
                      </w:rPr>
                      <w:t xml:space="preserve">. </w:t>
                    </w:r>
                    <w:r w:rsidR="00BF77B6">
                      <w:fldChar w:fldCharType="begin"/>
                    </w:r>
                    <w:r w:rsidR="00BF77B6">
                      <w:instrText xml:space="preserve"> STYLEREF  "Heading 1 (#)"  \* MERGEFORMAT </w:instrText>
                    </w:r>
                    <w:r w:rsidR="00BF77B6">
                      <w:fldChar w:fldCharType="separate"/>
                    </w:r>
                    <w:r w:rsidR="00BF77B6">
                      <w:rPr>
                        <w:noProof/>
                      </w:rPr>
                      <w:t>KEY ASSETS AVAILABLE TO SUPPORT OUTPUT DELIVERY</w:t>
                    </w:r>
                    <w:r w:rsidR="00BF77B6">
                      <w:rPr>
                        <w:noProof/>
                      </w:rPr>
                      <w:fldChar w:fldCharType="end"/>
                    </w:r>
                  </w:p>
                  <w:p w:rsidR="00A4241D" w:rsidRDefault="00A4241D" w:rsidP="00FD0181">
                    <w:pPr>
                      <w:pStyle w:val="Header"/>
                      <w:jc w:val="right"/>
                    </w:pPr>
                  </w:p>
                </w:txbxContent>
              </v:textbox>
            </v:shape>
          </w:pict>
        </mc:Fallback>
      </mc:AlternateContent>
    </w:r>
    <w:r>
      <w:rPr>
        <w:noProof/>
        <w:lang w:eastAsia="en-AU"/>
      </w:rPr>
      <mc:AlternateContent>
        <mc:Choice Requires="wps">
          <w:drawing>
            <wp:anchor distT="0" distB="0" distL="114300" distR="114300" simplePos="0" relativeHeight="251670528" behindDoc="0" locked="0" layoutInCell="1" allowOverlap="1" wp14:anchorId="4FAC49C0" wp14:editId="1F963D78">
              <wp:simplePos x="0" y="0"/>
              <wp:positionH relativeFrom="column">
                <wp:posOffset>9269910</wp:posOffset>
              </wp:positionH>
              <wp:positionV relativeFrom="paragraph">
                <wp:posOffset>276960</wp:posOffset>
              </wp:positionV>
              <wp:extent cx="396000" cy="6192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B60291">
                          <w:pPr>
                            <w:pStyle w:val="Header"/>
                          </w:pPr>
                        </w:p>
                        <w:p w:rsidR="00A4241D" w:rsidRDefault="00A4241D" w:rsidP="00B60291">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74" type="#_x0000_t202" style="position:absolute;margin-left:729.9pt;margin-top:21.8pt;width:31.2pt;height:487.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" filled="f" stroked="f" strokeweight=".5pt">
              <v:textbox style="layout-flow:vertical">
                <w:txbxContent>
                  <w:p w:rsidR="00A4241D" w:rsidRDefault="00A4241D" w:rsidP="00B60291">
                    <w:pPr>
                      <w:pStyle w:val="Header"/>
                    </w:pPr>
                  </w:p>
                  <w:p w:rsidR="00A4241D" w:rsidRDefault="00A4241D" w:rsidP="00B60291">
                    <w:pPr>
                      <w:pStyle w:val="Header"/>
                    </w:pP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B60291" w:rsidRDefault="00A4241D" w:rsidP="00B60291">
    <w:r>
      <w:rPr>
        <w:noProof/>
        <w:lang w:eastAsia="en-AU"/>
      </w:rPr>
      <mc:AlternateContent>
        <mc:Choice Requires="wps">
          <w:drawing>
            <wp:anchor distT="0" distB="0" distL="114300" distR="114300" simplePos="0" relativeHeight="251669504" behindDoc="0" locked="0" layoutInCell="1" allowOverlap="1" wp14:anchorId="61C0DB97" wp14:editId="3EB51622">
              <wp:simplePos x="0" y="0"/>
              <wp:positionH relativeFrom="column">
                <wp:posOffset>9269910</wp:posOffset>
              </wp:positionH>
              <wp:positionV relativeFrom="paragraph">
                <wp:posOffset>276960</wp:posOffset>
              </wp:positionV>
              <wp:extent cx="396000" cy="6192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B60291">
                          <w:pPr>
                            <w:pStyle w:val="Header"/>
                            <w:jc w:val="right"/>
                          </w:pPr>
                        </w:p>
                        <w:p w:rsidR="00A4241D" w:rsidRDefault="00A4241D" w:rsidP="00B60291">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75" type="#_x0000_t202" style="position:absolute;margin-left:729.9pt;margin-top:21.8pt;width:31.2pt;height:487.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" filled="f" stroked="f" strokeweight=".5pt">
              <v:textbox style="layout-flow:vertical">
                <w:txbxContent>
                  <w:p w:rsidR="00A4241D" w:rsidRDefault="00A4241D" w:rsidP="00B60291">
                    <w:pPr>
                      <w:pStyle w:val="Header"/>
                      <w:jc w:val="right"/>
                    </w:pPr>
                  </w:p>
                  <w:p w:rsidR="00A4241D" w:rsidRDefault="00A4241D" w:rsidP="00B60291">
                    <w:pPr>
                      <w:pStyle w:val="Header"/>
                      <w:jc w:val="right"/>
                    </w:pP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r>
      <w:rPr>
        <w:noProof/>
      </w:rPr>
      <w:fldChar w:fldCharType="begin"/>
    </w:r>
    <w:r>
      <w:rPr>
        <w:noProof/>
      </w:rPr>
      <w:instrText xml:space="preserve"> STYLEREF  "Heading 1 (#)" \n \w  \* MERGEFORMAT </w:instrText>
    </w:r>
    <w:r>
      <w:rPr>
        <w:noProof/>
      </w:rPr>
      <w:fldChar w:fldCharType="separate"/>
    </w:r>
    <w:r w:rsidR="00BF77B6">
      <w:rPr>
        <w:noProof/>
      </w:rPr>
      <w:t>5</w:t>
    </w:r>
    <w:r>
      <w:rPr>
        <w:noProof/>
      </w:rPr>
      <w:fldChar w:fldCharType="end"/>
    </w:r>
    <w:r>
      <w:rPr>
        <w:noProof/>
      </w:rPr>
      <w:t xml:space="preserve">. </w:t>
    </w:r>
    <w:fldSimple w:instr=" STYLEREF  &quot;Heading 1 (#)&quot;  \* MERGEFORMAT ">
      <w:r w:rsidR="00BF77B6">
        <w:rPr>
          <w:noProof/>
        </w:rPr>
        <w:t>KEY ASSETS AVAILABLE TO SUPPORT OUTPUT DELIVERY</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BF77B6" w:rsidP="00EB6480">
    <w:pPr>
      <w:pStyle w:val="Header"/>
      <w:jc w:val="right"/>
    </w:pPr>
    <w:fldSimple w:instr=" STYLEREF  &quot;Heading 1&quot;  \* MERGEFORMAT ">
      <w:r w:rsidR="00F63B17">
        <w:rPr>
          <w:noProof/>
        </w:rPr>
        <w:t>Introduction</w:t>
      </w:r>
    </w:fldSimple>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FD0181">
    <w:pPr>
      <w:pStyle w:val="Header"/>
      <w:jc w:val="right"/>
    </w:pPr>
    <w:r>
      <w:rPr>
        <w:noProof/>
      </w:rPr>
      <w:fldChar w:fldCharType="begin"/>
    </w:r>
    <w:r>
      <w:rPr>
        <w:noProof/>
      </w:rPr>
      <w:instrText xml:space="preserve"> STYLEREF  "Heading 1 (#)" \n \w  \* MERGEFORMAT </w:instrText>
    </w:r>
    <w:r>
      <w:rPr>
        <w:noProof/>
      </w:rPr>
      <w:fldChar w:fldCharType="separate"/>
    </w:r>
    <w:r w:rsidR="00BF77B6">
      <w:rPr>
        <w:noProof/>
      </w:rPr>
      <w:t>5</w:t>
    </w:r>
    <w:r>
      <w:rPr>
        <w:noProof/>
      </w:rPr>
      <w:fldChar w:fldCharType="end"/>
    </w:r>
    <w:r>
      <w:rPr>
        <w:noProof/>
      </w:rPr>
      <w:t xml:space="preserve">. </w:t>
    </w:r>
    <w:fldSimple w:instr=" STYLEREF  &quot;Heading 1 (#)&quot;  \* MERGEFORMAT ">
      <w:r w:rsidR="00BF77B6">
        <w:rPr>
          <w:noProof/>
        </w:rPr>
        <w:t>KEY ASSETS AVAILABLE TO SUPPORT OUTPUT DELIVERY</w:t>
      </w:r>
    </w:fldSimple>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FD0181" w:rsidRDefault="00A4241D" w:rsidP="00FD0181">
    <w:pPr>
      <w:pStyle w:val="Header"/>
      <w:jc w:val="right"/>
    </w:pPr>
    <w:r>
      <w:rPr>
        <w:noProof/>
      </w:rPr>
      <w:fldChar w:fldCharType="begin"/>
    </w:r>
    <w:r>
      <w:rPr>
        <w:noProof/>
      </w:rPr>
      <w:instrText xml:space="preserve"> STYLEREF  "Heading 1 (#)" \n \w  \* MERGEFORMAT </w:instrText>
    </w:r>
    <w:r>
      <w:rPr>
        <w:noProof/>
      </w:rPr>
      <w:fldChar w:fldCharType="separate"/>
    </w:r>
    <w:r w:rsidR="00BF77B6">
      <w:rPr>
        <w:noProof/>
      </w:rPr>
      <w:t>5</w:t>
    </w:r>
    <w:r>
      <w:rPr>
        <w:noProof/>
      </w:rPr>
      <w:fldChar w:fldCharType="end"/>
    </w:r>
    <w:r>
      <w:rPr>
        <w:noProof/>
      </w:rPr>
      <w:t xml:space="preserve">. </w:t>
    </w:r>
    <w:fldSimple w:instr=" STYLEREF  &quot;Heading 1 (#)&quot;  \* MERGEFORMAT ">
      <w:r w:rsidR="00BF77B6">
        <w:rPr>
          <w:noProof/>
        </w:rPr>
        <w:t>KEY ASSETS AVAILABLE TO SUPPORT OUTPUT DELIVERY</w:t>
      </w:r>
    </w:fldSimple>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FD0181" w:rsidRDefault="00A4241D" w:rsidP="00FD0181">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BF77B6">
    <w:pPr>
      <w:pStyle w:val="Header"/>
    </w:pPr>
    <w:fldSimple w:instr=" STYLEREF  &quot;Heading 1 (#)&quot;  \* MERGEFORMAT ">
      <w:r w:rsidR="00F63B17">
        <w:rPr>
          <w:noProof/>
        </w:rPr>
        <w:t>OTHER ASSETS AND LIABILITIES</w:t>
      </w:r>
    </w:fldSimple>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D8218E">
    <w:pPr>
      <w:pStyle w:val="Header"/>
      <w:ind w:left="720" w:hanging="720"/>
      <w:jc w:val="righ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r>
      <w:rPr>
        <w:noProof/>
      </w:rPr>
      <w:fldChar w:fldCharType="begin"/>
    </w:r>
    <w:r>
      <w:rPr>
        <w:noProof/>
      </w:rPr>
      <w:instrText xml:space="preserve"> STYLEREF  "Heading 1 (#)" \n \w  \* MERGEFORMAT </w:instrText>
    </w:r>
    <w:r>
      <w:rPr>
        <w:noProof/>
      </w:rPr>
      <w:fldChar w:fldCharType="separate"/>
    </w:r>
    <w:r w:rsidR="00BF77B6">
      <w:rPr>
        <w:noProof/>
      </w:rPr>
      <w:t>9</w:t>
    </w:r>
    <w:r>
      <w:rPr>
        <w:noProof/>
      </w:rPr>
      <w:fldChar w:fldCharType="end"/>
    </w:r>
    <w:r>
      <w:rPr>
        <w:noProof/>
      </w:rPr>
      <w:t xml:space="preserve">. </w:t>
    </w:r>
    <w:fldSimple w:instr=" STYLEREF  &quot;Heading 1 (#)&quot;  \* MERGEFORMAT ">
      <w:r w:rsidR="00BF77B6">
        <w:rPr>
          <w:noProof/>
        </w:rPr>
        <w:t>OTHER DISCLOSURES</w:t>
      </w:r>
    </w:fldSimple>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D8218E">
    <w:pPr>
      <w:pStyle w:val="Header"/>
      <w:ind w:left="720" w:hanging="720"/>
      <w:jc w:val="right"/>
    </w:pPr>
    <w:r>
      <w:rPr>
        <w:noProof/>
      </w:rPr>
      <w:fldChar w:fldCharType="begin"/>
    </w:r>
    <w:r>
      <w:rPr>
        <w:noProof/>
      </w:rPr>
      <w:instrText xml:space="preserve"> STYLEREF  "Heading 1 (#)" \n \w  \* MERGEFORMAT </w:instrText>
    </w:r>
    <w:r>
      <w:rPr>
        <w:noProof/>
      </w:rPr>
      <w:fldChar w:fldCharType="separate"/>
    </w:r>
    <w:r w:rsidR="00BF77B6">
      <w:rPr>
        <w:noProof/>
      </w:rPr>
      <w:t>9</w:t>
    </w:r>
    <w:r>
      <w:rPr>
        <w:noProof/>
      </w:rPr>
      <w:fldChar w:fldCharType="end"/>
    </w:r>
    <w:r>
      <w:rPr>
        <w:noProof/>
      </w:rPr>
      <w:t xml:space="preserve">. </w:t>
    </w:r>
    <w:fldSimple w:instr=" STYLEREF  &quot;Heading 1 (#)&quot;  \* MERGEFORMAT ">
      <w:r w:rsidR="00BF77B6">
        <w:rPr>
          <w:noProof/>
        </w:rPr>
        <w:t>OTHER DISCLOSURES</w:t>
      </w:r>
    </w:fldSimple>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r>
      <w:rPr>
        <w:noProof/>
      </w:rPr>
      <w:t>Guidance section 1</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D8218E">
    <w:pPr>
      <w:pStyle w:val="Header"/>
      <w:ind w:left="720" w:hanging="720"/>
      <w:jc w:val="right"/>
    </w:pPr>
    <w:r>
      <w:rPr>
        <w:noProof/>
      </w:rPr>
      <w:t>Guidance section 1</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r>
      <w:rPr>
        <w:noProof/>
      </w:rPr>
      <w:t>Guidance section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26286F" w:rsidRDefault="00A4241D">
    <w:pPr>
      <w:pStyle w:val="Header"/>
      <w:rPr>
        <w:b w:val="0"/>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26286F" w:rsidRDefault="00A4241D">
    <w:pPr>
      <w:pStyle w:val="Header"/>
      <w:rPr>
        <w:b w:val="0"/>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26286F" w:rsidRDefault="00A4241D">
    <w:pPr>
      <w:pStyle w:val="Header"/>
      <w:rPr>
        <w:b w:val="0"/>
      </w:rPr>
    </w:pPr>
    <w:r w:rsidRPr="00CC43A8">
      <w:t>A</w:t>
    </w:r>
    <w:r>
      <w:t>ppendix 1</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26286F" w:rsidRDefault="00A4241D" w:rsidP="002C2301">
    <w:pPr>
      <w:pStyle w:val="Header"/>
      <w:jc w:val="right"/>
      <w:rPr>
        <w:b w:val="0"/>
      </w:rPr>
    </w:pPr>
    <w:r w:rsidRPr="00CC43A8">
      <w:t>A</w:t>
    </w:r>
    <w:r>
      <w:t>ppendix 1</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935B60" w:rsidRDefault="00A4241D" w:rsidP="00F042B6">
    <w:pPr>
      <w:pStyle w:val="Header"/>
      <w:rPr>
        <w:b w:val="0"/>
        <w:bCs/>
      </w:rPr>
    </w:pPr>
    <w:r>
      <w:rPr>
        <w:noProof/>
        <w:lang w:eastAsia="en-AU"/>
      </w:rPr>
      <mc:AlternateContent>
        <mc:Choice Requires="wps">
          <w:drawing>
            <wp:anchor distT="0" distB="0" distL="114300" distR="114300" simplePos="0" relativeHeight="251743232" behindDoc="0" locked="0" layoutInCell="1" allowOverlap="0" wp14:anchorId="0C47050C" wp14:editId="1B994825">
              <wp:simplePos x="0" y="0"/>
              <wp:positionH relativeFrom="page">
                <wp:posOffset>1536065</wp:posOffset>
              </wp:positionH>
              <wp:positionV relativeFrom="page">
                <wp:posOffset>667385</wp:posOffset>
              </wp:positionV>
              <wp:extent cx="0" cy="9427464"/>
              <wp:effectExtent l="0" t="0" r="19050" b="21590"/>
              <wp:wrapNone/>
              <wp:docPr id="245"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QR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CJuZQRFQIAAC0EAAAOAAAAAAAAAAAAAAAAAC4CAABkcnMvZTJvRG9jLnhtbFBLAQItABQABgAI&#10;AAAAIQB/2yIc3wAAAAwBAAAPAAAAAAAAAAAAAAAAAG8EAABkcnMvZG93bnJldi54bWxQSwUGAAAA&#10;AAQABADzAAAAewUAAAAA&#10;" o:allowoverlap="f">
              <w10:wrap anchorx="page" anchory="page"/>
            </v:line>
          </w:pict>
        </mc:Fallback>
      </mc:AlternateContent>
    </w:r>
    <w:r>
      <w:rPr>
        <w:bCs/>
      </w:rPr>
      <w:t>Appendix 2</w:t>
    </w:r>
  </w:p>
  <w:p w:rsidR="00A4241D" w:rsidRPr="005040A2" w:rsidRDefault="00A4241D" w:rsidP="00D44FD4">
    <w:pPr>
      <w:pStyle w:val="Reference"/>
    </w:pPr>
    <w:r>
      <w:t>Source reference</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935B60" w:rsidRDefault="00A4241D" w:rsidP="00F042B6">
    <w:pPr>
      <w:pStyle w:val="Header"/>
      <w:rPr>
        <w:b w:val="0"/>
        <w:bCs/>
      </w:rPr>
    </w:pPr>
    <w:r>
      <w:rPr>
        <w:noProof/>
        <w:lang w:eastAsia="en-AU"/>
      </w:rPr>
      <mc:AlternateContent>
        <mc:Choice Requires="wps">
          <w:drawing>
            <wp:anchor distT="0" distB="0" distL="114300" distR="114300" simplePos="0" relativeHeight="251742208" behindDoc="0" locked="0" layoutInCell="1" allowOverlap="0" wp14:anchorId="6271826A" wp14:editId="37A50795">
              <wp:simplePos x="0" y="0"/>
              <wp:positionH relativeFrom="page">
                <wp:posOffset>1536065</wp:posOffset>
              </wp:positionH>
              <wp:positionV relativeFrom="page">
                <wp:posOffset>667385</wp:posOffset>
              </wp:positionV>
              <wp:extent cx="0" cy="9427464"/>
              <wp:effectExtent l="0" t="0" r="19050" b="21590"/>
              <wp:wrapNone/>
              <wp:docPr id="246"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7n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AdYj7nFQIAAC0EAAAOAAAAAAAAAAAAAAAAAC4CAABkcnMvZTJvRG9jLnhtbFBLAQItABQABgAI&#10;AAAAIQB/2yIc3wAAAAwBAAAPAAAAAAAAAAAAAAAAAG8EAABkcnMvZG93bnJldi54bWxQSwUGAAAA&#10;AAQABADzAAAAewUAAAAA&#10;" o:allowoverlap="f">
              <w10:wrap anchorx="page" anchory="page"/>
            </v:line>
          </w:pict>
        </mc:Fallback>
      </mc:AlternateContent>
    </w:r>
    <w:r>
      <w:rPr>
        <w:bCs/>
      </w:rPr>
      <w:t>Appendix 7</w:t>
    </w:r>
    <w:r w:rsidRPr="00935B60">
      <w:rPr>
        <w:bCs/>
      </w:rPr>
      <w:t xml:space="preserve"> </w:t>
    </w:r>
    <w:r>
      <w:rPr>
        <w:bCs/>
      </w:rPr>
      <w:br/>
    </w:r>
  </w:p>
  <w:p w:rsidR="00A4241D" w:rsidRPr="004C7643" w:rsidRDefault="00A4241D" w:rsidP="00F042B6">
    <w:pPr>
      <w:rPr>
        <w:color w:val="0072CE" w:themeColor="accent4"/>
        <w:sz w:val="14"/>
      </w:rPr>
    </w:pPr>
    <w:r w:rsidRPr="004C7643">
      <w:rPr>
        <w:color w:val="0072CE" w:themeColor="accent4"/>
        <w:sz w:val="14"/>
      </w:rPr>
      <w:t>Source reference</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935B60" w:rsidRDefault="00A4241D" w:rsidP="00F042B6">
    <w:pPr>
      <w:pStyle w:val="Header"/>
      <w:rPr>
        <w:b w:val="0"/>
        <w:bCs/>
      </w:rPr>
    </w:pPr>
    <w:r>
      <w:rPr>
        <w:bCs/>
      </w:rPr>
      <w:t>Appendix 2</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935B60" w:rsidRDefault="00A4241D" w:rsidP="00C82275">
    <w:pPr>
      <w:pStyle w:val="Header"/>
      <w:jc w:val="right"/>
      <w:rPr>
        <w:b w:val="0"/>
        <w:bCs/>
      </w:rPr>
    </w:pPr>
    <w:r>
      <w:rPr>
        <w:bCs/>
      </w:rPr>
      <w:t>Appendix 2</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F042B6">
    <w:r>
      <w:rPr>
        <w:noProof/>
        <w:lang w:eastAsia="en-AU"/>
      </w:rPr>
      <mc:AlternateContent>
        <mc:Choice Requires="wps">
          <w:drawing>
            <wp:anchor distT="0" distB="0" distL="114300" distR="114300" simplePos="0" relativeHeight="251747328" behindDoc="0" locked="0" layoutInCell="1" allowOverlap="1" wp14:anchorId="5120A842" wp14:editId="6CE3D09A">
              <wp:simplePos x="0" y="0"/>
              <wp:positionH relativeFrom="column">
                <wp:posOffset>9269910</wp:posOffset>
              </wp:positionH>
              <wp:positionV relativeFrom="paragraph">
                <wp:posOffset>306070</wp:posOffset>
              </wp:positionV>
              <wp:extent cx="396000" cy="61920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F042B6">
                          <w:pPr>
                            <w:pStyle w:val="Header"/>
                          </w:pPr>
                          <w:r>
                            <w:t>Appendix 2</w:t>
                          </w:r>
                        </w:p>
                        <w:p w:rsidR="00A4241D" w:rsidRDefault="00A4241D"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7" o:spid="_x0000_s1078" type="#_x0000_t202" style="position:absolute;margin-left:729.9pt;margin-top:24.1pt;width:31.2pt;height:48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" filled="f" stroked="f" strokeweight=".5pt">
              <v:textbox style="layout-flow:vertical">
                <w:txbxContent>
                  <w:p w:rsidR="00A4241D" w:rsidRDefault="00A4241D" w:rsidP="00F042B6">
                    <w:pPr>
                      <w:pStyle w:val="Header"/>
                    </w:pPr>
                    <w:r>
                      <w:t>Appendix 2</w:t>
                    </w:r>
                  </w:p>
                  <w:p w:rsidR="00A4241D" w:rsidRDefault="00A4241D" w:rsidP="00F042B6">
                    <w:pPr>
                      <w:pStyle w:val="Header"/>
                    </w:pPr>
                  </w:p>
                </w:txbxContent>
              </v:textbox>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F042B6">
    <w:r>
      <w:rPr>
        <w:noProof/>
        <w:lang w:eastAsia="en-AU"/>
      </w:rPr>
      <mc:AlternateContent>
        <mc:Choice Requires="wps">
          <w:drawing>
            <wp:anchor distT="0" distB="0" distL="114300" distR="114300" simplePos="0" relativeHeight="251746304" behindDoc="0" locked="0" layoutInCell="1" allowOverlap="1" wp14:anchorId="7AC6A1F9" wp14:editId="3140BB3A">
              <wp:simplePos x="0" y="0"/>
              <wp:positionH relativeFrom="column">
                <wp:posOffset>9269910</wp:posOffset>
              </wp:positionH>
              <wp:positionV relativeFrom="paragraph">
                <wp:posOffset>276960</wp:posOffset>
              </wp:positionV>
              <wp:extent cx="396000" cy="619200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F042B6">
                          <w:pPr>
                            <w:pStyle w:val="Header"/>
                            <w:jc w:val="right"/>
                          </w:pPr>
                          <w:r>
                            <w:t>APPENDIX 7</w:t>
                          </w:r>
                        </w:p>
                        <w:p w:rsidR="00A4241D" w:rsidRDefault="00A4241D" w:rsidP="00F042B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8" o:spid="_x0000_s1079" type="#_x0000_t202" style="position:absolute;margin-left:729.9pt;margin-top:21.8pt;width:31.2pt;height:487.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c7AIAAF4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" filled="f" stroked="f" strokeweight=".5pt">
              <v:textbox style="layout-flow:vertical">
                <w:txbxContent>
                  <w:p w:rsidR="00A4241D" w:rsidRDefault="00A4241D" w:rsidP="00F042B6">
                    <w:pPr>
                      <w:pStyle w:val="Header"/>
                      <w:jc w:val="right"/>
                    </w:pPr>
                    <w:r>
                      <w:t>APPENDIX 7</w:t>
                    </w:r>
                  </w:p>
                  <w:p w:rsidR="00A4241D" w:rsidRDefault="00A4241D" w:rsidP="00F042B6">
                    <w:pPr>
                      <w:pStyle w:val="Header"/>
                      <w:jc w:val="right"/>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935322" w:rsidRDefault="00BF77B6" w:rsidP="00935322">
    <w:pPr>
      <w:pStyle w:val="Header"/>
    </w:pPr>
    <w:fldSimple w:instr=" STYLEREF  &quot;Heading 1&quot;  \* MERGEFORMAT ">
      <w:r w:rsidR="003C212D">
        <w:rPr>
          <w:noProof/>
        </w:rPr>
        <w:t>Introduction</w:t>
      </w:r>
    </w:fldSimple>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C43A8" w:rsidRDefault="00A4241D" w:rsidP="00F042B6">
    <w:pPr>
      <w:pStyle w:val="Header"/>
      <w:rPr>
        <w:b w:val="0"/>
      </w:rPr>
    </w:pPr>
    <w:r w:rsidRPr="00CC43A8">
      <w:t>Appendix</w:t>
    </w:r>
    <w:r>
      <w:t xml:space="preserve"> 2</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C43A8" w:rsidRDefault="00A4241D" w:rsidP="00AA329A">
    <w:pPr>
      <w:pStyle w:val="Header"/>
      <w:jc w:val="right"/>
      <w:rPr>
        <w:b w:val="0"/>
      </w:rPr>
    </w:pPr>
    <w:r w:rsidRPr="00CC43A8">
      <w:t>A</w:t>
    </w:r>
    <w:r>
      <w:t>ppendix 2</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663D57" w:rsidRDefault="00A4241D" w:rsidP="00663D57">
    <w:pPr>
      <w:pStyle w:val="AppendixHeading"/>
      <w:pBdr>
        <w:bottom w:val="none" w:sz="0" w:space="0" w:color="auto"/>
      </w:pBdr>
      <w:rPr>
        <w:color w:val="FFFFFF" w:themeColor="background1"/>
        <w:sz w:val="18"/>
      </w:rPr>
    </w:pPr>
    <w:r w:rsidRPr="00663D57">
      <w:rPr>
        <w:noProof/>
        <w:color w:val="FFFFFF" w:themeColor="background1"/>
        <w:sz w:val="18"/>
        <w:lang w:eastAsia="en-AU"/>
      </w:rPr>
      <mc:AlternateContent>
        <mc:Choice Requires="wps">
          <w:drawing>
            <wp:anchor distT="0" distB="0" distL="114300" distR="114300" simplePos="0" relativeHeight="251771904" behindDoc="0" locked="0" layoutInCell="1" allowOverlap="1" wp14:anchorId="1E599FEA" wp14:editId="6F589019">
              <wp:simplePos x="0" y="0"/>
              <wp:positionH relativeFrom="column">
                <wp:posOffset>8550910</wp:posOffset>
              </wp:positionH>
              <wp:positionV relativeFrom="paragraph">
                <wp:posOffset>306070</wp:posOffset>
              </wp:positionV>
              <wp:extent cx="982800" cy="6192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828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Pr="00663D57" w:rsidRDefault="00A4241D" w:rsidP="00663D57">
                          <w:pPr>
                            <w:pStyle w:val="AppendixHeading"/>
                          </w:pPr>
                          <w:bookmarkStart w:id="303" w:name="_Toc478745544"/>
                          <w:bookmarkStart w:id="304" w:name="_Toc479090841"/>
                          <w:r w:rsidRPr="00663D57">
                            <w:t>Appendix 3: Understanding the Independent auditor’s report</w:t>
                          </w:r>
                          <w:bookmarkEnd w:id="303"/>
                          <w:bookmarkEnd w:id="304"/>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81" type="#_x0000_t202" style="position:absolute;margin-left:673.3pt;margin-top:24.1pt;width:77.4pt;height:487.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" filled="f" stroked="f" strokeweight=".5pt">
              <v:textbox style="layout-flow:vertical">
                <w:txbxContent>
                  <w:p w:rsidR="00A4241D" w:rsidRPr="00663D57" w:rsidRDefault="00A4241D" w:rsidP="00663D57">
                    <w:pPr>
                      <w:pStyle w:val="AppendixHeading"/>
                    </w:pPr>
                    <w:bookmarkStart w:id="305" w:name="_Toc478745544"/>
                    <w:bookmarkStart w:id="306" w:name="_Toc479090841"/>
                    <w:r w:rsidRPr="00663D57">
                      <w:t>Appendix 3: Understanding the Independent auditor’s report</w:t>
                    </w:r>
                    <w:bookmarkEnd w:id="305"/>
                    <w:bookmarkEnd w:id="306"/>
                  </w:p>
                </w:txbxContent>
              </v:textbox>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
      <w:rPr>
        <w:noProof/>
        <w:lang w:eastAsia="en-AU"/>
      </w:rPr>
      <mc:AlternateContent>
        <mc:Choice Requires="wps">
          <w:drawing>
            <wp:anchor distT="0" distB="0" distL="114300" distR="114300" simplePos="0" relativeHeight="251767808" behindDoc="0" locked="0" layoutInCell="1" allowOverlap="1" wp14:anchorId="339D02D9" wp14:editId="29830ABC">
              <wp:simplePos x="0" y="0"/>
              <wp:positionH relativeFrom="column">
                <wp:posOffset>9271000</wp:posOffset>
              </wp:positionH>
              <wp:positionV relativeFrom="paragraph">
                <wp:posOffset>306070</wp:posOffset>
              </wp:positionV>
              <wp:extent cx="396000" cy="61920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4E35BA">
                          <w:pPr>
                            <w:pStyle w:val="Header"/>
                            <w:jc w:val="right"/>
                          </w:pPr>
                          <w:r>
                            <w:t>Appendix 3</w:t>
                          </w:r>
                        </w:p>
                        <w:p w:rsidR="00A4241D" w:rsidRDefault="00A4241D" w:rsidP="004E35BA">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8" o:spid="_x0000_s1082" type="#_x0000_t202" style="position:absolute;margin-left:730pt;margin-top:24.1pt;width:31.2pt;height:48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kW7QIAAF4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" filled="f" stroked="f" strokeweight=".5pt">
              <v:textbox style="layout-flow:vertical">
                <w:txbxContent>
                  <w:p w:rsidR="00A4241D" w:rsidRDefault="00A4241D" w:rsidP="004E35BA">
                    <w:pPr>
                      <w:pStyle w:val="Header"/>
                      <w:jc w:val="right"/>
                    </w:pPr>
                    <w:r>
                      <w:t>Appendix 3</w:t>
                    </w:r>
                  </w:p>
                  <w:p w:rsidR="00A4241D" w:rsidRDefault="00A4241D" w:rsidP="004E35BA">
                    <w:pPr>
                      <w:pStyle w:val="Header"/>
                    </w:pPr>
                  </w:p>
                </w:txbxContent>
              </v:textbox>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935B60" w:rsidRDefault="00A4241D" w:rsidP="00F042B6">
    <w:pPr>
      <w:pStyle w:val="Header"/>
      <w:rPr>
        <w:b w:val="0"/>
        <w:bCs/>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C43A8" w:rsidRDefault="00A4241D" w:rsidP="00AA329A">
    <w:pPr>
      <w:pStyle w:val="Header"/>
      <w:rPr>
        <w:b w:val="0"/>
      </w:rPr>
    </w:pPr>
    <w:r w:rsidRPr="00CC43A8">
      <w:t xml:space="preserve">Appendix </w:t>
    </w:r>
    <w:r>
      <w:t>4</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37C0D" w:rsidRDefault="00A4241D" w:rsidP="00AA329A">
    <w:pPr>
      <w:pStyle w:val="Header"/>
      <w:jc w:val="right"/>
      <w:rPr>
        <w:sz w:val="24"/>
        <w:szCs w:val="24"/>
      </w:rPr>
    </w:pPr>
    <w:r w:rsidRPr="00CC43A8">
      <w:t xml:space="preserve">Appendix </w:t>
    </w:r>
    <w:r>
      <w:t>4</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C43A8" w:rsidRDefault="00A4241D" w:rsidP="00AA329A">
    <w:pPr>
      <w:pStyle w:val="Header"/>
      <w:rPr>
        <w:b w:val="0"/>
      </w:rPr>
    </w:pPr>
    <w:r w:rsidRPr="00CC43A8">
      <w:t xml:space="preserve">Appendix </w:t>
    </w:r>
    <w:r>
      <w:t>5</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37C0D" w:rsidRDefault="00A4241D" w:rsidP="00AA329A">
    <w:pPr>
      <w:pStyle w:val="Header"/>
      <w:jc w:val="right"/>
      <w:rPr>
        <w:sz w:val="24"/>
        <w:szCs w:val="24"/>
      </w:rPr>
    </w:pPr>
    <w:r w:rsidRPr="00CC43A8">
      <w:t xml:space="preserve">Appendix </w:t>
    </w:r>
    <w:r>
      <w:t>5</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C43A8" w:rsidRDefault="00A4241D" w:rsidP="00AA329A">
    <w:pPr>
      <w:pStyle w:val="Header"/>
      <w:rPr>
        <w:b w:val="0"/>
      </w:rPr>
    </w:pPr>
    <w:r w:rsidRPr="00CC43A8">
      <w:t xml:space="preserve">Appendix </w:t>
    </w:r>
    <w:r>
      <w:t>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EE3A30" w:rsidRDefault="00BF77B6" w:rsidP="0095112E">
    <w:pPr>
      <w:pStyle w:val="Header"/>
      <w:jc w:val="right"/>
    </w:pPr>
    <w:fldSimple w:instr=" STYLEREF  &quot;Heading 1&quot;  \* MERGEFORMAT ">
      <w:r w:rsidR="003C212D">
        <w:rPr>
          <w:noProof/>
        </w:rPr>
        <w:t>Introduction</w:t>
      </w:r>
    </w:fldSimple>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37C0D" w:rsidRDefault="00A4241D" w:rsidP="00AA329A">
    <w:pPr>
      <w:pStyle w:val="Header"/>
      <w:jc w:val="right"/>
      <w:rPr>
        <w:sz w:val="24"/>
        <w:szCs w:val="24"/>
      </w:rPr>
    </w:pPr>
    <w:r w:rsidRPr="00CC43A8">
      <w:t xml:space="preserve">Appendix </w:t>
    </w:r>
    <w:r>
      <w:t>6</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C43A8" w:rsidRDefault="00A4241D" w:rsidP="00F042B6">
    <w:pPr>
      <w:pStyle w:val="Header"/>
      <w:rPr>
        <w:b w:val="0"/>
      </w:rPr>
    </w:pPr>
    <w:r w:rsidRPr="00CC43A8">
      <w:t xml:space="preserve">Appendix </w:t>
    </w:r>
    <w:r>
      <w:t>5</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C43A8" w:rsidRDefault="00A4241D" w:rsidP="00F042B6">
    <w:pPr>
      <w:pStyle w:val="Header"/>
      <w:rPr>
        <w:b w:val="0"/>
      </w:rPr>
    </w:pPr>
    <w:r w:rsidRPr="00CC43A8">
      <w:t xml:space="preserve">Appendix </w:t>
    </w:r>
    <w:r>
      <w:t>3</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C43A8" w:rsidRDefault="00A4241D" w:rsidP="00F042B6">
    <w:pPr>
      <w:pStyle w:val="Header"/>
      <w:rPr>
        <w:b w:val="0"/>
      </w:rPr>
    </w:pPr>
    <w:r w:rsidRPr="00CC43A8">
      <w:t>A</w:t>
    </w:r>
    <w:r>
      <w:t>ppendix 3</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E6A24" w:rsidRDefault="00A4241D" w:rsidP="00DE6A24">
    <w:pPr>
      <w:pStyle w:val="Header"/>
    </w:pPr>
    <w:r>
      <w:t>Appendix 9</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DE6A24">
    <w:pPr>
      <w:pStyle w:val="Header"/>
      <w:jc w:val="right"/>
    </w:pPr>
    <w:r>
      <w:t>Appendix 9</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935B60" w:rsidRDefault="00A4241D" w:rsidP="00F042B6">
    <w:pPr>
      <w:pStyle w:val="Header"/>
      <w:rPr>
        <w:b w:val="0"/>
        <w:bCs/>
      </w:rPr>
    </w:pPr>
    <w:r>
      <w:rPr>
        <w:noProof/>
        <w:lang w:eastAsia="en-AU"/>
      </w:rPr>
      <mc:AlternateContent>
        <mc:Choice Requires="wps">
          <w:drawing>
            <wp:anchor distT="0" distB="0" distL="114300" distR="114300" simplePos="0" relativeHeight="251776000" behindDoc="0" locked="0" layoutInCell="1" allowOverlap="1" wp14:anchorId="4B2AAB9C" wp14:editId="3F06619B">
              <wp:simplePos x="0" y="0"/>
              <wp:positionH relativeFrom="column">
                <wp:posOffset>9271000</wp:posOffset>
              </wp:positionH>
              <wp:positionV relativeFrom="paragraph">
                <wp:posOffset>306070</wp:posOffset>
              </wp:positionV>
              <wp:extent cx="396000" cy="6192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644EB2">
                          <w:pPr>
                            <w:pStyle w:val="Header"/>
                          </w:pPr>
                          <w:r>
                            <w:t>Appendix 9</w:t>
                          </w:r>
                        </w:p>
                        <w:p w:rsidR="00A4241D" w:rsidRDefault="00A4241D" w:rsidP="00644EB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85" type="#_x0000_t202" style="position:absolute;margin-left:730pt;margin-top:24.1pt;width:31.2pt;height:487.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E47AIAAFwGAAAOAAAAZHJzL2Uyb0RvYy54bWysVV1P2zAUfZ+0/2D5vSQpaS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" filled="f" stroked="f" strokeweight=".5pt">
              <v:textbox style="layout-flow:vertical">
                <w:txbxContent>
                  <w:p w:rsidR="00A4241D" w:rsidRDefault="00A4241D" w:rsidP="00644EB2">
                    <w:pPr>
                      <w:pStyle w:val="Header"/>
                    </w:pPr>
                    <w:r>
                      <w:t>Appendix 9</w:t>
                    </w:r>
                  </w:p>
                  <w:p w:rsidR="00A4241D" w:rsidRDefault="00A4241D" w:rsidP="00644EB2">
                    <w:pPr>
                      <w:pStyle w:val="Header"/>
                    </w:pPr>
                  </w:p>
                </w:txbxContent>
              </v:textbox>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
      <w:rPr>
        <w:noProof/>
        <w:lang w:eastAsia="en-AU"/>
      </w:rPr>
      <mc:AlternateContent>
        <mc:Choice Requires="wps">
          <w:drawing>
            <wp:anchor distT="0" distB="0" distL="114300" distR="114300" simplePos="0" relativeHeight="251773952" behindDoc="0" locked="0" layoutInCell="1" allowOverlap="1" wp14:anchorId="72DB3A4B" wp14:editId="5F5837EB">
              <wp:simplePos x="0" y="0"/>
              <wp:positionH relativeFrom="column">
                <wp:posOffset>9271000</wp:posOffset>
              </wp:positionH>
              <wp:positionV relativeFrom="paragraph">
                <wp:posOffset>306070</wp:posOffset>
              </wp:positionV>
              <wp:extent cx="396000" cy="6192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644EB2">
                          <w:pPr>
                            <w:pStyle w:val="Header"/>
                            <w:jc w:val="right"/>
                          </w:pPr>
                          <w:r>
                            <w:t>Appendix 9</w:t>
                          </w:r>
                        </w:p>
                        <w:p w:rsidR="00A4241D" w:rsidRDefault="00A4241D" w:rsidP="00644EB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86" type="#_x0000_t202" style="position:absolute;margin-left:730pt;margin-top:24.1pt;width:31.2pt;height:487.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ra7A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" filled="f" stroked="f" strokeweight=".5pt">
              <v:textbox style="layout-flow:vertical">
                <w:txbxContent>
                  <w:p w:rsidR="00A4241D" w:rsidRDefault="00A4241D" w:rsidP="00644EB2">
                    <w:pPr>
                      <w:pStyle w:val="Header"/>
                      <w:jc w:val="right"/>
                    </w:pPr>
                    <w:r>
                      <w:t>Appendix 9</w:t>
                    </w:r>
                  </w:p>
                  <w:p w:rsidR="00A4241D" w:rsidRDefault="00A4241D" w:rsidP="00644EB2">
                    <w:pPr>
                      <w:pStyle w:val="Header"/>
                    </w:pPr>
                  </w:p>
                </w:txbxContent>
              </v:textbox>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DE6A24" w:rsidRDefault="00A4241D" w:rsidP="00DE6A24">
    <w:pPr>
      <w:pStyle w:val="Header"/>
    </w:pPr>
    <w:r>
      <w:t>Appendix 9</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rsidP="00DE6A24">
    <w:pPr>
      <w:pStyle w:val="Header"/>
      <w:jc w:val="right"/>
    </w:pPr>
    <w:r>
      <w:t>Appendix 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Default="00A4241D">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FD0181" w:rsidRDefault="00A4241D" w:rsidP="00FD0181">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DE6A24">
    <w:pPr>
      <w:pStyle w:val="Header"/>
    </w:pPr>
    <w:r>
      <w:rPr>
        <w:noProof/>
        <w:lang w:eastAsia="en-AU"/>
      </w:rPr>
      <mc:AlternateContent>
        <mc:Choice Requires="wps">
          <w:drawing>
            <wp:anchor distT="0" distB="0" distL="114300" distR="114300" simplePos="0" relativeHeight="251759616" behindDoc="0" locked="0" layoutInCell="1" allowOverlap="1" wp14:anchorId="68D2BD37" wp14:editId="77B1CCE1">
              <wp:simplePos x="0" y="0"/>
              <wp:positionH relativeFrom="column">
                <wp:posOffset>9269910</wp:posOffset>
              </wp:positionH>
              <wp:positionV relativeFrom="paragraph">
                <wp:posOffset>276960</wp:posOffset>
              </wp:positionV>
              <wp:extent cx="396000" cy="619200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F042B6">
                          <w:pPr>
                            <w:pStyle w:val="Header"/>
                          </w:pPr>
                          <w:r>
                            <w:fldChar w:fldCharType="begin"/>
                          </w:r>
                          <w:r>
                            <w:instrText xml:space="preserve"> STYLEREF  "Heading 1"  \* MERGEFORMAT </w:instrText>
                          </w:r>
                          <w:r>
                            <w:rPr>
                              <w:noProof/>
                            </w:rPr>
                            <w:fldChar w:fldCharType="end"/>
                          </w:r>
                        </w:p>
                        <w:p w:rsidR="00A4241D" w:rsidRDefault="00A4241D"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2" o:spid="_x0000_s1089" type="#_x0000_t202" style="position:absolute;margin-left:729.9pt;margin-top:21.8pt;width:31.2pt;height:487.5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Az7gIAAF4GAAAOAAAAZHJzL2Uyb0RvYy54bWysVV1P2zAUfZ+0/2D5vSQpaS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" filled="f" stroked="f" strokeweight=".5pt">
              <v:textbox style="layout-flow:vertical">
                <w:txbxContent>
                  <w:p w:rsidR="00A4241D" w:rsidRDefault="00A4241D" w:rsidP="00F042B6">
                    <w:pPr>
                      <w:pStyle w:val="Header"/>
                    </w:pPr>
                    <w:r>
                      <w:fldChar w:fldCharType="begin"/>
                    </w:r>
                    <w:r>
                      <w:instrText xml:space="preserve"> STYLEREF  "Heading 1"  \* MERGEFORMAT </w:instrText>
                    </w:r>
                    <w:r>
                      <w:rPr>
                        <w:noProof/>
                      </w:rPr>
                      <w:fldChar w:fldCharType="end"/>
                    </w:r>
                  </w:p>
                  <w:p w:rsidR="00A4241D" w:rsidRDefault="00A4241D" w:rsidP="00F042B6">
                    <w:pPr>
                      <w:pStyle w:val="Header"/>
                    </w:pPr>
                  </w:p>
                </w:txbxContent>
              </v:textbox>
            </v:shape>
          </w:pict>
        </mc:Fallback>
      </mc:AlternateContent>
    </w:r>
    <w:r>
      <w:t>Appendix 9</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37C0D" w:rsidRDefault="00A4241D" w:rsidP="00DE6A24">
    <w:pPr>
      <w:pStyle w:val="Header"/>
      <w:jc w:val="right"/>
      <w:rPr>
        <w:sz w:val="24"/>
        <w:szCs w:val="24"/>
      </w:rPr>
    </w:pPr>
    <w:r w:rsidRPr="00CC43A8">
      <w:t xml:space="preserve">Appendix </w:t>
    </w:r>
    <w:r>
      <w:t>9</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DE6A24">
    <w:pPr>
      <w:pStyle w:val="Header"/>
    </w:pPr>
    <w:r>
      <w:rPr>
        <w:noProof/>
        <w:lang w:eastAsia="en-AU"/>
      </w:rPr>
      <mc:AlternateContent>
        <mc:Choice Requires="wps">
          <w:drawing>
            <wp:anchor distT="0" distB="0" distL="114300" distR="114300" simplePos="0" relativeHeight="251763712" behindDoc="0" locked="0" layoutInCell="1" allowOverlap="1" wp14:anchorId="7B0DD523" wp14:editId="5CB6943A">
              <wp:simplePos x="0" y="0"/>
              <wp:positionH relativeFrom="column">
                <wp:posOffset>9269910</wp:posOffset>
              </wp:positionH>
              <wp:positionV relativeFrom="paragraph">
                <wp:posOffset>276960</wp:posOffset>
              </wp:positionV>
              <wp:extent cx="396000" cy="61920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F042B6">
                          <w:pPr>
                            <w:pStyle w:val="Header"/>
                          </w:pPr>
                          <w:r>
                            <w:fldChar w:fldCharType="begin"/>
                          </w:r>
                          <w:r>
                            <w:instrText xml:space="preserve"> STYLEREF  "Heading 1"  \* MERGEFORMAT </w:instrText>
                          </w:r>
                          <w:r>
                            <w:rPr>
                              <w:noProof/>
                            </w:rPr>
                            <w:fldChar w:fldCharType="end"/>
                          </w:r>
                        </w:p>
                        <w:p w:rsidR="00A4241D" w:rsidRDefault="00A4241D"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9" o:spid="_x0000_s1090" type="#_x0000_t202" style="position:absolute;margin-left:729.9pt;margin-top:21.8pt;width:31.2pt;height:487.5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" filled="f" stroked="f" strokeweight=".5pt">
              <v:textbox style="layout-flow:vertical">
                <w:txbxContent>
                  <w:p w:rsidR="00A4241D" w:rsidRDefault="00A4241D" w:rsidP="00F042B6">
                    <w:pPr>
                      <w:pStyle w:val="Header"/>
                    </w:pPr>
                    <w:r>
                      <w:fldChar w:fldCharType="begin"/>
                    </w:r>
                    <w:r>
                      <w:instrText xml:space="preserve"> STYLEREF  "Heading 1"  \* MERGEFORMAT </w:instrText>
                    </w:r>
                    <w:r>
                      <w:rPr>
                        <w:noProof/>
                      </w:rPr>
                      <w:fldChar w:fldCharType="end"/>
                    </w:r>
                  </w:p>
                  <w:p w:rsidR="00A4241D" w:rsidRDefault="00A4241D" w:rsidP="00F042B6">
                    <w:pPr>
                      <w:pStyle w:val="Header"/>
                    </w:pPr>
                  </w:p>
                </w:txbxContent>
              </v:textbox>
            </v:shape>
          </w:pict>
        </mc:Fallback>
      </mc:AlternateContent>
    </w:r>
    <w:r>
      <w:t>Appendix 10</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37C0D" w:rsidRDefault="00A4241D" w:rsidP="00DE6A24">
    <w:pPr>
      <w:pStyle w:val="Header"/>
      <w:jc w:val="right"/>
      <w:rPr>
        <w:sz w:val="24"/>
        <w:szCs w:val="24"/>
      </w:rPr>
    </w:pPr>
    <w:r w:rsidRPr="00CC43A8">
      <w:t xml:space="preserve">Appendix </w:t>
    </w:r>
    <w:r>
      <w:t>10</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FD0181" w:rsidRDefault="00A4241D" w:rsidP="00FD0181">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DE6A24">
    <w:pPr>
      <w:pStyle w:val="Header"/>
    </w:pPr>
    <w:r>
      <w:rPr>
        <w:noProof/>
        <w:lang w:eastAsia="en-AU"/>
      </w:rPr>
      <mc:AlternateContent>
        <mc:Choice Requires="wps">
          <w:drawing>
            <wp:anchor distT="0" distB="0" distL="114300" distR="114300" simplePos="0" relativeHeight="251778048" behindDoc="0" locked="0" layoutInCell="1" allowOverlap="1" wp14:anchorId="6361604A" wp14:editId="29B7F451">
              <wp:simplePos x="0" y="0"/>
              <wp:positionH relativeFrom="column">
                <wp:posOffset>9269910</wp:posOffset>
              </wp:positionH>
              <wp:positionV relativeFrom="paragraph">
                <wp:posOffset>276960</wp:posOffset>
              </wp:positionV>
              <wp:extent cx="396000" cy="61920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F042B6">
                          <w:pPr>
                            <w:pStyle w:val="Header"/>
                          </w:pPr>
                          <w:r>
                            <w:fldChar w:fldCharType="begin"/>
                          </w:r>
                          <w:r>
                            <w:instrText xml:space="preserve"> STYLEREF  "Heading 1"  \* MERGEFORMAT </w:instrText>
                          </w:r>
                          <w:r>
                            <w:rPr>
                              <w:noProof/>
                            </w:rPr>
                            <w:fldChar w:fldCharType="end"/>
                          </w:r>
                        </w:p>
                        <w:p w:rsidR="00A4241D" w:rsidRDefault="00A4241D"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6" o:spid="_x0000_s1091" type="#_x0000_t202" style="position:absolute;margin-left:729.9pt;margin-top:21.8pt;width:31.2pt;height:487.5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" filled="f" stroked="f" strokeweight=".5pt">
              <v:textbox style="layout-flow:vertical">
                <w:txbxContent>
                  <w:p w:rsidR="00A4241D" w:rsidRDefault="00A4241D" w:rsidP="00F042B6">
                    <w:pPr>
                      <w:pStyle w:val="Header"/>
                    </w:pPr>
                    <w:r>
                      <w:fldChar w:fldCharType="begin"/>
                    </w:r>
                    <w:r>
                      <w:instrText xml:space="preserve"> STYLEREF  "Heading 1"  \* MERGEFORMAT </w:instrText>
                    </w:r>
                    <w:r>
                      <w:rPr>
                        <w:noProof/>
                      </w:rPr>
                      <w:fldChar w:fldCharType="end"/>
                    </w:r>
                  </w:p>
                  <w:p w:rsidR="00A4241D" w:rsidRDefault="00A4241D" w:rsidP="00F042B6">
                    <w:pPr>
                      <w:pStyle w:val="Header"/>
                    </w:pPr>
                  </w:p>
                </w:txbxContent>
              </v:textbox>
            </v:shape>
          </w:pict>
        </mc:Fallback>
      </mc:AlternateContent>
    </w:r>
    <w:r>
      <w:t>Appendix 10A</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37C0D" w:rsidRDefault="00A4241D" w:rsidP="00DE6A24">
    <w:pPr>
      <w:pStyle w:val="Header"/>
      <w:jc w:val="right"/>
      <w:rPr>
        <w:sz w:val="24"/>
        <w:szCs w:val="24"/>
      </w:rPr>
    </w:pPr>
    <w:r w:rsidRPr="00CC43A8">
      <w:t xml:space="preserve">Appendix </w:t>
    </w:r>
    <w:r>
      <w:t>10A</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811099" w:rsidRDefault="00A4241D" w:rsidP="00DE6A24">
    <w:pPr>
      <w:pStyle w:val="Header"/>
    </w:pPr>
    <w:r>
      <w:rPr>
        <w:noProof/>
        <w:lang w:eastAsia="en-AU"/>
      </w:rPr>
      <mc:AlternateContent>
        <mc:Choice Requires="wps">
          <w:drawing>
            <wp:anchor distT="0" distB="0" distL="114300" distR="114300" simplePos="0" relativeHeight="251780096" behindDoc="0" locked="0" layoutInCell="1" allowOverlap="1" wp14:anchorId="11247D74" wp14:editId="3FED7D31">
              <wp:simplePos x="0" y="0"/>
              <wp:positionH relativeFrom="column">
                <wp:posOffset>9269910</wp:posOffset>
              </wp:positionH>
              <wp:positionV relativeFrom="paragraph">
                <wp:posOffset>276960</wp:posOffset>
              </wp:positionV>
              <wp:extent cx="396000" cy="619200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4241D" w:rsidRDefault="00A4241D" w:rsidP="00F042B6">
                          <w:pPr>
                            <w:pStyle w:val="Header"/>
                          </w:pPr>
                          <w:r>
                            <w:fldChar w:fldCharType="begin"/>
                          </w:r>
                          <w:r>
                            <w:instrText xml:space="preserve"> STYLEREF  "Heading 1"  \* MERGEFORMAT </w:instrText>
                          </w:r>
                          <w:r>
                            <w:rPr>
                              <w:noProof/>
                            </w:rPr>
                            <w:fldChar w:fldCharType="end"/>
                          </w:r>
                        </w:p>
                        <w:p w:rsidR="00A4241D" w:rsidRDefault="00A4241D"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5" o:spid="_x0000_s1092" type="#_x0000_t202" style="position:absolute;margin-left:729.9pt;margin-top:21.8pt;width:31.2pt;height:487.5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gI7gIAAF4GAAAOAAAAZHJzL2Uyb0RvYy54bWysVV1P2zAUfZ+0/2D5vSQpaS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" filled="f" stroked="f" strokeweight=".5pt">
              <v:textbox style="layout-flow:vertical">
                <w:txbxContent>
                  <w:p w:rsidR="00A4241D" w:rsidRDefault="00A4241D" w:rsidP="00F042B6">
                    <w:pPr>
                      <w:pStyle w:val="Header"/>
                    </w:pPr>
                    <w:r>
                      <w:fldChar w:fldCharType="begin"/>
                    </w:r>
                    <w:r>
                      <w:instrText xml:space="preserve"> STYLEREF  "Heading 1"  \* MERGEFORMAT </w:instrText>
                    </w:r>
                    <w:r>
                      <w:rPr>
                        <w:noProof/>
                      </w:rPr>
                      <w:fldChar w:fldCharType="end"/>
                    </w:r>
                  </w:p>
                  <w:p w:rsidR="00A4241D" w:rsidRDefault="00A4241D" w:rsidP="00F042B6">
                    <w:pPr>
                      <w:pStyle w:val="Header"/>
                    </w:pPr>
                  </w:p>
                </w:txbxContent>
              </v:textbox>
            </v:shape>
          </w:pict>
        </mc:Fallback>
      </mc:AlternateContent>
    </w:r>
    <w:r>
      <w:t>Appendix 10B</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1D" w:rsidRPr="00C37C0D" w:rsidRDefault="00A4241D" w:rsidP="00DE6A24">
    <w:pPr>
      <w:pStyle w:val="Header"/>
      <w:jc w:val="right"/>
      <w:rPr>
        <w:sz w:val="24"/>
        <w:szCs w:val="24"/>
      </w:rPr>
    </w:pPr>
    <w:r w:rsidRPr="00CC43A8">
      <w:t xml:space="preserve">Appendix </w:t>
    </w:r>
    <w:r>
      <w:t>10B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8"/>
    <w:multiLevelType w:val="singleLevel"/>
    <w:tmpl w:val="AF28FE44"/>
    <w:lvl w:ilvl="0">
      <w:start w:val="1"/>
      <w:numFmt w:val="decimal"/>
      <w:lvlText w:val="%1."/>
      <w:lvlJc w:val="left"/>
      <w:pPr>
        <w:tabs>
          <w:tab w:val="num" w:pos="360"/>
        </w:tabs>
        <w:ind w:left="360" w:hanging="360"/>
      </w:pPr>
    </w:lvl>
  </w:abstractNum>
  <w:abstractNum w:abstractNumId="3">
    <w:nsid w:val="00BD02F1"/>
    <w:multiLevelType w:val="multilevel"/>
    <w:tmpl w:val="09206EA2"/>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
    <w:nsid w:val="020B7BBB"/>
    <w:multiLevelType w:val="multilevel"/>
    <w:tmpl w:val="42E253BE"/>
    <w:styleLink w:val="A"/>
    <w:lvl w:ilvl="0">
      <w:start w:val="1"/>
      <w:numFmt w:val="upperLetter"/>
      <w:pStyle w:val="BulletIndent"/>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6">
    <w:nsid w:val="04AF57F4"/>
    <w:multiLevelType w:val="hybridMultilevel"/>
    <w:tmpl w:val="2660867C"/>
    <w:lvl w:ilvl="0" w:tplc="780267E8">
      <w:start w:val="1"/>
      <w:numFmt w:val="bullet"/>
      <w:pStyle w:val="BulletBlue"/>
      <w:lvlText w:val=""/>
      <w:lvlJc w:val="left"/>
      <w:pPr>
        <w:tabs>
          <w:tab w:val="num" w:pos="360"/>
        </w:tabs>
        <w:ind w:left="360" w:hanging="360"/>
      </w:pPr>
      <w:rPr>
        <w:rFonts w:ascii="Symbol" w:hAnsi="Symbol" w:cs="Symbol" w:hint="default"/>
        <w:sz w:val="20"/>
        <w:szCs w:val="20"/>
      </w:rPr>
    </w:lvl>
    <w:lvl w:ilvl="1" w:tplc="0C09000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nsid w:val="051C3310"/>
    <w:multiLevelType w:val="hybridMultilevel"/>
    <w:tmpl w:val="2B9E9C14"/>
    <w:lvl w:ilvl="0" w:tplc="F54C2AEC">
      <w:start w:val="1"/>
      <w:numFmt w:val="decimal"/>
      <w:lvlText w:val="%1)"/>
      <w:lvlJc w:val="left"/>
      <w:pPr>
        <w:ind w:left="1080" w:hanging="720"/>
      </w:pPr>
      <w:rPr>
        <w:rFonts w:hint="default"/>
      </w:rPr>
    </w:lvl>
    <w:lvl w:ilvl="1" w:tplc="44A011F8">
      <w:start w:val="1"/>
      <w:numFmt w:val="bullet"/>
      <w:lvlText w:val=""/>
      <w:lvlJc w:val="left"/>
      <w:pPr>
        <w:ind w:left="1800" w:hanging="720"/>
      </w:pPr>
      <w:rPr>
        <w:rFonts w:ascii="Symbol" w:hAnsi="Symbol" w:hint="default"/>
        <w:color w:val="0072CE"/>
        <w:sz w:val="18"/>
        <w:szCs w:val="1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6EE77F9"/>
    <w:multiLevelType w:val="multilevel"/>
    <w:tmpl w:val="F104AB12"/>
    <w:numStyleLink w:val="NumberedHeadings"/>
  </w:abstractNum>
  <w:abstractNum w:abstractNumId="9">
    <w:nsid w:val="077841F7"/>
    <w:multiLevelType w:val="hybridMultilevel"/>
    <w:tmpl w:val="D924D316"/>
    <w:lvl w:ilvl="0" w:tplc="883E3516">
      <w:start w:val="1"/>
      <w:numFmt w:val="bullet"/>
      <w:pStyle w:val="ControlledEntities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D8B2D2E"/>
    <w:multiLevelType w:val="multilevel"/>
    <w:tmpl w:val="E31671E8"/>
    <w:lvl w:ilvl="0">
      <w:start w:val="1"/>
      <w:numFmt w:val="lowerLetter"/>
      <w:pStyle w:val="aalpha"/>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nsid w:val="0F1B3DFD"/>
    <w:multiLevelType w:val="hybridMultilevel"/>
    <w:tmpl w:val="86169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F683D7D"/>
    <w:multiLevelType w:val="hybridMultilevel"/>
    <w:tmpl w:val="2C38DA32"/>
    <w:lvl w:ilvl="0" w:tplc="DC92776C">
      <w:start w:val="1"/>
      <w:numFmt w:val="bullet"/>
      <w:pStyle w:val="Commentary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0695267"/>
    <w:multiLevelType w:val="hybridMultilevel"/>
    <w:tmpl w:val="6574A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C940843"/>
    <w:multiLevelType w:val="hybridMultilevel"/>
    <w:tmpl w:val="DD12AE94"/>
    <w:lvl w:ilvl="0" w:tplc="FAF636EE">
      <w:start w:val="1"/>
      <w:numFmt w:val="bullet"/>
      <w:pStyle w:val="Tabledash"/>
      <w:lvlText w:val="‒"/>
      <w:lvlJc w:val="left"/>
      <w:pPr>
        <w:tabs>
          <w:tab w:val="num" w:pos="36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2845570"/>
    <w:multiLevelType w:val="hybridMultilevel"/>
    <w:tmpl w:val="4710B96A"/>
    <w:lvl w:ilvl="0" w:tplc="E0D2879A">
      <w:start w:val="1"/>
      <w:numFmt w:val="bullet"/>
      <w:pStyle w:val="NotesBullet"/>
      <w:lvlText w:val=""/>
      <w:lvlJc w:val="left"/>
      <w:pPr>
        <w:tabs>
          <w:tab w:val="num" w:pos="786"/>
        </w:tabs>
        <w:ind w:left="786" w:hanging="360"/>
      </w:pPr>
      <w:rPr>
        <w:rFonts w:ascii="Symbol" w:hAnsi="Symbol" w:hint="default"/>
      </w:rPr>
    </w:lvl>
    <w:lvl w:ilvl="1" w:tplc="0C090003" w:tentative="1">
      <w:start w:val="1"/>
      <w:numFmt w:val="bullet"/>
      <w:lvlText w:val="o"/>
      <w:lvlJc w:val="left"/>
      <w:pPr>
        <w:tabs>
          <w:tab w:val="num" w:pos="1506"/>
        </w:tabs>
        <w:ind w:left="1506" w:hanging="360"/>
      </w:pPr>
      <w:rPr>
        <w:rFonts w:ascii="Courier New" w:hAnsi="Courier New" w:cs="Courier New" w:hint="default"/>
      </w:rPr>
    </w:lvl>
    <w:lvl w:ilvl="2" w:tplc="0C090005" w:tentative="1">
      <w:start w:val="1"/>
      <w:numFmt w:val="bullet"/>
      <w:lvlText w:val=""/>
      <w:lvlJc w:val="left"/>
      <w:pPr>
        <w:tabs>
          <w:tab w:val="num" w:pos="2226"/>
        </w:tabs>
        <w:ind w:left="2226" w:hanging="360"/>
      </w:pPr>
      <w:rPr>
        <w:rFonts w:ascii="Wingdings" w:hAnsi="Wingdings" w:hint="default"/>
      </w:rPr>
    </w:lvl>
    <w:lvl w:ilvl="3" w:tplc="0C090001" w:tentative="1">
      <w:start w:val="1"/>
      <w:numFmt w:val="bullet"/>
      <w:lvlText w:val=""/>
      <w:lvlJc w:val="left"/>
      <w:pPr>
        <w:tabs>
          <w:tab w:val="num" w:pos="2946"/>
        </w:tabs>
        <w:ind w:left="2946" w:hanging="360"/>
      </w:pPr>
      <w:rPr>
        <w:rFonts w:ascii="Symbol" w:hAnsi="Symbol" w:hint="default"/>
      </w:rPr>
    </w:lvl>
    <w:lvl w:ilvl="4" w:tplc="0C090003" w:tentative="1">
      <w:start w:val="1"/>
      <w:numFmt w:val="bullet"/>
      <w:lvlText w:val="o"/>
      <w:lvlJc w:val="left"/>
      <w:pPr>
        <w:tabs>
          <w:tab w:val="num" w:pos="3666"/>
        </w:tabs>
        <w:ind w:left="3666" w:hanging="360"/>
      </w:pPr>
      <w:rPr>
        <w:rFonts w:ascii="Courier New" w:hAnsi="Courier New" w:cs="Courier New" w:hint="default"/>
      </w:rPr>
    </w:lvl>
    <w:lvl w:ilvl="5" w:tplc="0C090005" w:tentative="1">
      <w:start w:val="1"/>
      <w:numFmt w:val="bullet"/>
      <w:lvlText w:val=""/>
      <w:lvlJc w:val="left"/>
      <w:pPr>
        <w:tabs>
          <w:tab w:val="num" w:pos="4386"/>
        </w:tabs>
        <w:ind w:left="4386" w:hanging="360"/>
      </w:pPr>
      <w:rPr>
        <w:rFonts w:ascii="Wingdings" w:hAnsi="Wingdings" w:hint="default"/>
      </w:rPr>
    </w:lvl>
    <w:lvl w:ilvl="6" w:tplc="0C090001" w:tentative="1">
      <w:start w:val="1"/>
      <w:numFmt w:val="bullet"/>
      <w:lvlText w:val=""/>
      <w:lvlJc w:val="left"/>
      <w:pPr>
        <w:tabs>
          <w:tab w:val="num" w:pos="5106"/>
        </w:tabs>
        <w:ind w:left="5106" w:hanging="360"/>
      </w:pPr>
      <w:rPr>
        <w:rFonts w:ascii="Symbol" w:hAnsi="Symbol" w:hint="default"/>
      </w:rPr>
    </w:lvl>
    <w:lvl w:ilvl="7" w:tplc="0C090003" w:tentative="1">
      <w:start w:val="1"/>
      <w:numFmt w:val="bullet"/>
      <w:lvlText w:val="o"/>
      <w:lvlJc w:val="left"/>
      <w:pPr>
        <w:tabs>
          <w:tab w:val="num" w:pos="5826"/>
        </w:tabs>
        <w:ind w:left="5826" w:hanging="360"/>
      </w:pPr>
      <w:rPr>
        <w:rFonts w:ascii="Courier New" w:hAnsi="Courier New" w:cs="Courier New" w:hint="default"/>
      </w:rPr>
    </w:lvl>
    <w:lvl w:ilvl="8" w:tplc="0C090005" w:tentative="1">
      <w:start w:val="1"/>
      <w:numFmt w:val="bullet"/>
      <w:lvlText w:val=""/>
      <w:lvlJc w:val="left"/>
      <w:pPr>
        <w:tabs>
          <w:tab w:val="num" w:pos="6546"/>
        </w:tabs>
        <w:ind w:left="6546" w:hanging="360"/>
      </w:pPr>
      <w:rPr>
        <w:rFonts w:ascii="Wingdings" w:hAnsi="Wingdings" w:hint="default"/>
      </w:rPr>
    </w:lvl>
  </w:abstractNum>
  <w:abstractNum w:abstractNumId="17">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2AB3404B"/>
    <w:multiLevelType w:val="hybridMultilevel"/>
    <w:tmpl w:val="F27642B0"/>
    <w:lvl w:ilvl="0" w:tplc="B0B6D0BA">
      <w:start w:val="1"/>
      <w:numFmt w:val="bullet"/>
      <w:pStyle w:val="Tabletextblu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BC39A0"/>
    <w:multiLevelType w:val="hybridMultilevel"/>
    <w:tmpl w:val="F850C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D81DD3"/>
    <w:multiLevelType w:val="multilevel"/>
    <w:tmpl w:val="3C587D4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nsid w:val="320059F1"/>
    <w:multiLevelType w:val="multilevel"/>
    <w:tmpl w:val="09206EA2"/>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nsid w:val="3FD45819"/>
    <w:multiLevelType w:val="hybridMultilevel"/>
    <w:tmpl w:val="F0DA77A8"/>
    <w:lvl w:ilvl="0" w:tplc="0D8E82B0">
      <w:start w:val="1"/>
      <w:numFmt w:val="upperLetter"/>
      <w:pStyle w:val="Heading3number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1E410FB"/>
    <w:multiLevelType w:val="hybridMultilevel"/>
    <w:tmpl w:val="22FEDA16"/>
    <w:lvl w:ilvl="0" w:tplc="D11249CC">
      <w:start w:val="1"/>
      <w:numFmt w:val="bullet"/>
      <w:pStyle w:val="DashBlue"/>
      <w:lvlText w:val="—"/>
      <w:lvlJc w:val="left"/>
      <w:pPr>
        <w:tabs>
          <w:tab w:val="num" w:pos="720"/>
        </w:tabs>
        <w:ind w:left="720" w:hanging="360"/>
      </w:pPr>
      <w:rPr>
        <w:rFonts w:ascii="Calibri" w:hAnsi="Calibri"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46D3A6A"/>
    <w:multiLevelType w:val="multilevel"/>
    <w:tmpl w:val="D6E00412"/>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7">
    <w:nsid w:val="4654460A"/>
    <w:multiLevelType w:val="hybridMultilevel"/>
    <w:tmpl w:val="8572E65E"/>
    <w:lvl w:ilvl="0" w:tplc="F54C2AEC">
      <w:start w:val="1"/>
      <w:numFmt w:val="decimal"/>
      <w:lvlText w:val="%1)"/>
      <w:lvlJc w:val="left"/>
      <w:pPr>
        <w:ind w:left="1080" w:hanging="720"/>
      </w:pPr>
      <w:rPr>
        <w:rFonts w:hint="default"/>
      </w:rPr>
    </w:lvl>
    <w:lvl w:ilvl="1" w:tplc="F7C6F386">
      <w:start w:val="1"/>
      <w:numFmt w:val="bullet"/>
      <w:lvlText w:val=""/>
      <w:lvlJc w:val="left"/>
      <w:pPr>
        <w:ind w:left="1800" w:hanging="720"/>
      </w:pPr>
      <w:rPr>
        <w:rFonts w:ascii="Symbol" w:hAnsi="Symbol" w:hint="default"/>
        <w:color w:val="0072CE"/>
        <w:sz w:val="18"/>
        <w:szCs w:val="18"/>
      </w:rPr>
    </w:lvl>
    <w:lvl w:ilvl="2" w:tplc="42C029E4">
      <w:start w:val="1"/>
      <w:numFmt w:val="bullet"/>
      <w:pStyle w:val="Guidancebullet2noborder"/>
      <w:lvlText w:val="-"/>
      <w:lvlJc w:val="left"/>
      <w:pPr>
        <w:ind w:left="2160" w:hanging="180"/>
      </w:pPr>
      <w:rPr>
        <w:rFonts w:ascii="Symbol" w:hAnsi="Symbol" w:hint="default"/>
        <w:color w:val="0072CE"/>
        <w:sz w:val="18"/>
        <w:szCs w:val="18"/>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9">
    <w:nsid w:val="493D7E6C"/>
    <w:multiLevelType w:val="hybridMultilevel"/>
    <w:tmpl w:val="8DD8FA34"/>
    <w:lvl w:ilvl="0" w:tplc="D5C456EE">
      <w:start w:val="1"/>
      <w:numFmt w:val="bullet"/>
      <w:pStyle w:val="Dash"/>
      <w:lvlText w:val="—"/>
      <w:lvlJc w:val="left"/>
      <w:pPr>
        <w:tabs>
          <w:tab w:val="num" w:pos="720"/>
        </w:tabs>
        <w:ind w:left="720" w:hanging="360"/>
      </w:pPr>
      <w:rPr>
        <w:rFonts w:ascii="Calibri" w:hAnsi="Calibri" w:hint="default"/>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3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90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4B695180"/>
    <w:multiLevelType w:val="multilevel"/>
    <w:tmpl w:val="5E22C0F8"/>
    <w:numStyleLink w:val="Bullet"/>
  </w:abstractNum>
  <w:abstractNum w:abstractNumId="33">
    <w:nsid w:val="4B7B65FB"/>
    <w:multiLevelType w:val="multilevel"/>
    <w:tmpl w:val="09206EA2"/>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4">
    <w:nsid w:val="4D1E3918"/>
    <w:multiLevelType w:val="hybridMultilevel"/>
    <w:tmpl w:val="DEAAA2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567D409B"/>
    <w:multiLevelType w:val="hybridMultilevel"/>
    <w:tmpl w:val="1B2A6A1E"/>
    <w:lvl w:ilvl="0" w:tplc="8B92F466">
      <w:start w:val="1"/>
      <w:numFmt w:val="bullet"/>
      <w:pStyle w:val="Notesbullet0"/>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7807F09"/>
    <w:multiLevelType w:val="hybridMultilevel"/>
    <w:tmpl w:val="86888304"/>
    <w:lvl w:ilvl="0" w:tplc="BD5870D4">
      <w:start w:val="1"/>
      <w:numFmt w:val="bullet"/>
      <w:pStyle w:val="Tablebullet"/>
      <w:lvlText w:val=""/>
      <w:lvlJc w:val="left"/>
      <w:pPr>
        <w:tabs>
          <w:tab w:val="num" w:pos="36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7DC5177"/>
    <w:multiLevelType w:val="hybridMultilevel"/>
    <w:tmpl w:val="F4BC9B72"/>
    <w:lvl w:ilvl="0" w:tplc="E6583B28">
      <w:start w:val="1"/>
      <w:numFmt w:val="upperLetter"/>
      <w:pStyle w:val="Heading3Numbering0"/>
      <w:lvlText w:val="(%1)"/>
      <w:lvlJc w:val="left"/>
      <w:pPr>
        <w:tabs>
          <w:tab w:val="num" w:pos="720"/>
        </w:tabs>
        <w:ind w:left="720" w:hanging="720"/>
      </w:pPr>
      <w:rPr>
        <w:b/>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014"/>
        </w:tabs>
        <w:ind w:left="1014" w:hanging="360"/>
      </w:pPr>
    </w:lvl>
    <w:lvl w:ilvl="2" w:tplc="0C090005">
      <w:start w:val="1"/>
      <w:numFmt w:val="lowerRoman"/>
      <w:pStyle w:val="Heading3Numbering0"/>
      <w:lvlText w:val="%3."/>
      <w:lvlJc w:val="right"/>
      <w:pPr>
        <w:tabs>
          <w:tab w:val="num" w:pos="1734"/>
        </w:tabs>
        <w:ind w:left="1734" w:hanging="180"/>
      </w:pPr>
    </w:lvl>
    <w:lvl w:ilvl="3" w:tplc="0C090001">
      <w:start w:val="1"/>
      <w:numFmt w:val="decimal"/>
      <w:lvlText w:val="%4."/>
      <w:lvlJc w:val="left"/>
      <w:pPr>
        <w:tabs>
          <w:tab w:val="num" w:pos="2454"/>
        </w:tabs>
        <w:ind w:left="2454" w:hanging="360"/>
      </w:pPr>
    </w:lvl>
    <w:lvl w:ilvl="4" w:tplc="0C090003">
      <w:start w:val="1"/>
      <w:numFmt w:val="lowerLetter"/>
      <w:lvlText w:val="%5."/>
      <w:lvlJc w:val="left"/>
      <w:pPr>
        <w:tabs>
          <w:tab w:val="num" w:pos="3174"/>
        </w:tabs>
        <w:ind w:left="3174" w:hanging="360"/>
      </w:pPr>
    </w:lvl>
    <w:lvl w:ilvl="5" w:tplc="0C090005">
      <w:start w:val="1"/>
      <w:numFmt w:val="lowerRoman"/>
      <w:lvlText w:val="%6."/>
      <w:lvlJc w:val="right"/>
      <w:pPr>
        <w:tabs>
          <w:tab w:val="num" w:pos="3894"/>
        </w:tabs>
        <w:ind w:left="3894" w:hanging="180"/>
      </w:pPr>
    </w:lvl>
    <w:lvl w:ilvl="6" w:tplc="0C090001">
      <w:start w:val="1"/>
      <w:numFmt w:val="decimal"/>
      <w:lvlText w:val="%7."/>
      <w:lvlJc w:val="left"/>
      <w:pPr>
        <w:tabs>
          <w:tab w:val="num" w:pos="4614"/>
        </w:tabs>
        <w:ind w:left="4614" w:hanging="360"/>
      </w:pPr>
    </w:lvl>
    <w:lvl w:ilvl="7" w:tplc="0C090003">
      <w:start w:val="1"/>
      <w:numFmt w:val="lowerLetter"/>
      <w:lvlText w:val="%8."/>
      <w:lvlJc w:val="left"/>
      <w:pPr>
        <w:tabs>
          <w:tab w:val="num" w:pos="5334"/>
        </w:tabs>
        <w:ind w:left="5334" w:hanging="360"/>
      </w:pPr>
    </w:lvl>
    <w:lvl w:ilvl="8" w:tplc="0C090005">
      <w:start w:val="1"/>
      <w:numFmt w:val="lowerRoman"/>
      <w:lvlText w:val="%9."/>
      <w:lvlJc w:val="right"/>
      <w:pPr>
        <w:tabs>
          <w:tab w:val="num" w:pos="6054"/>
        </w:tabs>
        <w:ind w:left="6054" w:hanging="180"/>
      </w:pPr>
    </w:lvl>
  </w:abstractNum>
  <w:abstractNum w:abstractNumId="38">
    <w:nsid w:val="60212914"/>
    <w:multiLevelType w:val="hybridMultilevel"/>
    <w:tmpl w:val="122A5BC2"/>
    <w:lvl w:ilvl="0" w:tplc="0C090001">
      <w:start w:val="1"/>
      <w:numFmt w:val="bullet"/>
      <w:lvlText w:val=""/>
      <w:lvlJc w:val="left"/>
      <w:pPr>
        <w:ind w:left="360" w:hanging="360"/>
      </w:pPr>
      <w:rPr>
        <w:rFonts w:ascii="Symbol" w:hAnsi="Symbol" w:hint="default"/>
      </w:rPr>
    </w:lvl>
    <w:lvl w:ilvl="1" w:tplc="9AA4EC80">
      <w:start w:val="3"/>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0572EC9"/>
    <w:multiLevelType w:val="hybridMultilevel"/>
    <w:tmpl w:val="FC62C6AC"/>
    <w:lvl w:ilvl="0" w:tplc="3CF02634">
      <w:start w:val="1"/>
      <w:numFmt w:val="bullet"/>
      <w:pStyle w:val="Notesbulletblue"/>
      <w:lvlText w:val=""/>
      <w:lvlJc w:val="left"/>
      <w:pPr>
        <w:ind w:left="720" w:hanging="360"/>
      </w:pPr>
      <w:rPr>
        <w:rFonts w:ascii="Symbol" w:hAnsi="Symbol" w:hint="default"/>
        <w:color w:val="0072C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32E3A5D"/>
    <w:multiLevelType w:val="hybridMultilevel"/>
    <w:tmpl w:val="AFD86434"/>
    <w:lvl w:ilvl="0" w:tplc="B8DA30C4">
      <w:start w:val="1"/>
      <w:numFmt w:val="bullet"/>
      <w:pStyle w:val="Heading1Pt3"/>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pStyle w:val="Heading5blue"/>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nsid w:val="66E416C6"/>
    <w:multiLevelType w:val="hybridMultilevel"/>
    <w:tmpl w:val="96F0DD4E"/>
    <w:lvl w:ilvl="0" w:tplc="A1E09834">
      <w:start w:val="1"/>
      <w:numFmt w:val="bullet"/>
      <w:pStyle w:val="Bullet1"/>
      <w:lvlText w:val=""/>
      <w:lvlJc w:val="left"/>
      <w:pPr>
        <w:ind w:left="360" w:hanging="360"/>
      </w:pPr>
      <w:rPr>
        <w:rFonts w:ascii="Wingdings" w:hAnsi="Wingdings"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BDA5C1E"/>
    <w:multiLevelType w:val="hybridMultilevel"/>
    <w:tmpl w:val="0AC0C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CFF3731"/>
    <w:multiLevelType w:val="multilevel"/>
    <w:tmpl w:val="7500EB92"/>
    <w:numStyleLink w:val="Number"/>
  </w:abstractNum>
  <w:abstractNum w:abstractNumId="45">
    <w:nsid w:val="748F74E5"/>
    <w:multiLevelType w:val="multilevel"/>
    <w:tmpl w:val="4FEC6736"/>
    <w:lvl w:ilvl="0">
      <w:start w:val="1"/>
      <w:numFmt w:val="lowerLetter"/>
      <w:pStyle w:val="Guidancealpha"/>
      <w:lvlText w:val="(%1)"/>
      <w:lvlJc w:val="left"/>
      <w:pPr>
        <w:tabs>
          <w:tab w:val="num" w:pos="446"/>
        </w:tabs>
        <w:ind w:left="446" w:hanging="446"/>
      </w:pPr>
      <w:rPr>
        <w:rFonts w:hint="default"/>
      </w:rPr>
    </w:lvl>
    <w:lvl w:ilvl="1">
      <w:start w:val="1"/>
      <w:numFmt w:val="bullet"/>
      <w:pStyle w:val="Guidancedash"/>
      <w:lvlText w:val="-"/>
      <w:lvlJc w:val="left"/>
      <w:pPr>
        <w:tabs>
          <w:tab w:val="num" w:pos="806"/>
        </w:tabs>
        <w:ind w:left="806" w:hanging="360"/>
      </w:pPr>
      <w:rPr>
        <w:rFonts w:ascii="Symbol" w:hAnsi="Symbol" w:hint="default"/>
        <w:color w:val="0072CE"/>
        <w:sz w:val="18"/>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46">
    <w:nsid w:val="7A7E12E5"/>
    <w:multiLevelType w:val="hybridMultilevel"/>
    <w:tmpl w:val="5C6874F4"/>
    <w:lvl w:ilvl="0" w:tplc="D52C8DEE">
      <w:start w:val="1"/>
      <w:numFmt w:val="decimal"/>
      <w:pStyle w:val="Numpara"/>
      <w:lvlText w:val="%1."/>
      <w:lvlJc w:val="left"/>
      <w:pPr>
        <w:tabs>
          <w:tab w:val="num" w:pos="504"/>
        </w:tabs>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C813E4D"/>
    <w:multiLevelType w:val="hybridMultilevel"/>
    <w:tmpl w:val="439898A4"/>
    <w:lvl w:ilvl="0" w:tplc="685635B0">
      <w:start w:val="1"/>
      <w:numFmt w:val="bullet"/>
      <w:pStyle w:val="Notesdashblue"/>
      <w:lvlText w:val="‒"/>
      <w:lvlJc w:val="left"/>
      <w:pPr>
        <w:ind w:left="1440" w:hanging="360"/>
      </w:pPr>
      <w:rPr>
        <w:rFonts w:ascii="Calibri" w:hAnsi="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nsid w:val="7D7E1271"/>
    <w:multiLevelType w:val="hybridMultilevel"/>
    <w:tmpl w:val="8DA2F3C6"/>
    <w:lvl w:ilvl="0" w:tplc="817037B4">
      <w:start w:val="1"/>
      <w:numFmt w:val="bullet"/>
      <w:pStyle w:val="Tex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30"/>
  </w:num>
  <w:num w:numId="4">
    <w:abstractNumId w:val="18"/>
  </w:num>
  <w:num w:numId="5">
    <w:abstractNumId w:val="28"/>
  </w:num>
  <w:num w:numId="6">
    <w:abstractNumId w:val="31"/>
  </w:num>
  <w:num w:numId="7">
    <w:abstractNumId w:val="32"/>
  </w:num>
  <w:num w:numId="8">
    <w:abstractNumId w:val="44"/>
  </w:num>
  <w:num w:numId="9">
    <w:abstractNumId w:val="1"/>
  </w:num>
  <w:num w:numId="10">
    <w:abstractNumId w:val="0"/>
  </w:num>
  <w:num w:numId="11">
    <w:abstractNumId w:val="17"/>
  </w:num>
  <w:num w:numId="12">
    <w:abstractNumId w:val="10"/>
  </w:num>
  <w:num w:numId="13">
    <w:abstractNumId w:val="41"/>
  </w:num>
  <w:num w:numId="14">
    <w:abstractNumId w:val="8"/>
  </w:num>
  <w:num w:numId="15">
    <w:abstractNumId w:val="40"/>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5"/>
  </w:num>
  <w:num w:numId="21">
    <w:abstractNumId w:val="24"/>
    <w:lvlOverride w:ilvl="0">
      <w:startOverride w:val="1"/>
    </w:lvlOverride>
  </w:num>
  <w:num w:numId="22">
    <w:abstractNumId w:val="27"/>
  </w:num>
  <w:num w:numId="23">
    <w:abstractNumId w:val="45"/>
  </w:num>
  <w:num w:numId="24">
    <w:abstractNumId w:val="7"/>
  </w:num>
  <w:num w:numId="25">
    <w:abstractNumId w:val="39"/>
  </w:num>
  <w:num w:numId="26">
    <w:abstractNumId w:val="47"/>
  </w:num>
  <w:num w:numId="27">
    <w:abstractNumId w:val="5"/>
  </w:num>
  <w:num w:numId="28">
    <w:abstractNumId w:val="36"/>
  </w:num>
  <w:num w:numId="29">
    <w:abstractNumId w:val="15"/>
  </w:num>
  <w:num w:numId="30">
    <w:abstractNumId w:val="19"/>
  </w:num>
  <w:num w:numId="31">
    <w:abstractNumId w:val="11"/>
  </w:num>
  <w:num w:numId="32">
    <w:abstractNumId w:val="6"/>
  </w:num>
  <w:num w:numId="33">
    <w:abstractNumId w:val="13"/>
  </w:num>
  <w:num w:numId="34">
    <w:abstractNumId w:val="29"/>
  </w:num>
  <w:num w:numId="35">
    <w:abstractNumId w:val="25"/>
  </w:num>
  <w:num w:numId="36">
    <w:abstractNumId w:val="37"/>
  </w:num>
  <w:num w:numId="37">
    <w:abstractNumId w:val="16"/>
  </w:num>
  <w:num w:numId="38">
    <w:abstractNumId w:val="42"/>
  </w:num>
  <w:num w:numId="39">
    <w:abstractNumId w:val="48"/>
  </w:num>
  <w:num w:numId="40">
    <w:abstractNumId w:val="9"/>
  </w:num>
  <w:num w:numId="41">
    <w:abstractNumId w:val="46"/>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20"/>
  </w:num>
  <w:num w:numId="46">
    <w:abstractNumId w:val="43"/>
  </w:num>
  <w:num w:numId="47">
    <w:abstractNumId w:val="12"/>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 w:numId="51">
    <w:abstractNumId w:val="3"/>
  </w:num>
  <w:num w:numId="52">
    <w:abstractNumId w:val="22"/>
  </w:num>
  <w:num w:numId="53">
    <w:abstractNumId w:val="33"/>
  </w:num>
  <w:num w:numId="54">
    <w:abstractNumId w:val="34"/>
  </w:num>
  <w:num w:numId="55">
    <w:abstractNumId w:val="2"/>
  </w:num>
  <w:num w:numId="56">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NotTrackFormatting/>
  <w:defaultTabStop w:val="720"/>
  <w:evenAndOddHeaders/>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65D"/>
    <w:rsid w:val="000006DC"/>
    <w:rsid w:val="00001A3C"/>
    <w:rsid w:val="00002381"/>
    <w:rsid w:val="00002E17"/>
    <w:rsid w:val="00003BC6"/>
    <w:rsid w:val="000062E4"/>
    <w:rsid w:val="000068BC"/>
    <w:rsid w:val="0001068D"/>
    <w:rsid w:val="00011E1F"/>
    <w:rsid w:val="00013C9E"/>
    <w:rsid w:val="00015419"/>
    <w:rsid w:val="00017EF2"/>
    <w:rsid w:val="000256AE"/>
    <w:rsid w:val="0002714F"/>
    <w:rsid w:val="00027667"/>
    <w:rsid w:val="00027A88"/>
    <w:rsid w:val="00031D16"/>
    <w:rsid w:val="000348B0"/>
    <w:rsid w:val="0003590A"/>
    <w:rsid w:val="00035FCE"/>
    <w:rsid w:val="000370AE"/>
    <w:rsid w:val="000407EE"/>
    <w:rsid w:val="000417DA"/>
    <w:rsid w:val="00042ABE"/>
    <w:rsid w:val="000447E6"/>
    <w:rsid w:val="000451FC"/>
    <w:rsid w:val="00045792"/>
    <w:rsid w:val="00045914"/>
    <w:rsid w:val="00045CDA"/>
    <w:rsid w:val="00047C24"/>
    <w:rsid w:val="00051D0D"/>
    <w:rsid w:val="00055477"/>
    <w:rsid w:val="00055A63"/>
    <w:rsid w:val="00056736"/>
    <w:rsid w:val="00057EE8"/>
    <w:rsid w:val="00057EFB"/>
    <w:rsid w:val="00060DC2"/>
    <w:rsid w:val="00061EFF"/>
    <w:rsid w:val="00064F49"/>
    <w:rsid w:val="0006747E"/>
    <w:rsid w:val="000675EA"/>
    <w:rsid w:val="00067944"/>
    <w:rsid w:val="00073219"/>
    <w:rsid w:val="00073EFA"/>
    <w:rsid w:val="00075658"/>
    <w:rsid w:val="00076BD1"/>
    <w:rsid w:val="00080446"/>
    <w:rsid w:val="00082872"/>
    <w:rsid w:val="00082D03"/>
    <w:rsid w:val="00082D1F"/>
    <w:rsid w:val="00086706"/>
    <w:rsid w:val="00086866"/>
    <w:rsid w:val="000872A1"/>
    <w:rsid w:val="00091348"/>
    <w:rsid w:val="0009147C"/>
    <w:rsid w:val="000915C9"/>
    <w:rsid w:val="00093662"/>
    <w:rsid w:val="000946CB"/>
    <w:rsid w:val="000948B9"/>
    <w:rsid w:val="00096927"/>
    <w:rsid w:val="000A03F9"/>
    <w:rsid w:val="000A07AD"/>
    <w:rsid w:val="000A0ABC"/>
    <w:rsid w:val="000A2CDF"/>
    <w:rsid w:val="000A3670"/>
    <w:rsid w:val="000A408C"/>
    <w:rsid w:val="000A53E0"/>
    <w:rsid w:val="000A741F"/>
    <w:rsid w:val="000B04D5"/>
    <w:rsid w:val="000B4D95"/>
    <w:rsid w:val="000B55BB"/>
    <w:rsid w:val="000C1B0B"/>
    <w:rsid w:val="000C2725"/>
    <w:rsid w:val="000C3404"/>
    <w:rsid w:val="000C43CD"/>
    <w:rsid w:val="000C4727"/>
    <w:rsid w:val="000C5369"/>
    <w:rsid w:val="000C68FD"/>
    <w:rsid w:val="000C6A23"/>
    <w:rsid w:val="000D0ECF"/>
    <w:rsid w:val="000D207F"/>
    <w:rsid w:val="000D4F14"/>
    <w:rsid w:val="000D53D5"/>
    <w:rsid w:val="000D5949"/>
    <w:rsid w:val="000D7AD4"/>
    <w:rsid w:val="000E037E"/>
    <w:rsid w:val="000E04E7"/>
    <w:rsid w:val="000E0984"/>
    <w:rsid w:val="000E1A6C"/>
    <w:rsid w:val="000E2126"/>
    <w:rsid w:val="000E2142"/>
    <w:rsid w:val="000E28B3"/>
    <w:rsid w:val="000E3FB6"/>
    <w:rsid w:val="000E5375"/>
    <w:rsid w:val="000F0117"/>
    <w:rsid w:val="000F10F5"/>
    <w:rsid w:val="000F140B"/>
    <w:rsid w:val="000F34B0"/>
    <w:rsid w:val="000F3B7B"/>
    <w:rsid w:val="000F5BCA"/>
    <w:rsid w:val="000F6113"/>
    <w:rsid w:val="000F6592"/>
    <w:rsid w:val="00101C41"/>
    <w:rsid w:val="00103CB0"/>
    <w:rsid w:val="00103DE5"/>
    <w:rsid w:val="00104F1A"/>
    <w:rsid w:val="001059F4"/>
    <w:rsid w:val="00105C45"/>
    <w:rsid w:val="0010764F"/>
    <w:rsid w:val="00111FF3"/>
    <w:rsid w:val="00112942"/>
    <w:rsid w:val="00112A09"/>
    <w:rsid w:val="00113667"/>
    <w:rsid w:val="001146F6"/>
    <w:rsid w:val="00117E73"/>
    <w:rsid w:val="00120B97"/>
    <w:rsid w:val="001212DB"/>
    <w:rsid w:val="001213D6"/>
    <w:rsid w:val="00122870"/>
    <w:rsid w:val="001230AD"/>
    <w:rsid w:val="0012449D"/>
    <w:rsid w:val="00124F13"/>
    <w:rsid w:val="00125B6F"/>
    <w:rsid w:val="001303C2"/>
    <w:rsid w:val="0013097E"/>
    <w:rsid w:val="00130F5D"/>
    <w:rsid w:val="00132069"/>
    <w:rsid w:val="00132ADC"/>
    <w:rsid w:val="00132C37"/>
    <w:rsid w:val="00135BC0"/>
    <w:rsid w:val="00136FFF"/>
    <w:rsid w:val="00142286"/>
    <w:rsid w:val="00143717"/>
    <w:rsid w:val="0014605A"/>
    <w:rsid w:val="00150302"/>
    <w:rsid w:val="001506B1"/>
    <w:rsid w:val="00153E32"/>
    <w:rsid w:val="00154F17"/>
    <w:rsid w:val="00155455"/>
    <w:rsid w:val="00157D89"/>
    <w:rsid w:val="00160DB5"/>
    <w:rsid w:val="001610FC"/>
    <w:rsid w:val="00163E20"/>
    <w:rsid w:val="001657FB"/>
    <w:rsid w:val="00166699"/>
    <w:rsid w:val="001675E6"/>
    <w:rsid w:val="001712D9"/>
    <w:rsid w:val="001744AC"/>
    <w:rsid w:val="0017491C"/>
    <w:rsid w:val="00177D6E"/>
    <w:rsid w:val="001808F7"/>
    <w:rsid w:val="00181596"/>
    <w:rsid w:val="00181AA6"/>
    <w:rsid w:val="00181CBA"/>
    <w:rsid w:val="001845E1"/>
    <w:rsid w:val="00184F13"/>
    <w:rsid w:val="00185B60"/>
    <w:rsid w:val="00185F38"/>
    <w:rsid w:val="0019303F"/>
    <w:rsid w:val="001931A0"/>
    <w:rsid w:val="0019619C"/>
    <w:rsid w:val="001B04ED"/>
    <w:rsid w:val="001B29CF"/>
    <w:rsid w:val="001B3AA0"/>
    <w:rsid w:val="001B3B72"/>
    <w:rsid w:val="001B550C"/>
    <w:rsid w:val="001B6F89"/>
    <w:rsid w:val="001B74B1"/>
    <w:rsid w:val="001B775D"/>
    <w:rsid w:val="001C6249"/>
    <w:rsid w:val="001C6E6F"/>
    <w:rsid w:val="001D1C5C"/>
    <w:rsid w:val="001D3964"/>
    <w:rsid w:val="001D4C2C"/>
    <w:rsid w:val="001D7A51"/>
    <w:rsid w:val="001E2D1B"/>
    <w:rsid w:val="001E55A5"/>
    <w:rsid w:val="001E6E6F"/>
    <w:rsid w:val="001F171D"/>
    <w:rsid w:val="001F498E"/>
    <w:rsid w:val="001F4F51"/>
    <w:rsid w:val="001F5220"/>
    <w:rsid w:val="001F55AE"/>
    <w:rsid w:val="00202091"/>
    <w:rsid w:val="0020362C"/>
    <w:rsid w:val="00204CC5"/>
    <w:rsid w:val="002052A4"/>
    <w:rsid w:val="00205EC1"/>
    <w:rsid w:val="002065D0"/>
    <w:rsid w:val="00210496"/>
    <w:rsid w:val="00211CAC"/>
    <w:rsid w:val="00212222"/>
    <w:rsid w:val="00212818"/>
    <w:rsid w:val="00212888"/>
    <w:rsid w:val="00214AB1"/>
    <w:rsid w:val="00217306"/>
    <w:rsid w:val="00217A5D"/>
    <w:rsid w:val="00217B71"/>
    <w:rsid w:val="00220042"/>
    <w:rsid w:val="00220E35"/>
    <w:rsid w:val="002210AE"/>
    <w:rsid w:val="00222883"/>
    <w:rsid w:val="002274A8"/>
    <w:rsid w:val="002349B7"/>
    <w:rsid w:val="00236530"/>
    <w:rsid w:val="00237563"/>
    <w:rsid w:val="00241A37"/>
    <w:rsid w:val="00241BC9"/>
    <w:rsid w:val="00241ED0"/>
    <w:rsid w:val="00241F12"/>
    <w:rsid w:val="00242B07"/>
    <w:rsid w:val="00244A45"/>
    <w:rsid w:val="00245CBF"/>
    <w:rsid w:val="00247541"/>
    <w:rsid w:val="00247670"/>
    <w:rsid w:val="002500DA"/>
    <w:rsid w:val="00252951"/>
    <w:rsid w:val="00252ACC"/>
    <w:rsid w:val="00252D32"/>
    <w:rsid w:val="00252DB7"/>
    <w:rsid w:val="00253619"/>
    <w:rsid w:val="002545AB"/>
    <w:rsid w:val="002551CA"/>
    <w:rsid w:val="00255A9A"/>
    <w:rsid w:val="0025669F"/>
    <w:rsid w:val="00257E89"/>
    <w:rsid w:val="0026070F"/>
    <w:rsid w:val="00260CCE"/>
    <w:rsid w:val="00260DE7"/>
    <w:rsid w:val="00262D86"/>
    <w:rsid w:val="002637E2"/>
    <w:rsid w:val="00266658"/>
    <w:rsid w:val="00271CFC"/>
    <w:rsid w:val="00271E79"/>
    <w:rsid w:val="0027486F"/>
    <w:rsid w:val="002774BB"/>
    <w:rsid w:val="00281431"/>
    <w:rsid w:val="00283B36"/>
    <w:rsid w:val="00291D51"/>
    <w:rsid w:val="00293F04"/>
    <w:rsid w:val="00294556"/>
    <w:rsid w:val="00295061"/>
    <w:rsid w:val="002957E9"/>
    <w:rsid w:val="00295E0F"/>
    <w:rsid w:val="00296CF7"/>
    <w:rsid w:val="00297CB0"/>
    <w:rsid w:val="002A033E"/>
    <w:rsid w:val="002A0391"/>
    <w:rsid w:val="002A11E7"/>
    <w:rsid w:val="002A29CB"/>
    <w:rsid w:val="002A57BB"/>
    <w:rsid w:val="002A7FF8"/>
    <w:rsid w:val="002B1F95"/>
    <w:rsid w:val="002B2A70"/>
    <w:rsid w:val="002B319D"/>
    <w:rsid w:val="002B3B71"/>
    <w:rsid w:val="002B3E8C"/>
    <w:rsid w:val="002B526C"/>
    <w:rsid w:val="002B5A9C"/>
    <w:rsid w:val="002B7DE4"/>
    <w:rsid w:val="002C2301"/>
    <w:rsid w:val="002C3386"/>
    <w:rsid w:val="002C3B94"/>
    <w:rsid w:val="002C3F78"/>
    <w:rsid w:val="002C4844"/>
    <w:rsid w:val="002C5BE1"/>
    <w:rsid w:val="002C6EA8"/>
    <w:rsid w:val="002C7AEF"/>
    <w:rsid w:val="002D040C"/>
    <w:rsid w:val="002D0D36"/>
    <w:rsid w:val="002D1B97"/>
    <w:rsid w:val="002D2285"/>
    <w:rsid w:val="002D2536"/>
    <w:rsid w:val="002D2A64"/>
    <w:rsid w:val="002D2FF9"/>
    <w:rsid w:val="002D39C4"/>
    <w:rsid w:val="002D47C9"/>
    <w:rsid w:val="002E0A43"/>
    <w:rsid w:val="002E2AE9"/>
    <w:rsid w:val="002E3012"/>
    <w:rsid w:val="002E548E"/>
    <w:rsid w:val="002E628D"/>
    <w:rsid w:val="002E6B47"/>
    <w:rsid w:val="002F376C"/>
    <w:rsid w:val="002F72F7"/>
    <w:rsid w:val="002F7BBC"/>
    <w:rsid w:val="002F7D1E"/>
    <w:rsid w:val="003003A9"/>
    <w:rsid w:val="00301106"/>
    <w:rsid w:val="00301267"/>
    <w:rsid w:val="003022CA"/>
    <w:rsid w:val="00302541"/>
    <w:rsid w:val="00302F19"/>
    <w:rsid w:val="00304C6D"/>
    <w:rsid w:val="00306EAE"/>
    <w:rsid w:val="00306EE3"/>
    <w:rsid w:val="00307075"/>
    <w:rsid w:val="00315311"/>
    <w:rsid w:val="00316ED2"/>
    <w:rsid w:val="0032109A"/>
    <w:rsid w:val="00323951"/>
    <w:rsid w:val="00331934"/>
    <w:rsid w:val="00332B6D"/>
    <w:rsid w:val="00334A43"/>
    <w:rsid w:val="0033621D"/>
    <w:rsid w:val="0033632B"/>
    <w:rsid w:val="003371B4"/>
    <w:rsid w:val="00337317"/>
    <w:rsid w:val="00337BC4"/>
    <w:rsid w:val="0034185B"/>
    <w:rsid w:val="003432FE"/>
    <w:rsid w:val="00343667"/>
    <w:rsid w:val="00343B96"/>
    <w:rsid w:val="00344039"/>
    <w:rsid w:val="00347922"/>
    <w:rsid w:val="003504ED"/>
    <w:rsid w:val="00351FAD"/>
    <w:rsid w:val="00352BB2"/>
    <w:rsid w:val="00354876"/>
    <w:rsid w:val="0035487C"/>
    <w:rsid w:val="00357C4E"/>
    <w:rsid w:val="00360393"/>
    <w:rsid w:val="00363B60"/>
    <w:rsid w:val="00364F95"/>
    <w:rsid w:val="00365635"/>
    <w:rsid w:val="00366272"/>
    <w:rsid w:val="0036647D"/>
    <w:rsid w:val="00367D37"/>
    <w:rsid w:val="003703D1"/>
    <w:rsid w:val="00372FAF"/>
    <w:rsid w:val="003741F4"/>
    <w:rsid w:val="0037430B"/>
    <w:rsid w:val="0037650C"/>
    <w:rsid w:val="003768FD"/>
    <w:rsid w:val="00377B81"/>
    <w:rsid w:val="00377C57"/>
    <w:rsid w:val="003805EF"/>
    <w:rsid w:val="00381114"/>
    <w:rsid w:val="003825F8"/>
    <w:rsid w:val="00383892"/>
    <w:rsid w:val="00385E4F"/>
    <w:rsid w:val="00390A50"/>
    <w:rsid w:val="0039234B"/>
    <w:rsid w:val="00394D5F"/>
    <w:rsid w:val="00395FF7"/>
    <w:rsid w:val="0039663C"/>
    <w:rsid w:val="00397E96"/>
    <w:rsid w:val="003A0816"/>
    <w:rsid w:val="003A113D"/>
    <w:rsid w:val="003A1438"/>
    <w:rsid w:val="003A1578"/>
    <w:rsid w:val="003A1BBB"/>
    <w:rsid w:val="003A26E9"/>
    <w:rsid w:val="003A5819"/>
    <w:rsid w:val="003A5C49"/>
    <w:rsid w:val="003B6677"/>
    <w:rsid w:val="003B7414"/>
    <w:rsid w:val="003B7D67"/>
    <w:rsid w:val="003C212D"/>
    <w:rsid w:val="003C3C62"/>
    <w:rsid w:val="003C5C37"/>
    <w:rsid w:val="003C5DBD"/>
    <w:rsid w:val="003C5F4F"/>
    <w:rsid w:val="003C75BF"/>
    <w:rsid w:val="003D279B"/>
    <w:rsid w:val="003D2FB4"/>
    <w:rsid w:val="003D31B3"/>
    <w:rsid w:val="003D3B43"/>
    <w:rsid w:val="003D4AE6"/>
    <w:rsid w:val="003D5399"/>
    <w:rsid w:val="003D7FD7"/>
    <w:rsid w:val="003E08C8"/>
    <w:rsid w:val="003E2FD6"/>
    <w:rsid w:val="003E48BE"/>
    <w:rsid w:val="003E58E4"/>
    <w:rsid w:val="003E68E6"/>
    <w:rsid w:val="003E7389"/>
    <w:rsid w:val="003E7492"/>
    <w:rsid w:val="003E7CD9"/>
    <w:rsid w:val="003F1983"/>
    <w:rsid w:val="003F20EE"/>
    <w:rsid w:val="003F5052"/>
    <w:rsid w:val="003F558A"/>
    <w:rsid w:val="003F6B49"/>
    <w:rsid w:val="00402880"/>
    <w:rsid w:val="00403881"/>
    <w:rsid w:val="00404ED4"/>
    <w:rsid w:val="00407B77"/>
    <w:rsid w:val="00407F41"/>
    <w:rsid w:val="00410BC4"/>
    <w:rsid w:val="00412820"/>
    <w:rsid w:val="00415B77"/>
    <w:rsid w:val="0041634C"/>
    <w:rsid w:val="0042008E"/>
    <w:rsid w:val="004201EA"/>
    <w:rsid w:val="00420768"/>
    <w:rsid w:val="00421CD3"/>
    <w:rsid w:val="00423170"/>
    <w:rsid w:val="00424473"/>
    <w:rsid w:val="00424959"/>
    <w:rsid w:val="00425184"/>
    <w:rsid w:val="004259B7"/>
    <w:rsid w:val="00432BD8"/>
    <w:rsid w:val="0043464D"/>
    <w:rsid w:val="00435E10"/>
    <w:rsid w:val="00437D1F"/>
    <w:rsid w:val="00440126"/>
    <w:rsid w:val="004419CD"/>
    <w:rsid w:val="00441FC3"/>
    <w:rsid w:val="004420B3"/>
    <w:rsid w:val="00442398"/>
    <w:rsid w:val="004427CB"/>
    <w:rsid w:val="004429A4"/>
    <w:rsid w:val="0044350A"/>
    <w:rsid w:val="0044396A"/>
    <w:rsid w:val="004464F0"/>
    <w:rsid w:val="00450141"/>
    <w:rsid w:val="00450E27"/>
    <w:rsid w:val="00454513"/>
    <w:rsid w:val="004549E0"/>
    <w:rsid w:val="00455E88"/>
    <w:rsid w:val="00456F4B"/>
    <w:rsid w:val="00473478"/>
    <w:rsid w:val="00474984"/>
    <w:rsid w:val="00474C53"/>
    <w:rsid w:val="00475D53"/>
    <w:rsid w:val="00475DCE"/>
    <w:rsid w:val="00476CAB"/>
    <w:rsid w:val="0048067E"/>
    <w:rsid w:val="00480F72"/>
    <w:rsid w:val="00482435"/>
    <w:rsid w:val="00483D33"/>
    <w:rsid w:val="0048771F"/>
    <w:rsid w:val="00491373"/>
    <w:rsid w:val="0049155E"/>
    <w:rsid w:val="00492605"/>
    <w:rsid w:val="00492A0E"/>
    <w:rsid w:val="00493775"/>
    <w:rsid w:val="00493C2E"/>
    <w:rsid w:val="00493DFE"/>
    <w:rsid w:val="004964EC"/>
    <w:rsid w:val="00496B0F"/>
    <w:rsid w:val="004A0F52"/>
    <w:rsid w:val="004A15B0"/>
    <w:rsid w:val="004A1BC8"/>
    <w:rsid w:val="004A33E3"/>
    <w:rsid w:val="004A3F79"/>
    <w:rsid w:val="004A59F9"/>
    <w:rsid w:val="004B1258"/>
    <w:rsid w:val="004B1F1F"/>
    <w:rsid w:val="004B2293"/>
    <w:rsid w:val="004B3C7D"/>
    <w:rsid w:val="004B430F"/>
    <w:rsid w:val="004B44AD"/>
    <w:rsid w:val="004B49BC"/>
    <w:rsid w:val="004B76C7"/>
    <w:rsid w:val="004C027E"/>
    <w:rsid w:val="004C0C42"/>
    <w:rsid w:val="004C1F0B"/>
    <w:rsid w:val="004C22A2"/>
    <w:rsid w:val="004C3BA6"/>
    <w:rsid w:val="004C416F"/>
    <w:rsid w:val="004C59E7"/>
    <w:rsid w:val="004C7643"/>
    <w:rsid w:val="004D4FCC"/>
    <w:rsid w:val="004E22B6"/>
    <w:rsid w:val="004E2BF4"/>
    <w:rsid w:val="004E2D22"/>
    <w:rsid w:val="004E2F32"/>
    <w:rsid w:val="004E35BA"/>
    <w:rsid w:val="004E3FF9"/>
    <w:rsid w:val="004E5C31"/>
    <w:rsid w:val="004E6286"/>
    <w:rsid w:val="004E6831"/>
    <w:rsid w:val="004F03A2"/>
    <w:rsid w:val="004F15A3"/>
    <w:rsid w:val="004F2F5C"/>
    <w:rsid w:val="004F3169"/>
    <w:rsid w:val="004F3EFD"/>
    <w:rsid w:val="004F4882"/>
    <w:rsid w:val="004F5AD4"/>
    <w:rsid w:val="004F6DBA"/>
    <w:rsid w:val="004F738A"/>
    <w:rsid w:val="00500DAE"/>
    <w:rsid w:val="00503BEC"/>
    <w:rsid w:val="00504683"/>
    <w:rsid w:val="005072E2"/>
    <w:rsid w:val="005156D6"/>
    <w:rsid w:val="005160AC"/>
    <w:rsid w:val="00521681"/>
    <w:rsid w:val="005243EA"/>
    <w:rsid w:val="005271FE"/>
    <w:rsid w:val="0052741D"/>
    <w:rsid w:val="005307AA"/>
    <w:rsid w:val="0053103E"/>
    <w:rsid w:val="00531EF1"/>
    <w:rsid w:val="00535247"/>
    <w:rsid w:val="00536568"/>
    <w:rsid w:val="00536ACD"/>
    <w:rsid w:val="005372B1"/>
    <w:rsid w:val="005412E1"/>
    <w:rsid w:val="00541C6D"/>
    <w:rsid w:val="00542B89"/>
    <w:rsid w:val="00544F7E"/>
    <w:rsid w:val="00545C39"/>
    <w:rsid w:val="00546387"/>
    <w:rsid w:val="00547E22"/>
    <w:rsid w:val="00547FB1"/>
    <w:rsid w:val="00551303"/>
    <w:rsid w:val="00551CFF"/>
    <w:rsid w:val="005563E9"/>
    <w:rsid w:val="00556AD1"/>
    <w:rsid w:val="00556B3E"/>
    <w:rsid w:val="00560604"/>
    <w:rsid w:val="00560E01"/>
    <w:rsid w:val="005618F2"/>
    <w:rsid w:val="005657B2"/>
    <w:rsid w:val="00566049"/>
    <w:rsid w:val="00566692"/>
    <w:rsid w:val="00567370"/>
    <w:rsid w:val="00567563"/>
    <w:rsid w:val="00571F08"/>
    <w:rsid w:val="00573F75"/>
    <w:rsid w:val="00574728"/>
    <w:rsid w:val="005760D6"/>
    <w:rsid w:val="00576C73"/>
    <w:rsid w:val="00580399"/>
    <w:rsid w:val="00582A89"/>
    <w:rsid w:val="005852CA"/>
    <w:rsid w:val="0058536D"/>
    <w:rsid w:val="005870B1"/>
    <w:rsid w:val="00587DAE"/>
    <w:rsid w:val="005903BA"/>
    <w:rsid w:val="00593287"/>
    <w:rsid w:val="00594A35"/>
    <w:rsid w:val="00595FEE"/>
    <w:rsid w:val="00597628"/>
    <w:rsid w:val="005A0225"/>
    <w:rsid w:val="005A0BEB"/>
    <w:rsid w:val="005A3B07"/>
    <w:rsid w:val="005A5886"/>
    <w:rsid w:val="005A70C7"/>
    <w:rsid w:val="005B5223"/>
    <w:rsid w:val="005B5AC3"/>
    <w:rsid w:val="005C0288"/>
    <w:rsid w:val="005C09D4"/>
    <w:rsid w:val="005C1A80"/>
    <w:rsid w:val="005C431A"/>
    <w:rsid w:val="005C5F04"/>
    <w:rsid w:val="005C62C6"/>
    <w:rsid w:val="005D108E"/>
    <w:rsid w:val="005D123E"/>
    <w:rsid w:val="005D13B8"/>
    <w:rsid w:val="005D3FB0"/>
    <w:rsid w:val="005D4A36"/>
    <w:rsid w:val="005D4C2D"/>
    <w:rsid w:val="005D5072"/>
    <w:rsid w:val="005D6437"/>
    <w:rsid w:val="005D652C"/>
    <w:rsid w:val="005D658B"/>
    <w:rsid w:val="005D7DF1"/>
    <w:rsid w:val="005E3C78"/>
    <w:rsid w:val="005E5D35"/>
    <w:rsid w:val="005E6F0D"/>
    <w:rsid w:val="005F081C"/>
    <w:rsid w:val="005F5D50"/>
    <w:rsid w:val="00600151"/>
    <w:rsid w:val="00600C1B"/>
    <w:rsid w:val="00600C25"/>
    <w:rsid w:val="00600C46"/>
    <w:rsid w:val="00605A27"/>
    <w:rsid w:val="00606611"/>
    <w:rsid w:val="00607964"/>
    <w:rsid w:val="00612683"/>
    <w:rsid w:val="006135D1"/>
    <w:rsid w:val="006135D4"/>
    <w:rsid w:val="0061407E"/>
    <w:rsid w:val="00617210"/>
    <w:rsid w:val="00617936"/>
    <w:rsid w:val="0062070B"/>
    <w:rsid w:val="00621F2E"/>
    <w:rsid w:val="006243FE"/>
    <w:rsid w:val="00625E30"/>
    <w:rsid w:val="0062613A"/>
    <w:rsid w:val="00626D9E"/>
    <w:rsid w:val="00627996"/>
    <w:rsid w:val="00627C2B"/>
    <w:rsid w:val="006300D5"/>
    <w:rsid w:val="006312BC"/>
    <w:rsid w:val="00633B3E"/>
    <w:rsid w:val="00634F08"/>
    <w:rsid w:val="00635722"/>
    <w:rsid w:val="0063585C"/>
    <w:rsid w:val="00637517"/>
    <w:rsid w:val="00637932"/>
    <w:rsid w:val="00640CA9"/>
    <w:rsid w:val="006422A1"/>
    <w:rsid w:val="00642869"/>
    <w:rsid w:val="00644B4A"/>
    <w:rsid w:val="00644EB2"/>
    <w:rsid w:val="00645C42"/>
    <w:rsid w:val="006479D1"/>
    <w:rsid w:val="00650422"/>
    <w:rsid w:val="006517D1"/>
    <w:rsid w:val="00651946"/>
    <w:rsid w:val="0065280D"/>
    <w:rsid w:val="0065310B"/>
    <w:rsid w:val="00654109"/>
    <w:rsid w:val="00655641"/>
    <w:rsid w:val="006568E5"/>
    <w:rsid w:val="00657FF0"/>
    <w:rsid w:val="00663D57"/>
    <w:rsid w:val="006640D8"/>
    <w:rsid w:val="00664667"/>
    <w:rsid w:val="0066512E"/>
    <w:rsid w:val="0067041F"/>
    <w:rsid w:val="006765FA"/>
    <w:rsid w:val="00676AAC"/>
    <w:rsid w:val="006773B4"/>
    <w:rsid w:val="00677990"/>
    <w:rsid w:val="006932C9"/>
    <w:rsid w:val="00694CC5"/>
    <w:rsid w:val="006971B5"/>
    <w:rsid w:val="006A1BDC"/>
    <w:rsid w:val="006A1D22"/>
    <w:rsid w:val="006A1F53"/>
    <w:rsid w:val="006A1F6F"/>
    <w:rsid w:val="006A209D"/>
    <w:rsid w:val="006A2968"/>
    <w:rsid w:val="006A35C1"/>
    <w:rsid w:val="006A58CA"/>
    <w:rsid w:val="006A6687"/>
    <w:rsid w:val="006B37F9"/>
    <w:rsid w:val="006B54AA"/>
    <w:rsid w:val="006C00EB"/>
    <w:rsid w:val="006C45F6"/>
    <w:rsid w:val="006C505F"/>
    <w:rsid w:val="006C6CC0"/>
    <w:rsid w:val="006C7171"/>
    <w:rsid w:val="006C7D1F"/>
    <w:rsid w:val="006D269B"/>
    <w:rsid w:val="006D2BA7"/>
    <w:rsid w:val="006D3597"/>
    <w:rsid w:val="006D3822"/>
    <w:rsid w:val="006D4EA2"/>
    <w:rsid w:val="006D4F41"/>
    <w:rsid w:val="006D5D42"/>
    <w:rsid w:val="006D71EF"/>
    <w:rsid w:val="006E1EEA"/>
    <w:rsid w:val="006E2ADF"/>
    <w:rsid w:val="006E2BC5"/>
    <w:rsid w:val="006E3235"/>
    <w:rsid w:val="006E400E"/>
    <w:rsid w:val="006E6F37"/>
    <w:rsid w:val="006E7DF2"/>
    <w:rsid w:val="006F16D1"/>
    <w:rsid w:val="006F1D22"/>
    <w:rsid w:val="006F1D47"/>
    <w:rsid w:val="006F1F28"/>
    <w:rsid w:val="006F23B1"/>
    <w:rsid w:val="006F49E6"/>
    <w:rsid w:val="006F566A"/>
    <w:rsid w:val="007015D0"/>
    <w:rsid w:val="00704368"/>
    <w:rsid w:val="007052D4"/>
    <w:rsid w:val="00705B7B"/>
    <w:rsid w:val="0070785E"/>
    <w:rsid w:val="007116A2"/>
    <w:rsid w:val="0071194D"/>
    <w:rsid w:val="007124D6"/>
    <w:rsid w:val="00717B32"/>
    <w:rsid w:val="00720B4C"/>
    <w:rsid w:val="00720EB9"/>
    <w:rsid w:val="00722E77"/>
    <w:rsid w:val="00722FAC"/>
    <w:rsid w:val="007231FB"/>
    <w:rsid w:val="0072347A"/>
    <w:rsid w:val="0072461A"/>
    <w:rsid w:val="00725696"/>
    <w:rsid w:val="00725906"/>
    <w:rsid w:val="00725C7B"/>
    <w:rsid w:val="00726975"/>
    <w:rsid w:val="00726F1F"/>
    <w:rsid w:val="00727DA6"/>
    <w:rsid w:val="00727E4F"/>
    <w:rsid w:val="00730113"/>
    <w:rsid w:val="00731598"/>
    <w:rsid w:val="007325F2"/>
    <w:rsid w:val="00732EFD"/>
    <w:rsid w:val="007346C0"/>
    <w:rsid w:val="007349CB"/>
    <w:rsid w:val="00735225"/>
    <w:rsid w:val="007352B3"/>
    <w:rsid w:val="00737FCE"/>
    <w:rsid w:val="00741825"/>
    <w:rsid w:val="00743CE4"/>
    <w:rsid w:val="007446DF"/>
    <w:rsid w:val="00746E4E"/>
    <w:rsid w:val="00747CEA"/>
    <w:rsid w:val="00751550"/>
    <w:rsid w:val="0075222E"/>
    <w:rsid w:val="00752605"/>
    <w:rsid w:val="00753E64"/>
    <w:rsid w:val="007575FF"/>
    <w:rsid w:val="00762010"/>
    <w:rsid w:val="007626F0"/>
    <w:rsid w:val="00762DF8"/>
    <w:rsid w:val="0076376B"/>
    <w:rsid w:val="007676F1"/>
    <w:rsid w:val="00770339"/>
    <w:rsid w:val="00771A05"/>
    <w:rsid w:val="00773C63"/>
    <w:rsid w:val="00773F07"/>
    <w:rsid w:val="0077478B"/>
    <w:rsid w:val="0077595D"/>
    <w:rsid w:val="00776CE2"/>
    <w:rsid w:val="00782111"/>
    <w:rsid w:val="00782515"/>
    <w:rsid w:val="0078367F"/>
    <w:rsid w:val="007839E2"/>
    <w:rsid w:val="00784F1B"/>
    <w:rsid w:val="00790E40"/>
    <w:rsid w:val="00790FB8"/>
    <w:rsid w:val="007919BA"/>
    <w:rsid w:val="007925EF"/>
    <w:rsid w:val="00794C4A"/>
    <w:rsid w:val="0079507A"/>
    <w:rsid w:val="00796A67"/>
    <w:rsid w:val="00797CD1"/>
    <w:rsid w:val="00797F22"/>
    <w:rsid w:val="007A0D8B"/>
    <w:rsid w:val="007A1CF4"/>
    <w:rsid w:val="007A326D"/>
    <w:rsid w:val="007A4336"/>
    <w:rsid w:val="007A4996"/>
    <w:rsid w:val="007A5BD1"/>
    <w:rsid w:val="007A5F71"/>
    <w:rsid w:val="007A7975"/>
    <w:rsid w:val="007A7BD3"/>
    <w:rsid w:val="007A7DF2"/>
    <w:rsid w:val="007B2D9A"/>
    <w:rsid w:val="007B3499"/>
    <w:rsid w:val="007B48E7"/>
    <w:rsid w:val="007B51DD"/>
    <w:rsid w:val="007C1524"/>
    <w:rsid w:val="007C1C4C"/>
    <w:rsid w:val="007C5533"/>
    <w:rsid w:val="007C778A"/>
    <w:rsid w:val="007C7A8D"/>
    <w:rsid w:val="007D213C"/>
    <w:rsid w:val="007D23E7"/>
    <w:rsid w:val="007D6D1A"/>
    <w:rsid w:val="007E12CD"/>
    <w:rsid w:val="007E2308"/>
    <w:rsid w:val="007E6CE1"/>
    <w:rsid w:val="007E72DB"/>
    <w:rsid w:val="007F0484"/>
    <w:rsid w:val="007F1293"/>
    <w:rsid w:val="007F1AAF"/>
    <w:rsid w:val="007F363E"/>
    <w:rsid w:val="007F3B71"/>
    <w:rsid w:val="007F4AA2"/>
    <w:rsid w:val="00801B7F"/>
    <w:rsid w:val="00802119"/>
    <w:rsid w:val="0080479F"/>
    <w:rsid w:val="008061FE"/>
    <w:rsid w:val="00806EAB"/>
    <w:rsid w:val="008109EA"/>
    <w:rsid w:val="00810FC5"/>
    <w:rsid w:val="00811099"/>
    <w:rsid w:val="00811F01"/>
    <w:rsid w:val="008129E8"/>
    <w:rsid w:val="00813A48"/>
    <w:rsid w:val="00814A7C"/>
    <w:rsid w:val="00815027"/>
    <w:rsid w:val="0081558E"/>
    <w:rsid w:val="008155D0"/>
    <w:rsid w:val="00820AFD"/>
    <w:rsid w:val="00821277"/>
    <w:rsid w:val="008220F9"/>
    <w:rsid w:val="00825A98"/>
    <w:rsid w:val="00831AE5"/>
    <w:rsid w:val="0083463B"/>
    <w:rsid w:val="0083465D"/>
    <w:rsid w:val="00834B20"/>
    <w:rsid w:val="00835B5D"/>
    <w:rsid w:val="00836C1A"/>
    <w:rsid w:val="00836EDE"/>
    <w:rsid w:val="00837A88"/>
    <w:rsid w:val="00837C1E"/>
    <w:rsid w:val="00840BFB"/>
    <w:rsid w:val="008417DD"/>
    <w:rsid w:val="00842133"/>
    <w:rsid w:val="00844083"/>
    <w:rsid w:val="00845DC8"/>
    <w:rsid w:val="00846648"/>
    <w:rsid w:val="008509AD"/>
    <w:rsid w:val="00855733"/>
    <w:rsid w:val="00857142"/>
    <w:rsid w:val="00857ED3"/>
    <w:rsid w:val="00860890"/>
    <w:rsid w:val="00862422"/>
    <w:rsid w:val="008624AA"/>
    <w:rsid w:val="008637EA"/>
    <w:rsid w:val="0086442A"/>
    <w:rsid w:val="0086647D"/>
    <w:rsid w:val="00866C95"/>
    <w:rsid w:val="00870009"/>
    <w:rsid w:val="0087436A"/>
    <w:rsid w:val="00877964"/>
    <w:rsid w:val="00881DC0"/>
    <w:rsid w:val="008821F7"/>
    <w:rsid w:val="00884809"/>
    <w:rsid w:val="008852ED"/>
    <w:rsid w:val="00886A06"/>
    <w:rsid w:val="00886DF7"/>
    <w:rsid w:val="0089171B"/>
    <w:rsid w:val="00891FC4"/>
    <w:rsid w:val="0089207D"/>
    <w:rsid w:val="00892B10"/>
    <w:rsid w:val="00892DE3"/>
    <w:rsid w:val="00893855"/>
    <w:rsid w:val="008A5A91"/>
    <w:rsid w:val="008A5F0E"/>
    <w:rsid w:val="008A64B8"/>
    <w:rsid w:val="008A6BB6"/>
    <w:rsid w:val="008B155F"/>
    <w:rsid w:val="008B2719"/>
    <w:rsid w:val="008B581F"/>
    <w:rsid w:val="008B71C4"/>
    <w:rsid w:val="008C10D4"/>
    <w:rsid w:val="008C2EE2"/>
    <w:rsid w:val="008C4951"/>
    <w:rsid w:val="008C514C"/>
    <w:rsid w:val="008C6246"/>
    <w:rsid w:val="008C696A"/>
    <w:rsid w:val="008C7CC2"/>
    <w:rsid w:val="008D05BD"/>
    <w:rsid w:val="008D128E"/>
    <w:rsid w:val="008D29E5"/>
    <w:rsid w:val="008D37BD"/>
    <w:rsid w:val="008D5DD6"/>
    <w:rsid w:val="008E1571"/>
    <w:rsid w:val="008E3105"/>
    <w:rsid w:val="008E469A"/>
    <w:rsid w:val="008E49B9"/>
    <w:rsid w:val="008E4FDE"/>
    <w:rsid w:val="008E554D"/>
    <w:rsid w:val="008F08D9"/>
    <w:rsid w:val="008F764F"/>
    <w:rsid w:val="008F7897"/>
    <w:rsid w:val="00900DF0"/>
    <w:rsid w:val="00900ED2"/>
    <w:rsid w:val="009010FD"/>
    <w:rsid w:val="00901595"/>
    <w:rsid w:val="00901B8C"/>
    <w:rsid w:val="00903544"/>
    <w:rsid w:val="00904063"/>
    <w:rsid w:val="009046BD"/>
    <w:rsid w:val="009103EC"/>
    <w:rsid w:val="0091275C"/>
    <w:rsid w:val="009174A7"/>
    <w:rsid w:val="00917D22"/>
    <w:rsid w:val="00917EEC"/>
    <w:rsid w:val="00923BB5"/>
    <w:rsid w:val="00924B15"/>
    <w:rsid w:val="00927043"/>
    <w:rsid w:val="0093344E"/>
    <w:rsid w:val="00934FFB"/>
    <w:rsid w:val="00935322"/>
    <w:rsid w:val="0093711E"/>
    <w:rsid w:val="00943EAD"/>
    <w:rsid w:val="0094436B"/>
    <w:rsid w:val="00944C7C"/>
    <w:rsid w:val="0094531C"/>
    <w:rsid w:val="0094631C"/>
    <w:rsid w:val="0094700F"/>
    <w:rsid w:val="00947417"/>
    <w:rsid w:val="009479BF"/>
    <w:rsid w:val="009500E2"/>
    <w:rsid w:val="009500E5"/>
    <w:rsid w:val="00950409"/>
    <w:rsid w:val="00950FB1"/>
    <w:rsid w:val="0095112E"/>
    <w:rsid w:val="00952665"/>
    <w:rsid w:val="00952DD1"/>
    <w:rsid w:val="00953503"/>
    <w:rsid w:val="009556A3"/>
    <w:rsid w:val="00956B13"/>
    <w:rsid w:val="0096072E"/>
    <w:rsid w:val="009619C8"/>
    <w:rsid w:val="009627F7"/>
    <w:rsid w:val="0096329A"/>
    <w:rsid w:val="009663DF"/>
    <w:rsid w:val="00973B57"/>
    <w:rsid w:val="009754F2"/>
    <w:rsid w:val="00980C6D"/>
    <w:rsid w:val="00981346"/>
    <w:rsid w:val="0098184B"/>
    <w:rsid w:val="0098289E"/>
    <w:rsid w:val="0098338B"/>
    <w:rsid w:val="00983AF0"/>
    <w:rsid w:val="0098419F"/>
    <w:rsid w:val="00985B2F"/>
    <w:rsid w:val="009862B3"/>
    <w:rsid w:val="00986F7E"/>
    <w:rsid w:val="009905C7"/>
    <w:rsid w:val="0099105B"/>
    <w:rsid w:val="00994681"/>
    <w:rsid w:val="00994D9E"/>
    <w:rsid w:val="009A1571"/>
    <w:rsid w:val="009A165C"/>
    <w:rsid w:val="009A654D"/>
    <w:rsid w:val="009B080A"/>
    <w:rsid w:val="009B0B62"/>
    <w:rsid w:val="009B185C"/>
    <w:rsid w:val="009B556F"/>
    <w:rsid w:val="009B63B8"/>
    <w:rsid w:val="009B7B27"/>
    <w:rsid w:val="009C1D64"/>
    <w:rsid w:val="009C27B9"/>
    <w:rsid w:val="009C2DE3"/>
    <w:rsid w:val="009C3A98"/>
    <w:rsid w:val="009C6C31"/>
    <w:rsid w:val="009C761A"/>
    <w:rsid w:val="009C7D4A"/>
    <w:rsid w:val="009C7E23"/>
    <w:rsid w:val="009D18E1"/>
    <w:rsid w:val="009D1EA3"/>
    <w:rsid w:val="009D44E6"/>
    <w:rsid w:val="009E1298"/>
    <w:rsid w:val="009E1F58"/>
    <w:rsid w:val="009E302E"/>
    <w:rsid w:val="009E3365"/>
    <w:rsid w:val="009E4D30"/>
    <w:rsid w:val="009E6EDF"/>
    <w:rsid w:val="009F00AE"/>
    <w:rsid w:val="009F07A5"/>
    <w:rsid w:val="009F160B"/>
    <w:rsid w:val="009F3B6B"/>
    <w:rsid w:val="009F6886"/>
    <w:rsid w:val="009F6A5B"/>
    <w:rsid w:val="009F6D73"/>
    <w:rsid w:val="00A015F0"/>
    <w:rsid w:val="00A048E6"/>
    <w:rsid w:val="00A04B55"/>
    <w:rsid w:val="00A06302"/>
    <w:rsid w:val="00A0673E"/>
    <w:rsid w:val="00A10427"/>
    <w:rsid w:val="00A105F2"/>
    <w:rsid w:val="00A119C9"/>
    <w:rsid w:val="00A12B28"/>
    <w:rsid w:val="00A137C6"/>
    <w:rsid w:val="00A13A17"/>
    <w:rsid w:val="00A13F99"/>
    <w:rsid w:val="00A1717E"/>
    <w:rsid w:val="00A171DC"/>
    <w:rsid w:val="00A17AA4"/>
    <w:rsid w:val="00A20782"/>
    <w:rsid w:val="00A2094F"/>
    <w:rsid w:val="00A20F1E"/>
    <w:rsid w:val="00A21993"/>
    <w:rsid w:val="00A21C10"/>
    <w:rsid w:val="00A21EBF"/>
    <w:rsid w:val="00A2344B"/>
    <w:rsid w:val="00A264FE"/>
    <w:rsid w:val="00A26731"/>
    <w:rsid w:val="00A26C07"/>
    <w:rsid w:val="00A26EF7"/>
    <w:rsid w:val="00A30C72"/>
    <w:rsid w:val="00A30CE5"/>
    <w:rsid w:val="00A30D6D"/>
    <w:rsid w:val="00A370F1"/>
    <w:rsid w:val="00A40680"/>
    <w:rsid w:val="00A4241D"/>
    <w:rsid w:val="00A42771"/>
    <w:rsid w:val="00A47629"/>
    <w:rsid w:val="00A509E0"/>
    <w:rsid w:val="00A50C8B"/>
    <w:rsid w:val="00A545AB"/>
    <w:rsid w:val="00A55797"/>
    <w:rsid w:val="00A62633"/>
    <w:rsid w:val="00A63051"/>
    <w:rsid w:val="00A637FA"/>
    <w:rsid w:val="00A65C70"/>
    <w:rsid w:val="00A72634"/>
    <w:rsid w:val="00A72B57"/>
    <w:rsid w:val="00A72D7B"/>
    <w:rsid w:val="00A75888"/>
    <w:rsid w:val="00A75FEE"/>
    <w:rsid w:val="00A762F7"/>
    <w:rsid w:val="00A77F48"/>
    <w:rsid w:val="00A839DE"/>
    <w:rsid w:val="00A85FA2"/>
    <w:rsid w:val="00A9090B"/>
    <w:rsid w:val="00A9345E"/>
    <w:rsid w:val="00A93B08"/>
    <w:rsid w:val="00A94E87"/>
    <w:rsid w:val="00A96EE5"/>
    <w:rsid w:val="00A972A9"/>
    <w:rsid w:val="00A97352"/>
    <w:rsid w:val="00A977EF"/>
    <w:rsid w:val="00A97BF5"/>
    <w:rsid w:val="00AA1DC6"/>
    <w:rsid w:val="00AA329A"/>
    <w:rsid w:val="00AA3DA9"/>
    <w:rsid w:val="00AA6AAF"/>
    <w:rsid w:val="00AA770B"/>
    <w:rsid w:val="00AA799C"/>
    <w:rsid w:val="00AA7DBF"/>
    <w:rsid w:val="00AA7F41"/>
    <w:rsid w:val="00AB00DF"/>
    <w:rsid w:val="00AB0C55"/>
    <w:rsid w:val="00AB5FA5"/>
    <w:rsid w:val="00AB724F"/>
    <w:rsid w:val="00AC2C61"/>
    <w:rsid w:val="00AC4001"/>
    <w:rsid w:val="00AC646D"/>
    <w:rsid w:val="00AC6B47"/>
    <w:rsid w:val="00AD1758"/>
    <w:rsid w:val="00AD2308"/>
    <w:rsid w:val="00AD47C0"/>
    <w:rsid w:val="00AD6FE2"/>
    <w:rsid w:val="00AE094B"/>
    <w:rsid w:val="00AE0D59"/>
    <w:rsid w:val="00AE3727"/>
    <w:rsid w:val="00AE3D73"/>
    <w:rsid w:val="00AE6EFF"/>
    <w:rsid w:val="00AE7A4B"/>
    <w:rsid w:val="00AE7E88"/>
    <w:rsid w:val="00AF1A05"/>
    <w:rsid w:val="00AF23E8"/>
    <w:rsid w:val="00AF467B"/>
    <w:rsid w:val="00AF5018"/>
    <w:rsid w:val="00AF6157"/>
    <w:rsid w:val="00AF7DCE"/>
    <w:rsid w:val="00AF7EFD"/>
    <w:rsid w:val="00B00A21"/>
    <w:rsid w:val="00B03939"/>
    <w:rsid w:val="00B03F9B"/>
    <w:rsid w:val="00B04662"/>
    <w:rsid w:val="00B04832"/>
    <w:rsid w:val="00B04CDD"/>
    <w:rsid w:val="00B05419"/>
    <w:rsid w:val="00B05757"/>
    <w:rsid w:val="00B07BA0"/>
    <w:rsid w:val="00B07C01"/>
    <w:rsid w:val="00B10559"/>
    <w:rsid w:val="00B121BD"/>
    <w:rsid w:val="00B131AA"/>
    <w:rsid w:val="00B145D6"/>
    <w:rsid w:val="00B146AC"/>
    <w:rsid w:val="00B17122"/>
    <w:rsid w:val="00B17BAF"/>
    <w:rsid w:val="00B20F15"/>
    <w:rsid w:val="00B23498"/>
    <w:rsid w:val="00B24C6F"/>
    <w:rsid w:val="00B26DBB"/>
    <w:rsid w:val="00B2742E"/>
    <w:rsid w:val="00B33736"/>
    <w:rsid w:val="00B34A89"/>
    <w:rsid w:val="00B36521"/>
    <w:rsid w:val="00B4084E"/>
    <w:rsid w:val="00B40C1E"/>
    <w:rsid w:val="00B40EA3"/>
    <w:rsid w:val="00B43D19"/>
    <w:rsid w:val="00B442B0"/>
    <w:rsid w:val="00B448FD"/>
    <w:rsid w:val="00B44C6E"/>
    <w:rsid w:val="00B4596C"/>
    <w:rsid w:val="00B4755F"/>
    <w:rsid w:val="00B50EAC"/>
    <w:rsid w:val="00B51C77"/>
    <w:rsid w:val="00B55A30"/>
    <w:rsid w:val="00B56791"/>
    <w:rsid w:val="00B56B25"/>
    <w:rsid w:val="00B56C73"/>
    <w:rsid w:val="00B57A69"/>
    <w:rsid w:val="00B60291"/>
    <w:rsid w:val="00B617DA"/>
    <w:rsid w:val="00B623D8"/>
    <w:rsid w:val="00B64436"/>
    <w:rsid w:val="00B646EE"/>
    <w:rsid w:val="00B70D99"/>
    <w:rsid w:val="00B70DED"/>
    <w:rsid w:val="00B72498"/>
    <w:rsid w:val="00B77219"/>
    <w:rsid w:val="00B77344"/>
    <w:rsid w:val="00B809CD"/>
    <w:rsid w:val="00B83597"/>
    <w:rsid w:val="00B8612F"/>
    <w:rsid w:val="00B862F0"/>
    <w:rsid w:val="00B86EEF"/>
    <w:rsid w:val="00B908C1"/>
    <w:rsid w:val="00B91C7F"/>
    <w:rsid w:val="00B91F80"/>
    <w:rsid w:val="00B936B8"/>
    <w:rsid w:val="00B96136"/>
    <w:rsid w:val="00B962F7"/>
    <w:rsid w:val="00BA1762"/>
    <w:rsid w:val="00BA1E01"/>
    <w:rsid w:val="00BA26F2"/>
    <w:rsid w:val="00BA2F68"/>
    <w:rsid w:val="00BA5424"/>
    <w:rsid w:val="00BA5962"/>
    <w:rsid w:val="00BA6283"/>
    <w:rsid w:val="00BB1DA1"/>
    <w:rsid w:val="00BB2087"/>
    <w:rsid w:val="00BB48EC"/>
    <w:rsid w:val="00BB5097"/>
    <w:rsid w:val="00BB5DD4"/>
    <w:rsid w:val="00BB7092"/>
    <w:rsid w:val="00BC0040"/>
    <w:rsid w:val="00BC1376"/>
    <w:rsid w:val="00BC2F22"/>
    <w:rsid w:val="00BC4184"/>
    <w:rsid w:val="00BC6329"/>
    <w:rsid w:val="00BC6724"/>
    <w:rsid w:val="00BC7F0A"/>
    <w:rsid w:val="00BD0D9B"/>
    <w:rsid w:val="00BD16A7"/>
    <w:rsid w:val="00BD2A8E"/>
    <w:rsid w:val="00BD2AB3"/>
    <w:rsid w:val="00BD57B8"/>
    <w:rsid w:val="00BD6A27"/>
    <w:rsid w:val="00BE12EA"/>
    <w:rsid w:val="00BE2421"/>
    <w:rsid w:val="00BE2FBB"/>
    <w:rsid w:val="00BE796F"/>
    <w:rsid w:val="00BF07FE"/>
    <w:rsid w:val="00BF08BC"/>
    <w:rsid w:val="00BF13F7"/>
    <w:rsid w:val="00BF5485"/>
    <w:rsid w:val="00BF5B49"/>
    <w:rsid w:val="00BF6E17"/>
    <w:rsid w:val="00BF77B6"/>
    <w:rsid w:val="00C00568"/>
    <w:rsid w:val="00C01816"/>
    <w:rsid w:val="00C01D21"/>
    <w:rsid w:val="00C045F2"/>
    <w:rsid w:val="00C0462D"/>
    <w:rsid w:val="00C04A29"/>
    <w:rsid w:val="00C04F08"/>
    <w:rsid w:val="00C0656E"/>
    <w:rsid w:val="00C134E2"/>
    <w:rsid w:val="00C15B77"/>
    <w:rsid w:val="00C163C5"/>
    <w:rsid w:val="00C20B6F"/>
    <w:rsid w:val="00C2116C"/>
    <w:rsid w:val="00C2249B"/>
    <w:rsid w:val="00C23A04"/>
    <w:rsid w:val="00C23F0A"/>
    <w:rsid w:val="00C2591E"/>
    <w:rsid w:val="00C26100"/>
    <w:rsid w:val="00C31C68"/>
    <w:rsid w:val="00C32535"/>
    <w:rsid w:val="00C32D27"/>
    <w:rsid w:val="00C33142"/>
    <w:rsid w:val="00C35AF9"/>
    <w:rsid w:val="00C36FCD"/>
    <w:rsid w:val="00C37092"/>
    <w:rsid w:val="00C37276"/>
    <w:rsid w:val="00C42E5E"/>
    <w:rsid w:val="00C4347A"/>
    <w:rsid w:val="00C44E83"/>
    <w:rsid w:val="00C461A9"/>
    <w:rsid w:val="00C4714D"/>
    <w:rsid w:val="00C52135"/>
    <w:rsid w:val="00C55377"/>
    <w:rsid w:val="00C573F8"/>
    <w:rsid w:val="00C60770"/>
    <w:rsid w:val="00C65BE3"/>
    <w:rsid w:val="00C661B9"/>
    <w:rsid w:val="00C67A9B"/>
    <w:rsid w:val="00C71C47"/>
    <w:rsid w:val="00C72D96"/>
    <w:rsid w:val="00C74589"/>
    <w:rsid w:val="00C759B4"/>
    <w:rsid w:val="00C76064"/>
    <w:rsid w:val="00C77D7E"/>
    <w:rsid w:val="00C80D95"/>
    <w:rsid w:val="00C819FE"/>
    <w:rsid w:val="00C82275"/>
    <w:rsid w:val="00C82374"/>
    <w:rsid w:val="00C824D6"/>
    <w:rsid w:val="00C83F78"/>
    <w:rsid w:val="00C846AA"/>
    <w:rsid w:val="00C85AA1"/>
    <w:rsid w:val="00C8749B"/>
    <w:rsid w:val="00C90B98"/>
    <w:rsid w:val="00C910BC"/>
    <w:rsid w:val="00C91E99"/>
    <w:rsid w:val="00C92D29"/>
    <w:rsid w:val="00C952AB"/>
    <w:rsid w:val="00C95D19"/>
    <w:rsid w:val="00C95F4A"/>
    <w:rsid w:val="00C96AEE"/>
    <w:rsid w:val="00CA41CF"/>
    <w:rsid w:val="00CA4206"/>
    <w:rsid w:val="00CA4410"/>
    <w:rsid w:val="00CA4F8B"/>
    <w:rsid w:val="00CA530F"/>
    <w:rsid w:val="00CA6435"/>
    <w:rsid w:val="00CB16CC"/>
    <w:rsid w:val="00CB2984"/>
    <w:rsid w:val="00CB319D"/>
    <w:rsid w:val="00CB3924"/>
    <w:rsid w:val="00CB43A2"/>
    <w:rsid w:val="00CB45DF"/>
    <w:rsid w:val="00CB4E4F"/>
    <w:rsid w:val="00CB4F65"/>
    <w:rsid w:val="00CB52F1"/>
    <w:rsid w:val="00CB61EE"/>
    <w:rsid w:val="00CC00D0"/>
    <w:rsid w:val="00CC3471"/>
    <w:rsid w:val="00CC3DD5"/>
    <w:rsid w:val="00CD1FEA"/>
    <w:rsid w:val="00CD28C9"/>
    <w:rsid w:val="00CD36CF"/>
    <w:rsid w:val="00CD3D2D"/>
    <w:rsid w:val="00CD6B20"/>
    <w:rsid w:val="00CD6CD2"/>
    <w:rsid w:val="00CD6F54"/>
    <w:rsid w:val="00CD713A"/>
    <w:rsid w:val="00CD769D"/>
    <w:rsid w:val="00CE172D"/>
    <w:rsid w:val="00CE30BD"/>
    <w:rsid w:val="00CE4B69"/>
    <w:rsid w:val="00CE5CF8"/>
    <w:rsid w:val="00CE6A19"/>
    <w:rsid w:val="00CE763C"/>
    <w:rsid w:val="00CF07E3"/>
    <w:rsid w:val="00CF175A"/>
    <w:rsid w:val="00CF2782"/>
    <w:rsid w:val="00CF2B70"/>
    <w:rsid w:val="00CF5A34"/>
    <w:rsid w:val="00CF5CF4"/>
    <w:rsid w:val="00CF5E6F"/>
    <w:rsid w:val="00CF5FE1"/>
    <w:rsid w:val="00CF6934"/>
    <w:rsid w:val="00CF6CC7"/>
    <w:rsid w:val="00D02B77"/>
    <w:rsid w:val="00D0431C"/>
    <w:rsid w:val="00D07E7D"/>
    <w:rsid w:val="00D11A1E"/>
    <w:rsid w:val="00D12685"/>
    <w:rsid w:val="00D13314"/>
    <w:rsid w:val="00D16285"/>
    <w:rsid w:val="00D22703"/>
    <w:rsid w:val="00D25696"/>
    <w:rsid w:val="00D31BB8"/>
    <w:rsid w:val="00D3365F"/>
    <w:rsid w:val="00D341DE"/>
    <w:rsid w:val="00D3519E"/>
    <w:rsid w:val="00D379C4"/>
    <w:rsid w:val="00D411AE"/>
    <w:rsid w:val="00D429FE"/>
    <w:rsid w:val="00D44D68"/>
    <w:rsid w:val="00D44FD4"/>
    <w:rsid w:val="00D451B9"/>
    <w:rsid w:val="00D50F96"/>
    <w:rsid w:val="00D6036A"/>
    <w:rsid w:val="00D61905"/>
    <w:rsid w:val="00D63215"/>
    <w:rsid w:val="00D63655"/>
    <w:rsid w:val="00D66F3B"/>
    <w:rsid w:val="00D677A4"/>
    <w:rsid w:val="00D701A0"/>
    <w:rsid w:val="00D71612"/>
    <w:rsid w:val="00D7231C"/>
    <w:rsid w:val="00D7340A"/>
    <w:rsid w:val="00D74483"/>
    <w:rsid w:val="00D74854"/>
    <w:rsid w:val="00D75608"/>
    <w:rsid w:val="00D75A85"/>
    <w:rsid w:val="00D760FE"/>
    <w:rsid w:val="00D8218E"/>
    <w:rsid w:val="00D827B1"/>
    <w:rsid w:val="00D864EF"/>
    <w:rsid w:val="00D87EBF"/>
    <w:rsid w:val="00D90086"/>
    <w:rsid w:val="00D912CF"/>
    <w:rsid w:val="00D9320A"/>
    <w:rsid w:val="00D948A9"/>
    <w:rsid w:val="00D97443"/>
    <w:rsid w:val="00D977CF"/>
    <w:rsid w:val="00DA14E3"/>
    <w:rsid w:val="00DA3433"/>
    <w:rsid w:val="00DA3B71"/>
    <w:rsid w:val="00DA4B35"/>
    <w:rsid w:val="00DA769F"/>
    <w:rsid w:val="00DB2A52"/>
    <w:rsid w:val="00DB37B4"/>
    <w:rsid w:val="00DB3D3C"/>
    <w:rsid w:val="00DB3D85"/>
    <w:rsid w:val="00DB4939"/>
    <w:rsid w:val="00DB5273"/>
    <w:rsid w:val="00DB64ED"/>
    <w:rsid w:val="00DB686E"/>
    <w:rsid w:val="00DB6CF1"/>
    <w:rsid w:val="00DB7BB3"/>
    <w:rsid w:val="00DC3D6B"/>
    <w:rsid w:val="00DC55D4"/>
    <w:rsid w:val="00DC6E34"/>
    <w:rsid w:val="00DC6EBC"/>
    <w:rsid w:val="00DD0F6C"/>
    <w:rsid w:val="00DD1082"/>
    <w:rsid w:val="00DD2334"/>
    <w:rsid w:val="00DD6FDE"/>
    <w:rsid w:val="00DE3014"/>
    <w:rsid w:val="00DE38D7"/>
    <w:rsid w:val="00DE6480"/>
    <w:rsid w:val="00DE6A24"/>
    <w:rsid w:val="00DE7ED9"/>
    <w:rsid w:val="00DF107E"/>
    <w:rsid w:val="00DF14C0"/>
    <w:rsid w:val="00DF4B2E"/>
    <w:rsid w:val="00DF4D31"/>
    <w:rsid w:val="00DF5E55"/>
    <w:rsid w:val="00DF661E"/>
    <w:rsid w:val="00DF794D"/>
    <w:rsid w:val="00E036BA"/>
    <w:rsid w:val="00E04EEC"/>
    <w:rsid w:val="00E05023"/>
    <w:rsid w:val="00E05DBA"/>
    <w:rsid w:val="00E07322"/>
    <w:rsid w:val="00E108FF"/>
    <w:rsid w:val="00E125A5"/>
    <w:rsid w:val="00E12607"/>
    <w:rsid w:val="00E12AA1"/>
    <w:rsid w:val="00E15A66"/>
    <w:rsid w:val="00E173B6"/>
    <w:rsid w:val="00E17D64"/>
    <w:rsid w:val="00E2179E"/>
    <w:rsid w:val="00E229B5"/>
    <w:rsid w:val="00E22BEA"/>
    <w:rsid w:val="00E244F1"/>
    <w:rsid w:val="00E24920"/>
    <w:rsid w:val="00E32FD9"/>
    <w:rsid w:val="00E33E8B"/>
    <w:rsid w:val="00E34095"/>
    <w:rsid w:val="00E36DAC"/>
    <w:rsid w:val="00E40EDA"/>
    <w:rsid w:val="00E41328"/>
    <w:rsid w:val="00E44521"/>
    <w:rsid w:val="00E45777"/>
    <w:rsid w:val="00E46DD4"/>
    <w:rsid w:val="00E46E4F"/>
    <w:rsid w:val="00E5099B"/>
    <w:rsid w:val="00E5118B"/>
    <w:rsid w:val="00E528E5"/>
    <w:rsid w:val="00E52A0F"/>
    <w:rsid w:val="00E53EA1"/>
    <w:rsid w:val="00E61C8D"/>
    <w:rsid w:val="00E61E50"/>
    <w:rsid w:val="00E62C8C"/>
    <w:rsid w:val="00E63670"/>
    <w:rsid w:val="00E64791"/>
    <w:rsid w:val="00E64CBF"/>
    <w:rsid w:val="00E650D1"/>
    <w:rsid w:val="00E65539"/>
    <w:rsid w:val="00E709BA"/>
    <w:rsid w:val="00E7185E"/>
    <w:rsid w:val="00E725F7"/>
    <w:rsid w:val="00E73BF7"/>
    <w:rsid w:val="00E75212"/>
    <w:rsid w:val="00E76633"/>
    <w:rsid w:val="00E815F9"/>
    <w:rsid w:val="00E8244C"/>
    <w:rsid w:val="00E850F9"/>
    <w:rsid w:val="00E85DBE"/>
    <w:rsid w:val="00E86421"/>
    <w:rsid w:val="00E91D37"/>
    <w:rsid w:val="00E92E53"/>
    <w:rsid w:val="00EA1814"/>
    <w:rsid w:val="00EA2EDF"/>
    <w:rsid w:val="00EA4184"/>
    <w:rsid w:val="00EA4E6B"/>
    <w:rsid w:val="00EA5C59"/>
    <w:rsid w:val="00EB1E0D"/>
    <w:rsid w:val="00EB2DF9"/>
    <w:rsid w:val="00EB30E1"/>
    <w:rsid w:val="00EB4695"/>
    <w:rsid w:val="00EB4924"/>
    <w:rsid w:val="00EB493E"/>
    <w:rsid w:val="00EB4A0B"/>
    <w:rsid w:val="00EB544F"/>
    <w:rsid w:val="00EB6252"/>
    <w:rsid w:val="00EB6366"/>
    <w:rsid w:val="00EB6480"/>
    <w:rsid w:val="00EB68A5"/>
    <w:rsid w:val="00EC0147"/>
    <w:rsid w:val="00EC0B41"/>
    <w:rsid w:val="00EC2ACD"/>
    <w:rsid w:val="00EC3EAA"/>
    <w:rsid w:val="00EC6ACF"/>
    <w:rsid w:val="00EC7040"/>
    <w:rsid w:val="00ED06E6"/>
    <w:rsid w:val="00ED07D6"/>
    <w:rsid w:val="00ED1645"/>
    <w:rsid w:val="00ED3271"/>
    <w:rsid w:val="00ED43D1"/>
    <w:rsid w:val="00ED4932"/>
    <w:rsid w:val="00ED5415"/>
    <w:rsid w:val="00ED5DFC"/>
    <w:rsid w:val="00EE02FB"/>
    <w:rsid w:val="00EE0ACF"/>
    <w:rsid w:val="00EE3840"/>
    <w:rsid w:val="00EE6BE5"/>
    <w:rsid w:val="00EE7DC8"/>
    <w:rsid w:val="00EF0829"/>
    <w:rsid w:val="00EF0A38"/>
    <w:rsid w:val="00EF3C02"/>
    <w:rsid w:val="00EF420B"/>
    <w:rsid w:val="00EF4F69"/>
    <w:rsid w:val="00EF5143"/>
    <w:rsid w:val="00F00884"/>
    <w:rsid w:val="00F0128E"/>
    <w:rsid w:val="00F042B6"/>
    <w:rsid w:val="00F0558E"/>
    <w:rsid w:val="00F10450"/>
    <w:rsid w:val="00F110B5"/>
    <w:rsid w:val="00F12718"/>
    <w:rsid w:val="00F14893"/>
    <w:rsid w:val="00F152A2"/>
    <w:rsid w:val="00F15DE6"/>
    <w:rsid w:val="00F1776E"/>
    <w:rsid w:val="00F2028A"/>
    <w:rsid w:val="00F22374"/>
    <w:rsid w:val="00F24856"/>
    <w:rsid w:val="00F2578E"/>
    <w:rsid w:val="00F26054"/>
    <w:rsid w:val="00F26843"/>
    <w:rsid w:val="00F270C7"/>
    <w:rsid w:val="00F30F05"/>
    <w:rsid w:val="00F33E7A"/>
    <w:rsid w:val="00F3421F"/>
    <w:rsid w:val="00F368ED"/>
    <w:rsid w:val="00F36C92"/>
    <w:rsid w:val="00F4185A"/>
    <w:rsid w:val="00F418EB"/>
    <w:rsid w:val="00F42472"/>
    <w:rsid w:val="00F43628"/>
    <w:rsid w:val="00F46516"/>
    <w:rsid w:val="00F476D0"/>
    <w:rsid w:val="00F52074"/>
    <w:rsid w:val="00F522B9"/>
    <w:rsid w:val="00F55D36"/>
    <w:rsid w:val="00F560AE"/>
    <w:rsid w:val="00F56697"/>
    <w:rsid w:val="00F61D24"/>
    <w:rsid w:val="00F62650"/>
    <w:rsid w:val="00F6286D"/>
    <w:rsid w:val="00F63B17"/>
    <w:rsid w:val="00F63BCA"/>
    <w:rsid w:val="00F64FC2"/>
    <w:rsid w:val="00F65FF9"/>
    <w:rsid w:val="00F6765C"/>
    <w:rsid w:val="00F71C00"/>
    <w:rsid w:val="00F72E5F"/>
    <w:rsid w:val="00F73105"/>
    <w:rsid w:val="00F73D4D"/>
    <w:rsid w:val="00F74BC1"/>
    <w:rsid w:val="00F754B7"/>
    <w:rsid w:val="00F801D8"/>
    <w:rsid w:val="00F82E88"/>
    <w:rsid w:val="00F858E5"/>
    <w:rsid w:val="00F87165"/>
    <w:rsid w:val="00F91FC1"/>
    <w:rsid w:val="00F93D84"/>
    <w:rsid w:val="00F9559A"/>
    <w:rsid w:val="00F97E48"/>
    <w:rsid w:val="00FA24F6"/>
    <w:rsid w:val="00FA3262"/>
    <w:rsid w:val="00FA68DF"/>
    <w:rsid w:val="00FB1AE1"/>
    <w:rsid w:val="00FB1BDF"/>
    <w:rsid w:val="00FB2A00"/>
    <w:rsid w:val="00FB4325"/>
    <w:rsid w:val="00FC05D4"/>
    <w:rsid w:val="00FC19DB"/>
    <w:rsid w:val="00FC3E10"/>
    <w:rsid w:val="00FC429C"/>
    <w:rsid w:val="00FC5E1B"/>
    <w:rsid w:val="00FD0181"/>
    <w:rsid w:val="00FD091D"/>
    <w:rsid w:val="00FD22CD"/>
    <w:rsid w:val="00FD279A"/>
    <w:rsid w:val="00FD3105"/>
    <w:rsid w:val="00FD3859"/>
    <w:rsid w:val="00FD4336"/>
    <w:rsid w:val="00FD5546"/>
    <w:rsid w:val="00FE2B93"/>
    <w:rsid w:val="00FE5568"/>
    <w:rsid w:val="00FE6218"/>
    <w:rsid w:val="00FE6BAB"/>
    <w:rsid w:val="00FF0E77"/>
    <w:rsid w:val="00FF12FA"/>
    <w:rsid w:val="00FF3B45"/>
    <w:rsid w:val="00FF5C84"/>
    <w:rsid w:val="00FF6031"/>
    <w:rsid w:val="00FF63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lsdException w:name="footnote text" w:qFormat="1"/>
    <w:lsdException w:name="header" w:uiPriority="85"/>
    <w:lsdException w:name="footer" w:uiPriority="84"/>
    <w:lsdException w:name="caption" w:uiPriority="35"/>
    <w:lsdException w:name="table of figures" w:uiPriority="0" w:qFormat="1"/>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10"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11" w:unhideWhenUsed="0"/>
    <w:lsdException w:name="Strong" w:uiPriority="98" w:unhideWhenUsed="0"/>
    <w:lsdException w:name="Emphasis" w:uiPriority="98"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6E7DF2"/>
    <w:pPr>
      <w:keepLines/>
    </w:pPr>
    <w:rPr>
      <w:spacing w:val="2"/>
    </w:rPr>
  </w:style>
  <w:style w:type="paragraph" w:styleId="Heading10">
    <w:name w:val="heading 1"/>
    <w:next w:val="Normal"/>
    <w:link w:val="Heading1Char"/>
    <w:uiPriority w:val="9"/>
    <w:qFormat/>
    <w:rsid w:val="005072E2"/>
    <w:pPr>
      <w:keepNext/>
      <w:keepLines/>
      <w:pBdr>
        <w:bottom w:val="single" w:sz="12" w:space="1" w:color="auto"/>
      </w:pBdr>
      <w:spacing w:before="360"/>
      <w:outlineLvl w:val="0"/>
    </w:pPr>
    <w:rPr>
      <w:rFonts w:asciiTheme="majorHAnsi" w:eastAsiaTheme="majorEastAsia" w:hAnsiTheme="majorHAnsi" w:cstheme="majorBidi"/>
      <w:b/>
      <w:bCs/>
      <w:caps/>
      <w:spacing w:val="-2"/>
      <w:sz w:val="28"/>
      <w:szCs w:val="28"/>
    </w:rPr>
  </w:style>
  <w:style w:type="paragraph" w:styleId="Heading20">
    <w:name w:val="heading 2"/>
    <w:basedOn w:val="Heading10"/>
    <w:next w:val="Normal"/>
    <w:link w:val="Heading2Char"/>
    <w:uiPriority w:val="9"/>
    <w:qFormat/>
    <w:rsid w:val="00F042B6"/>
    <w:pPr>
      <w:numPr>
        <w:ilvl w:val="1"/>
      </w:numPr>
      <w:pBdr>
        <w:bottom w:val="none" w:sz="0" w:space="0" w:color="auto"/>
      </w:pBdr>
      <w:tabs>
        <w:tab w:val="left" w:pos="964"/>
        <w:tab w:val="right" w:pos="9582"/>
      </w:tabs>
      <w:spacing w:before="240"/>
      <w:outlineLvl w:val="1"/>
    </w:pPr>
    <w:rPr>
      <w:bCs w:val="0"/>
      <w:caps w:val="0"/>
      <w:sz w:val="24"/>
      <w:szCs w:val="26"/>
    </w:rPr>
  </w:style>
  <w:style w:type="paragraph" w:styleId="Heading30">
    <w:name w:val="heading 3"/>
    <w:basedOn w:val="Heading20"/>
    <w:next w:val="Normal"/>
    <w:link w:val="Heading3Char"/>
    <w:uiPriority w:val="9"/>
    <w:qFormat/>
    <w:rsid w:val="00437D1F"/>
    <w:pPr>
      <w:numPr>
        <w:ilvl w:val="2"/>
      </w:numPr>
      <w:tabs>
        <w:tab w:val="clear" w:pos="964"/>
        <w:tab w:val="left" w:pos="737"/>
      </w:tabs>
      <w:spacing w:before="180"/>
      <w:ind w:left="737" w:hanging="737"/>
      <w:outlineLvl w:val="2"/>
    </w:pPr>
    <w:rPr>
      <w:bCs/>
      <w:sz w:val="20"/>
    </w:rPr>
  </w:style>
  <w:style w:type="paragraph" w:styleId="Heading4">
    <w:name w:val="heading 4"/>
    <w:basedOn w:val="Heading30"/>
    <w:next w:val="Normal"/>
    <w:link w:val="Heading4Char"/>
    <w:uiPriority w:val="9"/>
    <w:rsid w:val="00EB6480"/>
    <w:pPr>
      <w:numPr>
        <w:ilvl w:val="3"/>
      </w:numPr>
      <w:ind w:left="737" w:hanging="737"/>
      <w:outlineLvl w:val="3"/>
    </w:pPr>
    <w:rPr>
      <w:b w:val="0"/>
      <w:bCs w:val="0"/>
      <w:i/>
      <w:iCs/>
      <w:spacing w:val="0"/>
    </w:rPr>
  </w:style>
  <w:style w:type="paragraph" w:styleId="Heading5">
    <w:name w:val="heading 5"/>
    <w:basedOn w:val="Heading4"/>
    <w:next w:val="Normal"/>
    <w:link w:val="Heading5Char"/>
    <w:uiPriority w:val="9"/>
    <w:unhideWhenUsed/>
    <w:rsid w:val="00DE3014"/>
    <w:pPr>
      <w:numPr>
        <w:ilvl w:val="4"/>
      </w:numPr>
      <w:ind w:left="737" w:hanging="737"/>
      <w:outlineLvl w:val="4"/>
    </w:pPr>
    <w:rPr>
      <w:b/>
      <w:i w:val="0"/>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5072E2"/>
    <w:rPr>
      <w:rFonts w:asciiTheme="majorHAnsi" w:eastAsiaTheme="majorEastAsia" w:hAnsiTheme="majorHAnsi" w:cstheme="majorBidi"/>
      <w:b/>
      <w:bCs/>
      <w:caps/>
      <w:spacing w:val="-2"/>
      <w:sz w:val="28"/>
      <w:szCs w:val="28"/>
    </w:rPr>
  </w:style>
  <w:style w:type="paragraph" w:customStyle="1" w:styleId="Chapterheading">
    <w:name w:val="Chapter heading"/>
    <w:basedOn w:val="Normal"/>
    <w:next w:val="Heading10"/>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3Char">
    <w:name w:val="Heading 3 Char"/>
    <w:basedOn w:val="DefaultParagraphFont"/>
    <w:link w:val="Heading30"/>
    <w:uiPriority w:val="9"/>
    <w:rsid w:val="00437D1F"/>
    <w:rPr>
      <w:rFonts w:asciiTheme="majorHAnsi" w:eastAsiaTheme="majorEastAsia" w:hAnsiTheme="majorHAnsi" w:cstheme="majorBidi"/>
      <w:b/>
      <w:bCs/>
      <w:spacing w:val="-2"/>
      <w:sz w:val="20"/>
      <w:szCs w:val="26"/>
    </w:rPr>
  </w:style>
  <w:style w:type="character" w:customStyle="1" w:styleId="Heading2Char">
    <w:name w:val="Heading 2 Char"/>
    <w:basedOn w:val="DefaultParagraphFont"/>
    <w:link w:val="Heading20"/>
    <w:uiPriority w:val="9"/>
    <w:rsid w:val="00F042B6"/>
    <w:rPr>
      <w:rFonts w:asciiTheme="majorHAnsi" w:eastAsiaTheme="majorEastAsia" w:hAnsiTheme="majorHAnsi" w:cstheme="majorBidi"/>
      <w:b/>
      <w:spacing w:val="-2"/>
      <w:sz w:val="24"/>
      <w:szCs w:val="26"/>
    </w:rPr>
  </w:style>
  <w:style w:type="character" w:customStyle="1" w:styleId="Heading4Char">
    <w:name w:val="Heading 4 Char"/>
    <w:basedOn w:val="DefaultParagraphFont"/>
    <w:link w:val="Heading4"/>
    <w:uiPriority w:val="9"/>
    <w:rsid w:val="00EB6480"/>
    <w:rPr>
      <w:rFonts w:asciiTheme="majorHAnsi" w:eastAsiaTheme="majorEastAsia" w:hAnsiTheme="majorHAnsi" w:cstheme="majorBidi"/>
      <w:i/>
      <w:iCs/>
      <w:sz w:val="20"/>
      <w:szCs w:val="26"/>
    </w:rPr>
  </w:style>
  <w:style w:type="character" w:customStyle="1" w:styleId="Heading2Char0">
    <w:name w:val="Heading 2 (#) Char"/>
    <w:basedOn w:val="Heading2Char"/>
    <w:link w:val="Heading2"/>
    <w:uiPriority w:val="14"/>
    <w:rsid w:val="006422A1"/>
    <w:rPr>
      <w:rFonts w:asciiTheme="majorHAnsi" w:eastAsiaTheme="majorEastAsia" w:hAnsiTheme="majorHAnsi" w:cstheme="majorBidi"/>
      <w:b/>
      <w:spacing w:val="-2"/>
      <w:sz w:val="24"/>
      <w:szCs w:val="26"/>
    </w:rPr>
  </w:style>
  <w:style w:type="paragraph" w:customStyle="1" w:styleId="Source">
    <w:name w:val="Source"/>
    <w:basedOn w:val="Normal"/>
    <w:next w:val="Note"/>
    <w:link w:val="SourceChar"/>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6480"/>
    <w:pPr>
      <w:shd w:val="clear" w:color="auto" w:fill="EBEBEB" w:themeFill="background2"/>
    </w:pPr>
  </w:style>
  <w:style w:type="table" w:styleId="TableGrid">
    <w:name w:val="Table Grid"/>
    <w:aliases w:val="CV table"/>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qFormat/>
    <w:rsid w:val="006D4EA2"/>
    <w:rPr>
      <w:rFonts w:eastAsiaTheme="minorEastAsia"/>
      <w:sz w:val="14"/>
      <w:lang w:val="en-US" w:eastAsia="ja-JP"/>
    </w:rPr>
  </w:style>
  <w:style w:type="character" w:customStyle="1" w:styleId="FootnoteTextChar">
    <w:name w:val="Footnote Text Char"/>
    <w:basedOn w:val="DefaultParagraphFont"/>
    <w:link w:val="FootnoteText"/>
    <w:uiPriority w:val="99"/>
    <w:rsid w:val="006D4EA2"/>
    <w:rPr>
      <w:rFonts w:eastAsiaTheme="minorEastAsia"/>
      <w:spacing w:val="2"/>
      <w:sz w:val="14"/>
      <w:lang w:val="en-US" w:eastAsia="ja-JP"/>
    </w:rPr>
  </w:style>
  <w:style w:type="character" w:styleId="SubtleEmphasis">
    <w:name w:val="Subtle Emphasis"/>
    <w:basedOn w:val="DefaultParagraphFont"/>
    <w:uiPriority w:val="98"/>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5"/>
    <w:rsid w:val="00CA41CF"/>
    <w:rPr>
      <w:rFonts w:asciiTheme="majorHAnsi" w:hAnsiTheme="majorHAnsi"/>
      <w:b/>
      <w:caps/>
      <w:color w:val="53565A"/>
    </w:rPr>
  </w:style>
  <w:style w:type="numbering" w:styleId="111111">
    <w:name w:val="Outline List 2"/>
    <w:basedOn w:val="NoList"/>
    <w:uiPriority w:val="99"/>
    <w:unhideWhenUsed/>
    <w:rsid w:val="00C00568"/>
    <w:pPr>
      <w:numPr>
        <w:numId w:val="11"/>
      </w:numPr>
    </w:pPr>
  </w:style>
  <w:style w:type="character" w:customStyle="1" w:styleId="FooteroddChar">
    <w:name w:val="Footer (odd) Char"/>
    <w:basedOn w:val="DefaultParagraphFont"/>
    <w:link w:val="Footerodd"/>
    <w:uiPriority w:val="84"/>
    <w:rsid w:val="008155D0"/>
    <w:rPr>
      <w:rFonts w:asciiTheme="majorHAnsi" w:hAnsiTheme="majorHAnsi"/>
      <w:sz w:val="18"/>
    </w:rPr>
  </w:style>
  <w:style w:type="paragraph" w:customStyle="1" w:styleId="Footerodd">
    <w:name w:val="Footer (odd)"/>
    <w:basedOn w:val="Footer"/>
    <w:link w:val="FooteroddChar"/>
    <w:uiPriority w:val="84"/>
    <w:rsid w:val="008155D0"/>
    <w:pPr>
      <w:pBdr>
        <w:top w:val="single" w:sz="6" w:space="1" w:color="auto"/>
      </w:pBdr>
      <w:tabs>
        <w:tab w:val="clear" w:pos="4513"/>
        <w:tab w:val="clear" w:pos="9026"/>
        <w:tab w:val="center" w:pos="4819"/>
        <w:tab w:val="right" w:pos="9639"/>
        <w:tab w:val="right" w:pos="14742"/>
      </w:tabs>
    </w:pPr>
    <w:rPr>
      <w:rFonts w:asciiTheme="majorHAnsi" w:hAnsiTheme="majorHAnsi"/>
    </w:rPr>
  </w:style>
  <w:style w:type="paragraph" w:customStyle="1" w:styleId="NoteDash">
    <w:name w:val="Note Dash"/>
    <w:basedOn w:val="Note"/>
    <w:next w:val="Note"/>
    <w:uiPriority w:val="53"/>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94700F"/>
    <w:pPr>
      <w:tabs>
        <w:tab w:val="left" w:pos="567"/>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956B13"/>
    <w:pPr>
      <w:numPr>
        <w:numId w:val="7"/>
      </w:numPr>
      <w:spacing w:before="60"/>
      <w:contextualSpacing/>
    </w:pPr>
  </w:style>
  <w:style w:type="paragraph" w:styleId="List">
    <w:name w:val="List"/>
    <w:basedOn w:val="Normal"/>
    <w:uiPriority w:val="29"/>
    <w:unhideWhenUsed/>
    <w:rsid w:val="0037650C"/>
    <w:pPr>
      <w:keepLines w:val="0"/>
      <w:tabs>
        <w:tab w:val="left" w:pos="567"/>
        <w:tab w:val="left" w:pos="1134"/>
      </w:tabs>
      <w:ind w:left="567" w:hanging="567"/>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4"/>
    <w:rsid w:val="004419CD"/>
    <w:pPr>
      <w:tabs>
        <w:tab w:val="center" w:pos="4513"/>
        <w:tab w:val="right" w:pos="9026"/>
      </w:tabs>
      <w:spacing w:before="0"/>
    </w:pPr>
  </w:style>
  <w:style w:type="paragraph" w:styleId="TOC2">
    <w:name w:val="toc 2"/>
    <w:basedOn w:val="TOC1"/>
    <w:next w:val="Normal"/>
    <w:uiPriority w:val="39"/>
    <w:rsid w:val="00663D57"/>
    <w:pPr>
      <w:tabs>
        <w:tab w:val="clear" w:pos="567"/>
        <w:tab w:val="left" w:pos="284"/>
        <w:tab w:val="left" w:pos="1134"/>
      </w:tabs>
      <w:spacing w:before="60" w:after="40" w:line="264" w:lineRule="auto"/>
      <w:ind w:left="851" w:right="567" w:hanging="284"/>
    </w:pPr>
    <w:rPr>
      <w:b w:val="0"/>
      <w:noProof/>
    </w:rPr>
  </w:style>
  <w:style w:type="character" w:styleId="PageNumber">
    <w:name w:val="page number"/>
    <w:rsid w:val="000A03F9"/>
    <w:rPr>
      <w:rFonts w:asciiTheme="minorHAnsi" w:hAnsiTheme="minorHAnsi"/>
      <w:sz w:val="18"/>
    </w:rPr>
  </w:style>
  <w:style w:type="paragraph" w:styleId="TOC3">
    <w:name w:val="toc 3"/>
    <w:basedOn w:val="TOC1"/>
    <w:next w:val="Normal"/>
    <w:uiPriority w:val="39"/>
    <w:rsid w:val="00BF5B49"/>
    <w:pPr>
      <w:tabs>
        <w:tab w:val="clear" w:pos="567"/>
        <w:tab w:val="left" w:pos="1361"/>
      </w:tabs>
      <w:ind w:left="1361" w:right="567" w:hanging="1361"/>
    </w:pPr>
    <w:rPr>
      <w:rFonts w:asciiTheme="minorHAnsi" w:eastAsiaTheme="minorEastAsia" w:hAnsiTheme="minorHAnsi"/>
      <w:noProof/>
      <w:spacing w:val="0"/>
      <w:szCs w:val="22"/>
      <w:lang w:eastAsia="en-AU"/>
    </w:rPr>
  </w:style>
  <w:style w:type="paragraph" w:styleId="TOC4">
    <w:name w:val="toc 4"/>
    <w:next w:val="Normal"/>
    <w:uiPriority w:val="39"/>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6480"/>
    <w:pPr>
      <w:keepNext/>
    </w:pPr>
    <w:rPr>
      <w:rFonts w:asciiTheme="majorHAnsi" w:hAnsiTheme="majorHAnsi"/>
      <w:i/>
    </w:rPr>
  </w:style>
  <w:style w:type="paragraph" w:customStyle="1" w:styleId="HighlightBoxBullet">
    <w:name w:val="Highlight Box Bullet"/>
    <w:basedOn w:val="ListBullet"/>
    <w:uiPriority w:val="61"/>
    <w:qFormat/>
    <w:rsid w:val="00EB6480"/>
    <w:pPr>
      <w:shd w:val="clear" w:color="auto" w:fill="EBEBEB" w:themeFill="background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spacing w:val="2"/>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spacing w:val="2"/>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spacing w:val="2"/>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spacing w:val="2"/>
    </w:rPr>
  </w:style>
  <w:style w:type="paragraph" w:customStyle="1" w:styleId="TableHeading">
    <w:name w:val="Table Heading"/>
    <w:basedOn w:val="Normal"/>
    <w:next w:val="Normal"/>
    <w:uiPriority w:val="49"/>
    <w:qFormat/>
    <w:rsid w:val="00217A5D"/>
    <w:pPr>
      <w:keepNext/>
      <w:tabs>
        <w:tab w:val="left" w:pos="1134"/>
        <w:tab w:val="right" w:pos="9639"/>
        <w:tab w:val="right" w:pos="14572"/>
      </w:tabs>
      <w:spacing w:before="240" w:after="60"/>
      <w:ind w:left="1134" w:hanging="1134"/>
    </w:pPr>
    <w:rPr>
      <w:rFonts w:asciiTheme="majorHAnsi" w:hAnsiTheme="majorHAnsi"/>
      <w:b/>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8"/>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39"/>
    <w:rsid w:val="00B05757"/>
    <w:pPr>
      <w:tabs>
        <w:tab w:val="left" w:pos="567"/>
        <w:tab w:val="right" w:leader="dot" w:pos="4536"/>
      </w:tabs>
      <w:spacing w:before="60" w:after="100" w:line="216" w:lineRule="auto"/>
      <w:ind w:left="567" w:right="340" w:hanging="567"/>
    </w:pPr>
    <w:rPr>
      <w:noProof/>
      <w:spacing w:val="-2"/>
    </w:rPr>
  </w:style>
  <w:style w:type="paragraph" w:customStyle="1" w:styleId="Footereven">
    <w:name w:val="Footer (even)"/>
    <w:basedOn w:val="Footer"/>
    <w:link w:val="FooterevenChar"/>
    <w:uiPriority w:val="84"/>
    <w:rsid w:val="00F73105"/>
    <w:pPr>
      <w:pBdr>
        <w:top w:val="single" w:sz="6" w:space="1" w:color="auto"/>
      </w:pBdr>
      <w:tabs>
        <w:tab w:val="clear" w:pos="4513"/>
        <w:tab w:val="clear" w:pos="9026"/>
        <w:tab w:val="center" w:pos="2835"/>
        <w:tab w:val="right" w:pos="9639"/>
        <w:tab w:val="right" w:pos="14742"/>
      </w:tabs>
    </w:pPr>
    <w:rPr>
      <w:rFonts w:asciiTheme="majorHAnsi" w:hAnsiTheme="majorHAnsi"/>
    </w:rPr>
  </w:style>
  <w:style w:type="table" w:customStyle="1" w:styleId="DTFTable">
    <w:name w:val="DTF Table"/>
    <w:basedOn w:val="TableNormal"/>
    <w:uiPriority w:val="99"/>
    <w:rsid w:val="00D3365F"/>
    <w:pPr>
      <w:spacing w:before="20" w:after="20"/>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3E68E6"/>
    <w:pPr>
      <w:pageBreakBefore/>
      <w:numPr>
        <w:numId w:val="14"/>
      </w:numPr>
    </w:pPr>
  </w:style>
  <w:style w:type="paragraph" w:customStyle="1" w:styleId="Heading2">
    <w:name w:val="Heading 2 (#)"/>
    <w:basedOn w:val="Heading20"/>
    <w:link w:val="Heading2Char0"/>
    <w:uiPriority w:val="14"/>
    <w:qFormat/>
    <w:rsid w:val="006422A1"/>
    <w:pPr>
      <w:numPr>
        <w:numId w:val="14"/>
      </w:numPr>
      <w:ind w:left="624"/>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D31BB8"/>
    <w:pPr>
      <w:numPr>
        <w:numId w:val="14"/>
      </w:numPr>
    </w:pPr>
  </w:style>
  <w:style w:type="character" w:customStyle="1" w:styleId="Heading3Char0">
    <w:name w:val="Heading 3 (#) Char"/>
    <w:basedOn w:val="Heading3Char"/>
    <w:link w:val="Heading3"/>
    <w:uiPriority w:val="14"/>
    <w:rsid w:val="00D31BB8"/>
    <w:rPr>
      <w:rFonts w:asciiTheme="majorHAnsi" w:eastAsiaTheme="majorEastAsia" w:hAnsiTheme="majorHAnsi" w:cstheme="majorBidi"/>
      <w:b/>
      <w:bCs/>
      <w:spacing w:val="-2"/>
      <w:sz w:val="20"/>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4"/>
    <w:rsid w:val="00644B4A"/>
  </w:style>
  <w:style w:type="paragraph" w:styleId="TOC7">
    <w:name w:val="toc 7"/>
    <w:basedOn w:val="Normal"/>
    <w:next w:val="Normal"/>
    <w:autoRedefine/>
    <w:uiPriority w:val="39"/>
    <w:rsid w:val="001213D6"/>
    <w:pPr>
      <w:spacing w:after="100"/>
      <w:ind w:left="1320"/>
    </w:pPr>
  </w:style>
  <w:style w:type="numbering" w:styleId="1ai">
    <w:name w:val="Outline List 1"/>
    <w:basedOn w:val="NoList"/>
    <w:uiPriority w:val="99"/>
    <w:unhideWhenUsed/>
    <w:rsid w:val="00C00568"/>
    <w:pPr>
      <w:numPr>
        <w:numId w:val="12"/>
      </w:numPr>
    </w:pPr>
  </w:style>
  <w:style w:type="numbering" w:styleId="ArticleSection">
    <w:name w:val="Outline List 3"/>
    <w:basedOn w:val="NoList"/>
    <w:uiPriority w:val="99"/>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unhideWhenUsed/>
    <w:rsid w:val="00C00568"/>
    <w:pPr>
      <w:spacing w:after="120"/>
    </w:pPr>
  </w:style>
  <w:style w:type="character" w:customStyle="1" w:styleId="BodyTextChar">
    <w:name w:val="Body Text Char"/>
    <w:basedOn w:val="DefaultParagraphFont"/>
    <w:link w:val="BodyText"/>
    <w:uiPriority w:val="4"/>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unhideWhenUsed/>
    <w:rsid w:val="00C00568"/>
    <w:pPr>
      <w:spacing w:after="120"/>
      <w:ind w:left="283"/>
    </w:pPr>
  </w:style>
  <w:style w:type="character" w:customStyle="1" w:styleId="BodyTextIndentChar">
    <w:name w:val="Body Text Indent Char"/>
    <w:basedOn w:val="DefaultParagraphFont"/>
    <w:link w:val="BodyTextIndent"/>
    <w:uiPriority w:val="99"/>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rsid w:val="00C00568"/>
    <w:rPr>
      <w:b/>
      <w:bCs/>
      <w:smallCaps/>
      <w:spacing w:val="5"/>
    </w:rPr>
  </w:style>
  <w:style w:type="paragraph" w:styleId="Caption">
    <w:name w:val="caption"/>
    <w:basedOn w:val="Normal"/>
    <w:next w:val="Normal"/>
    <w:uiPriority w:val="35"/>
    <w:unhideWhenUsed/>
    <w:rsid w:val="00C00568"/>
    <w:pPr>
      <w:spacing w:before="0" w:after="200"/>
    </w:pPr>
    <w:rPr>
      <w:b/>
      <w:bCs/>
      <w:color w:val="0063A6" w:themeColor="accent1"/>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rsid w:val="00C00568"/>
    <w:rPr>
      <w:i/>
      <w:iCs/>
    </w:rPr>
  </w:style>
  <w:style w:type="character" w:styleId="EndnoteReference">
    <w:name w:val="endnote reference"/>
    <w:basedOn w:val="DefaultParagraphFont"/>
    <w:uiPriority w:val="99"/>
    <w:unhideWhenUsed/>
    <w:rsid w:val="00C00568"/>
    <w:rPr>
      <w:vertAlign w:val="superscript"/>
    </w:rPr>
  </w:style>
  <w:style w:type="paragraph" w:styleId="EndnoteText">
    <w:name w:val="endnote text"/>
    <w:basedOn w:val="Normal"/>
    <w:link w:val="EndnoteTextChar"/>
    <w:uiPriority w:val="99"/>
    <w:unhideWhenUsed/>
    <w:rsid w:val="00C00568"/>
    <w:pPr>
      <w:spacing w:before="0"/>
    </w:pPr>
    <w:rPr>
      <w:sz w:val="20"/>
      <w:szCs w:val="20"/>
    </w:rPr>
  </w:style>
  <w:style w:type="character" w:customStyle="1" w:styleId="EndnoteTextChar">
    <w:name w:val="Endnote Text Char"/>
    <w:basedOn w:val="DefaultParagraphFont"/>
    <w:link w:val="EndnoteText"/>
    <w:uiPriority w:val="99"/>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rsid w:val="00C00568"/>
    <w:rPr>
      <w:b/>
      <w:bCs/>
      <w:i/>
      <w:iCs/>
      <w:color w:val="0063A6" w:themeColor="accent1"/>
    </w:rPr>
  </w:style>
  <w:style w:type="paragraph" w:styleId="IntenseQuote">
    <w:name w:val="Intense Quote"/>
    <w:basedOn w:val="Normal"/>
    <w:next w:val="Normal"/>
    <w:link w:val="IntenseQuoteChar"/>
    <w:uiPriority w:val="30"/>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rsid w:val="00C00568"/>
    <w:rPr>
      <w:b/>
      <w:bCs/>
      <w:i/>
      <w:iCs/>
      <w:color w:val="0063A6" w:themeColor="accent1"/>
    </w:rPr>
  </w:style>
  <w:style w:type="character" w:styleId="IntenseReference">
    <w:name w:val="Intense Reference"/>
    <w:basedOn w:val="DefaultParagraphFont"/>
    <w:uiPriority w:val="32"/>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unhideWhenUsed/>
    <w:rsid w:val="00266658"/>
    <w:pPr>
      <w:ind w:left="1134" w:hanging="567"/>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rsid w:val="00C00568"/>
    <w:rPr>
      <w:b/>
      <w:bCs/>
    </w:rPr>
  </w:style>
  <w:style w:type="paragraph" w:styleId="Subtitle">
    <w:name w:val="Subtitle"/>
    <w:basedOn w:val="Normal"/>
    <w:next w:val="Normal"/>
    <w:link w:val="SubtitleChar"/>
    <w:uiPriority w:val="11"/>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rsid w:val="00C00568"/>
    <w:rPr>
      <w:smallCaps/>
      <w:color w:val="00497A" w:themeColor="accent2"/>
      <w:u w:val="single"/>
    </w:rPr>
  </w:style>
  <w:style w:type="table" w:styleId="Table3Deffects1">
    <w:name w:val="Table 3D effects 1"/>
    <w:basedOn w:val="TableNormal"/>
    <w:uiPriority w:val="99"/>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customStyle="1" w:styleId="ModelReportFinancialTable">
    <w:name w:val="Model Report Financial Table"/>
    <w:basedOn w:val="TableNormal"/>
    <w:uiPriority w:val="99"/>
    <w:rsid w:val="0044350A"/>
    <w:pPr>
      <w:spacing w:before="20" w:after="20"/>
      <w:jc w:val="right"/>
    </w:pPr>
    <w:rPr>
      <w:sz w:val="16"/>
    </w:rPr>
    <w:tblPr>
      <w:tblCellMar>
        <w:left w:w="57" w:type="dxa"/>
        <w:right w:w="57" w:type="dxa"/>
      </w:tblCellMar>
    </w:tblPr>
    <w:tblStylePr w:type="firstRow">
      <w:pPr>
        <w:jc w:val="right"/>
      </w:pPr>
      <w:rPr>
        <w:i/>
      </w:rPr>
      <w:tblPr/>
      <w:tcPr>
        <w:shd w:val="clear" w:color="auto" w:fill="000000" w:themeFill="text1"/>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color w:val="0072CE" w:themeColor="accent4"/>
        <w:sz w:val="14"/>
      </w:rPr>
    </w:tblStylePr>
    <w:tblStylePr w:type="nwCell">
      <w:pPr>
        <w:jc w:val="left"/>
      </w:pPr>
      <w:rPr>
        <w:i/>
        <w:sz w:val="14"/>
      </w:rPr>
      <w:tblPr/>
      <w:tcPr>
        <w:shd w:val="clear" w:color="auto" w:fill="FFFFFF" w:themeFill="background1"/>
        <w:vAlign w:val="bottom"/>
      </w:tcPr>
    </w:tblStylePr>
    <w:tblStylePr w:type="swCell">
      <w:rPr>
        <w:b w:val="0"/>
      </w:rPr>
      <w:tblPr/>
      <w:tcPr>
        <w:tcBorders>
          <w:top w:val="nil"/>
          <w:left w:val="nil"/>
          <w:bottom w:val="nil"/>
          <w:right w:val="nil"/>
          <w:insideH w:val="nil"/>
          <w:insideV w:val="nil"/>
          <w:tl2br w:val="nil"/>
          <w:tr2bl w:val="nil"/>
        </w:tcBorders>
      </w:tcPr>
    </w:tblStylePr>
  </w:style>
  <w:style w:type="table" w:styleId="TableProfessional">
    <w:name w:val="Table Professional"/>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39"/>
    <w:rsid w:val="00C00568"/>
    <w:pPr>
      <w:spacing w:after="100"/>
      <w:ind w:left="880"/>
    </w:pPr>
  </w:style>
  <w:style w:type="paragraph" w:styleId="TOC6">
    <w:name w:val="toc 6"/>
    <w:basedOn w:val="Normal"/>
    <w:next w:val="Normal"/>
    <w:autoRedefine/>
    <w:uiPriority w:val="39"/>
    <w:rsid w:val="00C00568"/>
    <w:pPr>
      <w:spacing w:after="100"/>
      <w:ind w:left="1100"/>
    </w:pPr>
  </w:style>
  <w:style w:type="paragraph" w:styleId="TOC8">
    <w:name w:val="toc 8"/>
    <w:basedOn w:val="Normal"/>
    <w:next w:val="Normal"/>
    <w:uiPriority w:val="39"/>
    <w:rsid w:val="00B05757"/>
    <w:pPr>
      <w:tabs>
        <w:tab w:val="left" w:pos="567"/>
        <w:tab w:val="right" w:pos="8107"/>
      </w:tabs>
      <w:spacing w:before="60" w:after="100" w:line="216" w:lineRule="auto"/>
    </w:pPr>
  </w:style>
  <w:style w:type="paragraph" w:styleId="TOCHeading">
    <w:name w:val="TOC Heading"/>
    <w:basedOn w:val="Heading10"/>
    <w:next w:val="Normal"/>
    <w:uiPriority w:val="90"/>
    <w:unhideWhenUsed/>
    <w:rsid w:val="00C00568"/>
    <w:pPr>
      <w:spacing w:before="480"/>
      <w:outlineLvl w:val="9"/>
    </w:pPr>
    <w:rPr>
      <w:caps w:val="0"/>
      <w:color w:val="004A7C" w:themeColor="accent1" w:themeShade="BF"/>
      <w:spacing w:val="0"/>
    </w:rPr>
  </w:style>
  <w:style w:type="table" w:customStyle="1" w:styleId="DTFTextTable">
    <w:name w:val="DTF Text Table"/>
    <w:basedOn w:val="DTFTable"/>
    <w:uiPriority w:val="99"/>
    <w:rsid w:val="00D3365F"/>
    <w:pPr>
      <w:spacing w:before="60" w:after="60" w:line="216" w:lineRule="auto"/>
      <w:jc w:val="left"/>
    </w:pPr>
    <w:rPr>
      <w:sz w:val="18"/>
    </w:rPr>
    <w:tbl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nil"/>
          <w:right w:val="nil"/>
          <w:insideH w:val="nil"/>
          <w:insideV w:val="nil"/>
          <w:tl2br w:val="nil"/>
          <w:tr2bl w:val="nil"/>
        </w:tcBorders>
        <w:shd w:val="clear" w:color="auto" w:fill="EBEBEB" w:themeFill="background2"/>
      </w:tcPr>
    </w:tblStylePr>
    <w:tblStylePr w:type="band2Horz">
      <w:tblPr/>
      <w:tcPr>
        <w:shd w:val="clear" w:color="auto" w:fill="FFFFFF" w:themeFill="background1"/>
      </w:tcPr>
    </w:tblStylePr>
  </w:style>
  <w:style w:type="character" w:customStyle="1" w:styleId="FooterevenChar">
    <w:name w:val="Footer (even) Char"/>
    <w:basedOn w:val="FooterChar"/>
    <w:link w:val="Footereven"/>
    <w:uiPriority w:val="84"/>
    <w:rsid w:val="00F73105"/>
    <w:rPr>
      <w:rFonts w:asciiTheme="majorHAnsi" w:hAnsiTheme="majorHAnsi"/>
      <w:spacing w:val="2"/>
    </w:rPr>
  </w:style>
  <w:style w:type="paragraph" w:customStyle="1" w:styleId="TableUnits">
    <w:name w:val="Table Units"/>
    <w:basedOn w:val="TableHeading"/>
    <w:next w:val="Normal"/>
    <w:link w:val="TableUnitsChar"/>
    <w:uiPriority w:val="50"/>
    <w:qFormat/>
    <w:rsid w:val="00217A5D"/>
    <w:pPr>
      <w:tabs>
        <w:tab w:val="clear" w:pos="1134"/>
        <w:tab w:val="clear" w:pos="9639"/>
        <w:tab w:val="clear" w:pos="14572"/>
      </w:tabs>
      <w:spacing w:before="0"/>
      <w:ind w:left="0" w:firstLine="0"/>
      <w:jc w:val="right"/>
    </w:pPr>
  </w:style>
  <w:style w:type="table" w:customStyle="1" w:styleId="ModelReportGuidanceTable">
    <w:name w:val="Model Report Guidance Table"/>
    <w:basedOn w:val="TableNormal"/>
    <w:uiPriority w:val="99"/>
    <w:rsid w:val="00CA4206"/>
    <w:rPr>
      <w:color w:val="0072CE" w:themeColor="accent4"/>
    </w:rPr>
    <w:tblPr>
      <w:tblBorders>
        <w:top w:val="single" w:sz="6" w:space="0" w:color="0072CE" w:themeColor="accent4"/>
        <w:left w:val="single" w:sz="6" w:space="0" w:color="0072CE" w:themeColor="accent4"/>
        <w:bottom w:val="single" w:sz="6" w:space="0" w:color="0072CE" w:themeColor="accent4"/>
        <w:right w:val="single" w:sz="6" w:space="0" w:color="0072CE" w:themeColor="accent4"/>
      </w:tblBorders>
      <w:tblCellMar>
        <w:left w:w="57" w:type="dxa"/>
        <w:right w:w="57" w:type="dxa"/>
      </w:tblCellMar>
    </w:tblPr>
    <w:tblStylePr w:type="firstRow">
      <w:pPr>
        <w:wordWrap/>
        <w:spacing w:beforeLines="0" w:before="40" w:beforeAutospacing="0" w:afterLines="0" w:after="40" w:afterAutospacing="0"/>
      </w:pPr>
      <w:rPr>
        <w:b/>
        <w:color w:val="FFFFFF" w:themeColor="background1"/>
      </w:rPr>
      <w:tblPr/>
      <w:tcPr>
        <w:shd w:val="clear" w:color="auto" w:fill="0072CE" w:themeFill="accent4"/>
      </w:tcPr>
    </w:tblStylePr>
  </w:style>
  <w:style w:type="character" w:customStyle="1" w:styleId="ListBulletChar">
    <w:name w:val="List Bullet Char"/>
    <w:basedOn w:val="DefaultParagraphFont"/>
    <w:link w:val="ListBullet"/>
    <w:uiPriority w:val="19"/>
    <w:rsid w:val="00B60291"/>
    <w:rPr>
      <w:spacing w:val="2"/>
    </w:rPr>
  </w:style>
  <w:style w:type="character" w:customStyle="1" w:styleId="SourceReference">
    <w:name w:val="Source Reference"/>
    <w:basedOn w:val="DefaultParagraphFont"/>
    <w:uiPriority w:val="54"/>
    <w:rsid w:val="00C4347A"/>
    <w:rPr>
      <w:noProof/>
      <w:color w:val="0072CE" w:themeColor="accent4"/>
      <w:sz w:val="14"/>
      <w:lang w:val="en-AU"/>
    </w:rPr>
  </w:style>
  <w:style w:type="paragraph" w:customStyle="1" w:styleId="Tabletext">
    <w:name w:val="Table text"/>
    <w:basedOn w:val="TableofFigures"/>
    <w:link w:val="TabletextChar"/>
    <w:uiPriority w:val="9"/>
    <w:qFormat/>
    <w:rsid w:val="006D4EA2"/>
    <w:pPr>
      <w:keepLines w:val="0"/>
      <w:spacing w:before="20" w:after="20"/>
      <w:ind w:left="170" w:hanging="170"/>
    </w:pPr>
    <w:rPr>
      <w:rFonts w:eastAsia="Tahoma" w:cs="Arial"/>
      <w:noProof/>
      <w:sz w:val="16"/>
      <w:lang w:eastAsia="en-AU"/>
    </w:rPr>
  </w:style>
  <w:style w:type="paragraph" w:styleId="Revision">
    <w:name w:val="Revision"/>
    <w:hidden/>
    <w:uiPriority w:val="99"/>
    <w:semiHidden/>
    <w:rsid w:val="00CF6CC7"/>
    <w:pPr>
      <w:spacing w:before="0"/>
    </w:pPr>
    <w:rPr>
      <w:spacing w:val="2"/>
    </w:rPr>
  </w:style>
  <w:style w:type="numbering" w:customStyle="1" w:styleId="Bullet10">
    <w:name w:val="Bullet1"/>
    <w:uiPriority w:val="99"/>
    <w:rsid w:val="0070785E"/>
  </w:style>
  <w:style w:type="character" w:customStyle="1" w:styleId="millionChar">
    <w:name w:val="$million Char"/>
    <w:link w:val="million"/>
    <w:rsid w:val="00AD47C0"/>
    <w:rPr>
      <w:rFonts w:ascii="Arial" w:hAnsi="Arial"/>
      <w:i/>
      <w:spacing w:val="6"/>
      <w:sz w:val="16"/>
      <w:szCs w:val="16"/>
    </w:rPr>
  </w:style>
  <w:style w:type="table" w:customStyle="1" w:styleId="ModelReportGuidanceTable1">
    <w:name w:val="Model Report Guidance Table1"/>
    <w:basedOn w:val="TableNormal"/>
    <w:uiPriority w:val="99"/>
    <w:rsid w:val="0070785E"/>
    <w:rPr>
      <w:color w:val="0072CE" w:themeColor="accent4"/>
    </w:rPr>
    <w:tblPr>
      <w:tblBorders>
        <w:top w:val="single" w:sz="6" w:space="0" w:color="0072CE" w:themeColor="accent4"/>
        <w:left w:val="single" w:sz="6" w:space="0" w:color="0072CE" w:themeColor="accent4"/>
        <w:bottom w:val="single" w:sz="6" w:space="0" w:color="0072CE" w:themeColor="accent4"/>
        <w:right w:val="single" w:sz="6" w:space="0" w:color="0072CE" w:themeColor="accent4"/>
      </w:tblBorders>
      <w:tblCellMar>
        <w:left w:w="57" w:type="dxa"/>
        <w:right w:w="57" w:type="dxa"/>
      </w:tblCellMar>
    </w:tblPr>
    <w:tblStylePr w:type="firstRow">
      <w:pPr>
        <w:wordWrap/>
        <w:spacing w:beforeLines="0" w:before="40" w:beforeAutospacing="0" w:afterLines="0" w:after="40" w:afterAutospacing="0"/>
      </w:pPr>
      <w:rPr>
        <w:b/>
        <w:color w:val="FFFFFF" w:themeColor="background1"/>
      </w:rPr>
      <w:tblPr/>
      <w:tcPr>
        <w:shd w:val="clear" w:color="auto" w:fill="0072CE" w:themeFill="accent4"/>
      </w:tcPr>
    </w:tblStylePr>
  </w:style>
  <w:style w:type="numbering" w:customStyle="1" w:styleId="Bullet2">
    <w:name w:val="Bullet2"/>
    <w:uiPriority w:val="99"/>
    <w:rsid w:val="003B7414"/>
  </w:style>
  <w:style w:type="paragraph" w:customStyle="1" w:styleId="Smallline">
    <w:name w:val="Small line"/>
    <w:basedOn w:val="BodyText"/>
    <w:qFormat/>
    <w:rsid w:val="006D4EA2"/>
    <w:pPr>
      <w:keepLines w:val="0"/>
      <w:tabs>
        <w:tab w:val="left" w:pos="360"/>
      </w:tabs>
      <w:spacing w:before="0" w:after="0" w:line="257" w:lineRule="auto"/>
      <w:ind w:left="360" w:hanging="360"/>
    </w:pPr>
    <w:rPr>
      <w:rFonts w:ascii="Arial" w:hAnsi="Arial"/>
      <w:spacing w:val="6"/>
      <w:sz w:val="4"/>
      <w:szCs w:val="4"/>
    </w:rPr>
  </w:style>
  <w:style w:type="paragraph" w:customStyle="1" w:styleId="Tabletextheadingleft">
    <w:name w:val="Table text heading left"/>
    <w:rsid w:val="006D4EA2"/>
    <w:pPr>
      <w:spacing w:before="100" w:after="40"/>
    </w:pPr>
    <w:rPr>
      <w:rFonts w:ascii="Arial" w:hAnsi="Arial"/>
      <w:i/>
      <w:color w:val="FFFFFF" w:themeColor="background1"/>
      <w:spacing w:val="6"/>
      <w:sz w:val="16"/>
      <w:szCs w:val="16"/>
    </w:rPr>
  </w:style>
  <w:style w:type="table" w:customStyle="1" w:styleId="Modeltable">
    <w:name w:val="Model table"/>
    <w:basedOn w:val="TableNormal"/>
    <w:uiPriority w:val="99"/>
    <w:rsid w:val="006D4EA2"/>
    <w:pPr>
      <w:spacing w:before="40"/>
    </w:pPr>
    <w:rPr>
      <w:rFonts w:ascii="Arial" w:hAnsi="Arial"/>
      <w:sz w:val="16"/>
      <w:szCs w:val="22"/>
    </w:rPr>
    <w:tblPr>
      <w:tblStyleRowBandSize w:val="1"/>
      <w:tblStyleColBandSize w:val="1"/>
      <w:tblBorders>
        <w:bottom w:val="single" w:sz="12" w:space="0" w:color="000000" w:themeColor="text1"/>
      </w:tblBorders>
      <w:tblCellMar>
        <w:left w:w="43" w:type="dxa"/>
        <w:right w:w="43" w:type="dxa"/>
      </w:tblCellMar>
    </w:tblPr>
    <w:tblStylePr w:type="firstRow">
      <w:rPr>
        <w:rFonts w:ascii="Arial" w:hAnsi="Arial"/>
        <w:color w:val="FFFFFF" w:themeColor="background1"/>
        <w:sz w:val="18"/>
      </w:rPr>
      <w:tblPr/>
      <w:tcPr>
        <w:shd w:val="clear" w:color="auto" w:fill="000000" w:themeFill="text1"/>
        <w:vAlign w:val="bottom"/>
      </w:tcPr>
    </w:tblStylePr>
    <w:tblStylePr w:type="lastRow">
      <w:tblPr/>
      <w:tcPr>
        <w:tcBorders>
          <w:top w:val="nil"/>
          <w:left w:val="nil"/>
          <w:bottom w:val="single" w:sz="12" w:space="0" w:color="000000" w:themeColor="text1"/>
          <w:right w:val="nil"/>
          <w:insideH w:val="nil"/>
          <w:insideV w:val="nil"/>
          <w:tl2br w:val="nil"/>
          <w:tr2bl w:val="nil"/>
        </w:tcBorders>
      </w:tcPr>
    </w:tblStylePr>
  </w:style>
  <w:style w:type="paragraph" w:styleId="TableofFigures">
    <w:name w:val="table of figures"/>
    <w:basedOn w:val="Normal"/>
    <w:next w:val="Normal"/>
    <w:link w:val="TableofFiguresChar"/>
    <w:unhideWhenUsed/>
    <w:qFormat/>
    <w:rsid w:val="00CB45DF"/>
  </w:style>
  <w:style w:type="paragraph" w:customStyle="1" w:styleId="Tabletextbold">
    <w:name w:val="Table text bold"/>
    <w:qFormat/>
    <w:rsid w:val="006D4EA2"/>
    <w:pPr>
      <w:spacing w:after="20" w:line="276" w:lineRule="auto"/>
    </w:pPr>
    <w:rPr>
      <w:rFonts w:ascii="Arial" w:hAnsi="Arial"/>
      <w:b/>
      <w:spacing w:val="6"/>
      <w:sz w:val="16"/>
      <w:szCs w:val="16"/>
    </w:rPr>
  </w:style>
  <w:style w:type="paragraph" w:customStyle="1" w:styleId="Tabletextcentred">
    <w:name w:val="Table text centred"/>
    <w:basedOn w:val="Tabletext"/>
    <w:rsid w:val="006D4EA2"/>
    <w:pPr>
      <w:jc w:val="center"/>
    </w:pPr>
  </w:style>
  <w:style w:type="character" w:customStyle="1" w:styleId="TabletextChar">
    <w:name w:val="Table text Char"/>
    <w:link w:val="Tabletext"/>
    <w:uiPriority w:val="9"/>
    <w:rsid w:val="006D4EA2"/>
    <w:rPr>
      <w:rFonts w:eastAsia="Tahoma" w:cs="Arial"/>
      <w:noProof/>
      <w:spacing w:val="2"/>
      <w:sz w:val="16"/>
      <w:lang w:eastAsia="en-AU"/>
    </w:rPr>
  </w:style>
  <w:style w:type="paragraph" w:customStyle="1" w:styleId="Heading1nonTOC">
    <w:name w:val="Heading 1 (non TOC)"/>
    <w:basedOn w:val="Heading10"/>
    <w:next w:val="Normal"/>
    <w:uiPriority w:val="12"/>
    <w:qFormat/>
    <w:rsid w:val="00AA770B"/>
  </w:style>
  <w:style w:type="paragraph" w:customStyle="1" w:styleId="Heading2nonTOC">
    <w:name w:val="Heading 2 (non TOC)"/>
    <w:basedOn w:val="Heading20"/>
    <w:next w:val="BodyText"/>
    <w:uiPriority w:val="12"/>
    <w:qFormat/>
    <w:rsid w:val="00AA770B"/>
  </w:style>
  <w:style w:type="paragraph" w:customStyle="1" w:styleId="Subheading">
    <w:name w:val="Subheading"/>
    <w:basedOn w:val="BodyText"/>
    <w:next w:val="Normal"/>
    <w:uiPriority w:val="49"/>
    <w:qFormat/>
    <w:rsid w:val="006D4EA2"/>
    <w:pPr>
      <w:keepNext/>
      <w:keepLines w:val="0"/>
      <w:tabs>
        <w:tab w:val="right" w:pos="9582"/>
      </w:tabs>
      <w:spacing w:before="200" w:after="160"/>
    </w:pPr>
    <w:rPr>
      <w:rFonts w:asciiTheme="majorHAnsi" w:hAnsiTheme="majorHAnsi"/>
      <w:b/>
      <w:spacing w:val="-2"/>
      <w:szCs w:val="20"/>
    </w:rPr>
  </w:style>
  <w:style w:type="paragraph" w:customStyle="1" w:styleId="Heading2blue">
    <w:name w:val="Heading 2 blue"/>
    <w:basedOn w:val="Heading20"/>
    <w:uiPriority w:val="18"/>
    <w:rsid w:val="006D4EA2"/>
    <w:pPr>
      <w:numPr>
        <w:ilvl w:val="0"/>
      </w:numPr>
      <w:tabs>
        <w:tab w:val="clear" w:pos="964"/>
        <w:tab w:val="clear" w:pos="9582"/>
      </w:tabs>
      <w:spacing w:after="120"/>
    </w:pPr>
    <w:rPr>
      <w:rFonts w:ascii="Arial" w:hAnsi="Arial"/>
      <w:color w:val="0072CE" w:themeColor="accent4"/>
    </w:rPr>
  </w:style>
  <w:style w:type="paragraph" w:customStyle="1" w:styleId="Reference">
    <w:name w:val="Reference"/>
    <w:basedOn w:val="Normal"/>
    <w:link w:val="ReferenceChar"/>
    <w:qFormat/>
    <w:rsid w:val="006D4EA2"/>
    <w:pPr>
      <w:keepLines w:val="0"/>
      <w:spacing w:before="20" w:after="20"/>
    </w:pPr>
    <w:rPr>
      <w:rFonts w:eastAsia="Tahoma" w:cs="Arial"/>
      <w:iCs/>
      <w:noProof/>
      <w:color w:val="0072CE" w:themeColor="accent4"/>
      <w:sz w:val="14"/>
      <w:szCs w:val="14"/>
      <w:lang w:eastAsia="en-AU"/>
    </w:rPr>
  </w:style>
  <w:style w:type="character" w:customStyle="1" w:styleId="ReferenceChar">
    <w:name w:val="Reference Char"/>
    <w:link w:val="Reference"/>
    <w:rsid w:val="006D4EA2"/>
    <w:rPr>
      <w:rFonts w:eastAsia="Tahoma" w:cs="Arial"/>
      <w:iCs/>
      <w:noProof/>
      <w:color w:val="0072CE" w:themeColor="accent4"/>
      <w:spacing w:val="2"/>
      <w:sz w:val="14"/>
      <w:szCs w:val="14"/>
      <w:lang w:eastAsia="en-AU"/>
    </w:rPr>
  </w:style>
  <w:style w:type="paragraph" w:customStyle="1" w:styleId="Guidancenoborder">
    <w:name w:val="Guidance no border"/>
    <w:basedOn w:val="Normal"/>
    <w:qFormat/>
    <w:rsid w:val="006D4EA2"/>
    <w:pPr>
      <w:keepLines w:val="0"/>
      <w:spacing w:after="120"/>
    </w:pPr>
    <w:rPr>
      <w:rFonts w:ascii="Arial" w:hAnsi="Arial"/>
      <w:color w:val="0072CE" w:themeColor="accent4"/>
    </w:rPr>
  </w:style>
  <w:style w:type="paragraph" w:customStyle="1" w:styleId="Guidanceindentnoborder">
    <w:name w:val="Guidance indent no border"/>
    <w:basedOn w:val="Normal"/>
    <w:qFormat/>
    <w:rsid w:val="006D4EA2"/>
    <w:pPr>
      <w:keepLines w:val="0"/>
      <w:tabs>
        <w:tab w:val="left" w:pos="450"/>
      </w:tabs>
      <w:spacing w:before="60" w:after="60"/>
      <w:ind w:left="446" w:hanging="446"/>
      <w:contextualSpacing/>
    </w:pPr>
    <w:rPr>
      <w:rFonts w:ascii="Arial" w:hAnsi="Arial"/>
      <w:color w:val="0072CE" w:themeColor="accent4"/>
    </w:rPr>
  </w:style>
  <w:style w:type="paragraph" w:customStyle="1" w:styleId="Heading3unnumbered">
    <w:name w:val="Heading 3 (unnumbered)"/>
    <w:basedOn w:val="Heading30"/>
    <w:next w:val="BodyText"/>
    <w:uiPriority w:val="12"/>
    <w:qFormat/>
    <w:rsid w:val="00AA770B"/>
    <w:pPr>
      <w:numPr>
        <w:ilvl w:val="0"/>
      </w:numPr>
      <w:tabs>
        <w:tab w:val="clear" w:pos="737"/>
        <w:tab w:val="clear" w:pos="9582"/>
      </w:tabs>
      <w:spacing w:before="240" w:after="120"/>
      <w:ind w:left="737" w:hanging="737"/>
    </w:pPr>
    <w:rPr>
      <w:rFonts w:ascii="Arial" w:hAnsi="Arial"/>
    </w:rPr>
  </w:style>
  <w:style w:type="paragraph" w:customStyle="1" w:styleId="Guidanceheading1">
    <w:name w:val="Guidance heading 1"/>
    <w:uiPriority w:val="4"/>
    <w:qFormat/>
    <w:rsid w:val="00F10450"/>
    <w:pPr>
      <w:keepNext/>
      <w:pBdr>
        <w:left w:val="single" w:sz="4" w:space="4" w:color="0072CE"/>
        <w:right w:val="single" w:sz="4" w:space="4" w:color="0072CE"/>
      </w:pBdr>
      <w:spacing w:before="160"/>
    </w:pPr>
    <w:rPr>
      <w:rFonts w:ascii="Arial" w:hAnsi="Arial"/>
      <w:b/>
      <w:color w:val="0072CE"/>
      <w:spacing w:val="6"/>
      <w:szCs w:val="22"/>
    </w:rPr>
  </w:style>
  <w:style w:type="paragraph" w:customStyle="1" w:styleId="Guidance">
    <w:name w:val="Guidance"/>
    <w:basedOn w:val="BodyText"/>
    <w:uiPriority w:val="4"/>
    <w:qFormat/>
    <w:rsid w:val="00F10450"/>
    <w:pPr>
      <w:keepLines w:val="0"/>
      <w:pBdr>
        <w:left w:val="single" w:sz="4" w:space="4" w:color="0072CE" w:themeColor="accent4"/>
        <w:bottom w:val="single" w:sz="4" w:space="1" w:color="0072CE" w:themeColor="accent4"/>
        <w:right w:val="single" w:sz="4" w:space="4" w:color="0072CE" w:themeColor="accent4"/>
      </w:pBdr>
    </w:pPr>
    <w:rPr>
      <w:rFonts w:ascii="Arial" w:hAnsi="Arial"/>
      <w:color w:val="0072CE" w:themeColor="accent4"/>
    </w:rPr>
  </w:style>
  <w:style w:type="paragraph" w:customStyle="1" w:styleId="Guidanceheading">
    <w:name w:val="Guidance heading"/>
    <w:uiPriority w:val="4"/>
    <w:qFormat/>
    <w:rsid w:val="00F10450"/>
    <w:pPr>
      <w:keepNext/>
      <w:pBdr>
        <w:top w:val="single" w:sz="4" w:space="4" w:color="0072CE"/>
        <w:left w:val="single" w:sz="4" w:space="4" w:color="0072CE"/>
        <w:bottom w:val="single" w:sz="4" w:space="3" w:color="0072CE"/>
        <w:right w:val="single" w:sz="4" w:space="4" w:color="0072CE"/>
      </w:pBdr>
      <w:shd w:val="clear" w:color="auto" w:fill="0072CE"/>
      <w:spacing w:before="0" w:line="264" w:lineRule="auto"/>
    </w:pPr>
    <w:rPr>
      <w:rFonts w:ascii="Arial Bold" w:hAnsi="Arial Bold"/>
      <w:b/>
      <w:color w:val="FFFFFF" w:themeColor="background1"/>
      <w:spacing w:val="6"/>
      <w:position w:val="4"/>
      <w:szCs w:val="20"/>
    </w:rPr>
  </w:style>
  <w:style w:type="paragraph" w:customStyle="1" w:styleId="Guidancebulletnoborder">
    <w:name w:val="Guidance bullet no border"/>
    <w:basedOn w:val="Guidancebullet"/>
    <w:qFormat/>
    <w:rsid w:val="00080446"/>
    <w:pPr>
      <w:pBdr>
        <w:left w:val="none" w:sz="0" w:space="0" w:color="auto"/>
        <w:bottom w:val="none" w:sz="0" w:space="0" w:color="auto"/>
        <w:right w:val="none" w:sz="0" w:space="0" w:color="auto"/>
      </w:pBdr>
    </w:pPr>
  </w:style>
  <w:style w:type="paragraph" w:customStyle="1" w:styleId="NormalBlue">
    <w:name w:val="Normal Blue"/>
    <w:basedOn w:val="Normal"/>
    <w:link w:val="NormalBlueChar"/>
    <w:qFormat/>
    <w:rsid w:val="00AD47C0"/>
    <w:rPr>
      <w:color w:val="0000FF"/>
      <w:spacing w:val="0"/>
      <w:sz w:val="22"/>
      <w:szCs w:val="22"/>
    </w:rPr>
  </w:style>
  <w:style w:type="paragraph" w:customStyle="1" w:styleId="Headingnotecontinued">
    <w:name w:val="Heading (note continued)"/>
    <w:basedOn w:val="Headingnote"/>
    <w:next w:val="Normal"/>
    <w:uiPriority w:val="99"/>
    <w:unhideWhenUsed/>
    <w:qFormat/>
    <w:rsid w:val="00080446"/>
  </w:style>
  <w:style w:type="paragraph" w:customStyle="1" w:styleId="Heading1Pt3">
    <w:name w:val="Heading 1 Pt3"/>
    <w:basedOn w:val="Heading10"/>
    <w:qFormat/>
    <w:rsid w:val="00080446"/>
    <w:pPr>
      <w:numPr>
        <w:numId w:val="15"/>
      </w:numPr>
      <w:pBdr>
        <w:bottom w:val="single" w:sz="12" w:space="1" w:color="53565A"/>
      </w:pBdr>
      <w:spacing w:after="120"/>
    </w:pPr>
    <w:rPr>
      <w:rFonts w:ascii="Arial" w:hAnsi="Arial"/>
      <w:color w:val="53565A"/>
      <w:sz w:val="29"/>
    </w:rPr>
  </w:style>
  <w:style w:type="paragraph" w:customStyle="1" w:styleId="HighlightBullet">
    <w:name w:val="Highlight Bullet"/>
    <w:basedOn w:val="ListBullet"/>
    <w:next w:val="Normal"/>
    <w:uiPriority w:val="7"/>
    <w:qFormat/>
    <w:rsid w:val="00080446"/>
    <w:pPr>
      <w:keepLines w:val="0"/>
      <w:numPr>
        <w:numId w:val="0"/>
      </w:numPr>
      <w:shd w:val="clear" w:color="auto" w:fill="EBEBEB"/>
      <w:spacing w:after="60"/>
    </w:pPr>
    <w:rPr>
      <w:szCs w:val="20"/>
    </w:rPr>
  </w:style>
  <w:style w:type="paragraph" w:customStyle="1" w:styleId="HighlightText">
    <w:name w:val="Highlight Text"/>
    <w:basedOn w:val="BodyText"/>
    <w:uiPriority w:val="7"/>
    <w:qFormat/>
    <w:rsid w:val="00080446"/>
    <w:pPr>
      <w:keepLines w:val="0"/>
      <w:shd w:val="clear" w:color="auto" w:fill="EBEBEB"/>
      <w:spacing w:after="60"/>
    </w:pPr>
    <w:rPr>
      <w:szCs w:val="20"/>
    </w:rPr>
  </w:style>
  <w:style w:type="paragraph" w:customStyle="1" w:styleId="HighlightHeading">
    <w:name w:val="Highlight Heading"/>
    <w:basedOn w:val="HighlightText"/>
    <w:uiPriority w:val="7"/>
    <w:qFormat/>
    <w:rsid w:val="00080446"/>
    <w:pPr>
      <w:keepNext/>
    </w:pPr>
    <w:rPr>
      <w:i/>
    </w:rPr>
  </w:style>
  <w:style w:type="paragraph" w:customStyle="1" w:styleId="Heading1a">
    <w:name w:val="Heading 1a"/>
    <w:basedOn w:val="Heading10"/>
    <w:rsid w:val="00080446"/>
    <w:pPr>
      <w:pBdr>
        <w:bottom w:val="single" w:sz="12" w:space="1" w:color="53565A"/>
      </w:pBdr>
      <w:spacing w:after="120"/>
      <w:ind w:left="720" w:hanging="360"/>
    </w:pPr>
    <w:rPr>
      <w:rFonts w:ascii="Arial" w:hAnsi="Arial"/>
      <w:color w:val="53565A"/>
      <w:sz w:val="29"/>
    </w:rPr>
  </w:style>
  <w:style w:type="paragraph" w:customStyle="1" w:styleId="Listalpha">
    <w:name w:val="List alpha"/>
    <w:basedOn w:val="BodyText"/>
    <w:uiPriority w:val="4"/>
    <w:qFormat/>
    <w:rsid w:val="00080446"/>
    <w:pPr>
      <w:keepLines w:val="0"/>
      <w:tabs>
        <w:tab w:val="left" w:pos="900"/>
      </w:tabs>
      <w:spacing w:after="60"/>
      <w:ind w:left="405" w:hanging="405"/>
      <w:contextualSpacing/>
    </w:pPr>
  </w:style>
  <w:style w:type="paragraph" w:customStyle="1" w:styleId="Normalblue0">
    <w:name w:val="Normal blue"/>
    <w:basedOn w:val="BodyText"/>
    <w:uiPriority w:val="18"/>
    <w:rsid w:val="00080446"/>
    <w:pPr>
      <w:keepLines w:val="0"/>
    </w:pPr>
    <w:rPr>
      <w:rFonts w:ascii="Arial" w:hAnsi="Arial"/>
      <w:color w:val="0072CE" w:themeColor="accent4"/>
      <w:szCs w:val="22"/>
    </w:rPr>
  </w:style>
  <w:style w:type="paragraph" w:customStyle="1" w:styleId="Normalblueindent">
    <w:name w:val="Normal blue indent"/>
    <w:basedOn w:val="Normalblue0"/>
    <w:uiPriority w:val="18"/>
    <w:rsid w:val="00080446"/>
    <w:pPr>
      <w:ind w:left="360"/>
    </w:pPr>
    <w:rPr>
      <w:spacing w:val="0"/>
    </w:rPr>
  </w:style>
  <w:style w:type="paragraph" w:customStyle="1" w:styleId="NotesDash">
    <w:name w:val="Notes Dash"/>
    <w:basedOn w:val="Note"/>
    <w:next w:val="Note"/>
    <w:uiPriority w:val="53"/>
    <w:qFormat/>
    <w:rsid w:val="00080446"/>
    <w:pPr>
      <w:keepLines w:val="0"/>
      <w:tabs>
        <w:tab w:val="left" w:pos="720"/>
      </w:tabs>
      <w:spacing w:after="20"/>
      <w:ind w:left="720" w:hanging="360"/>
    </w:pPr>
    <w:rPr>
      <w:szCs w:val="20"/>
    </w:rPr>
  </w:style>
  <w:style w:type="paragraph" w:customStyle="1" w:styleId="Heading5blue">
    <w:name w:val="Heading 5 blue"/>
    <w:basedOn w:val="Heading5"/>
    <w:uiPriority w:val="18"/>
    <w:rsid w:val="00080446"/>
    <w:pPr>
      <w:numPr>
        <w:numId w:val="15"/>
      </w:numPr>
      <w:tabs>
        <w:tab w:val="clear" w:pos="737"/>
        <w:tab w:val="clear" w:pos="9582"/>
      </w:tabs>
      <w:spacing w:before="100" w:after="40"/>
    </w:pPr>
    <w:rPr>
      <w:rFonts w:ascii="Arial" w:hAnsi="Arial"/>
      <w:i/>
      <w:color w:val="0072CE" w:themeColor="accent4"/>
      <w:spacing w:val="-2"/>
    </w:rPr>
  </w:style>
  <w:style w:type="paragraph" w:customStyle="1" w:styleId="Referencered">
    <w:name w:val="Reference red"/>
    <w:basedOn w:val="Reference"/>
    <w:qFormat/>
    <w:rsid w:val="00080446"/>
    <w:pPr>
      <w:keepNext/>
      <w:spacing w:before="0" w:after="0"/>
    </w:pPr>
    <w:rPr>
      <w:rFonts w:ascii="Arial" w:hAnsi="Arial" w:cs="Arial Narrow"/>
      <w:iCs w:val="0"/>
      <w:noProof w:val="0"/>
      <w:color w:val="AF272F"/>
      <w:spacing w:val="0"/>
      <w:szCs w:val="16"/>
    </w:rPr>
  </w:style>
  <w:style w:type="paragraph" w:customStyle="1" w:styleId="OGBullet">
    <w:name w:val="OGBullet"/>
    <w:basedOn w:val="Normal"/>
    <w:semiHidden/>
    <w:rsid w:val="00080446"/>
    <w:pPr>
      <w:keepLines w:val="0"/>
      <w:numPr>
        <w:numId w:val="27"/>
      </w:numPr>
      <w:spacing w:before="0" w:after="120"/>
    </w:pPr>
    <w:rPr>
      <w:rFonts w:ascii="Calibri" w:eastAsia="Times New Roman" w:hAnsi="Calibri" w:cs="Times New Roman"/>
      <w:spacing w:val="0"/>
      <w:sz w:val="22"/>
    </w:rPr>
  </w:style>
  <w:style w:type="paragraph" w:customStyle="1" w:styleId="Subheadingunderline">
    <w:name w:val="Subheading (underline)"/>
    <w:basedOn w:val="Subheading"/>
    <w:next w:val="BodyText"/>
    <w:uiPriority w:val="50"/>
    <w:qFormat/>
    <w:rsid w:val="00080446"/>
    <w:pPr>
      <w:pBdr>
        <w:bottom w:val="single" w:sz="6" w:space="1" w:color="53565A"/>
      </w:pBdr>
      <w:spacing w:after="120"/>
    </w:pPr>
  </w:style>
  <w:style w:type="paragraph" w:customStyle="1" w:styleId="Guidanceindent2noborder">
    <w:name w:val="Guidance indent 2 no border"/>
    <w:basedOn w:val="Guidanceindentnoborder"/>
    <w:qFormat/>
    <w:rsid w:val="00080446"/>
    <w:pPr>
      <w:tabs>
        <w:tab w:val="clear" w:pos="450"/>
      </w:tabs>
      <w:ind w:left="806" w:hanging="360"/>
    </w:pPr>
  </w:style>
  <w:style w:type="table" w:customStyle="1" w:styleId="TableGrid20">
    <w:name w:val="Table Grid2"/>
    <w:basedOn w:val="TableNormal"/>
    <w:next w:val="TableGrid"/>
    <w:rsid w:val="00080446"/>
    <w:pPr>
      <w:spacing w:befor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luebullet">
    <w:name w:val="Table text blue bullet"/>
    <w:basedOn w:val="Tabletextblue"/>
    <w:uiPriority w:val="16"/>
    <w:qFormat/>
    <w:rsid w:val="00080446"/>
    <w:pPr>
      <w:numPr>
        <w:numId w:val="30"/>
      </w:numPr>
      <w:ind w:left="397" w:hanging="397"/>
      <w:contextualSpacing/>
    </w:pPr>
  </w:style>
  <w:style w:type="paragraph" w:customStyle="1" w:styleId="TableTextCentred0">
    <w:name w:val="Table Text Centred"/>
    <w:basedOn w:val="Tabletext"/>
    <w:rsid w:val="00080446"/>
    <w:pPr>
      <w:spacing w:before="30" w:after="30"/>
      <w:jc w:val="center"/>
    </w:pPr>
    <w:rPr>
      <w:rFonts w:ascii="Calibri" w:hAnsi="Calibri"/>
      <w:spacing w:val="0"/>
      <w:sz w:val="18"/>
    </w:rPr>
  </w:style>
  <w:style w:type="paragraph" w:customStyle="1" w:styleId="TabletextIndent">
    <w:name w:val="Table text Indent"/>
    <w:basedOn w:val="Normal"/>
    <w:rsid w:val="00080446"/>
    <w:pPr>
      <w:keepLines w:val="0"/>
      <w:spacing w:before="20" w:after="20"/>
      <w:ind w:left="259"/>
    </w:pPr>
    <w:rPr>
      <w:rFonts w:eastAsia="Tahoma" w:cs="Arial"/>
      <w:spacing w:val="0"/>
      <w:sz w:val="16"/>
      <w:lang w:eastAsia="en-AU"/>
    </w:rPr>
  </w:style>
  <w:style w:type="paragraph" w:customStyle="1" w:styleId="Tablebullet">
    <w:name w:val="Table bullet"/>
    <w:basedOn w:val="Tabletext"/>
    <w:uiPriority w:val="7"/>
    <w:rsid w:val="00080446"/>
    <w:pPr>
      <w:numPr>
        <w:numId w:val="28"/>
      </w:numPr>
      <w:tabs>
        <w:tab w:val="left" w:pos="288"/>
      </w:tabs>
      <w:spacing w:before="30" w:after="30" w:line="276" w:lineRule="auto"/>
      <w:ind w:left="360"/>
      <w:contextualSpacing/>
    </w:pPr>
    <w:rPr>
      <w:rFonts w:ascii="Arial" w:eastAsiaTheme="minorHAnsi" w:hAnsi="Arial" w:cstheme="minorBidi"/>
      <w:noProof w:val="0"/>
      <w:spacing w:val="6"/>
      <w:szCs w:val="16"/>
      <w:lang w:eastAsia="en-US"/>
    </w:rPr>
  </w:style>
  <w:style w:type="paragraph" w:customStyle="1" w:styleId="Tabledash">
    <w:name w:val="Table dash"/>
    <w:uiPriority w:val="7"/>
    <w:rsid w:val="00080446"/>
    <w:pPr>
      <w:numPr>
        <w:numId w:val="29"/>
      </w:numPr>
      <w:spacing w:before="30" w:after="30" w:line="276" w:lineRule="auto"/>
    </w:pPr>
    <w:rPr>
      <w:rFonts w:ascii="Arial" w:hAnsi="Arial"/>
      <w:spacing w:val="6"/>
      <w:sz w:val="16"/>
      <w:szCs w:val="16"/>
    </w:rPr>
  </w:style>
  <w:style w:type="paragraph" w:customStyle="1" w:styleId="Tabletextindent0">
    <w:name w:val="Table text indent"/>
    <w:basedOn w:val="Tabletext"/>
    <w:uiPriority w:val="13"/>
    <w:rsid w:val="00080446"/>
    <w:pPr>
      <w:ind w:left="288"/>
    </w:pPr>
  </w:style>
  <w:style w:type="paragraph" w:customStyle="1" w:styleId="Tabletextright">
    <w:name w:val="Table text right"/>
    <w:basedOn w:val="Tabletext"/>
    <w:uiPriority w:val="14"/>
    <w:rsid w:val="00080446"/>
    <w:pPr>
      <w:jc w:val="right"/>
    </w:pPr>
  </w:style>
  <w:style w:type="paragraph" w:customStyle="1" w:styleId="million">
    <w:name w:val="$million"/>
    <w:link w:val="millionChar"/>
    <w:qFormat/>
    <w:rsid w:val="00080446"/>
    <w:pPr>
      <w:spacing w:before="80" w:line="276" w:lineRule="auto"/>
      <w:jc w:val="center"/>
    </w:pPr>
    <w:rPr>
      <w:rFonts w:ascii="Arial" w:hAnsi="Arial"/>
      <w:i/>
      <w:spacing w:val="6"/>
      <w:sz w:val="16"/>
      <w:szCs w:val="16"/>
    </w:rPr>
  </w:style>
  <w:style w:type="paragraph" w:customStyle="1" w:styleId="Notesindent">
    <w:name w:val="Notes indent"/>
    <w:basedOn w:val="Normal"/>
    <w:uiPriority w:val="17"/>
    <w:rsid w:val="00080446"/>
    <w:pPr>
      <w:keepLines w:val="0"/>
      <w:tabs>
        <w:tab w:val="left" w:pos="360"/>
      </w:tabs>
      <w:spacing w:before="0"/>
      <w:ind w:left="720" w:hanging="720"/>
    </w:pPr>
    <w:rPr>
      <w:i/>
      <w:spacing w:val="0"/>
      <w:sz w:val="16"/>
      <w:szCs w:val="16"/>
    </w:rPr>
  </w:style>
  <w:style w:type="paragraph" w:customStyle="1" w:styleId="Notesbullet0">
    <w:name w:val="Notes bullet"/>
    <w:basedOn w:val="Normal"/>
    <w:uiPriority w:val="17"/>
    <w:rsid w:val="00080446"/>
    <w:pPr>
      <w:keepLines w:val="0"/>
      <w:numPr>
        <w:numId w:val="20"/>
      </w:numPr>
      <w:tabs>
        <w:tab w:val="left" w:pos="360"/>
      </w:tabs>
      <w:spacing w:before="0"/>
      <w:ind w:left="360"/>
    </w:pPr>
    <w:rPr>
      <w:i/>
      <w:spacing w:val="0"/>
      <w:sz w:val="16"/>
      <w:szCs w:val="16"/>
    </w:rPr>
  </w:style>
  <w:style w:type="paragraph" w:customStyle="1" w:styleId="Notesdash0">
    <w:name w:val="Notes dash"/>
    <w:basedOn w:val="Normal"/>
    <w:uiPriority w:val="17"/>
    <w:rsid w:val="00080446"/>
    <w:pPr>
      <w:keepLines w:val="0"/>
      <w:tabs>
        <w:tab w:val="left" w:pos="360"/>
      </w:tabs>
      <w:spacing w:before="0"/>
    </w:pPr>
    <w:rPr>
      <w:i/>
      <w:spacing w:val="0"/>
      <w:sz w:val="16"/>
      <w:szCs w:val="16"/>
    </w:rPr>
  </w:style>
  <w:style w:type="paragraph" w:customStyle="1" w:styleId="Heading3numbering">
    <w:name w:val="Heading 3 numbering"/>
    <w:uiPriority w:val="2"/>
    <w:qFormat/>
    <w:rsid w:val="00080446"/>
    <w:pPr>
      <w:numPr>
        <w:numId w:val="21"/>
      </w:numPr>
      <w:spacing w:before="160" w:line="276" w:lineRule="auto"/>
      <w:ind w:left="360"/>
    </w:pPr>
    <w:rPr>
      <w:rFonts w:ascii="Arial" w:hAnsi="Arial"/>
      <w:b/>
      <w:i/>
      <w:spacing w:val="6"/>
      <w:sz w:val="20"/>
      <w:szCs w:val="20"/>
    </w:rPr>
  </w:style>
  <w:style w:type="paragraph" w:customStyle="1" w:styleId="Tabletextheadingcentred">
    <w:name w:val="Table text heading centred"/>
    <w:rsid w:val="00080446"/>
    <w:pPr>
      <w:spacing w:before="100" w:after="40"/>
      <w:jc w:val="center"/>
    </w:pPr>
    <w:rPr>
      <w:rFonts w:ascii="Arial" w:hAnsi="Arial"/>
      <w:i/>
      <w:color w:val="FFFFFF" w:themeColor="background1"/>
      <w:spacing w:val="6"/>
      <w:sz w:val="16"/>
      <w:szCs w:val="22"/>
    </w:rPr>
  </w:style>
  <w:style w:type="paragraph" w:customStyle="1" w:styleId="Tabletextheadingright">
    <w:name w:val="Table text heading right"/>
    <w:uiPriority w:val="9"/>
    <w:rsid w:val="00080446"/>
    <w:pPr>
      <w:spacing w:before="100" w:after="40"/>
      <w:jc w:val="right"/>
    </w:pPr>
    <w:rPr>
      <w:rFonts w:ascii="Arial" w:hAnsi="Arial"/>
      <w:i/>
      <w:color w:val="FFFFFF" w:themeColor="background1"/>
      <w:spacing w:val="6"/>
      <w:sz w:val="16"/>
      <w:szCs w:val="16"/>
    </w:rPr>
  </w:style>
  <w:style w:type="paragraph" w:customStyle="1" w:styleId="Notesblue">
    <w:name w:val="Notes blue"/>
    <w:basedOn w:val="Note"/>
    <w:uiPriority w:val="18"/>
    <w:rsid w:val="00080446"/>
    <w:pPr>
      <w:keepLines w:val="0"/>
      <w:tabs>
        <w:tab w:val="left" w:pos="810"/>
      </w:tabs>
      <w:spacing w:before="120" w:after="20"/>
      <w:ind w:left="360" w:hanging="360"/>
    </w:pPr>
    <w:rPr>
      <w:color w:val="0072CE" w:themeColor="accent4"/>
      <w:szCs w:val="20"/>
    </w:rPr>
  </w:style>
  <w:style w:type="paragraph" w:customStyle="1" w:styleId="Notesindentblue">
    <w:name w:val="Notes indent blue"/>
    <w:basedOn w:val="Notesblue"/>
    <w:uiPriority w:val="18"/>
    <w:rsid w:val="00080446"/>
    <w:pPr>
      <w:tabs>
        <w:tab w:val="left" w:pos="360"/>
      </w:tabs>
      <w:spacing w:before="20"/>
      <w:ind w:left="720" w:hanging="720"/>
    </w:pPr>
  </w:style>
  <w:style w:type="paragraph" w:customStyle="1" w:styleId="Notesbulletblue">
    <w:name w:val="Notes bullet blue"/>
    <w:basedOn w:val="Notesblue"/>
    <w:uiPriority w:val="18"/>
    <w:rsid w:val="00080446"/>
    <w:pPr>
      <w:numPr>
        <w:numId w:val="25"/>
      </w:numPr>
      <w:spacing w:before="20"/>
    </w:pPr>
  </w:style>
  <w:style w:type="paragraph" w:customStyle="1" w:styleId="Notesdashblue">
    <w:name w:val="Notes dash blue"/>
    <w:basedOn w:val="Notesblue"/>
    <w:uiPriority w:val="18"/>
    <w:rsid w:val="00080446"/>
    <w:pPr>
      <w:numPr>
        <w:numId w:val="26"/>
      </w:numPr>
      <w:spacing w:before="20"/>
    </w:pPr>
  </w:style>
  <w:style w:type="paragraph" w:customStyle="1" w:styleId="Heading4blue">
    <w:name w:val="Heading 4 blue"/>
    <w:basedOn w:val="BodyText"/>
    <w:uiPriority w:val="18"/>
    <w:rsid w:val="00080446"/>
    <w:pPr>
      <w:keepLines w:val="0"/>
      <w:spacing w:after="0"/>
    </w:pPr>
    <w:rPr>
      <w:b/>
      <w:i/>
      <w:color w:val="0072CE" w:themeColor="accent4"/>
      <w:sz w:val="19"/>
      <w:szCs w:val="19"/>
    </w:rPr>
  </w:style>
  <w:style w:type="paragraph" w:customStyle="1" w:styleId="Tabletextblue">
    <w:name w:val="Table text blue"/>
    <w:basedOn w:val="Tabletext"/>
    <w:link w:val="TabletextblueChar"/>
    <w:qFormat/>
    <w:rsid w:val="00080446"/>
    <w:rPr>
      <w:color w:val="0072CE" w:themeColor="accent4"/>
    </w:rPr>
  </w:style>
  <w:style w:type="character" w:customStyle="1" w:styleId="TabletextblueChar">
    <w:name w:val="Table text blue Char"/>
    <w:link w:val="Tabletextblue"/>
    <w:rsid w:val="00080446"/>
    <w:rPr>
      <w:rFonts w:eastAsia="Tahoma" w:cs="Arial"/>
      <w:noProof/>
      <w:color w:val="0072CE" w:themeColor="accent4"/>
      <w:spacing w:val="2"/>
      <w:sz w:val="16"/>
      <w:lang w:eastAsia="en-AU"/>
    </w:rPr>
  </w:style>
  <w:style w:type="table" w:customStyle="1" w:styleId="Modeltable2">
    <w:name w:val="Model table 2"/>
    <w:basedOn w:val="Modeltable"/>
    <w:uiPriority w:val="99"/>
    <w:rsid w:val="00080446"/>
    <w:tblPr/>
    <w:tblStylePr w:type="firstRow">
      <w:rPr>
        <w:rFonts w:ascii="Arial" w:hAnsi="Arial"/>
        <w:color w:val="FFFFFF" w:themeColor="background1"/>
        <w:sz w:val="18"/>
      </w:rPr>
      <w:tblPr/>
      <w:tcPr>
        <w:tcBorders>
          <w:top w:val="single" w:sz="4" w:space="0" w:color="auto"/>
          <w:left w:val="single" w:sz="4" w:space="0" w:color="auto"/>
          <w:bottom w:val="single" w:sz="4" w:space="0" w:color="auto"/>
          <w:right w:val="single" w:sz="4" w:space="0" w:color="auto"/>
        </w:tcBorders>
        <w:shd w:val="clear" w:color="auto" w:fill="000000" w:themeFill="text1"/>
        <w:vAlign w:val="bottom"/>
      </w:tcPr>
    </w:tblStylePr>
    <w:tblStylePr w:type="lastRow">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tblPr/>
      <w:tcPr>
        <w:shd w:val="clear" w:color="auto" w:fill="EBEBEB"/>
      </w:tcPr>
    </w:tblStylePr>
    <w:tblStylePr w:type="band1Vert">
      <w:tblPr/>
      <w:tcPr>
        <w:shd w:val="clear" w:color="auto" w:fill="EBEBEB"/>
      </w:tcPr>
    </w:tblStylePr>
    <w:tblStylePr w:type="band2Vert">
      <w:tblPr/>
      <w:tcPr>
        <w:shd w:val="clear" w:color="auto" w:fill="EBEBEB"/>
      </w:tcPr>
    </w:tblStylePr>
    <w:tblStylePr w:type="band1Horz">
      <w:tblPr/>
      <w:tcPr>
        <w:shd w:val="clear" w:color="auto" w:fill="EBEBEB"/>
      </w:tcPr>
    </w:tblStylePr>
  </w:style>
  <w:style w:type="paragraph" w:customStyle="1" w:styleId="TableBullet0">
    <w:name w:val="Table Bullet"/>
    <w:basedOn w:val="Tabletext"/>
    <w:qFormat/>
    <w:rsid w:val="00080446"/>
    <w:pPr>
      <w:ind w:left="360" w:hanging="360"/>
      <w:contextualSpacing/>
    </w:pPr>
    <w:rPr>
      <w:rFonts w:ascii="Arial" w:hAnsi="Arial" w:cstheme="minorHAnsi"/>
      <w:szCs w:val="16"/>
    </w:rPr>
  </w:style>
  <w:style w:type="paragraph" w:customStyle="1" w:styleId="Guidancebullet2noborder">
    <w:name w:val="Guidance bullet 2 no border"/>
    <w:basedOn w:val="Guidancebulletnoborder"/>
    <w:qFormat/>
    <w:rsid w:val="00080446"/>
    <w:pPr>
      <w:numPr>
        <w:ilvl w:val="2"/>
        <w:numId w:val="22"/>
      </w:numPr>
      <w:ind w:left="806" w:hanging="360"/>
    </w:pPr>
  </w:style>
  <w:style w:type="paragraph" w:customStyle="1" w:styleId="Guidancealpha">
    <w:name w:val="Guidance alpha"/>
    <w:basedOn w:val="Guidanceindentnoborder"/>
    <w:qFormat/>
    <w:rsid w:val="00080446"/>
    <w:pPr>
      <w:numPr>
        <w:numId w:val="23"/>
      </w:numPr>
    </w:pPr>
  </w:style>
  <w:style w:type="table" w:customStyle="1" w:styleId="DTFFinancialTable">
    <w:name w:val="DTF Financial Table"/>
    <w:basedOn w:val="TableNormal"/>
    <w:uiPriority w:val="99"/>
    <w:rsid w:val="00080446"/>
    <w:pPr>
      <w:spacing w:before="20" w:after="20"/>
    </w:pPr>
    <w:rPr>
      <w:rFonts w:ascii="Arial" w:hAnsi="Arial"/>
      <w:spacing w:val="2"/>
      <w:sz w:val="16"/>
      <w:szCs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paragraph" w:customStyle="1" w:styleId="Guidancebullet">
    <w:name w:val="Guidance bullet"/>
    <w:basedOn w:val="Guidance"/>
    <w:uiPriority w:val="4"/>
    <w:qFormat/>
    <w:rsid w:val="00080446"/>
    <w:pPr>
      <w:spacing w:before="60" w:after="60"/>
      <w:ind w:left="446" w:hanging="446"/>
      <w:contextualSpacing/>
    </w:pPr>
  </w:style>
  <w:style w:type="paragraph" w:customStyle="1" w:styleId="Guidanceheading2">
    <w:name w:val="Guidance heading 2"/>
    <w:basedOn w:val="Guidance"/>
    <w:uiPriority w:val="4"/>
    <w:qFormat/>
    <w:rsid w:val="00080446"/>
    <w:pPr>
      <w:keepNext/>
      <w:pBdr>
        <w:left w:val="single" w:sz="4" w:space="4" w:color="0072CE"/>
        <w:right w:val="single" w:sz="4" w:space="4" w:color="0072CE"/>
      </w:pBdr>
      <w:spacing w:before="160" w:after="0"/>
      <w:ind w:left="360" w:hanging="360"/>
    </w:pPr>
    <w:rPr>
      <w:b/>
      <w:i/>
      <w:color w:val="0072CE"/>
      <w:spacing w:val="6"/>
      <w:szCs w:val="22"/>
    </w:rPr>
  </w:style>
  <w:style w:type="paragraph" w:customStyle="1" w:styleId="Guidanceindent">
    <w:name w:val="Guidance indent"/>
    <w:basedOn w:val="Guidance"/>
    <w:uiPriority w:val="4"/>
    <w:qFormat/>
    <w:rsid w:val="00080446"/>
    <w:pPr>
      <w:tabs>
        <w:tab w:val="left" w:pos="450"/>
      </w:tabs>
      <w:spacing w:before="60" w:after="60"/>
      <w:ind w:left="446" w:hanging="446"/>
      <w:contextualSpacing/>
    </w:pPr>
  </w:style>
  <w:style w:type="paragraph" w:customStyle="1" w:styleId="Guidanceindent2">
    <w:name w:val="Guidance indent 2"/>
    <w:basedOn w:val="BodyText"/>
    <w:uiPriority w:val="4"/>
    <w:rsid w:val="00080446"/>
    <w:pPr>
      <w:keepLines w:val="0"/>
      <w:pBdr>
        <w:left w:val="single" w:sz="4" w:space="4" w:color="0072CE"/>
        <w:right w:val="single" w:sz="4" w:space="4" w:color="0072CE"/>
      </w:pBdr>
      <w:tabs>
        <w:tab w:val="left" w:pos="450"/>
      </w:tabs>
      <w:spacing w:before="60" w:after="60"/>
      <w:ind w:left="806" w:hanging="806"/>
      <w:contextualSpacing/>
    </w:pPr>
    <w:rPr>
      <w:rFonts w:ascii="Arial" w:hAnsi="Arial"/>
      <w:color w:val="0072CE"/>
      <w:szCs w:val="22"/>
    </w:rPr>
  </w:style>
  <w:style w:type="paragraph" w:customStyle="1" w:styleId="Headingnote">
    <w:name w:val="Heading (note)"/>
    <w:basedOn w:val="Heading20"/>
    <w:next w:val="Normal"/>
    <w:uiPriority w:val="99"/>
    <w:unhideWhenUsed/>
    <w:qFormat/>
    <w:rsid w:val="00080446"/>
    <w:pPr>
      <w:numPr>
        <w:ilvl w:val="0"/>
      </w:numPr>
      <w:tabs>
        <w:tab w:val="clear" w:pos="964"/>
        <w:tab w:val="clear" w:pos="9582"/>
        <w:tab w:val="left" w:pos="1134"/>
      </w:tabs>
      <w:spacing w:after="120"/>
    </w:pPr>
    <w:rPr>
      <w:rFonts w:ascii="Arial" w:hAnsi="Arial"/>
    </w:rPr>
  </w:style>
  <w:style w:type="paragraph" w:customStyle="1" w:styleId="Heading4ops">
    <w:name w:val="Heading 4 (ops)"/>
    <w:basedOn w:val="Heading4"/>
    <w:uiPriority w:val="12"/>
    <w:qFormat/>
    <w:rsid w:val="00AA770B"/>
  </w:style>
  <w:style w:type="paragraph" w:customStyle="1" w:styleId="Heading5unnumbered">
    <w:name w:val="Heading 5 (unnumbered)"/>
    <w:basedOn w:val="Heading5"/>
    <w:uiPriority w:val="12"/>
    <w:qFormat/>
    <w:rsid w:val="00080446"/>
    <w:pPr>
      <w:numPr>
        <w:ilvl w:val="0"/>
      </w:numPr>
      <w:tabs>
        <w:tab w:val="clear" w:pos="737"/>
        <w:tab w:val="clear" w:pos="9582"/>
      </w:tabs>
      <w:spacing w:before="240" w:after="120"/>
      <w:ind w:left="737" w:hanging="737"/>
    </w:pPr>
    <w:rPr>
      <w:rFonts w:ascii="Arial" w:hAnsi="Arial"/>
      <w:i/>
      <w:spacing w:val="-2"/>
    </w:rPr>
  </w:style>
  <w:style w:type="paragraph" w:customStyle="1" w:styleId="Tablehea">
    <w:name w:val="Table hea"/>
    <w:basedOn w:val="Normal"/>
    <w:qFormat/>
    <w:rsid w:val="00080446"/>
    <w:pPr>
      <w:keepLines w:val="0"/>
      <w:spacing w:after="120"/>
      <w:ind w:left="170" w:hanging="170"/>
      <w:jc w:val="center"/>
    </w:pPr>
    <w:rPr>
      <w:color w:val="FFFFFF" w:themeColor="background1"/>
      <w:sz w:val="16"/>
      <w:szCs w:val="20"/>
    </w:rPr>
  </w:style>
  <w:style w:type="paragraph" w:customStyle="1" w:styleId="Tableheader">
    <w:name w:val="Table header"/>
    <w:basedOn w:val="Tablehea"/>
    <w:uiPriority w:val="6"/>
    <w:qFormat/>
    <w:rsid w:val="00080446"/>
    <w:pPr>
      <w:jc w:val="left"/>
    </w:pPr>
  </w:style>
  <w:style w:type="paragraph" w:customStyle="1" w:styleId="Noteindent">
    <w:name w:val="Note indent"/>
    <w:basedOn w:val="Note"/>
    <w:qFormat/>
    <w:rsid w:val="00080446"/>
    <w:pPr>
      <w:keepLines w:val="0"/>
      <w:tabs>
        <w:tab w:val="left" w:pos="360"/>
      </w:tabs>
      <w:spacing w:before="0" w:after="20"/>
      <w:ind w:left="720" w:hanging="720"/>
    </w:pPr>
    <w:rPr>
      <w:szCs w:val="20"/>
    </w:rPr>
  </w:style>
  <w:style w:type="paragraph" w:customStyle="1" w:styleId="Tableunits0">
    <w:name w:val="Table units"/>
    <w:basedOn w:val="Subheading"/>
    <w:qFormat/>
    <w:rsid w:val="00080446"/>
    <w:pPr>
      <w:jc w:val="right"/>
    </w:pPr>
    <w:rPr>
      <w:szCs w:val="18"/>
    </w:rPr>
  </w:style>
  <w:style w:type="paragraph" w:customStyle="1" w:styleId="Guidancedash">
    <w:name w:val="Guidance dash"/>
    <w:basedOn w:val="Guidancealpha"/>
    <w:qFormat/>
    <w:rsid w:val="00080446"/>
    <w:pPr>
      <w:numPr>
        <w:ilvl w:val="1"/>
      </w:numPr>
    </w:pPr>
  </w:style>
  <w:style w:type="character" w:customStyle="1" w:styleId="TableUnitsChar">
    <w:name w:val="Table Units Char"/>
    <w:basedOn w:val="DefaultParagraphFont"/>
    <w:link w:val="TableUnits"/>
    <w:uiPriority w:val="50"/>
    <w:rsid w:val="00080446"/>
    <w:rPr>
      <w:rFonts w:asciiTheme="majorHAnsi" w:hAnsiTheme="majorHAnsi"/>
      <w:b/>
      <w:spacing w:val="2"/>
      <w:szCs w:val="20"/>
    </w:rPr>
  </w:style>
  <w:style w:type="character" w:customStyle="1" w:styleId="TableofFiguresChar">
    <w:name w:val="Table of Figures Char"/>
    <w:link w:val="TableofFigures"/>
    <w:rsid w:val="00080446"/>
    <w:rPr>
      <w:spacing w:val="2"/>
    </w:rPr>
  </w:style>
  <w:style w:type="paragraph" w:customStyle="1" w:styleId="Tabletextheading">
    <w:name w:val="Table text heading"/>
    <w:basedOn w:val="TableofFigures"/>
    <w:link w:val="TabletextheadingChar"/>
    <w:qFormat/>
    <w:rsid w:val="00080446"/>
    <w:pPr>
      <w:keepLines w:val="0"/>
      <w:spacing w:before="20" w:after="20"/>
      <w:jc w:val="right"/>
    </w:pPr>
    <w:rPr>
      <w:rFonts w:eastAsia="Tahoma" w:cs="Arial"/>
      <w:i/>
      <w:iCs/>
      <w:noProof/>
      <w:sz w:val="16"/>
      <w:lang w:eastAsia="en-AU"/>
    </w:rPr>
  </w:style>
  <w:style w:type="character" w:customStyle="1" w:styleId="TabletextheadingChar">
    <w:name w:val="Table text heading Char"/>
    <w:link w:val="Tabletextheading"/>
    <w:rsid w:val="00080446"/>
    <w:rPr>
      <w:rFonts w:eastAsia="Tahoma" w:cs="Arial"/>
      <w:i/>
      <w:iCs/>
      <w:noProof/>
      <w:spacing w:val="2"/>
      <w:sz w:val="16"/>
      <w:lang w:eastAsia="en-AU"/>
    </w:rPr>
  </w:style>
  <w:style w:type="paragraph" w:customStyle="1" w:styleId="TabletextheadingLeft0">
    <w:name w:val="Table text heading Left"/>
    <w:basedOn w:val="Tabletextheading"/>
    <w:rsid w:val="00080446"/>
    <w:pPr>
      <w:jc w:val="left"/>
    </w:pPr>
  </w:style>
  <w:style w:type="paragraph" w:customStyle="1" w:styleId="TabletextheadingCentred0">
    <w:name w:val="Table text heading Centred"/>
    <w:basedOn w:val="Tabletextheading"/>
    <w:link w:val="TabletextheadingCentredChar"/>
    <w:rsid w:val="00080446"/>
    <w:pPr>
      <w:jc w:val="center"/>
    </w:pPr>
    <w:rPr>
      <w:noProof w:val="0"/>
      <w:szCs w:val="20"/>
    </w:rPr>
  </w:style>
  <w:style w:type="character" w:customStyle="1" w:styleId="TabletextheadingCentredChar">
    <w:name w:val="Table text heading Centred Char"/>
    <w:link w:val="TabletextheadingCentred0"/>
    <w:locked/>
    <w:rsid w:val="00080446"/>
    <w:rPr>
      <w:rFonts w:eastAsia="Tahoma" w:cs="Arial"/>
      <w:i/>
      <w:iCs/>
      <w:spacing w:val="2"/>
      <w:sz w:val="16"/>
      <w:szCs w:val="20"/>
      <w:lang w:eastAsia="en-AU"/>
    </w:rPr>
  </w:style>
  <w:style w:type="paragraph" w:customStyle="1" w:styleId="Tabletextcentre">
    <w:name w:val="Table text centre"/>
    <w:basedOn w:val="Tabletext"/>
    <w:uiPriority w:val="15"/>
    <w:qFormat/>
    <w:rsid w:val="00080446"/>
    <w:pPr>
      <w:jc w:val="center"/>
    </w:pPr>
    <w:rPr>
      <w:lang w:eastAsia="en-US"/>
    </w:rPr>
  </w:style>
  <w:style w:type="paragraph" w:customStyle="1" w:styleId="NoteNormal">
    <w:name w:val="Note Normal"/>
    <w:basedOn w:val="Normal"/>
    <w:uiPriority w:val="49"/>
    <w:rsid w:val="00080446"/>
    <w:pPr>
      <w:keepNext/>
      <w:spacing w:before="80" w:after="100"/>
    </w:pPr>
    <w:rPr>
      <w:rFonts w:eastAsia="Times New Roman" w:cstheme="minorHAnsi"/>
      <w:color w:val="000000"/>
      <w:spacing w:val="1"/>
      <w:sz w:val="16"/>
      <w:szCs w:val="16"/>
    </w:rPr>
  </w:style>
  <w:style w:type="character" w:customStyle="1" w:styleId="BulletCharChar">
    <w:name w:val="Bullet Char Char"/>
    <w:locked/>
    <w:rsid w:val="00080446"/>
  </w:style>
  <w:style w:type="character" w:customStyle="1" w:styleId="NormalBlueChar">
    <w:name w:val="Normal Blue Char"/>
    <w:link w:val="NormalBlue"/>
    <w:locked/>
    <w:rsid w:val="00AD47C0"/>
    <w:rPr>
      <w:color w:val="0000FF"/>
      <w:sz w:val="22"/>
      <w:szCs w:val="22"/>
    </w:rPr>
  </w:style>
  <w:style w:type="paragraph" w:customStyle="1" w:styleId="aalphablue">
    <w:name w:val="(a) alpha blue"/>
    <w:basedOn w:val="NormalBlue"/>
    <w:link w:val="aalphablueChar"/>
    <w:rsid w:val="00AD47C0"/>
    <w:pPr>
      <w:ind w:left="357" w:hanging="357"/>
    </w:pPr>
  </w:style>
  <w:style w:type="character" w:customStyle="1" w:styleId="aalphablueChar">
    <w:name w:val="(a) alpha blue Char"/>
    <w:link w:val="aalphablue"/>
    <w:locked/>
    <w:rsid w:val="00AD47C0"/>
    <w:rPr>
      <w:color w:val="0000FF"/>
      <w:sz w:val="22"/>
      <w:szCs w:val="22"/>
    </w:rPr>
  </w:style>
  <w:style w:type="paragraph" w:customStyle="1" w:styleId="BulletBlue">
    <w:name w:val="Bullet Blue"/>
    <w:basedOn w:val="Normal"/>
    <w:link w:val="BulletBlueChar"/>
    <w:qFormat/>
    <w:rsid w:val="00AD47C0"/>
    <w:pPr>
      <w:numPr>
        <w:numId w:val="32"/>
      </w:numPr>
    </w:pPr>
    <w:rPr>
      <w:color w:val="0000FF"/>
      <w:spacing w:val="0"/>
      <w:sz w:val="22"/>
      <w:szCs w:val="22"/>
    </w:rPr>
  </w:style>
  <w:style w:type="character" w:customStyle="1" w:styleId="BulletBlueChar">
    <w:name w:val="Bullet Blue Char"/>
    <w:link w:val="BulletBlue"/>
    <w:rsid w:val="00AD47C0"/>
    <w:rPr>
      <w:color w:val="0000FF"/>
      <w:sz w:val="22"/>
      <w:szCs w:val="22"/>
    </w:rPr>
  </w:style>
  <w:style w:type="paragraph" w:customStyle="1" w:styleId="ChapterHeading0">
    <w:name w:val="Chapter Heading"/>
    <w:basedOn w:val="Normal"/>
    <w:next w:val="Heading10"/>
    <w:qFormat/>
    <w:rsid w:val="00AD47C0"/>
    <w:pPr>
      <w:keepNext/>
      <w:tabs>
        <w:tab w:val="left" w:pos="2552"/>
      </w:tabs>
      <w:spacing w:after="240" w:line="520" w:lineRule="exact"/>
      <w:outlineLvl w:val="0"/>
    </w:pPr>
    <w:rPr>
      <w:rFonts w:ascii="Calibri" w:hAnsi="Calibri" w:cs="Arial"/>
      <w:b/>
      <w:bCs/>
      <w:spacing w:val="0"/>
      <w:sz w:val="40"/>
      <w:szCs w:val="40"/>
    </w:rPr>
  </w:style>
  <w:style w:type="paragraph" w:customStyle="1" w:styleId="Tableheading0">
    <w:name w:val="Table heading"/>
    <w:basedOn w:val="Heading5"/>
    <w:link w:val="TableheadingChar"/>
    <w:qFormat/>
    <w:rsid w:val="00AD47C0"/>
    <w:pPr>
      <w:tabs>
        <w:tab w:val="clear" w:pos="737"/>
      </w:tabs>
      <w:ind w:left="1170" w:hanging="1170"/>
    </w:pPr>
    <w:rPr>
      <w:sz w:val="22"/>
    </w:rPr>
  </w:style>
  <w:style w:type="character" w:customStyle="1" w:styleId="TableheadingChar">
    <w:name w:val="Table heading Char"/>
    <w:link w:val="Tableheading0"/>
    <w:rsid w:val="00AD47C0"/>
    <w:rPr>
      <w:rFonts w:asciiTheme="majorHAnsi" w:eastAsiaTheme="majorEastAsia" w:hAnsiTheme="majorHAnsi" w:cstheme="majorBidi"/>
      <w:b/>
      <w:iCs/>
      <w:sz w:val="22"/>
      <w:szCs w:val="26"/>
    </w:rPr>
  </w:style>
  <w:style w:type="paragraph" w:customStyle="1" w:styleId="CommentaryTextIndent">
    <w:name w:val="Commentary Text Indent"/>
    <w:basedOn w:val="CommentaryText"/>
    <w:link w:val="CommentaryTextIndentChar"/>
    <w:qFormat/>
    <w:rsid w:val="00AD47C0"/>
    <w:pPr>
      <w:ind w:left="450" w:hanging="450"/>
    </w:pPr>
  </w:style>
  <w:style w:type="paragraph" w:customStyle="1" w:styleId="CommentaryText">
    <w:name w:val="Commentary Text"/>
    <w:basedOn w:val="Normal"/>
    <w:link w:val="CommentaryTextChar"/>
    <w:rsid w:val="00AD47C0"/>
    <w:pPr>
      <w:pBdr>
        <w:top w:val="single" w:sz="4" w:space="1" w:color="0000FF"/>
        <w:left w:val="single" w:sz="4" w:space="4" w:color="0000FF"/>
        <w:bottom w:val="single" w:sz="4" w:space="1" w:color="0000FF"/>
        <w:right w:val="single" w:sz="4" w:space="4" w:color="0000FF"/>
      </w:pBdr>
    </w:pPr>
    <w:rPr>
      <w:noProof/>
      <w:color w:val="0000FF"/>
      <w:spacing w:val="0"/>
      <w:sz w:val="22"/>
      <w:szCs w:val="22"/>
    </w:rPr>
  </w:style>
  <w:style w:type="character" w:customStyle="1" w:styleId="CommentaryTextChar">
    <w:name w:val="Commentary Text Char"/>
    <w:link w:val="CommentaryText"/>
    <w:locked/>
    <w:rsid w:val="00AD47C0"/>
    <w:rPr>
      <w:noProof/>
      <w:color w:val="0000FF"/>
      <w:sz w:val="22"/>
      <w:szCs w:val="22"/>
    </w:rPr>
  </w:style>
  <w:style w:type="character" w:customStyle="1" w:styleId="CommentaryTextIndentChar">
    <w:name w:val="Commentary Text Indent Char"/>
    <w:basedOn w:val="CommentaryTextChar"/>
    <w:link w:val="CommentaryTextIndent"/>
    <w:locked/>
    <w:rsid w:val="00AD47C0"/>
    <w:rPr>
      <w:noProof/>
      <w:color w:val="0000FF"/>
      <w:sz w:val="22"/>
      <w:szCs w:val="22"/>
    </w:rPr>
  </w:style>
  <w:style w:type="paragraph" w:customStyle="1" w:styleId="CommentaryHeading1">
    <w:name w:val="Commentary Heading 1"/>
    <w:basedOn w:val="CommentaryText"/>
    <w:link w:val="CommentaryHeading1Char"/>
    <w:rsid w:val="00AD47C0"/>
    <w:pPr>
      <w:spacing w:before="160"/>
    </w:pPr>
    <w:rPr>
      <w:rFonts w:ascii="Calibri" w:hAnsi="Calibri" w:cs="Arial"/>
      <w:b/>
      <w:bCs/>
    </w:rPr>
  </w:style>
  <w:style w:type="character" w:customStyle="1" w:styleId="CommentaryHeading1Char">
    <w:name w:val="Commentary Heading 1 Char"/>
    <w:link w:val="CommentaryHeading1"/>
    <w:rsid w:val="00AD47C0"/>
    <w:rPr>
      <w:rFonts w:ascii="Calibri" w:hAnsi="Calibri" w:cs="Arial"/>
      <w:b/>
      <w:bCs/>
      <w:noProof/>
      <w:color w:val="0000FF"/>
      <w:sz w:val="22"/>
      <w:szCs w:val="22"/>
    </w:rPr>
  </w:style>
  <w:style w:type="paragraph" w:customStyle="1" w:styleId="CommentaryBullet">
    <w:name w:val="Commentary Bullet"/>
    <w:basedOn w:val="BulletBlue"/>
    <w:link w:val="CommentaryBulletCharChar"/>
    <w:qFormat/>
    <w:rsid w:val="00AD47C0"/>
    <w:pPr>
      <w:numPr>
        <w:numId w:val="33"/>
      </w:numPr>
      <w:pBdr>
        <w:left w:val="single" w:sz="4" w:space="4" w:color="0000FF"/>
        <w:right w:val="single" w:sz="4" w:space="4" w:color="0000FF"/>
      </w:pBdr>
      <w:spacing w:before="60" w:after="60"/>
    </w:pPr>
  </w:style>
  <w:style w:type="character" w:customStyle="1" w:styleId="CommentaryBulletCharChar">
    <w:name w:val="Commentary Bullet Char Char"/>
    <w:basedOn w:val="BulletBlueChar"/>
    <w:link w:val="CommentaryBullet"/>
    <w:rsid w:val="00AD47C0"/>
    <w:rPr>
      <w:color w:val="0000FF"/>
      <w:sz w:val="22"/>
      <w:szCs w:val="22"/>
    </w:rPr>
  </w:style>
  <w:style w:type="paragraph" w:customStyle="1" w:styleId="Dash">
    <w:name w:val="Dash"/>
    <w:link w:val="DashCharChar"/>
    <w:rsid w:val="00AD47C0"/>
    <w:pPr>
      <w:numPr>
        <w:numId w:val="34"/>
      </w:numPr>
    </w:pPr>
    <w:rPr>
      <w:sz w:val="22"/>
      <w:szCs w:val="22"/>
    </w:rPr>
  </w:style>
  <w:style w:type="character" w:customStyle="1" w:styleId="DashCharChar">
    <w:name w:val="Dash Char Char"/>
    <w:basedOn w:val="BulletCharChar"/>
    <w:link w:val="Dash"/>
    <w:locked/>
    <w:rsid w:val="00AD47C0"/>
    <w:rPr>
      <w:sz w:val="22"/>
      <w:szCs w:val="22"/>
    </w:rPr>
  </w:style>
  <w:style w:type="paragraph" w:customStyle="1" w:styleId="DashBlue">
    <w:name w:val="Dash Blue"/>
    <w:basedOn w:val="Dash"/>
    <w:link w:val="DashBlueCharChar"/>
    <w:rsid w:val="00AD47C0"/>
    <w:pPr>
      <w:numPr>
        <w:numId w:val="35"/>
      </w:numPr>
      <w:ind w:hanging="720"/>
    </w:pPr>
    <w:rPr>
      <w:color w:val="0000FF"/>
    </w:rPr>
  </w:style>
  <w:style w:type="character" w:customStyle="1" w:styleId="DashBlueCharChar">
    <w:name w:val="Dash Blue Char Char"/>
    <w:link w:val="DashBlue"/>
    <w:rsid w:val="00AD47C0"/>
    <w:rPr>
      <w:color w:val="0000FF"/>
      <w:sz w:val="22"/>
      <w:szCs w:val="22"/>
    </w:rPr>
  </w:style>
  <w:style w:type="paragraph" w:customStyle="1" w:styleId="CommentaryHeading">
    <w:name w:val="Commentary Heading"/>
    <w:basedOn w:val="Heading30"/>
    <w:rsid w:val="00AD47C0"/>
    <w:pPr>
      <w:pBdr>
        <w:top w:val="single" w:sz="4" w:space="1" w:color="0000FF"/>
        <w:left w:val="single" w:sz="4" w:space="4" w:color="0000FF"/>
        <w:bottom w:val="single" w:sz="4" w:space="1" w:color="0000FF"/>
        <w:right w:val="single" w:sz="4" w:space="4" w:color="0000FF"/>
      </w:pBdr>
      <w:shd w:val="clear" w:color="auto" w:fill="0000FF"/>
      <w:tabs>
        <w:tab w:val="clear" w:pos="737"/>
      </w:tabs>
      <w:spacing w:before="0" w:line="320" w:lineRule="exact"/>
      <w:ind w:left="0" w:firstLine="0"/>
    </w:pPr>
    <w:rPr>
      <w:rFonts w:cs="Arial Bold"/>
      <w:i/>
      <w:iCs/>
      <w:color w:val="FFFFFF"/>
      <w:sz w:val="22"/>
      <w:szCs w:val="24"/>
    </w:rPr>
  </w:style>
  <w:style w:type="paragraph" w:customStyle="1" w:styleId="Heading3Numbering0">
    <w:name w:val="Heading 3 Numbering"/>
    <w:basedOn w:val="Heading30"/>
    <w:link w:val="Heading3NumberingCharChar1"/>
    <w:rsid w:val="00AD47C0"/>
    <w:pPr>
      <w:numPr>
        <w:numId w:val="36"/>
      </w:numPr>
      <w:tabs>
        <w:tab w:val="clear" w:pos="737"/>
        <w:tab w:val="left" w:pos="448"/>
      </w:tabs>
      <w:spacing w:before="160"/>
    </w:pPr>
    <w:rPr>
      <w:i/>
      <w:sz w:val="22"/>
    </w:rPr>
  </w:style>
  <w:style w:type="character" w:customStyle="1" w:styleId="Heading3NumberingCharChar1">
    <w:name w:val="Heading 3 Numbering Char Char1"/>
    <w:link w:val="Heading3Numbering0"/>
    <w:rsid w:val="00AD47C0"/>
    <w:rPr>
      <w:rFonts w:asciiTheme="majorHAnsi" w:eastAsiaTheme="majorEastAsia" w:hAnsiTheme="majorHAnsi" w:cstheme="majorBidi"/>
      <w:b/>
      <w:bCs/>
      <w:i/>
      <w:spacing w:val="-2"/>
      <w:sz w:val="22"/>
      <w:szCs w:val="26"/>
    </w:rPr>
  </w:style>
  <w:style w:type="paragraph" w:customStyle="1" w:styleId="Heading4Blue0">
    <w:name w:val="Heading 4 Blue"/>
    <w:basedOn w:val="Heading4"/>
    <w:qFormat/>
    <w:rsid w:val="00AD47C0"/>
    <w:pPr>
      <w:tabs>
        <w:tab w:val="clear" w:pos="737"/>
      </w:tabs>
      <w:ind w:left="0" w:firstLine="0"/>
    </w:pPr>
    <w:rPr>
      <w:rFonts w:cs="Arial Bold"/>
      <w:b/>
      <w:bCs/>
      <w:color w:val="0000FF"/>
      <w:sz w:val="22"/>
      <w:szCs w:val="22"/>
    </w:rPr>
  </w:style>
  <w:style w:type="paragraph" w:customStyle="1" w:styleId="ReferenceRed0">
    <w:name w:val="Reference Red"/>
    <w:basedOn w:val="Reference"/>
    <w:link w:val="ReferenceRedChar"/>
    <w:qFormat/>
    <w:rsid w:val="00AD47C0"/>
    <w:pPr>
      <w:keepNext/>
      <w:keepLines/>
      <w:spacing w:before="160" w:after="0"/>
    </w:pPr>
    <w:rPr>
      <w:rFonts w:ascii="Calibri" w:eastAsiaTheme="minorHAnsi" w:hAnsi="Calibri" w:cs="Arial Narrow"/>
      <w:iCs w:val="0"/>
      <w:noProof w:val="0"/>
      <w:color w:val="FF0000"/>
      <w:spacing w:val="0"/>
      <w:sz w:val="16"/>
      <w:szCs w:val="16"/>
      <w:lang w:val="en-GB" w:eastAsia="en-US"/>
    </w:rPr>
  </w:style>
  <w:style w:type="character" w:customStyle="1" w:styleId="ReferenceRedChar">
    <w:name w:val="Reference Red Char"/>
    <w:link w:val="ReferenceRed0"/>
    <w:locked/>
    <w:rsid w:val="00AD47C0"/>
    <w:rPr>
      <w:rFonts w:ascii="Calibri" w:hAnsi="Calibri" w:cs="Arial Narrow"/>
      <w:color w:val="FF0000"/>
      <w:sz w:val="16"/>
      <w:szCs w:val="16"/>
      <w:lang w:val="en-GB"/>
    </w:rPr>
  </w:style>
  <w:style w:type="paragraph" w:customStyle="1" w:styleId="Notes">
    <w:name w:val="Notes"/>
    <w:basedOn w:val="Normal"/>
    <w:link w:val="NotesChar"/>
    <w:qFormat/>
    <w:rsid w:val="00AD47C0"/>
    <w:pPr>
      <w:tabs>
        <w:tab w:val="left" w:pos="454"/>
      </w:tabs>
      <w:spacing w:before="0"/>
      <w:ind w:left="459" w:hanging="459"/>
    </w:pPr>
    <w:rPr>
      <w:rFonts w:ascii="Calibri" w:hAnsi="Calibri"/>
      <w:i/>
      <w:iCs/>
      <w:spacing w:val="0"/>
      <w:sz w:val="16"/>
    </w:rPr>
  </w:style>
  <w:style w:type="character" w:customStyle="1" w:styleId="NotesChar">
    <w:name w:val="Notes Char"/>
    <w:link w:val="Notes"/>
    <w:locked/>
    <w:rsid w:val="00AD47C0"/>
    <w:rPr>
      <w:rFonts w:ascii="Calibri" w:hAnsi="Calibri"/>
      <w:i/>
      <w:iCs/>
      <w:sz w:val="16"/>
    </w:rPr>
  </w:style>
  <w:style w:type="paragraph" w:customStyle="1" w:styleId="SmallLine0">
    <w:name w:val="Small Line"/>
    <w:basedOn w:val="Normal"/>
    <w:link w:val="SmallLineChar"/>
    <w:rsid w:val="00AD47C0"/>
    <w:pPr>
      <w:spacing w:before="0"/>
    </w:pPr>
    <w:rPr>
      <w:spacing w:val="0"/>
      <w:sz w:val="4"/>
      <w:szCs w:val="4"/>
    </w:rPr>
  </w:style>
  <w:style w:type="character" w:customStyle="1" w:styleId="SmallLineChar">
    <w:name w:val="Small Line Char"/>
    <w:link w:val="SmallLine0"/>
    <w:locked/>
    <w:rsid w:val="00AD47C0"/>
    <w:rPr>
      <w:sz w:val="4"/>
      <w:szCs w:val="4"/>
    </w:rPr>
  </w:style>
  <w:style w:type="character" w:customStyle="1" w:styleId="SourceChar">
    <w:name w:val="Source Char"/>
    <w:link w:val="Source"/>
    <w:uiPriority w:val="51"/>
    <w:locked/>
    <w:rsid w:val="00AD47C0"/>
    <w:rPr>
      <w:rFonts w:asciiTheme="majorHAnsi" w:hAnsiTheme="majorHAnsi"/>
      <w:i/>
      <w:spacing w:val="-2"/>
      <w:sz w:val="14"/>
    </w:rPr>
  </w:style>
  <w:style w:type="paragraph" w:customStyle="1" w:styleId="TableofContentsheading">
    <w:name w:val="Table of Contents heading"/>
    <w:basedOn w:val="ChapterHeading0"/>
    <w:next w:val="Normal"/>
    <w:rsid w:val="00AD47C0"/>
    <w:rPr>
      <w:sz w:val="36"/>
    </w:rPr>
  </w:style>
  <w:style w:type="paragraph" w:customStyle="1" w:styleId="SmallLineBlue">
    <w:name w:val="Small Line Blue"/>
    <w:basedOn w:val="SmallLine0"/>
    <w:link w:val="SmallLineBlueChar"/>
    <w:rsid w:val="00AD47C0"/>
    <w:pPr>
      <w:pBdr>
        <w:top w:val="single" w:sz="4" w:space="1" w:color="0000FF"/>
        <w:left w:val="single" w:sz="4" w:space="4" w:color="0000FF"/>
        <w:bottom w:val="single" w:sz="4" w:space="1" w:color="0000FF"/>
        <w:right w:val="single" w:sz="4" w:space="4" w:color="0000FF"/>
      </w:pBdr>
      <w:shd w:val="clear" w:color="auto" w:fill="0000FF"/>
    </w:pPr>
  </w:style>
  <w:style w:type="character" w:customStyle="1" w:styleId="SmallLineBlueChar">
    <w:name w:val="Small Line Blue Char"/>
    <w:link w:val="SmallLineBlue"/>
    <w:rsid w:val="00AD47C0"/>
    <w:rPr>
      <w:sz w:val="4"/>
      <w:szCs w:val="4"/>
      <w:shd w:val="clear" w:color="auto" w:fill="0000FF"/>
    </w:rPr>
  </w:style>
  <w:style w:type="paragraph" w:customStyle="1" w:styleId="Heading2Blue0">
    <w:name w:val="Heading 2 Blue"/>
    <w:basedOn w:val="Heading20"/>
    <w:link w:val="Heading2BlueChar"/>
    <w:unhideWhenUsed/>
    <w:qFormat/>
    <w:rsid w:val="00AD47C0"/>
    <w:pPr>
      <w:tabs>
        <w:tab w:val="clear" w:pos="964"/>
      </w:tabs>
    </w:pPr>
    <w:rPr>
      <w:color w:val="0000FF"/>
      <w:sz w:val="26"/>
    </w:rPr>
  </w:style>
  <w:style w:type="character" w:customStyle="1" w:styleId="Heading2BlueChar">
    <w:name w:val="Heading 2 Blue Char"/>
    <w:link w:val="Heading2Blue0"/>
    <w:rsid w:val="00AD47C0"/>
    <w:rPr>
      <w:rFonts w:asciiTheme="majorHAnsi" w:eastAsiaTheme="majorEastAsia" w:hAnsiTheme="majorHAnsi" w:cstheme="majorBidi"/>
      <w:b/>
      <w:color w:val="0000FF"/>
      <w:spacing w:val="-2"/>
      <w:sz w:val="26"/>
      <w:szCs w:val="26"/>
    </w:rPr>
  </w:style>
  <w:style w:type="paragraph" w:customStyle="1" w:styleId="CommentaryHeading2">
    <w:name w:val="Commentary Heading 2"/>
    <w:basedOn w:val="CommentaryHeading1"/>
    <w:link w:val="CommentaryHeading2Char"/>
    <w:qFormat/>
    <w:rsid w:val="00AD47C0"/>
    <w:pPr>
      <w:pBdr>
        <w:top w:val="none" w:sz="0" w:space="0" w:color="auto"/>
        <w:bottom w:val="none" w:sz="0" w:space="0" w:color="auto"/>
      </w:pBdr>
    </w:pPr>
    <w:rPr>
      <w:i/>
    </w:rPr>
  </w:style>
  <w:style w:type="paragraph" w:customStyle="1" w:styleId="CommentaryDashBlue">
    <w:name w:val="Commentary Dash Blue"/>
    <w:basedOn w:val="DashBlue"/>
    <w:link w:val="CommentaryDashBlueChar"/>
    <w:rsid w:val="00AD47C0"/>
    <w:pPr>
      <w:numPr>
        <w:numId w:val="0"/>
      </w:numPr>
      <w:pBdr>
        <w:left w:val="single" w:sz="4" w:space="4" w:color="0000FF"/>
        <w:right w:val="single" w:sz="4" w:space="4" w:color="0000FF"/>
      </w:pBdr>
      <w:tabs>
        <w:tab w:val="left" w:pos="426"/>
      </w:tabs>
      <w:ind w:left="720" w:hanging="720"/>
    </w:pPr>
  </w:style>
  <w:style w:type="character" w:customStyle="1" w:styleId="CommentaryDashBlueChar">
    <w:name w:val="Commentary Dash Blue Char"/>
    <w:basedOn w:val="DashBlueCharChar"/>
    <w:link w:val="CommentaryDashBlue"/>
    <w:rsid w:val="00AD47C0"/>
    <w:rPr>
      <w:color w:val="0000FF"/>
      <w:sz w:val="22"/>
      <w:szCs w:val="22"/>
    </w:rPr>
  </w:style>
  <w:style w:type="paragraph" w:customStyle="1" w:styleId="NoteHeading0">
    <w:name w:val="NoteHeading"/>
    <w:basedOn w:val="Normal"/>
    <w:link w:val="NoteHeadingChar0"/>
    <w:qFormat/>
    <w:rsid w:val="00AD47C0"/>
    <w:pPr>
      <w:tabs>
        <w:tab w:val="left" w:pos="1224"/>
      </w:tabs>
      <w:spacing w:after="120"/>
      <w:ind w:left="1225" w:hanging="1225"/>
    </w:pPr>
    <w:rPr>
      <w:rFonts w:ascii="Calibri" w:hAnsi="Calibri" w:cs="Arial"/>
      <w:b/>
      <w:bCs/>
      <w:spacing w:val="0"/>
      <w:sz w:val="26"/>
      <w:szCs w:val="28"/>
      <w:lang w:val="en-GB"/>
    </w:rPr>
  </w:style>
  <w:style w:type="character" w:customStyle="1" w:styleId="NoteHeadingChar0">
    <w:name w:val="NoteHeading Char"/>
    <w:link w:val="NoteHeading0"/>
    <w:locked/>
    <w:rsid w:val="00AD47C0"/>
    <w:rPr>
      <w:rFonts w:ascii="Calibri" w:hAnsi="Calibri" w:cs="Arial"/>
      <w:b/>
      <w:bCs/>
      <w:sz w:val="26"/>
      <w:szCs w:val="28"/>
      <w:lang w:val="en-GB"/>
    </w:rPr>
  </w:style>
  <w:style w:type="paragraph" w:customStyle="1" w:styleId="NoteHeadingcontinued">
    <w:name w:val="NoteHeading continued"/>
    <w:basedOn w:val="NoteHeading0"/>
    <w:link w:val="NoteHeadingcontinuedChar"/>
    <w:rsid w:val="00AD47C0"/>
  </w:style>
  <w:style w:type="character" w:customStyle="1" w:styleId="NoteHeadingcontinuedChar">
    <w:name w:val="NoteHeading continued Char"/>
    <w:basedOn w:val="NoteHeadingChar0"/>
    <w:link w:val="NoteHeadingcontinued"/>
    <w:locked/>
    <w:rsid w:val="00AD47C0"/>
    <w:rPr>
      <w:rFonts w:ascii="Calibri" w:hAnsi="Calibri" w:cs="Arial"/>
      <w:b/>
      <w:bCs/>
      <w:sz w:val="26"/>
      <w:szCs w:val="28"/>
      <w:lang w:val="en-GB"/>
    </w:rPr>
  </w:style>
  <w:style w:type="paragraph" w:customStyle="1" w:styleId="aalpha">
    <w:name w:val="(a) alpha"/>
    <w:basedOn w:val="Normal"/>
    <w:rsid w:val="00AD47C0"/>
    <w:pPr>
      <w:numPr>
        <w:numId w:val="31"/>
      </w:numPr>
      <w:autoSpaceDE w:val="0"/>
      <w:autoSpaceDN w:val="0"/>
      <w:adjustRightInd w:val="0"/>
      <w:spacing w:line="240" w:lineRule="atLeast"/>
    </w:pPr>
    <w:rPr>
      <w:spacing w:val="0"/>
      <w:sz w:val="22"/>
      <w:szCs w:val="22"/>
    </w:rPr>
  </w:style>
  <w:style w:type="paragraph" w:customStyle="1" w:styleId="Heading2BluePt3">
    <w:name w:val="Heading 2 Blue Pt3"/>
    <w:basedOn w:val="Heading2Blue0"/>
    <w:link w:val="Heading2BluePt3Char"/>
    <w:rsid w:val="00AD47C0"/>
  </w:style>
  <w:style w:type="character" w:customStyle="1" w:styleId="Heading2BluePt3Char">
    <w:name w:val="Heading 2 Blue Pt3 Char"/>
    <w:basedOn w:val="Heading2BlueChar"/>
    <w:link w:val="Heading2BluePt3"/>
    <w:rsid w:val="00AD47C0"/>
    <w:rPr>
      <w:rFonts w:asciiTheme="majorHAnsi" w:eastAsiaTheme="majorEastAsia" w:hAnsiTheme="majorHAnsi" w:cstheme="majorBidi"/>
      <w:b/>
      <w:color w:val="0000FF"/>
      <w:spacing w:val="-2"/>
      <w:sz w:val="26"/>
      <w:szCs w:val="26"/>
    </w:rPr>
  </w:style>
  <w:style w:type="paragraph" w:customStyle="1" w:styleId="Heading1BluePt3">
    <w:name w:val="Heading 1 Blue Pt3"/>
    <w:basedOn w:val="Normal"/>
    <w:link w:val="Heading1BluePt3Char"/>
    <w:qFormat/>
    <w:rsid w:val="00AD47C0"/>
    <w:pPr>
      <w:keepNext/>
      <w:spacing w:before="360"/>
      <w:outlineLvl w:val="0"/>
    </w:pPr>
    <w:rPr>
      <w:rFonts w:ascii="Calibri" w:hAnsi="Calibri" w:cs="Arial Bold"/>
      <w:b/>
      <w:bCs/>
      <w:color w:val="0000FF"/>
      <w:spacing w:val="0"/>
      <w:sz w:val="28"/>
      <w:szCs w:val="28"/>
    </w:rPr>
  </w:style>
  <w:style w:type="character" w:customStyle="1" w:styleId="Heading1BluePt3Char">
    <w:name w:val="Heading 1 Blue Pt3 Char"/>
    <w:basedOn w:val="DefaultParagraphFont"/>
    <w:link w:val="Heading1BluePt3"/>
    <w:locked/>
    <w:rsid w:val="00AD47C0"/>
    <w:rPr>
      <w:rFonts w:ascii="Calibri" w:hAnsi="Calibri" w:cs="Arial Bold"/>
      <w:b/>
      <w:bCs/>
      <w:color w:val="0000FF"/>
      <w:sz w:val="28"/>
      <w:szCs w:val="28"/>
    </w:rPr>
  </w:style>
  <w:style w:type="paragraph" w:customStyle="1" w:styleId="Default">
    <w:name w:val="Default"/>
    <w:autoRedefine/>
    <w:rsid w:val="00AD47C0"/>
    <w:pPr>
      <w:autoSpaceDE w:val="0"/>
      <w:autoSpaceDN w:val="0"/>
      <w:adjustRightInd w:val="0"/>
      <w:spacing w:line="240" w:lineRule="atLeast"/>
    </w:pPr>
    <w:rPr>
      <w:rFonts w:eastAsia="Times New Roman" w:cs="Times New Roman"/>
      <w:color w:val="000000"/>
      <w:sz w:val="22"/>
      <w:szCs w:val="24"/>
      <w:lang w:eastAsia="en-AU"/>
    </w:rPr>
  </w:style>
  <w:style w:type="paragraph" w:customStyle="1" w:styleId="NormalBlueIndent0">
    <w:name w:val="Normal Blue Indent"/>
    <w:basedOn w:val="NormalBlue"/>
    <w:rsid w:val="00AD47C0"/>
    <w:pPr>
      <w:ind w:left="357"/>
    </w:pPr>
  </w:style>
  <w:style w:type="table" w:customStyle="1" w:styleId="TableGrid10">
    <w:name w:val="Table Grid1"/>
    <w:basedOn w:val="TableNormal"/>
    <w:next w:val="TableGrid"/>
    <w:rsid w:val="00AD47C0"/>
    <w:pPr>
      <w:spacing w:line="240" w:lineRule="atLeast"/>
    </w:pPr>
    <w:rPr>
      <w:rFonts w:ascii="Calibri" w:eastAsia="Times New Roman"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Blue0">
    <w:name w:val="Notes Blue"/>
    <w:basedOn w:val="Notes"/>
    <w:rsid w:val="00AD47C0"/>
    <w:rPr>
      <w:color w:val="0000FF"/>
    </w:rPr>
  </w:style>
  <w:style w:type="paragraph" w:customStyle="1" w:styleId="NormalIndent2">
    <w:name w:val="Normal Indent 2"/>
    <w:basedOn w:val="Normal"/>
    <w:rsid w:val="00AD47C0"/>
    <w:pPr>
      <w:ind w:left="446"/>
    </w:pPr>
    <w:rPr>
      <w:spacing w:val="0"/>
      <w:sz w:val="22"/>
      <w:szCs w:val="22"/>
    </w:rPr>
  </w:style>
  <w:style w:type="paragraph" w:customStyle="1" w:styleId="NotesBullet">
    <w:name w:val="Notes Bullet"/>
    <w:basedOn w:val="Notes"/>
    <w:rsid w:val="00AD47C0"/>
    <w:pPr>
      <w:numPr>
        <w:numId w:val="37"/>
      </w:numPr>
      <w:tabs>
        <w:tab w:val="clear" w:pos="454"/>
        <w:tab w:val="clear" w:pos="786"/>
      </w:tabs>
      <w:ind w:left="284" w:hanging="284"/>
    </w:pPr>
    <w:rPr>
      <w:color w:val="0000FF"/>
    </w:rPr>
  </w:style>
  <w:style w:type="paragraph" w:customStyle="1" w:styleId="CommentaryTextIndent2">
    <w:name w:val="Commentary Text Indent 2"/>
    <w:basedOn w:val="CommentaryDashBlue"/>
    <w:link w:val="CommentaryTextIndent2CharChar"/>
    <w:rsid w:val="00AD47C0"/>
    <w:pPr>
      <w:pBdr>
        <w:top w:val="single" w:sz="4" w:space="1" w:color="0000FF"/>
        <w:bottom w:val="single" w:sz="4" w:space="1" w:color="0000FF"/>
      </w:pBdr>
      <w:tabs>
        <w:tab w:val="clear" w:pos="426"/>
        <w:tab w:val="left" w:pos="450"/>
      </w:tabs>
      <w:ind w:left="900" w:hanging="900"/>
    </w:pPr>
  </w:style>
  <w:style w:type="character" w:customStyle="1" w:styleId="CommentaryTextIndent2CharChar">
    <w:name w:val="Commentary Text Indent 2 Char Char"/>
    <w:link w:val="CommentaryTextIndent2"/>
    <w:rsid w:val="00AD47C0"/>
    <w:rPr>
      <w:color w:val="0000FF"/>
      <w:sz w:val="22"/>
      <w:szCs w:val="22"/>
    </w:rPr>
  </w:style>
  <w:style w:type="paragraph" w:customStyle="1" w:styleId="Heading1BluePt3Contd">
    <w:name w:val="Heading 1 Blue Pt3 Cont'd"/>
    <w:basedOn w:val="Heading1BluePt3"/>
    <w:rsid w:val="00AD47C0"/>
  </w:style>
  <w:style w:type="paragraph" w:customStyle="1" w:styleId="TableText0">
    <w:name w:val="Table Text"/>
    <w:basedOn w:val="Normal"/>
    <w:rsid w:val="00AD47C0"/>
    <w:pPr>
      <w:spacing w:before="30" w:after="30"/>
    </w:pPr>
    <w:rPr>
      <w:rFonts w:ascii="Calibri" w:eastAsia="Times New Roman" w:hAnsi="Calibri" w:cs="Arial"/>
      <w:spacing w:val="0"/>
    </w:rPr>
  </w:style>
  <w:style w:type="paragraph" w:customStyle="1" w:styleId="BulletIndent">
    <w:name w:val="Bullet Indent"/>
    <w:rsid w:val="00AD47C0"/>
    <w:pPr>
      <w:numPr>
        <w:numId w:val="1"/>
      </w:numPr>
      <w:ind w:left="810"/>
    </w:pPr>
    <w:rPr>
      <w:sz w:val="22"/>
      <w:szCs w:val="22"/>
    </w:rPr>
  </w:style>
  <w:style w:type="paragraph" w:customStyle="1" w:styleId="Chartheading">
    <w:name w:val="Chart heading"/>
    <w:basedOn w:val="Tableheading0"/>
    <w:next w:val="Normal"/>
    <w:rsid w:val="00AD47C0"/>
    <w:rPr>
      <w:rFonts w:eastAsia="Times New Roman"/>
    </w:rPr>
  </w:style>
  <w:style w:type="paragraph" w:customStyle="1" w:styleId="CommentaryHeading3">
    <w:name w:val="Commentary Heading 3"/>
    <w:basedOn w:val="CommentaryText"/>
    <w:link w:val="CommentaryHeading3Char"/>
    <w:rsid w:val="00AD47C0"/>
    <w:rPr>
      <w:rFonts w:ascii="Calibri" w:eastAsia="Times New Roman" w:hAnsi="Calibri" w:cs="Arial"/>
      <w:b/>
      <w:bCs/>
    </w:rPr>
  </w:style>
  <w:style w:type="character" w:customStyle="1" w:styleId="CommentaryHeading3Char">
    <w:name w:val="Commentary Heading 3 Char"/>
    <w:link w:val="CommentaryHeading3"/>
    <w:locked/>
    <w:rsid w:val="00AD47C0"/>
    <w:rPr>
      <w:rFonts w:ascii="Calibri" w:eastAsia="Times New Roman" w:hAnsi="Calibri" w:cs="Arial"/>
      <w:b/>
      <w:bCs/>
      <w:noProof/>
      <w:color w:val="0000FF"/>
      <w:sz w:val="22"/>
      <w:szCs w:val="22"/>
    </w:rPr>
  </w:style>
  <w:style w:type="paragraph" w:customStyle="1" w:styleId="Heading2pt2">
    <w:name w:val="Heading 2 pt2"/>
    <w:basedOn w:val="Heading20"/>
    <w:link w:val="Heading2pt2Char"/>
    <w:rsid w:val="00AD47C0"/>
    <w:pPr>
      <w:tabs>
        <w:tab w:val="clear" w:pos="964"/>
      </w:tabs>
    </w:pPr>
    <w:rPr>
      <w:rFonts w:eastAsia="Times New Roman"/>
      <w:sz w:val="26"/>
    </w:rPr>
  </w:style>
  <w:style w:type="character" w:customStyle="1" w:styleId="Heading2pt2Char">
    <w:name w:val="Heading 2 pt2 Char"/>
    <w:basedOn w:val="Heading2Char"/>
    <w:link w:val="Heading2pt2"/>
    <w:rsid w:val="00AD47C0"/>
    <w:rPr>
      <w:rFonts w:asciiTheme="majorHAnsi" w:eastAsia="Times New Roman" w:hAnsiTheme="majorHAnsi" w:cstheme="majorBidi"/>
      <w:b/>
      <w:spacing w:val="-2"/>
      <w:sz w:val="26"/>
      <w:szCs w:val="26"/>
    </w:rPr>
  </w:style>
  <w:style w:type="paragraph" w:customStyle="1" w:styleId="Heading5a">
    <w:name w:val="Heading 5a"/>
    <w:basedOn w:val="Heading5"/>
    <w:rsid w:val="00AD47C0"/>
    <w:pPr>
      <w:tabs>
        <w:tab w:val="clear" w:pos="737"/>
      </w:tabs>
      <w:spacing w:after="60"/>
      <w:ind w:left="0" w:firstLine="0"/>
    </w:pPr>
    <w:rPr>
      <w:rFonts w:eastAsia="Times New Roman"/>
      <w:b w:val="0"/>
      <w:bCs/>
      <w:i/>
      <w:iCs w:val="0"/>
      <w:sz w:val="22"/>
    </w:rPr>
  </w:style>
  <w:style w:type="paragraph" w:customStyle="1" w:styleId="Heading2NotesContd">
    <w:name w:val="Heading 2 Notes Cont'd"/>
    <w:basedOn w:val="Normal"/>
    <w:rsid w:val="00AD47C0"/>
    <w:pPr>
      <w:keepNext/>
      <w:tabs>
        <w:tab w:val="left" w:pos="1152"/>
      </w:tabs>
      <w:spacing w:before="240" w:after="120"/>
      <w:ind w:left="1152" w:hanging="1152"/>
      <w:outlineLvl w:val="1"/>
    </w:pPr>
    <w:rPr>
      <w:rFonts w:ascii="Calibri" w:eastAsia="Times New Roman" w:hAnsi="Calibri" w:cs="Times New Roman"/>
      <w:b/>
      <w:spacing w:val="0"/>
      <w:kern w:val="28"/>
      <w:sz w:val="28"/>
      <w:szCs w:val="22"/>
    </w:rPr>
  </w:style>
  <w:style w:type="paragraph" w:customStyle="1" w:styleId="heading">
    <w:name w:val="heading"/>
    <w:basedOn w:val="Heading20"/>
    <w:link w:val="headingChar"/>
    <w:semiHidden/>
    <w:rsid w:val="00AD47C0"/>
    <w:pPr>
      <w:keepNext w:val="0"/>
      <w:tabs>
        <w:tab w:val="clear" w:pos="964"/>
      </w:tabs>
      <w:overflowPunct w:val="0"/>
      <w:autoSpaceDE w:val="0"/>
      <w:autoSpaceDN w:val="0"/>
      <w:adjustRightInd w:val="0"/>
      <w:spacing w:after="120"/>
      <w:textAlignment w:val="baseline"/>
    </w:pPr>
    <w:rPr>
      <w:rFonts w:ascii="EY Gothic Cond MedPS" w:hAnsi="EY Gothic Cond MedPS"/>
      <w:bCs/>
      <w:color w:val="0063A6" w:themeColor="accent1"/>
      <w:sz w:val="26"/>
      <w:lang w:val="en-GB"/>
    </w:rPr>
  </w:style>
  <w:style w:type="character" w:customStyle="1" w:styleId="headingChar">
    <w:name w:val="heading Char"/>
    <w:basedOn w:val="Heading2Char"/>
    <w:link w:val="heading"/>
    <w:semiHidden/>
    <w:rsid w:val="00AD47C0"/>
    <w:rPr>
      <w:rFonts w:ascii="EY Gothic Cond MedPS" w:eastAsiaTheme="majorEastAsia" w:hAnsi="EY Gothic Cond MedPS" w:cstheme="majorBidi"/>
      <w:b/>
      <w:bCs/>
      <w:color w:val="0063A6" w:themeColor="accent1"/>
      <w:spacing w:val="-2"/>
      <w:sz w:val="26"/>
      <w:szCs w:val="26"/>
      <w:lang w:val="en-GB"/>
    </w:rPr>
  </w:style>
  <w:style w:type="paragraph" w:customStyle="1" w:styleId="Heading4a">
    <w:name w:val="Heading 4a"/>
    <w:basedOn w:val="Heading4"/>
    <w:rsid w:val="00AD47C0"/>
    <w:pPr>
      <w:tabs>
        <w:tab w:val="clear" w:pos="737"/>
      </w:tabs>
      <w:spacing w:after="60"/>
      <w:ind w:left="720" w:hanging="720"/>
    </w:pPr>
    <w:rPr>
      <w:sz w:val="22"/>
      <w:szCs w:val="22"/>
    </w:rPr>
  </w:style>
  <w:style w:type="paragraph" w:customStyle="1" w:styleId="Heading1Blue">
    <w:name w:val="Heading 1 Blue"/>
    <w:basedOn w:val="Heading10"/>
    <w:link w:val="Heading1BlueChar"/>
    <w:rsid w:val="00AD47C0"/>
    <w:pPr>
      <w:pBdr>
        <w:bottom w:val="none" w:sz="0" w:space="0" w:color="auto"/>
      </w:pBdr>
    </w:pPr>
    <w:rPr>
      <w:color w:val="0000FF"/>
      <w:sz w:val="26"/>
    </w:rPr>
  </w:style>
  <w:style w:type="character" w:customStyle="1" w:styleId="Heading1BlueChar">
    <w:name w:val="Heading 1 Blue Char"/>
    <w:link w:val="Heading1Blue"/>
    <w:locked/>
    <w:rsid w:val="00AD47C0"/>
    <w:rPr>
      <w:rFonts w:asciiTheme="majorHAnsi" w:eastAsiaTheme="majorEastAsia" w:hAnsiTheme="majorHAnsi" w:cstheme="majorBidi"/>
      <w:b/>
      <w:bCs/>
      <w:caps/>
      <w:color w:val="0000FF"/>
      <w:spacing w:val="-2"/>
      <w:sz w:val="26"/>
      <w:szCs w:val="28"/>
    </w:rPr>
  </w:style>
  <w:style w:type="character" w:customStyle="1" w:styleId="SourceReferenceChar">
    <w:name w:val="Source Reference Char"/>
    <w:rsid w:val="00AD47C0"/>
    <w:rPr>
      <w:rFonts w:ascii="Calibri" w:eastAsiaTheme="minorHAnsi" w:hAnsi="Calibri" w:cs="Arial Narrow"/>
      <w:color w:val="0072CE"/>
      <w:sz w:val="16"/>
      <w:szCs w:val="16"/>
      <w:lang w:eastAsia="en-US"/>
    </w:rPr>
  </w:style>
  <w:style w:type="paragraph" w:customStyle="1" w:styleId="Heading3a">
    <w:name w:val="Heading 3a"/>
    <w:basedOn w:val="Normal"/>
    <w:link w:val="Heading3aChar"/>
    <w:rsid w:val="00AD47C0"/>
    <w:pPr>
      <w:keepNext/>
      <w:tabs>
        <w:tab w:val="left" w:pos="1260"/>
      </w:tabs>
      <w:spacing w:before="180" w:after="60"/>
      <w:ind w:left="1260" w:hanging="1260"/>
      <w:outlineLvl w:val="1"/>
    </w:pPr>
    <w:rPr>
      <w:rFonts w:ascii="Calibri" w:hAnsi="Calibri" w:cs="Times New Roman"/>
      <w:b/>
      <w:bCs/>
      <w:spacing w:val="0"/>
      <w:kern w:val="28"/>
      <w:sz w:val="26"/>
      <w:szCs w:val="24"/>
    </w:rPr>
  </w:style>
  <w:style w:type="character" w:customStyle="1" w:styleId="Heading3aChar">
    <w:name w:val="Heading 3a Char"/>
    <w:link w:val="Heading3a"/>
    <w:locked/>
    <w:rsid w:val="00AD47C0"/>
    <w:rPr>
      <w:rFonts w:ascii="Calibri" w:hAnsi="Calibri" w:cs="Times New Roman"/>
      <w:b/>
      <w:bCs/>
      <w:kern w:val="28"/>
      <w:sz w:val="26"/>
      <w:szCs w:val="24"/>
    </w:rPr>
  </w:style>
  <w:style w:type="character" w:customStyle="1" w:styleId="CommentaryHeading2Char">
    <w:name w:val="Commentary Heading 2 Char"/>
    <w:link w:val="CommentaryHeading2"/>
    <w:rsid w:val="00AD47C0"/>
    <w:rPr>
      <w:rFonts w:ascii="Calibri" w:hAnsi="Calibri" w:cs="Arial"/>
      <w:b/>
      <w:bCs/>
      <w:i/>
      <w:noProof/>
      <w:color w:val="0000FF"/>
      <w:sz w:val="22"/>
      <w:szCs w:val="22"/>
    </w:rPr>
  </w:style>
  <w:style w:type="paragraph" w:customStyle="1" w:styleId="Heading5Blue0">
    <w:name w:val="Heading 5 Blue"/>
    <w:basedOn w:val="Heading5"/>
    <w:rsid w:val="00AD47C0"/>
    <w:pPr>
      <w:keepNext w:val="0"/>
      <w:tabs>
        <w:tab w:val="clear" w:pos="737"/>
        <w:tab w:val="num" w:pos="716"/>
      </w:tabs>
      <w:ind w:left="716" w:hanging="432"/>
    </w:pPr>
    <w:rPr>
      <w:rFonts w:cs="Arial Bold"/>
      <w:color w:val="0000FF"/>
      <w:sz w:val="22"/>
      <w:szCs w:val="22"/>
    </w:rPr>
  </w:style>
  <w:style w:type="paragraph" w:customStyle="1" w:styleId="CharCharCharChar">
    <w:name w:val="Char Char Char Char"/>
    <w:basedOn w:val="Normal"/>
    <w:semiHidden/>
    <w:rsid w:val="00AD47C0"/>
    <w:pPr>
      <w:spacing w:before="0" w:after="160" w:line="240" w:lineRule="exact"/>
    </w:pPr>
    <w:rPr>
      <w:rFonts w:ascii="Tahoma" w:hAnsi="Tahoma"/>
      <w:spacing w:val="0"/>
      <w:sz w:val="20"/>
      <w:szCs w:val="20"/>
      <w:lang w:val="en-US"/>
    </w:rPr>
  </w:style>
  <w:style w:type="paragraph" w:customStyle="1" w:styleId="Char1">
    <w:name w:val="Char1"/>
    <w:basedOn w:val="Normal"/>
    <w:semiHidden/>
    <w:rsid w:val="00AD47C0"/>
    <w:pPr>
      <w:spacing w:before="0" w:after="160" w:line="240" w:lineRule="exact"/>
    </w:pPr>
    <w:rPr>
      <w:rFonts w:ascii="Tahoma" w:hAnsi="Tahoma"/>
      <w:spacing w:val="0"/>
      <w:sz w:val="20"/>
      <w:szCs w:val="20"/>
      <w:lang w:val="en-US"/>
    </w:rPr>
  </w:style>
  <w:style w:type="paragraph" w:customStyle="1" w:styleId="CharCharCharChar1">
    <w:name w:val="Char Char Char Char1"/>
    <w:basedOn w:val="Normal"/>
    <w:semiHidden/>
    <w:rsid w:val="00AD47C0"/>
    <w:pPr>
      <w:spacing w:before="0" w:after="160" w:line="240" w:lineRule="exact"/>
    </w:pPr>
    <w:rPr>
      <w:rFonts w:ascii="Tahoma" w:hAnsi="Tahoma"/>
      <w:spacing w:val="0"/>
      <w:sz w:val="20"/>
      <w:szCs w:val="20"/>
      <w:lang w:val="en-US"/>
    </w:rPr>
  </w:style>
  <w:style w:type="paragraph" w:customStyle="1" w:styleId="Char2">
    <w:name w:val="Char2"/>
    <w:basedOn w:val="Normal"/>
    <w:semiHidden/>
    <w:rsid w:val="00AD47C0"/>
    <w:pPr>
      <w:spacing w:before="0" w:after="160" w:line="240" w:lineRule="exact"/>
    </w:pPr>
    <w:rPr>
      <w:rFonts w:ascii="Tahoma" w:hAnsi="Tahoma"/>
      <w:spacing w:val="0"/>
      <w:sz w:val="20"/>
      <w:szCs w:val="20"/>
      <w:lang w:val="en-US"/>
    </w:rPr>
  </w:style>
  <w:style w:type="paragraph" w:customStyle="1" w:styleId="CharCharCharChar2">
    <w:name w:val="Char Char Char Char2"/>
    <w:basedOn w:val="Normal"/>
    <w:semiHidden/>
    <w:rsid w:val="00AD47C0"/>
    <w:pPr>
      <w:spacing w:before="0" w:after="160" w:line="240" w:lineRule="exact"/>
    </w:pPr>
    <w:rPr>
      <w:rFonts w:ascii="Tahoma" w:hAnsi="Tahoma"/>
      <w:spacing w:val="0"/>
      <w:sz w:val="20"/>
      <w:szCs w:val="20"/>
      <w:lang w:val="en-US"/>
    </w:rPr>
  </w:style>
  <w:style w:type="paragraph" w:customStyle="1" w:styleId="Char3">
    <w:name w:val="Char3"/>
    <w:basedOn w:val="Normal"/>
    <w:semiHidden/>
    <w:rsid w:val="00AD47C0"/>
    <w:pPr>
      <w:spacing w:before="0" w:after="160" w:line="240" w:lineRule="exact"/>
    </w:pPr>
    <w:rPr>
      <w:rFonts w:ascii="Tahoma" w:hAnsi="Tahoma"/>
      <w:spacing w:val="0"/>
      <w:sz w:val="20"/>
      <w:szCs w:val="20"/>
      <w:lang w:val="en-US"/>
    </w:rPr>
  </w:style>
  <w:style w:type="paragraph" w:customStyle="1" w:styleId="CharCharCharChar3">
    <w:name w:val="Char Char Char Char3"/>
    <w:basedOn w:val="Normal"/>
    <w:semiHidden/>
    <w:rsid w:val="00AD47C0"/>
    <w:pPr>
      <w:spacing w:before="0" w:after="160" w:line="240" w:lineRule="exact"/>
    </w:pPr>
    <w:rPr>
      <w:rFonts w:ascii="Tahoma" w:hAnsi="Tahoma"/>
      <w:spacing w:val="0"/>
      <w:sz w:val="20"/>
      <w:szCs w:val="20"/>
      <w:lang w:val="en-US"/>
    </w:rPr>
  </w:style>
  <w:style w:type="paragraph" w:customStyle="1" w:styleId="CommentaryHeading4">
    <w:name w:val="Commentary Heading 4"/>
    <w:basedOn w:val="CommentaryHeading3"/>
    <w:link w:val="CommentaryHeading4Char"/>
    <w:rsid w:val="00AD47C0"/>
    <w:pPr>
      <w:pBdr>
        <w:top w:val="none" w:sz="0" w:space="0" w:color="auto"/>
        <w:bottom w:val="none" w:sz="0" w:space="0" w:color="auto"/>
      </w:pBdr>
    </w:pPr>
    <w:rPr>
      <w:i/>
    </w:rPr>
  </w:style>
  <w:style w:type="character" w:customStyle="1" w:styleId="CommentaryHeading4Char">
    <w:name w:val="Commentary Heading 4 Char"/>
    <w:link w:val="CommentaryHeading4"/>
    <w:rsid w:val="00AD47C0"/>
    <w:rPr>
      <w:rFonts w:ascii="Calibri" w:eastAsia="Times New Roman" w:hAnsi="Calibri" w:cs="Arial"/>
      <w:b/>
      <w:bCs/>
      <w:i/>
      <w:noProof/>
      <w:color w:val="0000FF"/>
      <w:sz w:val="22"/>
      <w:szCs w:val="22"/>
    </w:rPr>
  </w:style>
  <w:style w:type="paragraph" w:customStyle="1" w:styleId="Pa210">
    <w:name w:val="Pa2++10"/>
    <w:basedOn w:val="Normal"/>
    <w:next w:val="Normal"/>
    <w:semiHidden/>
    <w:rsid w:val="00AD47C0"/>
    <w:pPr>
      <w:autoSpaceDE w:val="0"/>
      <w:autoSpaceDN w:val="0"/>
      <w:adjustRightInd w:val="0"/>
      <w:spacing w:before="0" w:line="201" w:lineRule="atLeast"/>
    </w:pPr>
    <w:rPr>
      <w:rFonts w:ascii="Stag Medium" w:hAnsi="Stag Medium"/>
      <w:spacing w:val="0"/>
      <w:sz w:val="24"/>
      <w:szCs w:val="24"/>
    </w:rPr>
  </w:style>
  <w:style w:type="paragraph" w:customStyle="1" w:styleId="Footer1">
    <w:name w:val="Footer1"/>
    <w:basedOn w:val="Footer"/>
    <w:rsid w:val="00AD47C0"/>
    <w:pPr>
      <w:tabs>
        <w:tab w:val="right" w:pos="10206"/>
      </w:tabs>
    </w:pPr>
    <w:rPr>
      <w:spacing w:val="0"/>
      <w:sz w:val="22"/>
      <w:szCs w:val="22"/>
    </w:rPr>
  </w:style>
  <w:style w:type="paragraph" w:customStyle="1" w:styleId="NotesIndent0">
    <w:name w:val="NotesIndent"/>
    <w:basedOn w:val="Notes"/>
    <w:link w:val="NotesIndentChar"/>
    <w:rsid w:val="00AD47C0"/>
    <w:pPr>
      <w:ind w:left="915"/>
    </w:pPr>
    <w:rPr>
      <w:iCs w:val="0"/>
      <w:szCs w:val="20"/>
    </w:rPr>
  </w:style>
  <w:style w:type="character" w:customStyle="1" w:styleId="NotesIndentChar">
    <w:name w:val="NotesIndent Char"/>
    <w:link w:val="NotesIndent0"/>
    <w:rsid w:val="00AD47C0"/>
    <w:rPr>
      <w:rFonts w:ascii="Calibri" w:hAnsi="Calibri"/>
      <w:i/>
      <w:sz w:val="16"/>
      <w:szCs w:val="20"/>
    </w:rPr>
  </w:style>
  <w:style w:type="paragraph" w:customStyle="1" w:styleId="Chartpara">
    <w:name w:val="Chart para"/>
    <w:basedOn w:val="Normal"/>
    <w:semiHidden/>
    <w:rsid w:val="00AD47C0"/>
    <w:pPr>
      <w:spacing w:before="0"/>
    </w:pPr>
    <w:rPr>
      <w:spacing w:val="0"/>
      <w:sz w:val="22"/>
      <w:szCs w:val="20"/>
    </w:rPr>
  </w:style>
  <w:style w:type="paragraph" w:customStyle="1" w:styleId="Tablecolumnheading">
    <w:name w:val="Table column heading"/>
    <w:next w:val="Normal"/>
    <w:rsid w:val="00AD47C0"/>
    <w:pPr>
      <w:overflowPunct w:val="0"/>
      <w:autoSpaceDE w:val="0"/>
      <w:autoSpaceDN w:val="0"/>
      <w:adjustRightInd w:val="0"/>
      <w:spacing w:before="0" w:line="220" w:lineRule="exact"/>
      <w:jc w:val="right"/>
      <w:textAlignment w:val="baseline"/>
    </w:pPr>
    <w:rPr>
      <w:rFonts w:ascii="EYInterstate" w:eastAsia="Times New Roman" w:hAnsi="EYInterstate" w:cs="Arial"/>
      <w:b/>
      <w:color w:val="000000"/>
      <w:lang w:val="en-GB"/>
    </w:rPr>
  </w:style>
  <w:style w:type="table" w:customStyle="1" w:styleId="CVtable1">
    <w:name w:val="CV table1"/>
    <w:basedOn w:val="TableNormal"/>
    <w:next w:val="TableGrid"/>
    <w:rsid w:val="00AD47C0"/>
    <w:pPr>
      <w:spacing w:before="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centred">
    <w:name w:val="Text box centred"/>
    <w:qFormat/>
    <w:rsid w:val="00AD47C0"/>
    <w:pPr>
      <w:spacing w:before="0"/>
      <w:jc w:val="center"/>
    </w:pPr>
    <w:rPr>
      <w:rFonts w:ascii="Calibri" w:eastAsia="Times New Roman" w:hAnsi="Calibri" w:cs="Calibri"/>
      <w:sz w:val="16"/>
      <w:szCs w:val="16"/>
      <w:lang w:eastAsia="en-AU"/>
    </w:rPr>
  </w:style>
  <w:style w:type="paragraph" w:customStyle="1" w:styleId="Textboxtext">
    <w:name w:val="Text box text"/>
    <w:qFormat/>
    <w:rsid w:val="00AD47C0"/>
    <w:pPr>
      <w:spacing w:before="0"/>
    </w:pPr>
    <w:rPr>
      <w:rFonts w:ascii="Calibri" w:eastAsiaTheme="minorEastAsia" w:hAnsi="Calibri" w:cs="Calibri"/>
      <w:sz w:val="16"/>
      <w:szCs w:val="16"/>
      <w:lang w:eastAsia="en-AU"/>
    </w:rPr>
  </w:style>
  <w:style w:type="paragraph" w:customStyle="1" w:styleId="CharCharCharChar4">
    <w:name w:val="Char Char Char Char4"/>
    <w:basedOn w:val="Normal"/>
    <w:semiHidden/>
    <w:rsid w:val="00AD47C0"/>
    <w:pPr>
      <w:spacing w:before="0" w:after="160" w:line="240" w:lineRule="exact"/>
    </w:pPr>
    <w:rPr>
      <w:rFonts w:ascii="Times New Roman" w:hAnsi="Times New Roman" w:cs="Times New Roman"/>
      <w:spacing w:val="0"/>
      <w:sz w:val="20"/>
      <w:szCs w:val="20"/>
      <w:lang w:val="en-US"/>
    </w:rPr>
  </w:style>
  <w:style w:type="paragraph" w:customStyle="1" w:styleId="PMNotes">
    <w:name w:val="PMNotes"/>
    <w:basedOn w:val="NotesIndent0"/>
    <w:rsid w:val="00AD47C0"/>
    <w:pPr>
      <w:tabs>
        <w:tab w:val="clear" w:pos="454"/>
      </w:tabs>
      <w:spacing w:after="60"/>
      <w:ind w:left="360" w:right="115" w:firstLine="0"/>
    </w:pPr>
    <w:rPr>
      <w:rFonts w:eastAsia="Times New Roman" w:cs="Times New Roman"/>
    </w:rPr>
  </w:style>
  <w:style w:type="paragraph" w:customStyle="1" w:styleId="Normalhanging">
    <w:name w:val="Normal hanging"/>
    <w:basedOn w:val="Normal"/>
    <w:qFormat/>
    <w:rsid w:val="00AD47C0"/>
    <w:pPr>
      <w:ind w:left="360" w:hanging="360"/>
    </w:pPr>
    <w:rPr>
      <w:spacing w:val="0"/>
      <w:sz w:val="22"/>
      <w:szCs w:val="22"/>
    </w:rPr>
  </w:style>
  <w:style w:type="paragraph" w:customStyle="1" w:styleId="Char">
    <w:name w:val="Char"/>
    <w:basedOn w:val="Normal"/>
    <w:rsid w:val="00AD47C0"/>
    <w:pPr>
      <w:spacing w:before="0" w:after="160" w:line="240" w:lineRule="exact"/>
    </w:pPr>
    <w:rPr>
      <w:rFonts w:ascii="Tahoma" w:eastAsia="Times New Roman" w:hAnsi="Tahoma"/>
      <w:spacing w:val="0"/>
      <w:sz w:val="20"/>
      <w:szCs w:val="20"/>
      <w:lang w:val="en-US"/>
    </w:rPr>
  </w:style>
  <w:style w:type="paragraph" w:customStyle="1" w:styleId="a0">
    <w:name w:val="+"/>
    <w:basedOn w:val="SmallLine0"/>
    <w:qFormat/>
    <w:rsid w:val="00AD47C0"/>
  </w:style>
  <w:style w:type="paragraph" w:customStyle="1" w:styleId="Bullet1">
    <w:name w:val="Bullet 1"/>
    <w:uiPriority w:val="1"/>
    <w:qFormat/>
    <w:rsid w:val="00AD47C0"/>
    <w:pPr>
      <w:numPr>
        <w:numId w:val="38"/>
      </w:numPr>
      <w:tabs>
        <w:tab w:val="left" w:pos="360"/>
      </w:tabs>
      <w:spacing w:before="60" w:after="40"/>
    </w:pPr>
    <w:rPr>
      <w:rFonts w:ascii="Calibri" w:eastAsia="Calibri" w:hAnsi="Calibri" w:cs="Times New Roman"/>
      <w:sz w:val="22"/>
      <w:szCs w:val="22"/>
    </w:rPr>
  </w:style>
  <w:style w:type="paragraph" w:customStyle="1" w:styleId="Bullet1grey">
    <w:name w:val="Bullet 1 grey"/>
    <w:basedOn w:val="Bullet1"/>
    <w:uiPriority w:val="1"/>
    <w:qFormat/>
    <w:rsid w:val="00AD47C0"/>
    <w:rPr>
      <w:color w:val="6E6E64"/>
    </w:rPr>
  </w:style>
  <w:style w:type="paragraph" w:customStyle="1" w:styleId="Normalgrey">
    <w:name w:val="Normal grey"/>
    <w:basedOn w:val="Normal"/>
    <w:qFormat/>
    <w:rsid w:val="00AD47C0"/>
    <w:pPr>
      <w:spacing w:before="60" w:after="60"/>
    </w:pPr>
    <w:rPr>
      <w:rFonts w:ascii="Calibri" w:eastAsia="Calibri" w:hAnsi="Calibri" w:cs="Times New Roman"/>
      <w:color w:val="6E6E64"/>
      <w:spacing w:val="0"/>
      <w:sz w:val="22"/>
      <w:szCs w:val="21"/>
    </w:rPr>
  </w:style>
  <w:style w:type="table" w:customStyle="1" w:styleId="TableGrid30">
    <w:name w:val="Table Grid3"/>
    <w:basedOn w:val="TableNormal"/>
    <w:next w:val="TableGrid"/>
    <w:uiPriority w:val="59"/>
    <w:rsid w:val="00AD47C0"/>
    <w:pPr>
      <w:spacing w:before="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4headingl">
    <w:name w:val="BP4 heading l"/>
    <w:basedOn w:val="Normal"/>
    <w:rsid w:val="00AD47C0"/>
    <w:pPr>
      <w:spacing w:before="0"/>
    </w:pPr>
    <w:rPr>
      <w:rFonts w:ascii="Calibri" w:eastAsia="Times New Roman" w:hAnsi="Calibri" w:cs="Times New Roman"/>
      <w:i/>
      <w:spacing w:val="0"/>
    </w:rPr>
  </w:style>
  <w:style w:type="paragraph" w:customStyle="1" w:styleId="Textboxbullet">
    <w:name w:val="Text box bullet"/>
    <w:basedOn w:val="Textboxtext"/>
    <w:qFormat/>
    <w:rsid w:val="00AD47C0"/>
    <w:pPr>
      <w:numPr>
        <w:numId w:val="39"/>
      </w:numPr>
      <w:ind w:left="227" w:hanging="227"/>
    </w:pPr>
    <w:rPr>
      <w:i/>
    </w:rPr>
  </w:style>
  <w:style w:type="paragraph" w:customStyle="1" w:styleId="TableTextindent1">
    <w:name w:val="Table Text indent"/>
    <w:basedOn w:val="Normal"/>
    <w:rsid w:val="00AD47C0"/>
    <w:pPr>
      <w:spacing w:before="0"/>
      <w:ind w:left="360"/>
    </w:pPr>
    <w:rPr>
      <w:rFonts w:ascii="Calibri" w:eastAsia="Times New Roman" w:hAnsi="Calibri" w:cs="Times New Roman"/>
      <w:spacing w:val="0"/>
      <w:sz w:val="22"/>
    </w:rPr>
  </w:style>
  <w:style w:type="paragraph" w:customStyle="1" w:styleId="ControlledEntitiesHeading1">
    <w:name w:val="ControlledEntitiesHeading1"/>
    <w:qFormat/>
    <w:rsid w:val="00AD47C0"/>
    <w:pPr>
      <w:shd w:val="clear" w:color="auto" w:fill="000000" w:themeFill="text1"/>
      <w:spacing w:before="0" w:after="120"/>
      <w:jc w:val="center"/>
    </w:pPr>
    <w:rPr>
      <w:rFonts w:eastAsia="Times New Roman" w:cstheme="minorHAnsi"/>
      <w:i/>
      <w:color w:val="FFFFFF" w:themeColor="background1"/>
      <w:sz w:val="22"/>
      <w:szCs w:val="22"/>
      <w:lang w:eastAsia="en-AU"/>
    </w:rPr>
  </w:style>
  <w:style w:type="paragraph" w:customStyle="1" w:styleId="ControlledEntitiesHeading2">
    <w:name w:val="ControlledEntitiesHeading2"/>
    <w:qFormat/>
    <w:rsid w:val="00AD47C0"/>
    <w:pPr>
      <w:shd w:val="clear" w:color="auto" w:fill="D9D9D9" w:themeFill="background1" w:themeFillShade="D9"/>
      <w:spacing w:before="0"/>
    </w:pPr>
    <w:rPr>
      <w:rFonts w:ascii="Calibri" w:eastAsia="Times New Roman" w:hAnsi="Calibri" w:cs="Times New Roman"/>
      <w:b/>
      <w:bCs/>
      <w:color w:val="000000" w:themeColor="text1"/>
      <w:lang w:eastAsia="en-AU"/>
    </w:rPr>
  </w:style>
  <w:style w:type="paragraph" w:customStyle="1" w:styleId="ControlledEntitiesText">
    <w:name w:val="ControlledEntitiesText"/>
    <w:qFormat/>
    <w:rsid w:val="00AD47C0"/>
    <w:pPr>
      <w:spacing w:before="20" w:after="20"/>
    </w:pPr>
    <w:rPr>
      <w:rFonts w:ascii="Calibri" w:eastAsia="Times New Roman" w:hAnsi="Calibri" w:cs="Times New Roman"/>
      <w:color w:val="000000" w:themeColor="text1"/>
      <w:lang w:eastAsia="en-AU"/>
    </w:rPr>
  </w:style>
  <w:style w:type="paragraph" w:customStyle="1" w:styleId="ControlledEntitiesDash">
    <w:name w:val="ControlledEntitiesDash"/>
    <w:qFormat/>
    <w:rsid w:val="00AD47C0"/>
    <w:pPr>
      <w:numPr>
        <w:numId w:val="40"/>
      </w:numPr>
      <w:spacing w:before="20" w:after="20"/>
      <w:ind w:left="216" w:hanging="216"/>
      <w:contextualSpacing/>
    </w:pPr>
    <w:rPr>
      <w:rFonts w:ascii="Calibri" w:eastAsia="Times New Roman" w:hAnsi="Calibri" w:cs="Times New Roman"/>
      <w:iCs/>
      <w:color w:val="000000" w:themeColor="text1"/>
      <w:lang w:eastAsia="en-AU"/>
    </w:rPr>
  </w:style>
  <w:style w:type="paragraph" w:customStyle="1" w:styleId="Bullet20">
    <w:name w:val="Bullet 2"/>
    <w:basedOn w:val="Bullet1"/>
    <w:uiPriority w:val="1"/>
    <w:qFormat/>
    <w:rsid w:val="00AD47C0"/>
    <w:pPr>
      <w:numPr>
        <w:numId w:val="0"/>
      </w:numPr>
      <w:tabs>
        <w:tab w:val="clear" w:pos="360"/>
        <w:tab w:val="num" w:pos="720"/>
      </w:tabs>
      <w:spacing w:before="100" w:after="100"/>
      <w:ind w:left="720" w:hanging="360"/>
      <w:contextualSpacing/>
    </w:pPr>
    <w:rPr>
      <w:rFonts w:asciiTheme="minorHAnsi" w:eastAsia="Times New Roman" w:hAnsiTheme="minorHAnsi" w:cs="Calibri"/>
      <w:spacing w:val="2"/>
      <w:sz w:val="20"/>
      <w:szCs w:val="20"/>
      <w:lang w:eastAsia="en-AU"/>
    </w:rPr>
  </w:style>
  <w:style w:type="paragraph" w:customStyle="1" w:styleId="Bulletindent0">
    <w:name w:val="Bullet indent"/>
    <w:basedOn w:val="Bullet20"/>
    <w:uiPriority w:val="9"/>
    <w:qFormat/>
    <w:rsid w:val="00AD47C0"/>
    <w:pPr>
      <w:tabs>
        <w:tab w:val="clear" w:pos="720"/>
        <w:tab w:val="num" w:pos="1152"/>
      </w:tabs>
      <w:ind w:left="1152"/>
    </w:pPr>
  </w:style>
  <w:style w:type="paragraph" w:customStyle="1" w:styleId="Bulletindent2">
    <w:name w:val="Bullet indent 2"/>
    <w:basedOn w:val="Normal"/>
    <w:uiPriority w:val="9"/>
    <w:qFormat/>
    <w:rsid w:val="00AD47C0"/>
    <w:pPr>
      <w:tabs>
        <w:tab w:val="num" w:pos="1512"/>
      </w:tabs>
      <w:spacing w:before="100" w:after="100" w:line="276" w:lineRule="auto"/>
      <w:ind w:left="1512" w:hanging="360"/>
      <w:contextualSpacing/>
    </w:pPr>
    <w:rPr>
      <w:rFonts w:eastAsiaTheme="minorEastAsia"/>
      <w:sz w:val="20"/>
      <w:szCs w:val="20"/>
    </w:rPr>
  </w:style>
  <w:style w:type="paragraph" w:customStyle="1" w:styleId="Numpara">
    <w:name w:val="Num para"/>
    <w:basedOn w:val="ListParagraph"/>
    <w:uiPriority w:val="3"/>
    <w:qFormat/>
    <w:rsid w:val="00AD47C0"/>
    <w:pPr>
      <w:numPr>
        <w:numId w:val="41"/>
      </w:numPr>
      <w:spacing w:before="160" w:after="100" w:line="276" w:lineRule="auto"/>
      <w:contextualSpacing w:val="0"/>
    </w:pPr>
    <w:rPr>
      <w:rFonts w:eastAsiaTheme="minorEastAsia"/>
      <w:sz w:val="20"/>
      <w:szCs w:val="20"/>
    </w:rPr>
  </w:style>
  <w:style w:type="paragraph" w:customStyle="1" w:styleId="Spacer">
    <w:name w:val="Spacer"/>
    <w:basedOn w:val="Normal"/>
    <w:uiPriority w:val="13"/>
    <w:semiHidden/>
    <w:qFormat/>
    <w:rsid w:val="00AD47C0"/>
    <w:pPr>
      <w:spacing w:before="0" w:line="120" w:lineRule="atLeast"/>
    </w:pPr>
    <w:rPr>
      <w:rFonts w:eastAsia="Times New Roman" w:cs="Calibri"/>
      <w:spacing w:val="0"/>
      <w:sz w:val="10"/>
      <w:szCs w:val="22"/>
    </w:rPr>
  </w:style>
  <w:style w:type="paragraph" w:customStyle="1" w:styleId="Tablenum1">
    <w:name w:val="Table num 1"/>
    <w:basedOn w:val="Normal"/>
    <w:uiPriority w:val="6"/>
    <w:rsid w:val="00AD47C0"/>
    <w:pPr>
      <w:tabs>
        <w:tab w:val="num" w:pos="360"/>
      </w:tabs>
      <w:spacing w:before="160" w:after="100" w:line="276" w:lineRule="auto"/>
      <w:ind w:left="360" w:hanging="360"/>
    </w:pPr>
    <w:rPr>
      <w:rFonts w:eastAsiaTheme="minorEastAsia"/>
      <w:sz w:val="17"/>
      <w:szCs w:val="20"/>
    </w:rPr>
  </w:style>
  <w:style w:type="paragraph" w:customStyle="1" w:styleId="Tablenum2">
    <w:name w:val="Table num 2"/>
    <w:basedOn w:val="Normal"/>
    <w:uiPriority w:val="6"/>
    <w:rsid w:val="00AD47C0"/>
    <w:pPr>
      <w:tabs>
        <w:tab w:val="num" w:pos="720"/>
      </w:tabs>
      <w:spacing w:before="160" w:after="100" w:line="276" w:lineRule="auto"/>
      <w:ind w:left="720" w:hanging="360"/>
    </w:pPr>
    <w:rPr>
      <w:rFonts w:eastAsiaTheme="minorEastAsia"/>
      <w:sz w:val="17"/>
      <w:szCs w:val="20"/>
    </w:rPr>
  </w:style>
  <w:style w:type="paragraph" w:customStyle="1" w:styleId="ObjectiveHeading">
    <w:name w:val="Objective Heading"/>
    <w:basedOn w:val="Normal"/>
    <w:next w:val="Normal"/>
    <w:uiPriority w:val="62"/>
    <w:qFormat/>
    <w:rsid w:val="00AD47C0"/>
    <w:pPr>
      <w:keepNext/>
      <w:pBdr>
        <w:top w:val="single" w:sz="6" w:space="1" w:color="auto"/>
        <w:left w:val="single" w:sz="6" w:space="4" w:color="auto"/>
        <w:bottom w:val="single" w:sz="6" w:space="1" w:color="auto"/>
        <w:right w:val="single" w:sz="6" w:space="4" w:color="auto"/>
      </w:pBdr>
      <w:shd w:val="clear" w:color="auto" w:fill="F2F2F2" w:themeFill="background1" w:themeFillShade="F2"/>
    </w:pPr>
    <w:rPr>
      <w:rFonts w:asciiTheme="majorHAnsi" w:hAnsiTheme="majorHAnsi"/>
      <w:b/>
      <w:spacing w:val="0"/>
      <w:sz w:val="24"/>
      <w:szCs w:val="22"/>
    </w:rPr>
  </w:style>
  <w:style w:type="paragraph" w:customStyle="1" w:styleId="PerformanceMeasureNote">
    <w:name w:val="Performance Measure Note"/>
    <w:basedOn w:val="Normal"/>
    <w:uiPriority w:val="63"/>
    <w:qFormat/>
    <w:rsid w:val="00AD47C0"/>
    <w:pPr>
      <w:spacing w:before="20" w:after="20"/>
      <w:ind w:left="170"/>
      <w:contextualSpacing/>
    </w:pPr>
    <w:rPr>
      <w:rFonts w:asciiTheme="majorHAnsi" w:hAnsiTheme="majorHAnsi"/>
      <w:i/>
      <w:spacing w:val="-2"/>
      <w:sz w:val="15"/>
      <w:szCs w:val="15"/>
    </w:rPr>
  </w:style>
  <w:style w:type="table" w:customStyle="1" w:styleId="DTFtexttable0">
    <w:name w:val="DTF text table"/>
    <w:basedOn w:val="TableGrid"/>
    <w:uiPriority w:val="99"/>
    <w:rsid w:val="00AD47C0"/>
    <w:pPr>
      <w:spacing w:before="30" w:after="30" w:line="264" w:lineRule="auto"/>
    </w:pPr>
    <w:rPr>
      <w:spacing w:val="2"/>
      <w:sz w:val="17"/>
      <w:szCs w:val="21"/>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AppendixHeading">
    <w:name w:val="Appendix Heading"/>
    <w:basedOn w:val="Heading1nonTOC"/>
    <w:qFormat/>
    <w:rsid w:val="008852ED"/>
  </w:style>
  <w:style w:type="table" w:customStyle="1" w:styleId="CVtable2">
    <w:name w:val="CV table2"/>
    <w:basedOn w:val="TableNormal"/>
    <w:next w:val="TableGrid"/>
    <w:uiPriority w:val="59"/>
    <w:rsid w:val="004C7643"/>
    <w:pPr>
      <w:spacing w:line="240" w:lineRule="atLeast"/>
    </w:pPr>
    <w:rPr>
      <w:rFonts w:ascii="Calibri" w:eastAsia="Times New Roman"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lsdException w:name="footnote text" w:qFormat="1"/>
    <w:lsdException w:name="header" w:uiPriority="85"/>
    <w:lsdException w:name="footer" w:uiPriority="84"/>
    <w:lsdException w:name="caption" w:uiPriority="35"/>
    <w:lsdException w:name="table of figures" w:uiPriority="0" w:qFormat="1"/>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10"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11" w:unhideWhenUsed="0"/>
    <w:lsdException w:name="Strong" w:uiPriority="98" w:unhideWhenUsed="0"/>
    <w:lsdException w:name="Emphasis" w:uiPriority="98"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6E7DF2"/>
    <w:pPr>
      <w:keepLines/>
    </w:pPr>
    <w:rPr>
      <w:spacing w:val="2"/>
    </w:rPr>
  </w:style>
  <w:style w:type="paragraph" w:styleId="Heading10">
    <w:name w:val="heading 1"/>
    <w:next w:val="Normal"/>
    <w:link w:val="Heading1Char"/>
    <w:uiPriority w:val="9"/>
    <w:qFormat/>
    <w:rsid w:val="005072E2"/>
    <w:pPr>
      <w:keepNext/>
      <w:keepLines/>
      <w:pBdr>
        <w:bottom w:val="single" w:sz="12" w:space="1" w:color="auto"/>
      </w:pBdr>
      <w:spacing w:before="360"/>
      <w:outlineLvl w:val="0"/>
    </w:pPr>
    <w:rPr>
      <w:rFonts w:asciiTheme="majorHAnsi" w:eastAsiaTheme="majorEastAsia" w:hAnsiTheme="majorHAnsi" w:cstheme="majorBidi"/>
      <w:b/>
      <w:bCs/>
      <w:caps/>
      <w:spacing w:val="-2"/>
      <w:sz w:val="28"/>
      <w:szCs w:val="28"/>
    </w:rPr>
  </w:style>
  <w:style w:type="paragraph" w:styleId="Heading20">
    <w:name w:val="heading 2"/>
    <w:basedOn w:val="Heading10"/>
    <w:next w:val="Normal"/>
    <w:link w:val="Heading2Char"/>
    <w:uiPriority w:val="9"/>
    <w:qFormat/>
    <w:rsid w:val="00F042B6"/>
    <w:pPr>
      <w:numPr>
        <w:ilvl w:val="1"/>
      </w:numPr>
      <w:pBdr>
        <w:bottom w:val="none" w:sz="0" w:space="0" w:color="auto"/>
      </w:pBdr>
      <w:tabs>
        <w:tab w:val="left" w:pos="964"/>
        <w:tab w:val="right" w:pos="9582"/>
      </w:tabs>
      <w:spacing w:before="240"/>
      <w:outlineLvl w:val="1"/>
    </w:pPr>
    <w:rPr>
      <w:bCs w:val="0"/>
      <w:caps w:val="0"/>
      <w:sz w:val="24"/>
      <w:szCs w:val="26"/>
    </w:rPr>
  </w:style>
  <w:style w:type="paragraph" w:styleId="Heading30">
    <w:name w:val="heading 3"/>
    <w:basedOn w:val="Heading20"/>
    <w:next w:val="Normal"/>
    <w:link w:val="Heading3Char"/>
    <w:uiPriority w:val="9"/>
    <w:qFormat/>
    <w:rsid w:val="00437D1F"/>
    <w:pPr>
      <w:numPr>
        <w:ilvl w:val="2"/>
      </w:numPr>
      <w:tabs>
        <w:tab w:val="clear" w:pos="964"/>
        <w:tab w:val="left" w:pos="737"/>
      </w:tabs>
      <w:spacing w:before="180"/>
      <w:ind w:left="737" w:hanging="737"/>
      <w:outlineLvl w:val="2"/>
    </w:pPr>
    <w:rPr>
      <w:bCs/>
      <w:sz w:val="20"/>
    </w:rPr>
  </w:style>
  <w:style w:type="paragraph" w:styleId="Heading4">
    <w:name w:val="heading 4"/>
    <w:basedOn w:val="Heading30"/>
    <w:next w:val="Normal"/>
    <w:link w:val="Heading4Char"/>
    <w:uiPriority w:val="9"/>
    <w:rsid w:val="00EB6480"/>
    <w:pPr>
      <w:numPr>
        <w:ilvl w:val="3"/>
      </w:numPr>
      <w:ind w:left="737" w:hanging="737"/>
      <w:outlineLvl w:val="3"/>
    </w:pPr>
    <w:rPr>
      <w:b w:val="0"/>
      <w:bCs w:val="0"/>
      <w:i/>
      <w:iCs/>
      <w:spacing w:val="0"/>
    </w:rPr>
  </w:style>
  <w:style w:type="paragraph" w:styleId="Heading5">
    <w:name w:val="heading 5"/>
    <w:basedOn w:val="Heading4"/>
    <w:next w:val="Normal"/>
    <w:link w:val="Heading5Char"/>
    <w:uiPriority w:val="9"/>
    <w:unhideWhenUsed/>
    <w:rsid w:val="00DE3014"/>
    <w:pPr>
      <w:numPr>
        <w:ilvl w:val="4"/>
      </w:numPr>
      <w:ind w:left="737" w:hanging="737"/>
      <w:outlineLvl w:val="4"/>
    </w:pPr>
    <w:rPr>
      <w:b/>
      <w:i w:val="0"/>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5072E2"/>
    <w:rPr>
      <w:rFonts w:asciiTheme="majorHAnsi" w:eastAsiaTheme="majorEastAsia" w:hAnsiTheme="majorHAnsi" w:cstheme="majorBidi"/>
      <w:b/>
      <w:bCs/>
      <w:caps/>
      <w:spacing w:val="-2"/>
      <w:sz w:val="28"/>
      <w:szCs w:val="28"/>
    </w:rPr>
  </w:style>
  <w:style w:type="paragraph" w:customStyle="1" w:styleId="Chapterheading">
    <w:name w:val="Chapter heading"/>
    <w:basedOn w:val="Normal"/>
    <w:next w:val="Heading10"/>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3Char">
    <w:name w:val="Heading 3 Char"/>
    <w:basedOn w:val="DefaultParagraphFont"/>
    <w:link w:val="Heading30"/>
    <w:uiPriority w:val="9"/>
    <w:rsid w:val="00437D1F"/>
    <w:rPr>
      <w:rFonts w:asciiTheme="majorHAnsi" w:eastAsiaTheme="majorEastAsia" w:hAnsiTheme="majorHAnsi" w:cstheme="majorBidi"/>
      <w:b/>
      <w:bCs/>
      <w:spacing w:val="-2"/>
      <w:sz w:val="20"/>
      <w:szCs w:val="26"/>
    </w:rPr>
  </w:style>
  <w:style w:type="character" w:customStyle="1" w:styleId="Heading2Char">
    <w:name w:val="Heading 2 Char"/>
    <w:basedOn w:val="DefaultParagraphFont"/>
    <w:link w:val="Heading20"/>
    <w:uiPriority w:val="9"/>
    <w:rsid w:val="00F042B6"/>
    <w:rPr>
      <w:rFonts w:asciiTheme="majorHAnsi" w:eastAsiaTheme="majorEastAsia" w:hAnsiTheme="majorHAnsi" w:cstheme="majorBidi"/>
      <w:b/>
      <w:spacing w:val="-2"/>
      <w:sz w:val="24"/>
      <w:szCs w:val="26"/>
    </w:rPr>
  </w:style>
  <w:style w:type="character" w:customStyle="1" w:styleId="Heading4Char">
    <w:name w:val="Heading 4 Char"/>
    <w:basedOn w:val="DefaultParagraphFont"/>
    <w:link w:val="Heading4"/>
    <w:uiPriority w:val="9"/>
    <w:rsid w:val="00EB6480"/>
    <w:rPr>
      <w:rFonts w:asciiTheme="majorHAnsi" w:eastAsiaTheme="majorEastAsia" w:hAnsiTheme="majorHAnsi" w:cstheme="majorBidi"/>
      <w:i/>
      <w:iCs/>
      <w:sz w:val="20"/>
      <w:szCs w:val="26"/>
    </w:rPr>
  </w:style>
  <w:style w:type="character" w:customStyle="1" w:styleId="Heading2Char0">
    <w:name w:val="Heading 2 (#) Char"/>
    <w:basedOn w:val="Heading2Char"/>
    <w:link w:val="Heading2"/>
    <w:uiPriority w:val="14"/>
    <w:rsid w:val="006422A1"/>
    <w:rPr>
      <w:rFonts w:asciiTheme="majorHAnsi" w:eastAsiaTheme="majorEastAsia" w:hAnsiTheme="majorHAnsi" w:cstheme="majorBidi"/>
      <w:b/>
      <w:spacing w:val="-2"/>
      <w:sz w:val="24"/>
      <w:szCs w:val="26"/>
    </w:rPr>
  </w:style>
  <w:style w:type="paragraph" w:customStyle="1" w:styleId="Source">
    <w:name w:val="Source"/>
    <w:basedOn w:val="Normal"/>
    <w:next w:val="Note"/>
    <w:link w:val="SourceChar"/>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6480"/>
    <w:pPr>
      <w:shd w:val="clear" w:color="auto" w:fill="EBEBEB" w:themeFill="background2"/>
    </w:pPr>
  </w:style>
  <w:style w:type="table" w:styleId="TableGrid">
    <w:name w:val="Table Grid"/>
    <w:aliases w:val="CV table"/>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qFormat/>
    <w:rsid w:val="006D4EA2"/>
    <w:rPr>
      <w:rFonts w:eastAsiaTheme="minorEastAsia"/>
      <w:sz w:val="14"/>
      <w:lang w:val="en-US" w:eastAsia="ja-JP"/>
    </w:rPr>
  </w:style>
  <w:style w:type="character" w:customStyle="1" w:styleId="FootnoteTextChar">
    <w:name w:val="Footnote Text Char"/>
    <w:basedOn w:val="DefaultParagraphFont"/>
    <w:link w:val="FootnoteText"/>
    <w:uiPriority w:val="99"/>
    <w:rsid w:val="006D4EA2"/>
    <w:rPr>
      <w:rFonts w:eastAsiaTheme="minorEastAsia"/>
      <w:spacing w:val="2"/>
      <w:sz w:val="14"/>
      <w:lang w:val="en-US" w:eastAsia="ja-JP"/>
    </w:rPr>
  </w:style>
  <w:style w:type="character" w:styleId="SubtleEmphasis">
    <w:name w:val="Subtle Emphasis"/>
    <w:basedOn w:val="DefaultParagraphFont"/>
    <w:uiPriority w:val="98"/>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5"/>
    <w:rsid w:val="00CA41CF"/>
    <w:rPr>
      <w:rFonts w:asciiTheme="majorHAnsi" w:hAnsiTheme="majorHAnsi"/>
      <w:b/>
      <w:caps/>
      <w:color w:val="53565A"/>
    </w:rPr>
  </w:style>
  <w:style w:type="numbering" w:styleId="111111">
    <w:name w:val="Outline List 2"/>
    <w:basedOn w:val="NoList"/>
    <w:uiPriority w:val="99"/>
    <w:unhideWhenUsed/>
    <w:rsid w:val="00C00568"/>
    <w:pPr>
      <w:numPr>
        <w:numId w:val="11"/>
      </w:numPr>
    </w:pPr>
  </w:style>
  <w:style w:type="character" w:customStyle="1" w:styleId="FooteroddChar">
    <w:name w:val="Footer (odd) Char"/>
    <w:basedOn w:val="DefaultParagraphFont"/>
    <w:link w:val="Footerodd"/>
    <w:uiPriority w:val="84"/>
    <w:rsid w:val="008155D0"/>
    <w:rPr>
      <w:rFonts w:asciiTheme="majorHAnsi" w:hAnsiTheme="majorHAnsi"/>
      <w:sz w:val="18"/>
    </w:rPr>
  </w:style>
  <w:style w:type="paragraph" w:customStyle="1" w:styleId="Footerodd">
    <w:name w:val="Footer (odd)"/>
    <w:basedOn w:val="Footer"/>
    <w:link w:val="FooteroddChar"/>
    <w:uiPriority w:val="84"/>
    <w:rsid w:val="008155D0"/>
    <w:pPr>
      <w:pBdr>
        <w:top w:val="single" w:sz="6" w:space="1" w:color="auto"/>
      </w:pBdr>
      <w:tabs>
        <w:tab w:val="clear" w:pos="4513"/>
        <w:tab w:val="clear" w:pos="9026"/>
        <w:tab w:val="center" w:pos="4819"/>
        <w:tab w:val="right" w:pos="9639"/>
        <w:tab w:val="right" w:pos="14742"/>
      </w:tabs>
    </w:pPr>
    <w:rPr>
      <w:rFonts w:asciiTheme="majorHAnsi" w:hAnsiTheme="majorHAnsi"/>
    </w:rPr>
  </w:style>
  <w:style w:type="paragraph" w:customStyle="1" w:styleId="NoteDash">
    <w:name w:val="Note Dash"/>
    <w:basedOn w:val="Note"/>
    <w:next w:val="Note"/>
    <w:uiPriority w:val="53"/>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94700F"/>
    <w:pPr>
      <w:tabs>
        <w:tab w:val="left" w:pos="567"/>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956B13"/>
    <w:pPr>
      <w:numPr>
        <w:numId w:val="7"/>
      </w:numPr>
      <w:spacing w:before="60"/>
      <w:contextualSpacing/>
    </w:pPr>
  </w:style>
  <w:style w:type="paragraph" w:styleId="List">
    <w:name w:val="List"/>
    <w:basedOn w:val="Normal"/>
    <w:uiPriority w:val="29"/>
    <w:unhideWhenUsed/>
    <w:rsid w:val="0037650C"/>
    <w:pPr>
      <w:keepLines w:val="0"/>
      <w:tabs>
        <w:tab w:val="left" w:pos="567"/>
        <w:tab w:val="left" w:pos="1134"/>
      </w:tabs>
      <w:ind w:left="567" w:hanging="567"/>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4"/>
    <w:rsid w:val="004419CD"/>
    <w:pPr>
      <w:tabs>
        <w:tab w:val="center" w:pos="4513"/>
        <w:tab w:val="right" w:pos="9026"/>
      </w:tabs>
      <w:spacing w:before="0"/>
    </w:pPr>
  </w:style>
  <w:style w:type="paragraph" w:styleId="TOC2">
    <w:name w:val="toc 2"/>
    <w:basedOn w:val="TOC1"/>
    <w:next w:val="Normal"/>
    <w:uiPriority w:val="39"/>
    <w:rsid w:val="00663D57"/>
    <w:pPr>
      <w:tabs>
        <w:tab w:val="clear" w:pos="567"/>
        <w:tab w:val="left" w:pos="284"/>
        <w:tab w:val="left" w:pos="1134"/>
      </w:tabs>
      <w:spacing w:before="60" w:after="40" w:line="264" w:lineRule="auto"/>
      <w:ind w:left="851" w:right="567" w:hanging="284"/>
    </w:pPr>
    <w:rPr>
      <w:b w:val="0"/>
      <w:noProof/>
    </w:rPr>
  </w:style>
  <w:style w:type="character" w:styleId="PageNumber">
    <w:name w:val="page number"/>
    <w:rsid w:val="000A03F9"/>
    <w:rPr>
      <w:rFonts w:asciiTheme="minorHAnsi" w:hAnsiTheme="minorHAnsi"/>
      <w:sz w:val="18"/>
    </w:rPr>
  </w:style>
  <w:style w:type="paragraph" w:styleId="TOC3">
    <w:name w:val="toc 3"/>
    <w:basedOn w:val="TOC1"/>
    <w:next w:val="Normal"/>
    <w:uiPriority w:val="39"/>
    <w:rsid w:val="00BF5B49"/>
    <w:pPr>
      <w:tabs>
        <w:tab w:val="clear" w:pos="567"/>
        <w:tab w:val="left" w:pos="1361"/>
      </w:tabs>
      <w:ind w:left="1361" w:right="567" w:hanging="1361"/>
    </w:pPr>
    <w:rPr>
      <w:rFonts w:asciiTheme="minorHAnsi" w:eastAsiaTheme="minorEastAsia" w:hAnsiTheme="minorHAnsi"/>
      <w:noProof/>
      <w:spacing w:val="0"/>
      <w:szCs w:val="22"/>
      <w:lang w:eastAsia="en-AU"/>
    </w:rPr>
  </w:style>
  <w:style w:type="paragraph" w:styleId="TOC4">
    <w:name w:val="toc 4"/>
    <w:next w:val="Normal"/>
    <w:uiPriority w:val="39"/>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6480"/>
    <w:pPr>
      <w:keepNext/>
    </w:pPr>
    <w:rPr>
      <w:rFonts w:asciiTheme="majorHAnsi" w:hAnsiTheme="majorHAnsi"/>
      <w:i/>
    </w:rPr>
  </w:style>
  <w:style w:type="paragraph" w:customStyle="1" w:styleId="HighlightBoxBullet">
    <w:name w:val="Highlight Box Bullet"/>
    <w:basedOn w:val="ListBullet"/>
    <w:uiPriority w:val="61"/>
    <w:qFormat/>
    <w:rsid w:val="00EB6480"/>
    <w:pPr>
      <w:shd w:val="clear" w:color="auto" w:fill="EBEBEB" w:themeFill="background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spacing w:val="2"/>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spacing w:val="2"/>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spacing w:val="2"/>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spacing w:val="2"/>
    </w:rPr>
  </w:style>
  <w:style w:type="paragraph" w:customStyle="1" w:styleId="TableHeading">
    <w:name w:val="Table Heading"/>
    <w:basedOn w:val="Normal"/>
    <w:next w:val="Normal"/>
    <w:uiPriority w:val="49"/>
    <w:qFormat/>
    <w:rsid w:val="00217A5D"/>
    <w:pPr>
      <w:keepNext/>
      <w:tabs>
        <w:tab w:val="left" w:pos="1134"/>
        <w:tab w:val="right" w:pos="9639"/>
        <w:tab w:val="right" w:pos="14572"/>
      </w:tabs>
      <w:spacing w:before="240" w:after="60"/>
      <w:ind w:left="1134" w:hanging="1134"/>
    </w:pPr>
    <w:rPr>
      <w:rFonts w:asciiTheme="majorHAnsi" w:hAnsiTheme="majorHAnsi"/>
      <w:b/>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8"/>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39"/>
    <w:rsid w:val="00B05757"/>
    <w:pPr>
      <w:tabs>
        <w:tab w:val="left" w:pos="567"/>
        <w:tab w:val="right" w:leader="dot" w:pos="4536"/>
      </w:tabs>
      <w:spacing w:before="60" w:after="100" w:line="216" w:lineRule="auto"/>
      <w:ind w:left="567" w:right="340" w:hanging="567"/>
    </w:pPr>
    <w:rPr>
      <w:noProof/>
      <w:spacing w:val="-2"/>
    </w:rPr>
  </w:style>
  <w:style w:type="paragraph" w:customStyle="1" w:styleId="Footereven">
    <w:name w:val="Footer (even)"/>
    <w:basedOn w:val="Footer"/>
    <w:link w:val="FooterevenChar"/>
    <w:uiPriority w:val="84"/>
    <w:rsid w:val="00F73105"/>
    <w:pPr>
      <w:pBdr>
        <w:top w:val="single" w:sz="6" w:space="1" w:color="auto"/>
      </w:pBdr>
      <w:tabs>
        <w:tab w:val="clear" w:pos="4513"/>
        <w:tab w:val="clear" w:pos="9026"/>
        <w:tab w:val="center" w:pos="2835"/>
        <w:tab w:val="right" w:pos="9639"/>
        <w:tab w:val="right" w:pos="14742"/>
      </w:tabs>
    </w:pPr>
    <w:rPr>
      <w:rFonts w:asciiTheme="majorHAnsi" w:hAnsiTheme="majorHAnsi"/>
    </w:rPr>
  </w:style>
  <w:style w:type="table" w:customStyle="1" w:styleId="DTFTable">
    <w:name w:val="DTF Table"/>
    <w:basedOn w:val="TableNormal"/>
    <w:uiPriority w:val="99"/>
    <w:rsid w:val="00D3365F"/>
    <w:pPr>
      <w:spacing w:before="20" w:after="20"/>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3E68E6"/>
    <w:pPr>
      <w:pageBreakBefore/>
      <w:numPr>
        <w:numId w:val="14"/>
      </w:numPr>
    </w:pPr>
  </w:style>
  <w:style w:type="paragraph" w:customStyle="1" w:styleId="Heading2">
    <w:name w:val="Heading 2 (#)"/>
    <w:basedOn w:val="Heading20"/>
    <w:link w:val="Heading2Char0"/>
    <w:uiPriority w:val="14"/>
    <w:qFormat/>
    <w:rsid w:val="006422A1"/>
    <w:pPr>
      <w:numPr>
        <w:numId w:val="14"/>
      </w:numPr>
      <w:ind w:left="624"/>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D31BB8"/>
    <w:pPr>
      <w:numPr>
        <w:numId w:val="14"/>
      </w:numPr>
    </w:pPr>
  </w:style>
  <w:style w:type="character" w:customStyle="1" w:styleId="Heading3Char0">
    <w:name w:val="Heading 3 (#) Char"/>
    <w:basedOn w:val="Heading3Char"/>
    <w:link w:val="Heading3"/>
    <w:uiPriority w:val="14"/>
    <w:rsid w:val="00D31BB8"/>
    <w:rPr>
      <w:rFonts w:asciiTheme="majorHAnsi" w:eastAsiaTheme="majorEastAsia" w:hAnsiTheme="majorHAnsi" w:cstheme="majorBidi"/>
      <w:b/>
      <w:bCs/>
      <w:spacing w:val="-2"/>
      <w:sz w:val="20"/>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4"/>
    <w:rsid w:val="00644B4A"/>
  </w:style>
  <w:style w:type="paragraph" w:styleId="TOC7">
    <w:name w:val="toc 7"/>
    <w:basedOn w:val="Normal"/>
    <w:next w:val="Normal"/>
    <w:autoRedefine/>
    <w:uiPriority w:val="39"/>
    <w:rsid w:val="001213D6"/>
    <w:pPr>
      <w:spacing w:after="100"/>
      <w:ind w:left="1320"/>
    </w:pPr>
  </w:style>
  <w:style w:type="numbering" w:styleId="1ai">
    <w:name w:val="Outline List 1"/>
    <w:basedOn w:val="NoList"/>
    <w:uiPriority w:val="99"/>
    <w:unhideWhenUsed/>
    <w:rsid w:val="00C00568"/>
    <w:pPr>
      <w:numPr>
        <w:numId w:val="12"/>
      </w:numPr>
    </w:pPr>
  </w:style>
  <w:style w:type="numbering" w:styleId="ArticleSection">
    <w:name w:val="Outline List 3"/>
    <w:basedOn w:val="NoList"/>
    <w:uiPriority w:val="99"/>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unhideWhenUsed/>
    <w:rsid w:val="00C00568"/>
    <w:pPr>
      <w:spacing w:after="120"/>
    </w:pPr>
  </w:style>
  <w:style w:type="character" w:customStyle="1" w:styleId="BodyTextChar">
    <w:name w:val="Body Text Char"/>
    <w:basedOn w:val="DefaultParagraphFont"/>
    <w:link w:val="BodyText"/>
    <w:uiPriority w:val="4"/>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unhideWhenUsed/>
    <w:rsid w:val="00C00568"/>
    <w:pPr>
      <w:spacing w:after="120"/>
      <w:ind w:left="283"/>
    </w:pPr>
  </w:style>
  <w:style w:type="character" w:customStyle="1" w:styleId="BodyTextIndentChar">
    <w:name w:val="Body Text Indent Char"/>
    <w:basedOn w:val="DefaultParagraphFont"/>
    <w:link w:val="BodyTextIndent"/>
    <w:uiPriority w:val="99"/>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rsid w:val="00C00568"/>
    <w:rPr>
      <w:b/>
      <w:bCs/>
      <w:smallCaps/>
      <w:spacing w:val="5"/>
    </w:rPr>
  </w:style>
  <w:style w:type="paragraph" w:styleId="Caption">
    <w:name w:val="caption"/>
    <w:basedOn w:val="Normal"/>
    <w:next w:val="Normal"/>
    <w:uiPriority w:val="35"/>
    <w:unhideWhenUsed/>
    <w:rsid w:val="00C00568"/>
    <w:pPr>
      <w:spacing w:before="0" w:after="200"/>
    </w:pPr>
    <w:rPr>
      <w:b/>
      <w:bCs/>
      <w:color w:val="0063A6" w:themeColor="accent1"/>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rsid w:val="00C00568"/>
    <w:rPr>
      <w:i/>
      <w:iCs/>
    </w:rPr>
  </w:style>
  <w:style w:type="character" w:styleId="EndnoteReference">
    <w:name w:val="endnote reference"/>
    <w:basedOn w:val="DefaultParagraphFont"/>
    <w:uiPriority w:val="99"/>
    <w:unhideWhenUsed/>
    <w:rsid w:val="00C00568"/>
    <w:rPr>
      <w:vertAlign w:val="superscript"/>
    </w:rPr>
  </w:style>
  <w:style w:type="paragraph" w:styleId="EndnoteText">
    <w:name w:val="endnote text"/>
    <w:basedOn w:val="Normal"/>
    <w:link w:val="EndnoteTextChar"/>
    <w:uiPriority w:val="99"/>
    <w:unhideWhenUsed/>
    <w:rsid w:val="00C00568"/>
    <w:pPr>
      <w:spacing w:before="0"/>
    </w:pPr>
    <w:rPr>
      <w:sz w:val="20"/>
      <w:szCs w:val="20"/>
    </w:rPr>
  </w:style>
  <w:style w:type="character" w:customStyle="1" w:styleId="EndnoteTextChar">
    <w:name w:val="Endnote Text Char"/>
    <w:basedOn w:val="DefaultParagraphFont"/>
    <w:link w:val="EndnoteText"/>
    <w:uiPriority w:val="99"/>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rsid w:val="00C00568"/>
    <w:rPr>
      <w:b/>
      <w:bCs/>
      <w:i/>
      <w:iCs/>
      <w:color w:val="0063A6" w:themeColor="accent1"/>
    </w:rPr>
  </w:style>
  <w:style w:type="paragraph" w:styleId="IntenseQuote">
    <w:name w:val="Intense Quote"/>
    <w:basedOn w:val="Normal"/>
    <w:next w:val="Normal"/>
    <w:link w:val="IntenseQuoteChar"/>
    <w:uiPriority w:val="30"/>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rsid w:val="00C00568"/>
    <w:rPr>
      <w:b/>
      <w:bCs/>
      <w:i/>
      <w:iCs/>
      <w:color w:val="0063A6" w:themeColor="accent1"/>
    </w:rPr>
  </w:style>
  <w:style w:type="character" w:styleId="IntenseReference">
    <w:name w:val="Intense Reference"/>
    <w:basedOn w:val="DefaultParagraphFont"/>
    <w:uiPriority w:val="32"/>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unhideWhenUsed/>
    <w:rsid w:val="00266658"/>
    <w:pPr>
      <w:ind w:left="1134" w:hanging="567"/>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rsid w:val="00C00568"/>
    <w:rPr>
      <w:b/>
      <w:bCs/>
    </w:rPr>
  </w:style>
  <w:style w:type="paragraph" w:styleId="Subtitle">
    <w:name w:val="Subtitle"/>
    <w:basedOn w:val="Normal"/>
    <w:next w:val="Normal"/>
    <w:link w:val="SubtitleChar"/>
    <w:uiPriority w:val="11"/>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rsid w:val="00C00568"/>
    <w:rPr>
      <w:smallCaps/>
      <w:color w:val="00497A" w:themeColor="accent2"/>
      <w:u w:val="single"/>
    </w:rPr>
  </w:style>
  <w:style w:type="table" w:styleId="Table3Deffects1">
    <w:name w:val="Table 3D effects 1"/>
    <w:basedOn w:val="TableNormal"/>
    <w:uiPriority w:val="99"/>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customStyle="1" w:styleId="ModelReportFinancialTable">
    <w:name w:val="Model Report Financial Table"/>
    <w:basedOn w:val="TableNormal"/>
    <w:uiPriority w:val="99"/>
    <w:rsid w:val="0044350A"/>
    <w:pPr>
      <w:spacing w:before="20" w:after="20"/>
      <w:jc w:val="right"/>
    </w:pPr>
    <w:rPr>
      <w:sz w:val="16"/>
    </w:rPr>
    <w:tblPr>
      <w:tblCellMar>
        <w:left w:w="57" w:type="dxa"/>
        <w:right w:w="57" w:type="dxa"/>
      </w:tblCellMar>
    </w:tblPr>
    <w:tblStylePr w:type="firstRow">
      <w:pPr>
        <w:jc w:val="right"/>
      </w:pPr>
      <w:rPr>
        <w:i/>
      </w:rPr>
      <w:tblPr/>
      <w:tcPr>
        <w:shd w:val="clear" w:color="auto" w:fill="000000" w:themeFill="text1"/>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color w:val="0072CE" w:themeColor="accent4"/>
        <w:sz w:val="14"/>
      </w:rPr>
    </w:tblStylePr>
    <w:tblStylePr w:type="nwCell">
      <w:pPr>
        <w:jc w:val="left"/>
      </w:pPr>
      <w:rPr>
        <w:i/>
        <w:sz w:val="14"/>
      </w:rPr>
      <w:tblPr/>
      <w:tcPr>
        <w:shd w:val="clear" w:color="auto" w:fill="FFFFFF" w:themeFill="background1"/>
        <w:vAlign w:val="bottom"/>
      </w:tcPr>
    </w:tblStylePr>
    <w:tblStylePr w:type="swCell">
      <w:rPr>
        <w:b w:val="0"/>
      </w:rPr>
      <w:tblPr/>
      <w:tcPr>
        <w:tcBorders>
          <w:top w:val="nil"/>
          <w:left w:val="nil"/>
          <w:bottom w:val="nil"/>
          <w:right w:val="nil"/>
          <w:insideH w:val="nil"/>
          <w:insideV w:val="nil"/>
          <w:tl2br w:val="nil"/>
          <w:tr2bl w:val="nil"/>
        </w:tcBorders>
      </w:tcPr>
    </w:tblStylePr>
  </w:style>
  <w:style w:type="table" w:styleId="TableProfessional">
    <w:name w:val="Table Professional"/>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39"/>
    <w:rsid w:val="00C00568"/>
    <w:pPr>
      <w:spacing w:after="100"/>
      <w:ind w:left="880"/>
    </w:pPr>
  </w:style>
  <w:style w:type="paragraph" w:styleId="TOC6">
    <w:name w:val="toc 6"/>
    <w:basedOn w:val="Normal"/>
    <w:next w:val="Normal"/>
    <w:autoRedefine/>
    <w:uiPriority w:val="39"/>
    <w:rsid w:val="00C00568"/>
    <w:pPr>
      <w:spacing w:after="100"/>
      <w:ind w:left="1100"/>
    </w:pPr>
  </w:style>
  <w:style w:type="paragraph" w:styleId="TOC8">
    <w:name w:val="toc 8"/>
    <w:basedOn w:val="Normal"/>
    <w:next w:val="Normal"/>
    <w:uiPriority w:val="39"/>
    <w:rsid w:val="00B05757"/>
    <w:pPr>
      <w:tabs>
        <w:tab w:val="left" w:pos="567"/>
        <w:tab w:val="right" w:pos="8107"/>
      </w:tabs>
      <w:spacing w:before="60" w:after="100" w:line="216" w:lineRule="auto"/>
    </w:pPr>
  </w:style>
  <w:style w:type="paragraph" w:styleId="TOCHeading">
    <w:name w:val="TOC Heading"/>
    <w:basedOn w:val="Heading10"/>
    <w:next w:val="Normal"/>
    <w:uiPriority w:val="90"/>
    <w:unhideWhenUsed/>
    <w:rsid w:val="00C00568"/>
    <w:pPr>
      <w:spacing w:before="480"/>
      <w:outlineLvl w:val="9"/>
    </w:pPr>
    <w:rPr>
      <w:caps w:val="0"/>
      <w:color w:val="004A7C" w:themeColor="accent1" w:themeShade="BF"/>
      <w:spacing w:val="0"/>
    </w:rPr>
  </w:style>
  <w:style w:type="table" w:customStyle="1" w:styleId="DTFTextTable">
    <w:name w:val="DTF Text Table"/>
    <w:basedOn w:val="DTFTable"/>
    <w:uiPriority w:val="99"/>
    <w:rsid w:val="00D3365F"/>
    <w:pPr>
      <w:spacing w:before="60" w:after="60" w:line="216" w:lineRule="auto"/>
      <w:jc w:val="left"/>
    </w:pPr>
    <w:rPr>
      <w:sz w:val="18"/>
    </w:rPr>
    <w:tbl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nil"/>
          <w:right w:val="nil"/>
          <w:insideH w:val="nil"/>
          <w:insideV w:val="nil"/>
          <w:tl2br w:val="nil"/>
          <w:tr2bl w:val="nil"/>
        </w:tcBorders>
        <w:shd w:val="clear" w:color="auto" w:fill="EBEBEB" w:themeFill="background2"/>
      </w:tcPr>
    </w:tblStylePr>
    <w:tblStylePr w:type="band2Horz">
      <w:tblPr/>
      <w:tcPr>
        <w:shd w:val="clear" w:color="auto" w:fill="FFFFFF" w:themeFill="background1"/>
      </w:tcPr>
    </w:tblStylePr>
  </w:style>
  <w:style w:type="character" w:customStyle="1" w:styleId="FooterevenChar">
    <w:name w:val="Footer (even) Char"/>
    <w:basedOn w:val="FooterChar"/>
    <w:link w:val="Footereven"/>
    <w:uiPriority w:val="84"/>
    <w:rsid w:val="00F73105"/>
    <w:rPr>
      <w:rFonts w:asciiTheme="majorHAnsi" w:hAnsiTheme="majorHAnsi"/>
      <w:spacing w:val="2"/>
    </w:rPr>
  </w:style>
  <w:style w:type="paragraph" w:customStyle="1" w:styleId="TableUnits">
    <w:name w:val="Table Units"/>
    <w:basedOn w:val="TableHeading"/>
    <w:next w:val="Normal"/>
    <w:link w:val="TableUnitsChar"/>
    <w:uiPriority w:val="50"/>
    <w:qFormat/>
    <w:rsid w:val="00217A5D"/>
    <w:pPr>
      <w:tabs>
        <w:tab w:val="clear" w:pos="1134"/>
        <w:tab w:val="clear" w:pos="9639"/>
        <w:tab w:val="clear" w:pos="14572"/>
      </w:tabs>
      <w:spacing w:before="0"/>
      <w:ind w:left="0" w:firstLine="0"/>
      <w:jc w:val="right"/>
    </w:pPr>
  </w:style>
  <w:style w:type="table" w:customStyle="1" w:styleId="ModelReportGuidanceTable">
    <w:name w:val="Model Report Guidance Table"/>
    <w:basedOn w:val="TableNormal"/>
    <w:uiPriority w:val="99"/>
    <w:rsid w:val="00CA4206"/>
    <w:rPr>
      <w:color w:val="0072CE" w:themeColor="accent4"/>
    </w:rPr>
    <w:tblPr>
      <w:tblBorders>
        <w:top w:val="single" w:sz="6" w:space="0" w:color="0072CE" w:themeColor="accent4"/>
        <w:left w:val="single" w:sz="6" w:space="0" w:color="0072CE" w:themeColor="accent4"/>
        <w:bottom w:val="single" w:sz="6" w:space="0" w:color="0072CE" w:themeColor="accent4"/>
        <w:right w:val="single" w:sz="6" w:space="0" w:color="0072CE" w:themeColor="accent4"/>
      </w:tblBorders>
      <w:tblCellMar>
        <w:left w:w="57" w:type="dxa"/>
        <w:right w:w="57" w:type="dxa"/>
      </w:tblCellMar>
    </w:tblPr>
    <w:tblStylePr w:type="firstRow">
      <w:pPr>
        <w:wordWrap/>
        <w:spacing w:beforeLines="0" w:before="40" w:beforeAutospacing="0" w:afterLines="0" w:after="40" w:afterAutospacing="0"/>
      </w:pPr>
      <w:rPr>
        <w:b/>
        <w:color w:val="FFFFFF" w:themeColor="background1"/>
      </w:rPr>
      <w:tblPr/>
      <w:tcPr>
        <w:shd w:val="clear" w:color="auto" w:fill="0072CE" w:themeFill="accent4"/>
      </w:tcPr>
    </w:tblStylePr>
  </w:style>
  <w:style w:type="character" w:customStyle="1" w:styleId="ListBulletChar">
    <w:name w:val="List Bullet Char"/>
    <w:basedOn w:val="DefaultParagraphFont"/>
    <w:link w:val="ListBullet"/>
    <w:uiPriority w:val="19"/>
    <w:rsid w:val="00B60291"/>
    <w:rPr>
      <w:spacing w:val="2"/>
    </w:rPr>
  </w:style>
  <w:style w:type="character" w:customStyle="1" w:styleId="SourceReference">
    <w:name w:val="Source Reference"/>
    <w:basedOn w:val="DefaultParagraphFont"/>
    <w:uiPriority w:val="54"/>
    <w:rsid w:val="00C4347A"/>
    <w:rPr>
      <w:noProof/>
      <w:color w:val="0072CE" w:themeColor="accent4"/>
      <w:sz w:val="14"/>
      <w:lang w:val="en-AU"/>
    </w:rPr>
  </w:style>
  <w:style w:type="paragraph" w:customStyle="1" w:styleId="Tabletext">
    <w:name w:val="Table text"/>
    <w:basedOn w:val="TableofFigures"/>
    <w:link w:val="TabletextChar"/>
    <w:uiPriority w:val="9"/>
    <w:qFormat/>
    <w:rsid w:val="006D4EA2"/>
    <w:pPr>
      <w:keepLines w:val="0"/>
      <w:spacing w:before="20" w:after="20"/>
      <w:ind w:left="170" w:hanging="170"/>
    </w:pPr>
    <w:rPr>
      <w:rFonts w:eastAsia="Tahoma" w:cs="Arial"/>
      <w:noProof/>
      <w:sz w:val="16"/>
      <w:lang w:eastAsia="en-AU"/>
    </w:rPr>
  </w:style>
  <w:style w:type="paragraph" w:styleId="Revision">
    <w:name w:val="Revision"/>
    <w:hidden/>
    <w:uiPriority w:val="99"/>
    <w:semiHidden/>
    <w:rsid w:val="00CF6CC7"/>
    <w:pPr>
      <w:spacing w:before="0"/>
    </w:pPr>
    <w:rPr>
      <w:spacing w:val="2"/>
    </w:rPr>
  </w:style>
  <w:style w:type="numbering" w:customStyle="1" w:styleId="Bullet10">
    <w:name w:val="Bullet1"/>
    <w:uiPriority w:val="99"/>
    <w:rsid w:val="0070785E"/>
  </w:style>
  <w:style w:type="character" w:customStyle="1" w:styleId="millionChar">
    <w:name w:val="$million Char"/>
    <w:link w:val="million"/>
    <w:rsid w:val="00AD47C0"/>
    <w:rPr>
      <w:rFonts w:ascii="Arial" w:hAnsi="Arial"/>
      <w:i/>
      <w:spacing w:val="6"/>
      <w:sz w:val="16"/>
      <w:szCs w:val="16"/>
    </w:rPr>
  </w:style>
  <w:style w:type="table" w:customStyle="1" w:styleId="ModelReportGuidanceTable1">
    <w:name w:val="Model Report Guidance Table1"/>
    <w:basedOn w:val="TableNormal"/>
    <w:uiPriority w:val="99"/>
    <w:rsid w:val="0070785E"/>
    <w:rPr>
      <w:color w:val="0072CE" w:themeColor="accent4"/>
    </w:rPr>
    <w:tblPr>
      <w:tblBorders>
        <w:top w:val="single" w:sz="6" w:space="0" w:color="0072CE" w:themeColor="accent4"/>
        <w:left w:val="single" w:sz="6" w:space="0" w:color="0072CE" w:themeColor="accent4"/>
        <w:bottom w:val="single" w:sz="6" w:space="0" w:color="0072CE" w:themeColor="accent4"/>
        <w:right w:val="single" w:sz="6" w:space="0" w:color="0072CE" w:themeColor="accent4"/>
      </w:tblBorders>
      <w:tblCellMar>
        <w:left w:w="57" w:type="dxa"/>
        <w:right w:w="57" w:type="dxa"/>
      </w:tblCellMar>
    </w:tblPr>
    <w:tblStylePr w:type="firstRow">
      <w:pPr>
        <w:wordWrap/>
        <w:spacing w:beforeLines="0" w:before="40" w:beforeAutospacing="0" w:afterLines="0" w:after="40" w:afterAutospacing="0"/>
      </w:pPr>
      <w:rPr>
        <w:b/>
        <w:color w:val="FFFFFF" w:themeColor="background1"/>
      </w:rPr>
      <w:tblPr/>
      <w:tcPr>
        <w:shd w:val="clear" w:color="auto" w:fill="0072CE" w:themeFill="accent4"/>
      </w:tcPr>
    </w:tblStylePr>
  </w:style>
  <w:style w:type="numbering" w:customStyle="1" w:styleId="Bullet2">
    <w:name w:val="Bullet2"/>
    <w:uiPriority w:val="99"/>
    <w:rsid w:val="003B7414"/>
  </w:style>
  <w:style w:type="paragraph" w:customStyle="1" w:styleId="Smallline">
    <w:name w:val="Small line"/>
    <w:basedOn w:val="BodyText"/>
    <w:qFormat/>
    <w:rsid w:val="006D4EA2"/>
    <w:pPr>
      <w:keepLines w:val="0"/>
      <w:tabs>
        <w:tab w:val="left" w:pos="360"/>
      </w:tabs>
      <w:spacing w:before="0" w:after="0" w:line="257" w:lineRule="auto"/>
      <w:ind w:left="360" w:hanging="360"/>
    </w:pPr>
    <w:rPr>
      <w:rFonts w:ascii="Arial" w:hAnsi="Arial"/>
      <w:spacing w:val="6"/>
      <w:sz w:val="4"/>
      <w:szCs w:val="4"/>
    </w:rPr>
  </w:style>
  <w:style w:type="paragraph" w:customStyle="1" w:styleId="Tabletextheadingleft">
    <w:name w:val="Table text heading left"/>
    <w:rsid w:val="006D4EA2"/>
    <w:pPr>
      <w:spacing w:before="100" w:after="40"/>
    </w:pPr>
    <w:rPr>
      <w:rFonts w:ascii="Arial" w:hAnsi="Arial"/>
      <w:i/>
      <w:color w:val="FFFFFF" w:themeColor="background1"/>
      <w:spacing w:val="6"/>
      <w:sz w:val="16"/>
      <w:szCs w:val="16"/>
    </w:rPr>
  </w:style>
  <w:style w:type="table" w:customStyle="1" w:styleId="Modeltable">
    <w:name w:val="Model table"/>
    <w:basedOn w:val="TableNormal"/>
    <w:uiPriority w:val="99"/>
    <w:rsid w:val="006D4EA2"/>
    <w:pPr>
      <w:spacing w:before="40"/>
    </w:pPr>
    <w:rPr>
      <w:rFonts w:ascii="Arial" w:hAnsi="Arial"/>
      <w:sz w:val="16"/>
      <w:szCs w:val="22"/>
    </w:rPr>
    <w:tblPr>
      <w:tblStyleRowBandSize w:val="1"/>
      <w:tblStyleColBandSize w:val="1"/>
      <w:tblBorders>
        <w:bottom w:val="single" w:sz="12" w:space="0" w:color="000000" w:themeColor="text1"/>
      </w:tblBorders>
      <w:tblCellMar>
        <w:left w:w="43" w:type="dxa"/>
        <w:right w:w="43" w:type="dxa"/>
      </w:tblCellMar>
    </w:tblPr>
    <w:tblStylePr w:type="firstRow">
      <w:rPr>
        <w:rFonts w:ascii="Arial" w:hAnsi="Arial"/>
        <w:color w:val="FFFFFF" w:themeColor="background1"/>
        <w:sz w:val="18"/>
      </w:rPr>
      <w:tblPr/>
      <w:tcPr>
        <w:shd w:val="clear" w:color="auto" w:fill="000000" w:themeFill="text1"/>
        <w:vAlign w:val="bottom"/>
      </w:tcPr>
    </w:tblStylePr>
    <w:tblStylePr w:type="lastRow">
      <w:tblPr/>
      <w:tcPr>
        <w:tcBorders>
          <w:top w:val="nil"/>
          <w:left w:val="nil"/>
          <w:bottom w:val="single" w:sz="12" w:space="0" w:color="000000" w:themeColor="text1"/>
          <w:right w:val="nil"/>
          <w:insideH w:val="nil"/>
          <w:insideV w:val="nil"/>
          <w:tl2br w:val="nil"/>
          <w:tr2bl w:val="nil"/>
        </w:tcBorders>
      </w:tcPr>
    </w:tblStylePr>
  </w:style>
  <w:style w:type="paragraph" w:styleId="TableofFigures">
    <w:name w:val="table of figures"/>
    <w:basedOn w:val="Normal"/>
    <w:next w:val="Normal"/>
    <w:link w:val="TableofFiguresChar"/>
    <w:unhideWhenUsed/>
    <w:qFormat/>
    <w:rsid w:val="00CB45DF"/>
  </w:style>
  <w:style w:type="paragraph" w:customStyle="1" w:styleId="Tabletextbold">
    <w:name w:val="Table text bold"/>
    <w:qFormat/>
    <w:rsid w:val="006D4EA2"/>
    <w:pPr>
      <w:spacing w:after="20" w:line="276" w:lineRule="auto"/>
    </w:pPr>
    <w:rPr>
      <w:rFonts w:ascii="Arial" w:hAnsi="Arial"/>
      <w:b/>
      <w:spacing w:val="6"/>
      <w:sz w:val="16"/>
      <w:szCs w:val="16"/>
    </w:rPr>
  </w:style>
  <w:style w:type="paragraph" w:customStyle="1" w:styleId="Tabletextcentred">
    <w:name w:val="Table text centred"/>
    <w:basedOn w:val="Tabletext"/>
    <w:rsid w:val="006D4EA2"/>
    <w:pPr>
      <w:jc w:val="center"/>
    </w:pPr>
  </w:style>
  <w:style w:type="character" w:customStyle="1" w:styleId="TabletextChar">
    <w:name w:val="Table text Char"/>
    <w:link w:val="Tabletext"/>
    <w:uiPriority w:val="9"/>
    <w:rsid w:val="006D4EA2"/>
    <w:rPr>
      <w:rFonts w:eastAsia="Tahoma" w:cs="Arial"/>
      <w:noProof/>
      <w:spacing w:val="2"/>
      <w:sz w:val="16"/>
      <w:lang w:eastAsia="en-AU"/>
    </w:rPr>
  </w:style>
  <w:style w:type="paragraph" w:customStyle="1" w:styleId="Heading1nonTOC">
    <w:name w:val="Heading 1 (non TOC)"/>
    <w:basedOn w:val="Heading10"/>
    <w:next w:val="Normal"/>
    <w:uiPriority w:val="12"/>
    <w:qFormat/>
    <w:rsid w:val="00AA770B"/>
  </w:style>
  <w:style w:type="paragraph" w:customStyle="1" w:styleId="Heading2nonTOC">
    <w:name w:val="Heading 2 (non TOC)"/>
    <w:basedOn w:val="Heading20"/>
    <w:next w:val="BodyText"/>
    <w:uiPriority w:val="12"/>
    <w:qFormat/>
    <w:rsid w:val="00AA770B"/>
  </w:style>
  <w:style w:type="paragraph" w:customStyle="1" w:styleId="Subheading">
    <w:name w:val="Subheading"/>
    <w:basedOn w:val="BodyText"/>
    <w:next w:val="Normal"/>
    <w:uiPriority w:val="49"/>
    <w:qFormat/>
    <w:rsid w:val="006D4EA2"/>
    <w:pPr>
      <w:keepNext/>
      <w:keepLines w:val="0"/>
      <w:tabs>
        <w:tab w:val="right" w:pos="9582"/>
      </w:tabs>
      <w:spacing w:before="200" w:after="160"/>
    </w:pPr>
    <w:rPr>
      <w:rFonts w:asciiTheme="majorHAnsi" w:hAnsiTheme="majorHAnsi"/>
      <w:b/>
      <w:spacing w:val="-2"/>
      <w:szCs w:val="20"/>
    </w:rPr>
  </w:style>
  <w:style w:type="paragraph" w:customStyle="1" w:styleId="Heading2blue">
    <w:name w:val="Heading 2 blue"/>
    <w:basedOn w:val="Heading20"/>
    <w:uiPriority w:val="18"/>
    <w:rsid w:val="006D4EA2"/>
    <w:pPr>
      <w:numPr>
        <w:ilvl w:val="0"/>
      </w:numPr>
      <w:tabs>
        <w:tab w:val="clear" w:pos="964"/>
        <w:tab w:val="clear" w:pos="9582"/>
      </w:tabs>
      <w:spacing w:after="120"/>
    </w:pPr>
    <w:rPr>
      <w:rFonts w:ascii="Arial" w:hAnsi="Arial"/>
      <w:color w:val="0072CE" w:themeColor="accent4"/>
    </w:rPr>
  </w:style>
  <w:style w:type="paragraph" w:customStyle="1" w:styleId="Reference">
    <w:name w:val="Reference"/>
    <w:basedOn w:val="Normal"/>
    <w:link w:val="ReferenceChar"/>
    <w:qFormat/>
    <w:rsid w:val="006D4EA2"/>
    <w:pPr>
      <w:keepLines w:val="0"/>
      <w:spacing w:before="20" w:after="20"/>
    </w:pPr>
    <w:rPr>
      <w:rFonts w:eastAsia="Tahoma" w:cs="Arial"/>
      <w:iCs/>
      <w:noProof/>
      <w:color w:val="0072CE" w:themeColor="accent4"/>
      <w:sz w:val="14"/>
      <w:szCs w:val="14"/>
      <w:lang w:eastAsia="en-AU"/>
    </w:rPr>
  </w:style>
  <w:style w:type="character" w:customStyle="1" w:styleId="ReferenceChar">
    <w:name w:val="Reference Char"/>
    <w:link w:val="Reference"/>
    <w:rsid w:val="006D4EA2"/>
    <w:rPr>
      <w:rFonts w:eastAsia="Tahoma" w:cs="Arial"/>
      <w:iCs/>
      <w:noProof/>
      <w:color w:val="0072CE" w:themeColor="accent4"/>
      <w:spacing w:val="2"/>
      <w:sz w:val="14"/>
      <w:szCs w:val="14"/>
      <w:lang w:eastAsia="en-AU"/>
    </w:rPr>
  </w:style>
  <w:style w:type="paragraph" w:customStyle="1" w:styleId="Guidancenoborder">
    <w:name w:val="Guidance no border"/>
    <w:basedOn w:val="Normal"/>
    <w:qFormat/>
    <w:rsid w:val="006D4EA2"/>
    <w:pPr>
      <w:keepLines w:val="0"/>
      <w:spacing w:after="120"/>
    </w:pPr>
    <w:rPr>
      <w:rFonts w:ascii="Arial" w:hAnsi="Arial"/>
      <w:color w:val="0072CE" w:themeColor="accent4"/>
    </w:rPr>
  </w:style>
  <w:style w:type="paragraph" w:customStyle="1" w:styleId="Guidanceindentnoborder">
    <w:name w:val="Guidance indent no border"/>
    <w:basedOn w:val="Normal"/>
    <w:qFormat/>
    <w:rsid w:val="006D4EA2"/>
    <w:pPr>
      <w:keepLines w:val="0"/>
      <w:tabs>
        <w:tab w:val="left" w:pos="450"/>
      </w:tabs>
      <w:spacing w:before="60" w:after="60"/>
      <w:ind w:left="446" w:hanging="446"/>
      <w:contextualSpacing/>
    </w:pPr>
    <w:rPr>
      <w:rFonts w:ascii="Arial" w:hAnsi="Arial"/>
      <w:color w:val="0072CE" w:themeColor="accent4"/>
    </w:rPr>
  </w:style>
  <w:style w:type="paragraph" w:customStyle="1" w:styleId="Heading3unnumbered">
    <w:name w:val="Heading 3 (unnumbered)"/>
    <w:basedOn w:val="Heading30"/>
    <w:next w:val="BodyText"/>
    <w:uiPriority w:val="12"/>
    <w:qFormat/>
    <w:rsid w:val="00AA770B"/>
    <w:pPr>
      <w:numPr>
        <w:ilvl w:val="0"/>
      </w:numPr>
      <w:tabs>
        <w:tab w:val="clear" w:pos="737"/>
        <w:tab w:val="clear" w:pos="9582"/>
      </w:tabs>
      <w:spacing w:before="240" w:after="120"/>
      <w:ind w:left="737" w:hanging="737"/>
    </w:pPr>
    <w:rPr>
      <w:rFonts w:ascii="Arial" w:hAnsi="Arial"/>
    </w:rPr>
  </w:style>
  <w:style w:type="paragraph" w:customStyle="1" w:styleId="Guidanceheading1">
    <w:name w:val="Guidance heading 1"/>
    <w:uiPriority w:val="4"/>
    <w:qFormat/>
    <w:rsid w:val="00F10450"/>
    <w:pPr>
      <w:keepNext/>
      <w:pBdr>
        <w:left w:val="single" w:sz="4" w:space="4" w:color="0072CE"/>
        <w:right w:val="single" w:sz="4" w:space="4" w:color="0072CE"/>
      </w:pBdr>
      <w:spacing w:before="160"/>
    </w:pPr>
    <w:rPr>
      <w:rFonts w:ascii="Arial" w:hAnsi="Arial"/>
      <w:b/>
      <w:color w:val="0072CE"/>
      <w:spacing w:val="6"/>
      <w:szCs w:val="22"/>
    </w:rPr>
  </w:style>
  <w:style w:type="paragraph" w:customStyle="1" w:styleId="Guidance">
    <w:name w:val="Guidance"/>
    <w:basedOn w:val="BodyText"/>
    <w:uiPriority w:val="4"/>
    <w:qFormat/>
    <w:rsid w:val="00F10450"/>
    <w:pPr>
      <w:keepLines w:val="0"/>
      <w:pBdr>
        <w:left w:val="single" w:sz="4" w:space="4" w:color="0072CE" w:themeColor="accent4"/>
        <w:bottom w:val="single" w:sz="4" w:space="1" w:color="0072CE" w:themeColor="accent4"/>
        <w:right w:val="single" w:sz="4" w:space="4" w:color="0072CE" w:themeColor="accent4"/>
      </w:pBdr>
    </w:pPr>
    <w:rPr>
      <w:rFonts w:ascii="Arial" w:hAnsi="Arial"/>
      <w:color w:val="0072CE" w:themeColor="accent4"/>
    </w:rPr>
  </w:style>
  <w:style w:type="paragraph" w:customStyle="1" w:styleId="Guidanceheading">
    <w:name w:val="Guidance heading"/>
    <w:uiPriority w:val="4"/>
    <w:qFormat/>
    <w:rsid w:val="00F10450"/>
    <w:pPr>
      <w:keepNext/>
      <w:pBdr>
        <w:top w:val="single" w:sz="4" w:space="4" w:color="0072CE"/>
        <w:left w:val="single" w:sz="4" w:space="4" w:color="0072CE"/>
        <w:bottom w:val="single" w:sz="4" w:space="3" w:color="0072CE"/>
        <w:right w:val="single" w:sz="4" w:space="4" w:color="0072CE"/>
      </w:pBdr>
      <w:shd w:val="clear" w:color="auto" w:fill="0072CE"/>
      <w:spacing w:before="0" w:line="264" w:lineRule="auto"/>
    </w:pPr>
    <w:rPr>
      <w:rFonts w:ascii="Arial Bold" w:hAnsi="Arial Bold"/>
      <w:b/>
      <w:color w:val="FFFFFF" w:themeColor="background1"/>
      <w:spacing w:val="6"/>
      <w:position w:val="4"/>
      <w:szCs w:val="20"/>
    </w:rPr>
  </w:style>
  <w:style w:type="paragraph" w:customStyle="1" w:styleId="Guidancebulletnoborder">
    <w:name w:val="Guidance bullet no border"/>
    <w:basedOn w:val="Guidancebullet"/>
    <w:qFormat/>
    <w:rsid w:val="00080446"/>
    <w:pPr>
      <w:pBdr>
        <w:left w:val="none" w:sz="0" w:space="0" w:color="auto"/>
        <w:bottom w:val="none" w:sz="0" w:space="0" w:color="auto"/>
        <w:right w:val="none" w:sz="0" w:space="0" w:color="auto"/>
      </w:pBdr>
    </w:pPr>
  </w:style>
  <w:style w:type="paragraph" w:customStyle="1" w:styleId="NormalBlue">
    <w:name w:val="Normal Blue"/>
    <w:basedOn w:val="Normal"/>
    <w:link w:val="NormalBlueChar"/>
    <w:qFormat/>
    <w:rsid w:val="00AD47C0"/>
    <w:rPr>
      <w:color w:val="0000FF"/>
      <w:spacing w:val="0"/>
      <w:sz w:val="22"/>
      <w:szCs w:val="22"/>
    </w:rPr>
  </w:style>
  <w:style w:type="paragraph" w:customStyle="1" w:styleId="Headingnotecontinued">
    <w:name w:val="Heading (note continued)"/>
    <w:basedOn w:val="Headingnote"/>
    <w:next w:val="Normal"/>
    <w:uiPriority w:val="99"/>
    <w:unhideWhenUsed/>
    <w:qFormat/>
    <w:rsid w:val="00080446"/>
  </w:style>
  <w:style w:type="paragraph" w:customStyle="1" w:styleId="Heading1Pt3">
    <w:name w:val="Heading 1 Pt3"/>
    <w:basedOn w:val="Heading10"/>
    <w:qFormat/>
    <w:rsid w:val="00080446"/>
    <w:pPr>
      <w:numPr>
        <w:numId w:val="15"/>
      </w:numPr>
      <w:pBdr>
        <w:bottom w:val="single" w:sz="12" w:space="1" w:color="53565A"/>
      </w:pBdr>
      <w:spacing w:after="120"/>
    </w:pPr>
    <w:rPr>
      <w:rFonts w:ascii="Arial" w:hAnsi="Arial"/>
      <w:color w:val="53565A"/>
      <w:sz w:val="29"/>
    </w:rPr>
  </w:style>
  <w:style w:type="paragraph" w:customStyle="1" w:styleId="HighlightBullet">
    <w:name w:val="Highlight Bullet"/>
    <w:basedOn w:val="ListBullet"/>
    <w:next w:val="Normal"/>
    <w:uiPriority w:val="7"/>
    <w:qFormat/>
    <w:rsid w:val="00080446"/>
    <w:pPr>
      <w:keepLines w:val="0"/>
      <w:numPr>
        <w:numId w:val="0"/>
      </w:numPr>
      <w:shd w:val="clear" w:color="auto" w:fill="EBEBEB"/>
      <w:spacing w:after="60"/>
    </w:pPr>
    <w:rPr>
      <w:szCs w:val="20"/>
    </w:rPr>
  </w:style>
  <w:style w:type="paragraph" w:customStyle="1" w:styleId="HighlightText">
    <w:name w:val="Highlight Text"/>
    <w:basedOn w:val="BodyText"/>
    <w:uiPriority w:val="7"/>
    <w:qFormat/>
    <w:rsid w:val="00080446"/>
    <w:pPr>
      <w:keepLines w:val="0"/>
      <w:shd w:val="clear" w:color="auto" w:fill="EBEBEB"/>
      <w:spacing w:after="60"/>
    </w:pPr>
    <w:rPr>
      <w:szCs w:val="20"/>
    </w:rPr>
  </w:style>
  <w:style w:type="paragraph" w:customStyle="1" w:styleId="HighlightHeading">
    <w:name w:val="Highlight Heading"/>
    <w:basedOn w:val="HighlightText"/>
    <w:uiPriority w:val="7"/>
    <w:qFormat/>
    <w:rsid w:val="00080446"/>
    <w:pPr>
      <w:keepNext/>
    </w:pPr>
    <w:rPr>
      <w:i/>
    </w:rPr>
  </w:style>
  <w:style w:type="paragraph" w:customStyle="1" w:styleId="Heading1a">
    <w:name w:val="Heading 1a"/>
    <w:basedOn w:val="Heading10"/>
    <w:rsid w:val="00080446"/>
    <w:pPr>
      <w:pBdr>
        <w:bottom w:val="single" w:sz="12" w:space="1" w:color="53565A"/>
      </w:pBdr>
      <w:spacing w:after="120"/>
      <w:ind w:left="720" w:hanging="360"/>
    </w:pPr>
    <w:rPr>
      <w:rFonts w:ascii="Arial" w:hAnsi="Arial"/>
      <w:color w:val="53565A"/>
      <w:sz w:val="29"/>
    </w:rPr>
  </w:style>
  <w:style w:type="paragraph" w:customStyle="1" w:styleId="Listalpha">
    <w:name w:val="List alpha"/>
    <w:basedOn w:val="BodyText"/>
    <w:uiPriority w:val="4"/>
    <w:qFormat/>
    <w:rsid w:val="00080446"/>
    <w:pPr>
      <w:keepLines w:val="0"/>
      <w:tabs>
        <w:tab w:val="left" w:pos="900"/>
      </w:tabs>
      <w:spacing w:after="60"/>
      <w:ind w:left="405" w:hanging="405"/>
      <w:contextualSpacing/>
    </w:pPr>
  </w:style>
  <w:style w:type="paragraph" w:customStyle="1" w:styleId="Normalblue0">
    <w:name w:val="Normal blue"/>
    <w:basedOn w:val="BodyText"/>
    <w:uiPriority w:val="18"/>
    <w:rsid w:val="00080446"/>
    <w:pPr>
      <w:keepLines w:val="0"/>
    </w:pPr>
    <w:rPr>
      <w:rFonts w:ascii="Arial" w:hAnsi="Arial"/>
      <w:color w:val="0072CE" w:themeColor="accent4"/>
      <w:szCs w:val="22"/>
    </w:rPr>
  </w:style>
  <w:style w:type="paragraph" w:customStyle="1" w:styleId="Normalblueindent">
    <w:name w:val="Normal blue indent"/>
    <w:basedOn w:val="Normalblue0"/>
    <w:uiPriority w:val="18"/>
    <w:rsid w:val="00080446"/>
    <w:pPr>
      <w:ind w:left="360"/>
    </w:pPr>
    <w:rPr>
      <w:spacing w:val="0"/>
    </w:rPr>
  </w:style>
  <w:style w:type="paragraph" w:customStyle="1" w:styleId="NotesDash">
    <w:name w:val="Notes Dash"/>
    <w:basedOn w:val="Note"/>
    <w:next w:val="Note"/>
    <w:uiPriority w:val="53"/>
    <w:qFormat/>
    <w:rsid w:val="00080446"/>
    <w:pPr>
      <w:keepLines w:val="0"/>
      <w:tabs>
        <w:tab w:val="left" w:pos="720"/>
      </w:tabs>
      <w:spacing w:after="20"/>
      <w:ind w:left="720" w:hanging="360"/>
    </w:pPr>
    <w:rPr>
      <w:szCs w:val="20"/>
    </w:rPr>
  </w:style>
  <w:style w:type="paragraph" w:customStyle="1" w:styleId="Heading5blue">
    <w:name w:val="Heading 5 blue"/>
    <w:basedOn w:val="Heading5"/>
    <w:uiPriority w:val="18"/>
    <w:rsid w:val="00080446"/>
    <w:pPr>
      <w:numPr>
        <w:numId w:val="15"/>
      </w:numPr>
      <w:tabs>
        <w:tab w:val="clear" w:pos="737"/>
        <w:tab w:val="clear" w:pos="9582"/>
      </w:tabs>
      <w:spacing w:before="100" w:after="40"/>
    </w:pPr>
    <w:rPr>
      <w:rFonts w:ascii="Arial" w:hAnsi="Arial"/>
      <w:i/>
      <w:color w:val="0072CE" w:themeColor="accent4"/>
      <w:spacing w:val="-2"/>
    </w:rPr>
  </w:style>
  <w:style w:type="paragraph" w:customStyle="1" w:styleId="Referencered">
    <w:name w:val="Reference red"/>
    <w:basedOn w:val="Reference"/>
    <w:qFormat/>
    <w:rsid w:val="00080446"/>
    <w:pPr>
      <w:keepNext/>
      <w:spacing w:before="0" w:after="0"/>
    </w:pPr>
    <w:rPr>
      <w:rFonts w:ascii="Arial" w:hAnsi="Arial" w:cs="Arial Narrow"/>
      <w:iCs w:val="0"/>
      <w:noProof w:val="0"/>
      <w:color w:val="AF272F"/>
      <w:spacing w:val="0"/>
      <w:szCs w:val="16"/>
    </w:rPr>
  </w:style>
  <w:style w:type="paragraph" w:customStyle="1" w:styleId="OGBullet">
    <w:name w:val="OGBullet"/>
    <w:basedOn w:val="Normal"/>
    <w:semiHidden/>
    <w:rsid w:val="00080446"/>
    <w:pPr>
      <w:keepLines w:val="0"/>
      <w:numPr>
        <w:numId w:val="27"/>
      </w:numPr>
      <w:spacing w:before="0" w:after="120"/>
    </w:pPr>
    <w:rPr>
      <w:rFonts w:ascii="Calibri" w:eastAsia="Times New Roman" w:hAnsi="Calibri" w:cs="Times New Roman"/>
      <w:spacing w:val="0"/>
      <w:sz w:val="22"/>
    </w:rPr>
  </w:style>
  <w:style w:type="paragraph" w:customStyle="1" w:styleId="Subheadingunderline">
    <w:name w:val="Subheading (underline)"/>
    <w:basedOn w:val="Subheading"/>
    <w:next w:val="BodyText"/>
    <w:uiPriority w:val="50"/>
    <w:qFormat/>
    <w:rsid w:val="00080446"/>
    <w:pPr>
      <w:pBdr>
        <w:bottom w:val="single" w:sz="6" w:space="1" w:color="53565A"/>
      </w:pBdr>
      <w:spacing w:after="120"/>
    </w:pPr>
  </w:style>
  <w:style w:type="paragraph" w:customStyle="1" w:styleId="Guidanceindent2noborder">
    <w:name w:val="Guidance indent 2 no border"/>
    <w:basedOn w:val="Guidanceindentnoborder"/>
    <w:qFormat/>
    <w:rsid w:val="00080446"/>
    <w:pPr>
      <w:tabs>
        <w:tab w:val="clear" w:pos="450"/>
      </w:tabs>
      <w:ind w:left="806" w:hanging="360"/>
    </w:pPr>
  </w:style>
  <w:style w:type="table" w:customStyle="1" w:styleId="TableGrid20">
    <w:name w:val="Table Grid2"/>
    <w:basedOn w:val="TableNormal"/>
    <w:next w:val="TableGrid"/>
    <w:rsid w:val="00080446"/>
    <w:pPr>
      <w:spacing w:befor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luebullet">
    <w:name w:val="Table text blue bullet"/>
    <w:basedOn w:val="Tabletextblue"/>
    <w:uiPriority w:val="16"/>
    <w:qFormat/>
    <w:rsid w:val="00080446"/>
    <w:pPr>
      <w:numPr>
        <w:numId w:val="30"/>
      </w:numPr>
      <w:ind w:left="397" w:hanging="397"/>
      <w:contextualSpacing/>
    </w:pPr>
  </w:style>
  <w:style w:type="paragraph" w:customStyle="1" w:styleId="TableTextCentred0">
    <w:name w:val="Table Text Centred"/>
    <w:basedOn w:val="Tabletext"/>
    <w:rsid w:val="00080446"/>
    <w:pPr>
      <w:spacing w:before="30" w:after="30"/>
      <w:jc w:val="center"/>
    </w:pPr>
    <w:rPr>
      <w:rFonts w:ascii="Calibri" w:hAnsi="Calibri"/>
      <w:spacing w:val="0"/>
      <w:sz w:val="18"/>
    </w:rPr>
  </w:style>
  <w:style w:type="paragraph" w:customStyle="1" w:styleId="TabletextIndent">
    <w:name w:val="Table text Indent"/>
    <w:basedOn w:val="Normal"/>
    <w:rsid w:val="00080446"/>
    <w:pPr>
      <w:keepLines w:val="0"/>
      <w:spacing w:before="20" w:after="20"/>
      <w:ind w:left="259"/>
    </w:pPr>
    <w:rPr>
      <w:rFonts w:eastAsia="Tahoma" w:cs="Arial"/>
      <w:spacing w:val="0"/>
      <w:sz w:val="16"/>
      <w:lang w:eastAsia="en-AU"/>
    </w:rPr>
  </w:style>
  <w:style w:type="paragraph" w:customStyle="1" w:styleId="Tablebullet">
    <w:name w:val="Table bullet"/>
    <w:basedOn w:val="Tabletext"/>
    <w:uiPriority w:val="7"/>
    <w:rsid w:val="00080446"/>
    <w:pPr>
      <w:numPr>
        <w:numId w:val="28"/>
      </w:numPr>
      <w:tabs>
        <w:tab w:val="left" w:pos="288"/>
      </w:tabs>
      <w:spacing w:before="30" w:after="30" w:line="276" w:lineRule="auto"/>
      <w:ind w:left="360"/>
      <w:contextualSpacing/>
    </w:pPr>
    <w:rPr>
      <w:rFonts w:ascii="Arial" w:eastAsiaTheme="minorHAnsi" w:hAnsi="Arial" w:cstheme="minorBidi"/>
      <w:noProof w:val="0"/>
      <w:spacing w:val="6"/>
      <w:szCs w:val="16"/>
      <w:lang w:eastAsia="en-US"/>
    </w:rPr>
  </w:style>
  <w:style w:type="paragraph" w:customStyle="1" w:styleId="Tabledash">
    <w:name w:val="Table dash"/>
    <w:uiPriority w:val="7"/>
    <w:rsid w:val="00080446"/>
    <w:pPr>
      <w:numPr>
        <w:numId w:val="29"/>
      </w:numPr>
      <w:spacing w:before="30" w:after="30" w:line="276" w:lineRule="auto"/>
    </w:pPr>
    <w:rPr>
      <w:rFonts w:ascii="Arial" w:hAnsi="Arial"/>
      <w:spacing w:val="6"/>
      <w:sz w:val="16"/>
      <w:szCs w:val="16"/>
    </w:rPr>
  </w:style>
  <w:style w:type="paragraph" w:customStyle="1" w:styleId="Tabletextindent0">
    <w:name w:val="Table text indent"/>
    <w:basedOn w:val="Tabletext"/>
    <w:uiPriority w:val="13"/>
    <w:rsid w:val="00080446"/>
    <w:pPr>
      <w:ind w:left="288"/>
    </w:pPr>
  </w:style>
  <w:style w:type="paragraph" w:customStyle="1" w:styleId="Tabletextright">
    <w:name w:val="Table text right"/>
    <w:basedOn w:val="Tabletext"/>
    <w:uiPriority w:val="14"/>
    <w:rsid w:val="00080446"/>
    <w:pPr>
      <w:jc w:val="right"/>
    </w:pPr>
  </w:style>
  <w:style w:type="paragraph" w:customStyle="1" w:styleId="million">
    <w:name w:val="$million"/>
    <w:link w:val="millionChar"/>
    <w:qFormat/>
    <w:rsid w:val="00080446"/>
    <w:pPr>
      <w:spacing w:before="80" w:line="276" w:lineRule="auto"/>
      <w:jc w:val="center"/>
    </w:pPr>
    <w:rPr>
      <w:rFonts w:ascii="Arial" w:hAnsi="Arial"/>
      <w:i/>
      <w:spacing w:val="6"/>
      <w:sz w:val="16"/>
      <w:szCs w:val="16"/>
    </w:rPr>
  </w:style>
  <w:style w:type="paragraph" w:customStyle="1" w:styleId="Notesindent">
    <w:name w:val="Notes indent"/>
    <w:basedOn w:val="Normal"/>
    <w:uiPriority w:val="17"/>
    <w:rsid w:val="00080446"/>
    <w:pPr>
      <w:keepLines w:val="0"/>
      <w:tabs>
        <w:tab w:val="left" w:pos="360"/>
      </w:tabs>
      <w:spacing w:before="0"/>
      <w:ind w:left="720" w:hanging="720"/>
    </w:pPr>
    <w:rPr>
      <w:i/>
      <w:spacing w:val="0"/>
      <w:sz w:val="16"/>
      <w:szCs w:val="16"/>
    </w:rPr>
  </w:style>
  <w:style w:type="paragraph" w:customStyle="1" w:styleId="Notesbullet0">
    <w:name w:val="Notes bullet"/>
    <w:basedOn w:val="Normal"/>
    <w:uiPriority w:val="17"/>
    <w:rsid w:val="00080446"/>
    <w:pPr>
      <w:keepLines w:val="0"/>
      <w:numPr>
        <w:numId w:val="20"/>
      </w:numPr>
      <w:tabs>
        <w:tab w:val="left" w:pos="360"/>
      </w:tabs>
      <w:spacing w:before="0"/>
      <w:ind w:left="360"/>
    </w:pPr>
    <w:rPr>
      <w:i/>
      <w:spacing w:val="0"/>
      <w:sz w:val="16"/>
      <w:szCs w:val="16"/>
    </w:rPr>
  </w:style>
  <w:style w:type="paragraph" w:customStyle="1" w:styleId="Notesdash0">
    <w:name w:val="Notes dash"/>
    <w:basedOn w:val="Normal"/>
    <w:uiPriority w:val="17"/>
    <w:rsid w:val="00080446"/>
    <w:pPr>
      <w:keepLines w:val="0"/>
      <w:tabs>
        <w:tab w:val="left" w:pos="360"/>
      </w:tabs>
      <w:spacing w:before="0"/>
    </w:pPr>
    <w:rPr>
      <w:i/>
      <w:spacing w:val="0"/>
      <w:sz w:val="16"/>
      <w:szCs w:val="16"/>
    </w:rPr>
  </w:style>
  <w:style w:type="paragraph" w:customStyle="1" w:styleId="Heading3numbering">
    <w:name w:val="Heading 3 numbering"/>
    <w:uiPriority w:val="2"/>
    <w:qFormat/>
    <w:rsid w:val="00080446"/>
    <w:pPr>
      <w:numPr>
        <w:numId w:val="21"/>
      </w:numPr>
      <w:spacing w:before="160" w:line="276" w:lineRule="auto"/>
      <w:ind w:left="360"/>
    </w:pPr>
    <w:rPr>
      <w:rFonts w:ascii="Arial" w:hAnsi="Arial"/>
      <w:b/>
      <w:i/>
      <w:spacing w:val="6"/>
      <w:sz w:val="20"/>
      <w:szCs w:val="20"/>
    </w:rPr>
  </w:style>
  <w:style w:type="paragraph" w:customStyle="1" w:styleId="Tabletextheadingcentred">
    <w:name w:val="Table text heading centred"/>
    <w:rsid w:val="00080446"/>
    <w:pPr>
      <w:spacing w:before="100" w:after="40"/>
      <w:jc w:val="center"/>
    </w:pPr>
    <w:rPr>
      <w:rFonts w:ascii="Arial" w:hAnsi="Arial"/>
      <w:i/>
      <w:color w:val="FFFFFF" w:themeColor="background1"/>
      <w:spacing w:val="6"/>
      <w:sz w:val="16"/>
      <w:szCs w:val="22"/>
    </w:rPr>
  </w:style>
  <w:style w:type="paragraph" w:customStyle="1" w:styleId="Tabletextheadingright">
    <w:name w:val="Table text heading right"/>
    <w:uiPriority w:val="9"/>
    <w:rsid w:val="00080446"/>
    <w:pPr>
      <w:spacing w:before="100" w:after="40"/>
      <w:jc w:val="right"/>
    </w:pPr>
    <w:rPr>
      <w:rFonts w:ascii="Arial" w:hAnsi="Arial"/>
      <w:i/>
      <w:color w:val="FFFFFF" w:themeColor="background1"/>
      <w:spacing w:val="6"/>
      <w:sz w:val="16"/>
      <w:szCs w:val="16"/>
    </w:rPr>
  </w:style>
  <w:style w:type="paragraph" w:customStyle="1" w:styleId="Notesblue">
    <w:name w:val="Notes blue"/>
    <w:basedOn w:val="Note"/>
    <w:uiPriority w:val="18"/>
    <w:rsid w:val="00080446"/>
    <w:pPr>
      <w:keepLines w:val="0"/>
      <w:tabs>
        <w:tab w:val="left" w:pos="810"/>
      </w:tabs>
      <w:spacing w:before="120" w:after="20"/>
      <w:ind w:left="360" w:hanging="360"/>
    </w:pPr>
    <w:rPr>
      <w:color w:val="0072CE" w:themeColor="accent4"/>
      <w:szCs w:val="20"/>
    </w:rPr>
  </w:style>
  <w:style w:type="paragraph" w:customStyle="1" w:styleId="Notesindentblue">
    <w:name w:val="Notes indent blue"/>
    <w:basedOn w:val="Notesblue"/>
    <w:uiPriority w:val="18"/>
    <w:rsid w:val="00080446"/>
    <w:pPr>
      <w:tabs>
        <w:tab w:val="left" w:pos="360"/>
      </w:tabs>
      <w:spacing w:before="20"/>
      <w:ind w:left="720" w:hanging="720"/>
    </w:pPr>
  </w:style>
  <w:style w:type="paragraph" w:customStyle="1" w:styleId="Notesbulletblue">
    <w:name w:val="Notes bullet blue"/>
    <w:basedOn w:val="Notesblue"/>
    <w:uiPriority w:val="18"/>
    <w:rsid w:val="00080446"/>
    <w:pPr>
      <w:numPr>
        <w:numId w:val="25"/>
      </w:numPr>
      <w:spacing w:before="20"/>
    </w:pPr>
  </w:style>
  <w:style w:type="paragraph" w:customStyle="1" w:styleId="Notesdashblue">
    <w:name w:val="Notes dash blue"/>
    <w:basedOn w:val="Notesblue"/>
    <w:uiPriority w:val="18"/>
    <w:rsid w:val="00080446"/>
    <w:pPr>
      <w:numPr>
        <w:numId w:val="26"/>
      </w:numPr>
      <w:spacing w:before="20"/>
    </w:pPr>
  </w:style>
  <w:style w:type="paragraph" w:customStyle="1" w:styleId="Heading4blue">
    <w:name w:val="Heading 4 blue"/>
    <w:basedOn w:val="BodyText"/>
    <w:uiPriority w:val="18"/>
    <w:rsid w:val="00080446"/>
    <w:pPr>
      <w:keepLines w:val="0"/>
      <w:spacing w:after="0"/>
    </w:pPr>
    <w:rPr>
      <w:b/>
      <w:i/>
      <w:color w:val="0072CE" w:themeColor="accent4"/>
      <w:sz w:val="19"/>
      <w:szCs w:val="19"/>
    </w:rPr>
  </w:style>
  <w:style w:type="paragraph" w:customStyle="1" w:styleId="Tabletextblue">
    <w:name w:val="Table text blue"/>
    <w:basedOn w:val="Tabletext"/>
    <w:link w:val="TabletextblueChar"/>
    <w:qFormat/>
    <w:rsid w:val="00080446"/>
    <w:rPr>
      <w:color w:val="0072CE" w:themeColor="accent4"/>
    </w:rPr>
  </w:style>
  <w:style w:type="character" w:customStyle="1" w:styleId="TabletextblueChar">
    <w:name w:val="Table text blue Char"/>
    <w:link w:val="Tabletextblue"/>
    <w:rsid w:val="00080446"/>
    <w:rPr>
      <w:rFonts w:eastAsia="Tahoma" w:cs="Arial"/>
      <w:noProof/>
      <w:color w:val="0072CE" w:themeColor="accent4"/>
      <w:spacing w:val="2"/>
      <w:sz w:val="16"/>
      <w:lang w:eastAsia="en-AU"/>
    </w:rPr>
  </w:style>
  <w:style w:type="table" w:customStyle="1" w:styleId="Modeltable2">
    <w:name w:val="Model table 2"/>
    <w:basedOn w:val="Modeltable"/>
    <w:uiPriority w:val="99"/>
    <w:rsid w:val="00080446"/>
    <w:tblPr/>
    <w:tblStylePr w:type="firstRow">
      <w:rPr>
        <w:rFonts w:ascii="Arial" w:hAnsi="Arial"/>
        <w:color w:val="FFFFFF" w:themeColor="background1"/>
        <w:sz w:val="18"/>
      </w:rPr>
      <w:tblPr/>
      <w:tcPr>
        <w:tcBorders>
          <w:top w:val="single" w:sz="4" w:space="0" w:color="auto"/>
          <w:left w:val="single" w:sz="4" w:space="0" w:color="auto"/>
          <w:bottom w:val="single" w:sz="4" w:space="0" w:color="auto"/>
          <w:right w:val="single" w:sz="4" w:space="0" w:color="auto"/>
        </w:tcBorders>
        <w:shd w:val="clear" w:color="auto" w:fill="000000" w:themeFill="text1"/>
        <w:vAlign w:val="bottom"/>
      </w:tcPr>
    </w:tblStylePr>
    <w:tblStylePr w:type="lastRow">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tblPr/>
      <w:tcPr>
        <w:shd w:val="clear" w:color="auto" w:fill="EBEBEB"/>
      </w:tcPr>
    </w:tblStylePr>
    <w:tblStylePr w:type="band1Vert">
      <w:tblPr/>
      <w:tcPr>
        <w:shd w:val="clear" w:color="auto" w:fill="EBEBEB"/>
      </w:tcPr>
    </w:tblStylePr>
    <w:tblStylePr w:type="band2Vert">
      <w:tblPr/>
      <w:tcPr>
        <w:shd w:val="clear" w:color="auto" w:fill="EBEBEB"/>
      </w:tcPr>
    </w:tblStylePr>
    <w:tblStylePr w:type="band1Horz">
      <w:tblPr/>
      <w:tcPr>
        <w:shd w:val="clear" w:color="auto" w:fill="EBEBEB"/>
      </w:tcPr>
    </w:tblStylePr>
  </w:style>
  <w:style w:type="paragraph" w:customStyle="1" w:styleId="TableBullet0">
    <w:name w:val="Table Bullet"/>
    <w:basedOn w:val="Tabletext"/>
    <w:qFormat/>
    <w:rsid w:val="00080446"/>
    <w:pPr>
      <w:ind w:left="360" w:hanging="360"/>
      <w:contextualSpacing/>
    </w:pPr>
    <w:rPr>
      <w:rFonts w:ascii="Arial" w:hAnsi="Arial" w:cstheme="minorHAnsi"/>
      <w:szCs w:val="16"/>
    </w:rPr>
  </w:style>
  <w:style w:type="paragraph" w:customStyle="1" w:styleId="Guidancebullet2noborder">
    <w:name w:val="Guidance bullet 2 no border"/>
    <w:basedOn w:val="Guidancebulletnoborder"/>
    <w:qFormat/>
    <w:rsid w:val="00080446"/>
    <w:pPr>
      <w:numPr>
        <w:ilvl w:val="2"/>
        <w:numId w:val="22"/>
      </w:numPr>
      <w:ind w:left="806" w:hanging="360"/>
    </w:pPr>
  </w:style>
  <w:style w:type="paragraph" w:customStyle="1" w:styleId="Guidancealpha">
    <w:name w:val="Guidance alpha"/>
    <w:basedOn w:val="Guidanceindentnoborder"/>
    <w:qFormat/>
    <w:rsid w:val="00080446"/>
    <w:pPr>
      <w:numPr>
        <w:numId w:val="23"/>
      </w:numPr>
    </w:pPr>
  </w:style>
  <w:style w:type="table" w:customStyle="1" w:styleId="DTFFinancialTable">
    <w:name w:val="DTF Financial Table"/>
    <w:basedOn w:val="TableNormal"/>
    <w:uiPriority w:val="99"/>
    <w:rsid w:val="00080446"/>
    <w:pPr>
      <w:spacing w:before="20" w:after="20"/>
    </w:pPr>
    <w:rPr>
      <w:rFonts w:ascii="Arial" w:hAnsi="Arial"/>
      <w:spacing w:val="2"/>
      <w:sz w:val="16"/>
      <w:szCs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paragraph" w:customStyle="1" w:styleId="Guidancebullet">
    <w:name w:val="Guidance bullet"/>
    <w:basedOn w:val="Guidance"/>
    <w:uiPriority w:val="4"/>
    <w:qFormat/>
    <w:rsid w:val="00080446"/>
    <w:pPr>
      <w:spacing w:before="60" w:after="60"/>
      <w:ind w:left="446" w:hanging="446"/>
      <w:contextualSpacing/>
    </w:pPr>
  </w:style>
  <w:style w:type="paragraph" w:customStyle="1" w:styleId="Guidanceheading2">
    <w:name w:val="Guidance heading 2"/>
    <w:basedOn w:val="Guidance"/>
    <w:uiPriority w:val="4"/>
    <w:qFormat/>
    <w:rsid w:val="00080446"/>
    <w:pPr>
      <w:keepNext/>
      <w:pBdr>
        <w:left w:val="single" w:sz="4" w:space="4" w:color="0072CE"/>
        <w:right w:val="single" w:sz="4" w:space="4" w:color="0072CE"/>
      </w:pBdr>
      <w:spacing w:before="160" w:after="0"/>
      <w:ind w:left="360" w:hanging="360"/>
    </w:pPr>
    <w:rPr>
      <w:b/>
      <w:i/>
      <w:color w:val="0072CE"/>
      <w:spacing w:val="6"/>
      <w:szCs w:val="22"/>
    </w:rPr>
  </w:style>
  <w:style w:type="paragraph" w:customStyle="1" w:styleId="Guidanceindent">
    <w:name w:val="Guidance indent"/>
    <w:basedOn w:val="Guidance"/>
    <w:uiPriority w:val="4"/>
    <w:qFormat/>
    <w:rsid w:val="00080446"/>
    <w:pPr>
      <w:tabs>
        <w:tab w:val="left" w:pos="450"/>
      </w:tabs>
      <w:spacing w:before="60" w:after="60"/>
      <w:ind w:left="446" w:hanging="446"/>
      <w:contextualSpacing/>
    </w:pPr>
  </w:style>
  <w:style w:type="paragraph" w:customStyle="1" w:styleId="Guidanceindent2">
    <w:name w:val="Guidance indent 2"/>
    <w:basedOn w:val="BodyText"/>
    <w:uiPriority w:val="4"/>
    <w:rsid w:val="00080446"/>
    <w:pPr>
      <w:keepLines w:val="0"/>
      <w:pBdr>
        <w:left w:val="single" w:sz="4" w:space="4" w:color="0072CE"/>
        <w:right w:val="single" w:sz="4" w:space="4" w:color="0072CE"/>
      </w:pBdr>
      <w:tabs>
        <w:tab w:val="left" w:pos="450"/>
      </w:tabs>
      <w:spacing w:before="60" w:after="60"/>
      <w:ind w:left="806" w:hanging="806"/>
      <w:contextualSpacing/>
    </w:pPr>
    <w:rPr>
      <w:rFonts w:ascii="Arial" w:hAnsi="Arial"/>
      <w:color w:val="0072CE"/>
      <w:szCs w:val="22"/>
    </w:rPr>
  </w:style>
  <w:style w:type="paragraph" w:customStyle="1" w:styleId="Headingnote">
    <w:name w:val="Heading (note)"/>
    <w:basedOn w:val="Heading20"/>
    <w:next w:val="Normal"/>
    <w:uiPriority w:val="99"/>
    <w:unhideWhenUsed/>
    <w:qFormat/>
    <w:rsid w:val="00080446"/>
    <w:pPr>
      <w:numPr>
        <w:ilvl w:val="0"/>
      </w:numPr>
      <w:tabs>
        <w:tab w:val="clear" w:pos="964"/>
        <w:tab w:val="clear" w:pos="9582"/>
        <w:tab w:val="left" w:pos="1134"/>
      </w:tabs>
      <w:spacing w:after="120"/>
    </w:pPr>
    <w:rPr>
      <w:rFonts w:ascii="Arial" w:hAnsi="Arial"/>
    </w:rPr>
  </w:style>
  <w:style w:type="paragraph" w:customStyle="1" w:styleId="Heading4ops">
    <w:name w:val="Heading 4 (ops)"/>
    <w:basedOn w:val="Heading4"/>
    <w:uiPriority w:val="12"/>
    <w:qFormat/>
    <w:rsid w:val="00AA770B"/>
  </w:style>
  <w:style w:type="paragraph" w:customStyle="1" w:styleId="Heading5unnumbered">
    <w:name w:val="Heading 5 (unnumbered)"/>
    <w:basedOn w:val="Heading5"/>
    <w:uiPriority w:val="12"/>
    <w:qFormat/>
    <w:rsid w:val="00080446"/>
    <w:pPr>
      <w:numPr>
        <w:ilvl w:val="0"/>
      </w:numPr>
      <w:tabs>
        <w:tab w:val="clear" w:pos="737"/>
        <w:tab w:val="clear" w:pos="9582"/>
      </w:tabs>
      <w:spacing w:before="240" w:after="120"/>
      <w:ind w:left="737" w:hanging="737"/>
    </w:pPr>
    <w:rPr>
      <w:rFonts w:ascii="Arial" w:hAnsi="Arial"/>
      <w:i/>
      <w:spacing w:val="-2"/>
    </w:rPr>
  </w:style>
  <w:style w:type="paragraph" w:customStyle="1" w:styleId="Tablehea">
    <w:name w:val="Table hea"/>
    <w:basedOn w:val="Normal"/>
    <w:qFormat/>
    <w:rsid w:val="00080446"/>
    <w:pPr>
      <w:keepLines w:val="0"/>
      <w:spacing w:after="120"/>
      <w:ind w:left="170" w:hanging="170"/>
      <w:jc w:val="center"/>
    </w:pPr>
    <w:rPr>
      <w:color w:val="FFFFFF" w:themeColor="background1"/>
      <w:sz w:val="16"/>
      <w:szCs w:val="20"/>
    </w:rPr>
  </w:style>
  <w:style w:type="paragraph" w:customStyle="1" w:styleId="Tableheader">
    <w:name w:val="Table header"/>
    <w:basedOn w:val="Tablehea"/>
    <w:uiPriority w:val="6"/>
    <w:qFormat/>
    <w:rsid w:val="00080446"/>
    <w:pPr>
      <w:jc w:val="left"/>
    </w:pPr>
  </w:style>
  <w:style w:type="paragraph" w:customStyle="1" w:styleId="Noteindent">
    <w:name w:val="Note indent"/>
    <w:basedOn w:val="Note"/>
    <w:qFormat/>
    <w:rsid w:val="00080446"/>
    <w:pPr>
      <w:keepLines w:val="0"/>
      <w:tabs>
        <w:tab w:val="left" w:pos="360"/>
      </w:tabs>
      <w:spacing w:before="0" w:after="20"/>
      <w:ind w:left="720" w:hanging="720"/>
    </w:pPr>
    <w:rPr>
      <w:szCs w:val="20"/>
    </w:rPr>
  </w:style>
  <w:style w:type="paragraph" w:customStyle="1" w:styleId="Tableunits0">
    <w:name w:val="Table units"/>
    <w:basedOn w:val="Subheading"/>
    <w:qFormat/>
    <w:rsid w:val="00080446"/>
    <w:pPr>
      <w:jc w:val="right"/>
    </w:pPr>
    <w:rPr>
      <w:szCs w:val="18"/>
    </w:rPr>
  </w:style>
  <w:style w:type="paragraph" w:customStyle="1" w:styleId="Guidancedash">
    <w:name w:val="Guidance dash"/>
    <w:basedOn w:val="Guidancealpha"/>
    <w:qFormat/>
    <w:rsid w:val="00080446"/>
    <w:pPr>
      <w:numPr>
        <w:ilvl w:val="1"/>
      </w:numPr>
    </w:pPr>
  </w:style>
  <w:style w:type="character" w:customStyle="1" w:styleId="TableUnitsChar">
    <w:name w:val="Table Units Char"/>
    <w:basedOn w:val="DefaultParagraphFont"/>
    <w:link w:val="TableUnits"/>
    <w:uiPriority w:val="50"/>
    <w:rsid w:val="00080446"/>
    <w:rPr>
      <w:rFonts w:asciiTheme="majorHAnsi" w:hAnsiTheme="majorHAnsi"/>
      <w:b/>
      <w:spacing w:val="2"/>
      <w:szCs w:val="20"/>
    </w:rPr>
  </w:style>
  <w:style w:type="character" w:customStyle="1" w:styleId="TableofFiguresChar">
    <w:name w:val="Table of Figures Char"/>
    <w:link w:val="TableofFigures"/>
    <w:rsid w:val="00080446"/>
    <w:rPr>
      <w:spacing w:val="2"/>
    </w:rPr>
  </w:style>
  <w:style w:type="paragraph" w:customStyle="1" w:styleId="Tabletextheading">
    <w:name w:val="Table text heading"/>
    <w:basedOn w:val="TableofFigures"/>
    <w:link w:val="TabletextheadingChar"/>
    <w:qFormat/>
    <w:rsid w:val="00080446"/>
    <w:pPr>
      <w:keepLines w:val="0"/>
      <w:spacing w:before="20" w:after="20"/>
      <w:jc w:val="right"/>
    </w:pPr>
    <w:rPr>
      <w:rFonts w:eastAsia="Tahoma" w:cs="Arial"/>
      <w:i/>
      <w:iCs/>
      <w:noProof/>
      <w:sz w:val="16"/>
      <w:lang w:eastAsia="en-AU"/>
    </w:rPr>
  </w:style>
  <w:style w:type="character" w:customStyle="1" w:styleId="TabletextheadingChar">
    <w:name w:val="Table text heading Char"/>
    <w:link w:val="Tabletextheading"/>
    <w:rsid w:val="00080446"/>
    <w:rPr>
      <w:rFonts w:eastAsia="Tahoma" w:cs="Arial"/>
      <w:i/>
      <w:iCs/>
      <w:noProof/>
      <w:spacing w:val="2"/>
      <w:sz w:val="16"/>
      <w:lang w:eastAsia="en-AU"/>
    </w:rPr>
  </w:style>
  <w:style w:type="paragraph" w:customStyle="1" w:styleId="TabletextheadingLeft0">
    <w:name w:val="Table text heading Left"/>
    <w:basedOn w:val="Tabletextheading"/>
    <w:rsid w:val="00080446"/>
    <w:pPr>
      <w:jc w:val="left"/>
    </w:pPr>
  </w:style>
  <w:style w:type="paragraph" w:customStyle="1" w:styleId="TabletextheadingCentred0">
    <w:name w:val="Table text heading Centred"/>
    <w:basedOn w:val="Tabletextheading"/>
    <w:link w:val="TabletextheadingCentredChar"/>
    <w:rsid w:val="00080446"/>
    <w:pPr>
      <w:jc w:val="center"/>
    </w:pPr>
    <w:rPr>
      <w:noProof w:val="0"/>
      <w:szCs w:val="20"/>
    </w:rPr>
  </w:style>
  <w:style w:type="character" w:customStyle="1" w:styleId="TabletextheadingCentredChar">
    <w:name w:val="Table text heading Centred Char"/>
    <w:link w:val="TabletextheadingCentred0"/>
    <w:locked/>
    <w:rsid w:val="00080446"/>
    <w:rPr>
      <w:rFonts w:eastAsia="Tahoma" w:cs="Arial"/>
      <w:i/>
      <w:iCs/>
      <w:spacing w:val="2"/>
      <w:sz w:val="16"/>
      <w:szCs w:val="20"/>
      <w:lang w:eastAsia="en-AU"/>
    </w:rPr>
  </w:style>
  <w:style w:type="paragraph" w:customStyle="1" w:styleId="Tabletextcentre">
    <w:name w:val="Table text centre"/>
    <w:basedOn w:val="Tabletext"/>
    <w:uiPriority w:val="15"/>
    <w:qFormat/>
    <w:rsid w:val="00080446"/>
    <w:pPr>
      <w:jc w:val="center"/>
    </w:pPr>
    <w:rPr>
      <w:lang w:eastAsia="en-US"/>
    </w:rPr>
  </w:style>
  <w:style w:type="paragraph" w:customStyle="1" w:styleId="NoteNormal">
    <w:name w:val="Note Normal"/>
    <w:basedOn w:val="Normal"/>
    <w:uiPriority w:val="49"/>
    <w:rsid w:val="00080446"/>
    <w:pPr>
      <w:keepNext/>
      <w:spacing w:before="80" w:after="100"/>
    </w:pPr>
    <w:rPr>
      <w:rFonts w:eastAsia="Times New Roman" w:cstheme="minorHAnsi"/>
      <w:color w:val="000000"/>
      <w:spacing w:val="1"/>
      <w:sz w:val="16"/>
      <w:szCs w:val="16"/>
    </w:rPr>
  </w:style>
  <w:style w:type="character" w:customStyle="1" w:styleId="BulletCharChar">
    <w:name w:val="Bullet Char Char"/>
    <w:locked/>
    <w:rsid w:val="00080446"/>
  </w:style>
  <w:style w:type="character" w:customStyle="1" w:styleId="NormalBlueChar">
    <w:name w:val="Normal Blue Char"/>
    <w:link w:val="NormalBlue"/>
    <w:locked/>
    <w:rsid w:val="00AD47C0"/>
    <w:rPr>
      <w:color w:val="0000FF"/>
      <w:sz w:val="22"/>
      <w:szCs w:val="22"/>
    </w:rPr>
  </w:style>
  <w:style w:type="paragraph" w:customStyle="1" w:styleId="aalphablue">
    <w:name w:val="(a) alpha blue"/>
    <w:basedOn w:val="NormalBlue"/>
    <w:link w:val="aalphablueChar"/>
    <w:rsid w:val="00AD47C0"/>
    <w:pPr>
      <w:ind w:left="357" w:hanging="357"/>
    </w:pPr>
  </w:style>
  <w:style w:type="character" w:customStyle="1" w:styleId="aalphablueChar">
    <w:name w:val="(a) alpha blue Char"/>
    <w:link w:val="aalphablue"/>
    <w:locked/>
    <w:rsid w:val="00AD47C0"/>
    <w:rPr>
      <w:color w:val="0000FF"/>
      <w:sz w:val="22"/>
      <w:szCs w:val="22"/>
    </w:rPr>
  </w:style>
  <w:style w:type="paragraph" w:customStyle="1" w:styleId="BulletBlue">
    <w:name w:val="Bullet Blue"/>
    <w:basedOn w:val="Normal"/>
    <w:link w:val="BulletBlueChar"/>
    <w:qFormat/>
    <w:rsid w:val="00AD47C0"/>
    <w:pPr>
      <w:numPr>
        <w:numId w:val="32"/>
      </w:numPr>
    </w:pPr>
    <w:rPr>
      <w:color w:val="0000FF"/>
      <w:spacing w:val="0"/>
      <w:sz w:val="22"/>
      <w:szCs w:val="22"/>
    </w:rPr>
  </w:style>
  <w:style w:type="character" w:customStyle="1" w:styleId="BulletBlueChar">
    <w:name w:val="Bullet Blue Char"/>
    <w:link w:val="BulletBlue"/>
    <w:rsid w:val="00AD47C0"/>
    <w:rPr>
      <w:color w:val="0000FF"/>
      <w:sz w:val="22"/>
      <w:szCs w:val="22"/>
    </w:rPr>
  </w:style>
  <w:style w:type="paragraph" w:customStyle="1" w:styleId="ChapterHeading0">
    <w:name w:val="Chapter Heading"/>
    <w:basedOn w:val="Normal"/>
    <w:next w:val="Heading10"/>
    <w:qFormat/>
    <w:rsid w:val="00AD47C0"/>
    <w:pPr>
      <w:keepNext/>
      <w:tabs>
        <w:tab w:val="left" w:pos="2552"/>
      </w:tabs>
      <w:spacing w:after="240" w:line="520" w:lineRule="exact"/>
      <w:outlineLvl w:val="0"/>
    </w:pPr>
    <w:rPr>
      <w:rFonts w:ascii="Calibri" w:hAnsi="Calibri" w:cs="Arial"/>
      <w:b/>
      <w:bCs/>
      <w:spacing w:val="0"/>
      <w:sz w:val="40"/>
      <w:szCs w:val="40"/>
    </w:rPr>
  </w:style>
  <w:style w:type="paragraph" w:customStyle="1" w:styleId="Tableheading0">
    <w:name w:val="Table heading"/>
    <w:basedOn w:val="Heading5"/>
    <w:link w:val="TableheadingChar"/>
    <w:qFormat/>
    <w:rsid w:val="00AD47C0"/>
    <w:pPr>
      <w:tabs>
        <w:tab w:val="clear" w:pos="737"/>
      </w:tabs>
      <w:ind w:left="1170" w:hanging="1170"/>
    </w:pPr>
    <w:rPr>
      <w:sz w:val="22"/>
    </w:rPr>
  </w:style>
  <w:style w:type="character" w:customStyle="1" w:styleId="TableheadingChar">
    <w:name w:val="Table heading Char"/>
    <w:link w:val="Tableheading0"/>
    <w:rsid w:val="00AD47C0"/>
    <w:rPr>
      <w:rFonts w:asciiTheme="majorHAnsi" w:eastAsiaTheme="majorEastAsia" w:hAnsiTheme="majorHAnsi" w:cstheme="majorBidi"/>
      <w:b/>
      <w:iCs/>
      <w:sz w:val="22"/>
      <w:szCs w:val="26"/>
    </w:rPr>
  </w:style>
  <w:style w:type="paragraph" w:customStyle="1" w:styleId="CommentaryTextIndent">
    <w:name w:val="Commentary Text Indent"/>
    <w:basedOn w:val="CommentaryText"/>
    <w:link w:val="CommentaryTextIndentChar"/>
    <w:qFormat/>
    <w:rsid w:val="00AD47C0"/>
    <w:pPr>
      <w:ind w:left="450" w:hanging="450"/>
    </w:pPr>
  </w:style>
  <w:style w:type="paragraph" w:customStyle="1" w:styleId="CommentaryText">
    <w:name w:val="Commentary Text"/>
    <w:basedOn w:val="Normal"/>
    <w:link w:val="CommentaryTextChar"/>
    <w:rsid w:val="00AD47C0"/>
    <w:pPr>
      <w:pBdr>
        <w:top w:val="single" w:sz="4" w:space="1" w:color="0000FF"/>
        <w:left w:val="single" w:sz="4" w:space="4" w:color="0000FF"/>
        <w:bottom w:val="single" w:sz="4" w:space="1" w:color="0000FF"/>
        <w:right w:val="single" w:sz="4" w:space="4" w:color="0000FF"/>
      </w:pBdr>
    </w:pPr>
    <w:rPr>
      <w:noProof/>
      <w:color w:val="0000FF"/>
      <w:spacing w:val="0"/>
      <w:sz w:val="22"/>
      <w:szCs w:val="22"/>
    </w:rPr>
  </w:style>
  <w:style w:type="character" w:customStyle="1" w:styleId="CommentaryTextChar">
    <w:name w:val="Commentary Text Char"/>
    <w:link w:val="CommentaryText"/>
    <w:locked/>
    <w:rsid w:val="00AD47C0"/>
    <w:rPr>
      <w:noProof/>
      <w:color w:val="0000FF"/>
      <w:sz w:val="22"/>
      <w:szCs w:val="22"/>
    </w:rPr>
  </w:style>
  <w:style w:type="character" w:customStyle="1" w:styleId="CommentaryTextIndentChar">
    <w:name w:val="Commentary Text Indent Char"/>
    <w:basedOn w:val="CommentaryTextChar"/>
    <w:link w:val="CommentaryTextIndent"/>
    <w:locked/>
    <w:rsid w:val="00AD47C0"/>
    <w:rPr>
      <w:noProof/>
      <w:color w:val="0000FF"/>
      <w:sz w:val="22"/>
      <w:szCs w:val="22"/>
    </w:rPr>
  </w:style>
  <w:style w:type="paragraph" w:customStyle="1" w:styleId="CommentaryHeading1">
    <w:name w:val="Commentary Heading 1"/>
    <w:basedOn w:val="CommentaryText"/>
    <w:link w:val="CommentaryHeading1Char"/>
    <w:rsid w:val="00AD47C0"/>
    <w:pPr>
      <w:spacing w:before="160"/>
    </w:pPr>
    <w:rPr>
      <w:rFonts w:ascii="Calibri" w:hAnsi="Calibri" w:cs="Arial"/>
      <w:b/>
      <w:bCs/>
    </w:rPr>
  </w:style>
  <w:style w:type="character" w:customStyle="1" w:styleId="CommentaryHeading1Char">
    <w:name w:val="Commentary Heading 1 Char"/>
    <w:link w:val="CommentaryHeading1"/>
    <w:rsid w:val="00AD47C0"/>
    <w:rPr>
      <w:rFonts w:ascii="Calibri" w:hAnsi="Calibri" w:cs="Arial"/>
      <w:b/>
      <w:bCs/>
      <w:noProof/>
      <w:color w:val="0000FF"/>
      <w:sz w:val="22"/>
      <w:szCs w:val="22"/>
    </w:rPr>
  </w:style>
  <w:style w:type="paragraph" w:customStyle="1" w:styleId="CommentaryBullet">
    <w:name w:val="Commentary Bullet"/>
    <w:basedOn w:val="BulletBlue"/>
    <w:link w:val="CommentaryBulletCharChar"/>
    <w:qFormat/>
    <w:rsid w:val="00AD47C0"/>
    <w:pPr>
      <w:numPr>
        <w:numId w:val="33"/>
      </w:numPr>
      <w:pBdr>
        <w:left w:val="single" w:sz="4" w:space="4" w:color="0000FF"/>
        <w:right w:val="single" w:sz="4" w:space="4" w:color="0000FF"/>
      </w:pBdr>
      <w:spacing w:before="60" w:after="60"/>
    </w:pPr>
  </w:style>
  <w:style w:type="character" w:customStyle="1" w:styleId="CommentaryBulletCharChar">
    <w:name w:val="Commentary Bullet Char Char"/>
    <w:basedOn w:val="BulletBlueChar"/>
    <w:link w:val="CommentaryBullet"/>
    <w:rsid w:val="00AD47C0"/>
    <w:rPr>
      <w:color w:val="0000FF"/>
      <w:sz w:val="22"/>
      <w:szCs w:val="22"/>
    </w:rPr>
  </w:style>
  <w:style w:type="paragraph" w:customStyle="1" w:styleId="Dash">
    <w:name w:val="Dash"/>
    <w:link w:val="DashCharChar"/>
    <w:rsid w:val="00AD47C0"/>
    <w:pPr>
      <w:numPr>
        <w:numId w:val="34"/>
      </w:numPr>
    </w:pPr>
    <w:rPr>
      <w:sz w:val="22"/>
      <w:szCs w:val="22"/>
    </w:rPr>
  </w:style>
  <w:style w:type="character" w:customStyle="1" w:styleId="DashCharChar">
    <w:name w:val="Dash Char Char"/>
    <w:basedOn w:val="BulletCharChar"/>
    <w:link w:val="Dash"/>
    <w:locked/>
    <w:rsid w:val="00AD47C0"/>
    <w:rPr>
      <w:sz w:val="22"/>
      <w:szCs w:val="22"/>
    </w:rPr>
  </w:style>
  <w:style w:type="paragraph" w:customStyle="1" w:styleId="DashBlue">
    <w:name w:val="Dash Blue"/>
    <w:basedOn w:val="Dash"/>
    <w:link w:val="DashBlueCharChar"/>
    <w:rsid w:val="00AD47C0"/>
    <w:pPr>
      <w:numPr>
        <w:numId w:val="35"/>
      </w:numPr>
      <w:ind w:hanging="720"/>
    </w:pPr>
    <w:rPr>
      <w:color w:val="0000FF"/>
    </w:rPr>
  </w:style>
  <w:style w:type="character" w:customStyle="1" w:styleId="DashBlueCharChar">
    <w:name w:val="Dash Blue Char Char"/>
    <w:link w:val="DashBlue"/>
    <w:rsid w:val="00AD47C0"/>
    <w:rPr>
      <w:color w:val="0000FF"/>
      <w:sz w:val="22"/>
      <w:szCs w:val="22"/>
    </w:rPr>
  </w:style>
  <w:style w:type="paragraph" w:customStyle="1" w:styleId="CommentaryHeading">
    <w:name w:val="Commentary Heading"/>
    <w:basedOn w:val="Heading30"/>
    <w:rsid w:val="00AD47C0"/>
    <w:pPr>
      <w:pBdr>
        <w:top w:val="single" w:sz="4" w:space="1" w:color="0000FF"/>
        <w:left w:val="single" w:sz="4" w:space="4" w:color="0000FF"/>
        <w:bottom w:val="single" w:sz="4" w:space="1" w:color="0000FF"/>
        <w:right w:val="single" w:sz="4" w:space="4" w:color="0000FF"/>
      </w:pBdr>
      <w:shd w:val="clear" w:color="auto" w:fill="0000FF"/>
      <w:tabs>
        <w:tab w:val="clear" w:pos="737"/>
      </w:tabs>
      <w:spacing w:before="0" w:line="320" w:lineRule="exact"/>
      <w:ind w:left="0" w:firstLine="0"/>
    </w:pPr>
    <w:rPr>
      <w:rFonts w:cs="Arial Bold"/>
      <w:i/>
      <w:iCs/>
      <w:color w:val="FFFFFF"/>
      <w:sz w:val="22"/>
      <w:szCs w:val="24"/>
    </w:rPr>
  </w:style>
  <w:style w:type="paragraph" w:customStyle="1" w:styleId="Heading3Numbering0">
    <w:name w:val="Heading 3 Numbering"/>
    <w:basedOn w:val="Heading30"/>
    <w:link w:val="Heading3NumberingCharChar1"/>
    <w:rsid w:val="00AD47C0"/>
    <w:pPr>
      <w:numPr>
        <w:numId w:val="36"/>
      </w:numPr>
      <w:tabs>
        <w:tab w:val="clear" w:pos="737"/>
        <w:tab w:val="left" w:pos="448"/>
      </w:tabs>
      <w:spacing w:before="160"/>
    </w:pPr>
    <w:rPr>
      <w:i/>
      <w:sz w:val="22"/>
    </w:rPr>
  </w:style>
  <w:style w:type="character" w:customStyle="1" w:styleId="Heading3NumberingCharChar1">
    <w:name w:val="Heading 3 Numbering Char Char1"/>
    <w:link w:val="Heading3Numbering0"/>
    <w:rsid w:val="00AD47C0"/>
    <w:rPr>
      <w:rFonts w:asciiTheme="majorHAnsi" w:eastAsiaTheme="majorEastAsia" w:hAnsiTheme="majorHAnsi" w:cstheme="majorBidi"/>
      <w:b/>
      <w:bCs/>
      <w:i/>
      <w:spacing w:val="-2"/>
      <w:sz w:val="22"/>
      <w:szCs w:val="26"/>
    </w:rPr>
  </w:style>
  <w:style w:type="paragraph" w:customStyle="1" w:styleId="Heading4Blue0">
    <w:name w:val="Heading 4 Blue"/>
    <w:basedOn w:val="Heading4"/>
    <w:qFormat/>
    <w:rsid w:val="00AD47C0"/>
    <w:pPr>
      <w:tabs>
        <w:tab w:val="clear" w:pos="737"/>
      </w:tabs>
      <w:ind w:left="0" w:firstLine="0"/>
    </w:pPr>
    <w:rPr>
      <w:rFonts w:cs="Arial Bold"/>
      <w:b/>
      <w:bCs/>
      <w:color w:val="0000FF"/>
      <w:sz w:val="22"/>
      <w:szCs w:val="22"/>
    </w:rPr>
  </w:style>
  <w:style w:type="paragraph" w:customStyle="1" w:styleId="ReferenceRed0">
    <w:name w:val="Reference Red"/>
    <w:basedOn w:val="Reference"/>
    <w:link w:val="ReferenceRedChar"/>
    <w:qFormat/>
    <w:rsid w:val="00AD47C0"/>
    <w:pPr>
      <w:keepNext/>
      <w:keepLines/>
      <w:spacing w:before="160" w:after="0"/>
    </w:pPr>
    <w:rPr>
      <w:rFonts w:ascii="Calibri" w:eastAsiaTheme="minorHAnsi" w:hAnsi="Calibri" w:cs="Arial Narrow"/>
      <w:iCs w:val="0"/>
      <w:noProof w:val="0"/>
      <w:color w:val="FF0000"/>
      <w:spacing w:val="0"/>
      <w:sz w:val="16"/>
      <w:szCs w:val="16"/>
      <w:lang w:val="en-GB" w:eastAsia="en-US"/>
    </w:rPr>
  </w:style>
  <w:style w:type="character" w:customStyle="1" w:styleId="ReferenceRedChar">
    <w:name w:val="Reference Red Char"/>
    <w:link w:val="ReferenceRed0"/>
    <w:locked/>
    <w:rsid w:val="00AD47C0"/>
    <w:rPr>
      <w:rFonts w:ascii="Calibri" w:hAnsi="Calibri" w:cs="Arial Narrow"/>
      <w:color w:val="FF0000"/>
      <w:sz w:val="16"/>
      <w:szCs w:val="16"/>
      <w:lang w:val="en-GB"/>
    </w:rPr>
  </w:style>
  <w:style w:type="paragraph" w:customStyle="1" w:styleId="Notes">
    <w:name w:val="Notes"/>
    <w:basedOn w:val="Normal"/>
    <w:link w:val="NotesChar"/>
    <w:qFormat/>
    <w:rsid w:val="00AD47C0"/>
    <w:pPr>
      <w:tabs>
        <w:tab w:val="left" w:pos="454"/>
      </w:tabs>
      <w:spacing w:before="0"/>
      <w:ind w:left="459" w:hanging="459"/>
    </w:pPr>
    <w:rPr>
      <w:rFonts w:ascii="Calibri" w:hAnsi="Calibri"/>
      <w:i/>
      <w:iCs/>
      <w:spacing w:val="0"/>
      <w:sz w:val="16"/>
    </w:rPr>
  </w:style>
  <w:style w:type="character" w:customStyle="1" w:styleId="NotesChar">
    <w:name w:val="Notes Char"/>
    <w:link w:val="Notes"/>
    <w:locked/>
    <w:rsid w:val="00AD47C0"/>
    <w:rPr>
      <w:rFonts w:ascii="Calibri" w:hAnsi="Calibri"/>
      <w:i/>
      <w:iCs/>
      <w:sz w:val="16"/>
    </w:rPr>
  </w:style>
  <w:style w:type="paragraph" w:customStyle="1" w:styleId="SmallLine0">
    <w:name w:val="Small Line"/>
    <w:basedOn w:val="Normal"/>
    <w:link w:val="SmallLineChar"/>
    <w:rsid w:val="00AD47C0"/>
    <w:pPr>
      <w:spacing w:before="0"/>
    </w:pPr>
    <w:rPr>
      <w:spacing w:val="0"/>
      <w:sz w:val="4"/>
      <w:szCs w:val="4"/>
    </w:rPr>
  </w:style>
  <w:style w:type="character" w:customStyle="1" w:styleId="SmallLineChar">
    <w:name w:val="Small Line Char"/>
    <w:link w:val="SmallLine0"/>
    <w:locked/>
    <w:rsid w:val="00AD47C0"/>
    <w:rPr>
      <w:sz w:val="4"/>
      <w:szCs w:val="4"/>
    </w:rPr>
  </w:style>
  <w:style w:type="character" w:customStyle="1" w:styleId="SourceChar">
    <w:name w:val="Source Char"/>
    <w:link w:val="Source"/>
    <w:uiPriority w:val="51"/>
    <w:locked/>
    <w:rsid w:val="00AD47C0"/>
    <w:rPr>
      <w:rFonts w:asciiTheme="majorHAnsi" w:hAnsiTheme="majorHAnsi"/>
      <w:i/>
      <w:spacing w:val="-2"/>
      <w:sz w:val="14"/>
    </w:rPr>
  </w:style>
  <w:style w:type="paragraph" w:customStyle="1" w:styleId="TableofContentsheading">
    <w:name w:val="Table of Contents heading"/>
    <w:basedOn w:val="ChapterHeading0"/>
    <w:next w:val="Normal"/>
    <w:rsid w:val="00AD47C0"/>
    <w:rPr>
      <w:sz w:val="36"/>
    </w:rPr>
  </w:style>
  <w:style w:type="paragraph" w:customStyle="1" w:styleId="SmallLineBlue">
    <w:name w:val="Small Line Blue"/>
    <w:basedOn w:val="SmallLine0"/>
    <w:link w:val="SmallLineBlueChar"/>
    <w:rsid w:val="00AD47C0"/>
    <w:pPr>
      <w:pBdr>
        <w:top w:val="single" w:sz="4" w:space="1" w:color="0000FF"/>
        <w:left w:val="single" w:sz="4" w:space="4" w:color="0000FF"/>
        <w:bottom w:val="single" w:sz="4" w:space="1" w:color="0000FF"/>
        <w:right w:val="single" w:sz="4" w:space="4" w:color="0000FF"/>
      </w:pBdr>
      <w:shd w:val="clear" w:color="auto" w:fill="0000FF"/>
    </w:pPr>
  </w:style>
  <w:style w:type="character" w:customStyle="1" w:styleId="SmallLineBlueChar">
    <w:name w:val="Small Line Blue Char"/>
    <w:link w:val="SmallLineBlue"/>
    <w:rsid w:val="00AD47C0"/>
    <w:rPr>
      <w:sz w:val="4"/>
      <w:szCs w:val="4"/>
      <w:shd w:val="clear" w:color="auto" w:fill="0000FF"/>
    </w:rPr>
  </w:style>
  <w:style w:type="paragraph" w:customStyle="1" w:styleId="Heading2Blue0">
    <w:name w:val="Heading 2 Blue"/>
    <w:basedOn w:val="Heading20"/>
    <w:link w:val="Heading2BlueChar"/>
    <w:unhideWhenUsed/>
    <w:qFormat/>
    <w:rsid w:val="00AD47C0"/>
    <w:pPr>
      <w:tabs>
        <w:tab w:val="clear" w:pos="964"/>
      </w:tabs>
    </w:pPr>
    <w:rPr>
      <w:color w:val="0000FF"/>
      <w:sz w:val="26"/>
    </w:rPr>
  </w:style>
  <w:style w:type="character" w:customStyle="1" w:styleId="Heading2BlueChar">
    <w:name w:val="Heading 2 Blue Char"/>
    <w:link w:val="Heading2Blue0"/>
    <w:rsid w:val="00AD47C0"/>
    <w:rPr>
      <w:rFonts w:asciiTheme="majorHAnsi" w:eastAsiaTheme="majorEastAsia" w:hAnsiTheme="majorHAnsi" w:cstheme="majorBidi"/>
      <w:b/>
      <w:color w:val="0000FF"/>
      <w:spacing w:val="-2"/>
      <w:sz w:val="26"/>
      <w:szCs w:val="26"/>
    </w:rPr>
  </w:style>
  <w:style w:type="paragraph" w:customStyle="1" w:styleId="CommentaryHeading2">
    <w:name w:val="Commentary Heading 2"/>
    <w:basedOn w:val="CommentaryHeading1"/>
    <w:link w:val="CommentaryHeading2Char"/>
    <w:qFormat/>
    <w:rsid w:val="00AD47C0"/>
    <w:pPr>
      <w:pBdr>
        <w:top w:val="none" w:sz="0" w:space="0" w:color="auto"/>
        <w:bottom w:val="none" w:sz="0" w:space="0" w:color="auto"/>
      </w:pBdr>
    </w:pPr>
    <w:rPr>
      <w:i/>
    </w:rPr>
  </w:style>
  <w:style w:type="paragraph" w:customStyle="1" w:styleId="CommentaryDashBlue">
    <w:name w:val="Commentary Dash Blue"/>
    <w:basedOn w:val="DashBlue"/>
    <w:link w:val="CommentaryDashBlueChar"/>
    <w:rsid w:val="00AD47C0"/>
    <w:pPr>
      <w:numPr>
        <w:numId w:val="0"/>
      </w:numPr>
      <w:pBdr>
        <w:left w:val="single" w:sz="4" w:space="4" w:color="0000FF"/>
        <w:right w:val="single" w:sz="4" w:space="4" w:color="0000FF"/>
      </w:pBdr>
      <w:tabs>
        <w:tab w:val="left" w:pos="426"/>
      </w:tabs>
      <w:ind w:left="720" w:hanging="720"/>
    </w:pPr>
  </w:style>
  <w:style w:type="character" w:customStyle="1" w:styleId="CommentaryDashBlueChar">
    <w:name w:val="Commentary Dash Blue Char"/>
    <w:basedOn w:val="DashBlueCharChar"/>
    <w:link w:val="CommentaryDashBlue"/>
    <w:rsid w:val="00AD47C0"/>
    <w:rPr>
      <w:color w:val="0000FF"/>
      <w:sz w:val="22"/>
      <w:szCs w:val="22"/>
    </w:rPr>
  </w:style>
  <w:style w:type="paragraph" w:customStyle="1" w:styleId="NoteHeading0">
    <w:name w:val="NoteHeading"/>
    <w:basedOn w:val="Normal"/>
    <w:link w:val="NoteHeadingChar0"/>
    <w:qFormat/>
    <w:rsid w:val="00AD47C0"/>
    <w:pPr>
      <w:tabs>
        <w:tab w:val="left" w:pos="1224"/>
      </w:tabs>
      <w:spacing w:after="120"/>
      <w:ind w:left="1225" w:hanging="1225"/>
    </w:pPr>
    <w:rPr>
      <w:rFonts w:ascii="Calibri" w:hAnsi="Calibri" w:cs="Arial"/>
      <w:b/>
      <w:bCs/>
      <w:spacing w:val="0"/>
      <w:sz w:val="26"/>
      <w:szCs w:val="28"/>
      <w:lang w:val="en-GB"/>
    </w:rPr>
  </w:style>
  <w:style w:type="character" w:customStyle="1" w:styleId="NoteHeadingChar0">
    <w:name w:val="NoteHeading Char"/>
    <w:link w:val="NoteHeading0"/>
    <w:locked/>
    <w:rsid w:val="00AD47C0"/>
    <w:rPr>
      <w:rFonts w:ascii="Calibri" w:hAnsi="Calibri" w:cs="Arial"/>
      <w:b/>
      <w:bCs/>
      <w:sz w:val="26"/>
      <w:szCs w:val="28"/>
      <w:lang w:val="en-GB"/>
    </w:rPr>
  </w:style>
  <w:style w:type="paragraph" w:customStyle="1" w:styleId="NoteHeadingcontinued">
    <w:name w:val="NoteHeading continued"/>
    <w:basedOn w:val="NoteHeading0"/>
    <w:link w:val="NoteHeadingcontinuedChar"/>
    <w:rsid w:val="00AD47C0"/>
  </w:style>
  <w:style w:type="character" w:customStyle="1" w:styleId="NoteHeadingcontinuedChar">
    <w:name w:val="NoteHeading continued Char"/>
    <w:basedOn w:val="NoteHeadingChar0"/>
    <w:link w:val="NoteHeadingcontinued"/>
    <w:locked/>
    <w:rsid w:val="00AD47C0"/>
    <w:rPr>
      <w:rFonts w:ascii="Calibri" w:hAnsi="Calibri" w:cs="Arial"/>
      <w:b/>
      <w:bCs/>
      <w:sz w:val="26"/>
      <w:szCs w:val="28"/>
      <w:lang w:val="en-GB"/>
    </w:rPr>
  </w:style>
  <w:style w:type="paragraph" w:customStyle="1" w:styleId="aalpha">
    <w:name w:val="(a) alpha"/>
    <w:basedOn w:val="Normal"/>
    <w:rsid w:val="00AD47C0"/>
    <w:pPr>
      <w:numPr>
        <w:numId w:val="31"/>
      </w:numPr>
      <w:autoSpaceDE w:val="0"/>
      <w:autoSpaceDN w:val="0"/>
      <w:adjustRightInd w:val="0"/>
      <w:spacing w:line="240" w:lineRule="atLeast"/>
    </w:pPr>
    <w:rPr>
      <w:spacing w:val="0"/>
      <w:sz w:val="22"/>
      <w:szCs w:val="22"/>
    </w:rPr>
  </w:style>
  <w:style w:type="paragraph" w:customStyle="1" w:styleId="Heading2BluePt3">
    <w:name w:val="Heading 2 Blue Pt3"/>
    <w:basedOn w:val="Heading2Blue0"/>
    <w:link w:val="Heading2BluePt3Char"/>
    <w:rsid w:val="00AD47C0"/>
  </w:style>
  <w:style w:type="character" w:customStyle="1" w:styleId="Heading2BluePt3Char">
    <w:name w:val="Heading 2 Blue Pt3 Char"/>
    <w:basedOn w:val="Heading2BlueChar"/>
    <w:link w:val="Heading2BluePt3"/>
    <w:rsid w:val="00AD47C0"/>
    <w:rPr>
      <w:rFonts w:asciiTheme="majorHAnsi" w:eastAsiaTheme="majorEastAsia" w:hAnsiTheme="majorHAnsi" w:cstheme="majorBidi"/>
      <w:b/>
      <w:color w:val="0000FF"/>
      <w:spacing w:val="-2"/>
      <w:sz w:val="26"/>
      <w:szCs w:val="26"/>
    </w:rPr>
  </w:style>
  <w:style w:type="paragraph" w:customStyle="1" w:styleId="Heading1BluePt3">
    <w:name w:val="Heading 1 Blue Pt3"/>
    <w:basedOn w:val="Normal"/>
    <w:link w:val="Heading1BluePt3Char"/>
    <w:qFormat/>
    <w:rsid w:val="00AD47C0"/>
    <w:pPr>
      <w:keepNext/>
      <w:spacing w:before="360"/>
      <w:outlineLvl w:val="0"/>
    </w:pPr>
    <w:rPr>
      <w:rFonts w:ascii="Calibri" w:hAnsi="Calibri" w:cs="Arial Bold"/>
      <w:b/>
      <w:bCs/>
      <w:color w:val="0000FF"/>
      <w:spacing w:val="0"/>
      <w:sz w:val="28"/>
      <w:szCs w:val="28"/>
    </w:rPr>
  </w:style>
  <w:style w:type="character" w:customStyle="1" w:styleId="Heading1BluePt3Char">
    <w:name w:val="Heading 1 Blue Pt3 Char"/>
    <w:basedOn w:val="DefaultParagraphFont"/>
    <w:link w:val="Heading1BluePt3"/>
    <w:locked/>
    <w:rsid w:val="00AD47C0"/>
    <w:rPr>
      <w:rFonts w:ascii="Calibri" w:hAnsi="Calibri" w:cs="Arial Bold"/>
      <w:b/>
      <w:bCs/>
      <w:color w:val="0000FF"/>
      <w:sz w:val="28"/>
      <w:szCs w:val="28"/>
    </w:rPr>
  </w:style>
  <w:style w:type="paragraph" w:customStyle="1" w:styleId="Default">
    <w:name w:val="Default"/>
    <w:autoRedefine/>
    <w:rsid w:val="00AD47C0"/>
    <w:pPr>
      <w:autoSpaceDE w:val="0"/>
      <w:autoSpaceDN w:val="0"/>
      <w:adjustRightInd w:val="0"/>
      <w:spacing w:line="240" w:lineRule="atLeast"/>
    </w:pPr>
    <w:rPr>
      <w:rFonts w:eastAsia="Times New Roman" w:cs="Times New Roman"/>
      <w:color w:val="000000"/>
      <w:sz w:val="22"/>
      <w:szCs w:val="24"/>
      <w:lang w:eastAsia="en-AU"/>
    </w:rPr>
  </w:style>
  <w:style w:type="paragraph" w:customStyle="1" w:styleId="NormalBlueIndent0">
    <w:name w:val="Normal Blue Indent"/>
    <w:basedOn w:val="NormalBlue"/>
    <w:rsid w:val="00AD47C0"/>
    <w:pPr>
      <w:ind w:left="357"/>
    </w:pPr>
  </w:style>
  <w:style w:type="table" w:customStyle="1" w:styleId="TableGrid10">
    <w:name w:val="Table Grid1"/>
    <w:basedOn w:val="TableNormal"/>
    <w:next w:val="TableGrid"/>
    <w:rsid w:val="00AD47C0"/>
    <w:pPr>
      <w:spacing w:line="240" w:lineRule="atLeast"/>
    </w:pPr>
    <w:rPr>
      <w:rFonts w:ascii="Calibri" w:eastAsia="Times New Roman"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Blue0">
    <w:name w:val="Notes Blue"/>
    <w:basedOn w:val="Notes"/>
    <w:rsid w:val="00AD47C0"/>
    <w:rPr>
      <w:color w:val="0000FF"/>
    </w:rPr>
  </w:style>
  <w:style w:type="paragraph" w:customStyle="1" w:styleId="NormalIndent2">
    <w:name w:val="Normal Indent 2"/>
    <w:basedOn w:val="Normal"/>
    <w:rsid w:val="00AD47C0"/>
    <w:pPr>
      <w:ind w:left="446"/>
    </w:pPr>
    <w:rPr>
      <w:spacing w:val="0"/>
      <w:sz w:val="22"/>
      <w:szCs w:val="22"/>
    </w:rPr>
  </w:style>
  <w:style w:type="paragraph" w:customStyle="1" w:styleId="NotesBullet">
    <w:name w:val="Notes Bullet"/>
    <w:basedOn w:val="Notes"/>
    <w:rsid w:val="00AD47C0"/>
    <w:pPr>
      <w:numPr>
        <w:numId w:val="37"/>
      </w:numPr>
      <w:tabs>
        <w:tab w:val="clear" w:pos="454"/>
        <w:tab w:val="clear" w:pos="786"/>
      </w:tabs>
      <w:ind w:left="284" w:hanging="284"/>
    </w:pPr>
    <w:rPr>
      <w:color w:val="0000FF"/>
    </w:rPr>
  </w:style>
  <w:style w:type="paragraph" w:customStyle="1" w:styleId="CommentaryTextIndent2">
    <w:name w:val="Commentary Text Indent 2"/>
    <w:basedOn w:val="CommentaryDashBlue"/>
    <w:link w:val="CommentaryTextIndent2CharChar"/>
    <w:rsid w:val="00AD47C0"/>
    <w:pPr>
      <w:pBdr>
        <w:top w:val="single" w:sz="4" w:space="1" w:color="0000FF"/>
        <w:bottom w:val="single" w:sz="4" w:space="1" w:color="0000FF"/>
      </w:pBdr>
      <w:tabs>
        <w:tab w:val="clear" w:pos="426"/>
        <w:tab w:val="left" w:pos="450"/>
      </w:tabs>
      <w:ind w:left="900" w:hanging="900"/>
    </w:pPr>
  </w:style>
  <w:style w:type="character" w:customStyle="1" w:styleId="CommentaryTextIndent2CharChar">
    <w:name w:val="Commentary Text Indent 2 Char Char"/>
    <w:link w:val="CommentaryTextIndent2"/>
    <w:rsid w:val="00AD47C0"/>
    <w:rPr>
      <w:color w:val="0000FF"/>
      <w:sz w:val="22"/>
      <w:szCs w:val="22"/>
    </w:rPr>
  </w:style>
  <w:style w:type="paragraph" w:customStyle="1" w:styleId="Heading1BluePt3Contd">
    <w:name w:val="Heading 1 Blue Pt3 Cont'd"/>
    <w:basedOn w:val="Heading1BluePt3"/>
    <w:rsid w:val="00AD47C0"/>
  </w:style>
  <w:style w:type="paragraph" w:customStyle="1" w:styleId="TableText0">
    <w:name w:val="Table Text"/>
    <w:basedOn w:val="Normal"/>
    <w:rsid w:val="00AD47C0"/>
    <w:pPr>
      <w:spacing w:before="30" w:after="30"/>
    </w:pPr>
    <w:rPr>
      <w:rFonts w:ascii="Calibri" w:eastAsia="Times New Roman" w:hAnsi="Calibri" w:cs="Arial"/>
      <w:spacing w:val="0"/>
    </w:rPr>
  </w:style>
  <w:style w:type="paragraph" w:customStyle="1" w:styleId="BulletIndent">
    <w:name w:val="Bullet Indent"/>
    <w:rsid w:val="00AD47C0"/>
    <w:pPr>
      <w:numPr>
        <w:numId w:val="1"/>
      </w:numPr>
      <w:ind w:left="810"/>
    </w:pPr>
    <w:rPr>
      <w:sz w:val="22"/>
      <w:szCs w:val="22"/>
    </w:rPr>
  </w:style>
  <w:style w:type="paragraph" w:customStyle="1" w:styleId="Chartheading">
    <w:name w:val="Chart heading"/>
    <w:basedOn w:val="Tableheading0"/>
    <w:next w:val="Normal"/>
    <w:rsid w:val="00AD47C0"/>
    <w:rPr>
      <w:rFonts w:eastAsia="Times New Roman"/>
    </w:rPr>
  </w:style>
  <w:style w:type="paragraph" w:customStyle="1" w:styleId="CommentaryHeading3">
    <w:name w:val="Commentary Heading 3"/>
    <w:basedOn w:val="CommentaryText"/>
    <w:link w:val="CommentaryHeading3Char"/>
    <w:rsid w:val="00AD47C0"/>
    <w:rPr>
      <w:rFonts w:ascii="Calibri" w:eastAsia="Times New Roman" w:hAnsi="Calibri" w:cs="Arial"/>
      <w:b/>
      <w:bCs/>
    </w:rPr>
  </w:style>
  <w:style w:type="character" w:customStyle="1" w:styleId="CommentaryHeading3Char">
    <w:name w:val="Commentary Heading 3 Char"/>
    <w:link w:val="CommentaryHeading3"/>
    <w:locked/>
    <w:rsid w:val="00AD47C0"/>
    <w:rPr>
      <w:rFonts w:ascii="Calibri" w:eastAsia="Times New Roman" w:hAnsi="Calibri" w:cs="Arial"/>
      <w:b/>
      <w:bCs/>
      <w:noProof/>
      <w:color w:val="0000FF"/>
      <w:sz w:val="22"/>
      <w:szCs w:val="22"/>
    </w:rPr>
  </w:style>
  <w:style w:type="paragraph" w:customStyle="1" w:styleId="Heading2pt2">
    <w:name w:val="Heading 2 pt2"/>
    <w:basedOn w:val="Heading20"/>
    <w:link w:val="Heading2pt2Char"/>
    <w:rsid w:val="00AD47C0"/>
    <w:pPr>
      <w:tabs>
        <w:tab w:val="clear" w:pos="964"/>
      </w:tabs>
    </w:pPr>
    <w:rPr>
      <w:rFonts w:eastAsia="Times New Roman"/>
      <w:sz w:val="26"/>
    </w:rPr>
  </w:style>
  <w:style w:type="character" w:customStyle="1" w:styleId="Heading2pt2Char">
    <w:name w:val="Heading 2 pt2 Char"/>
    <w:basedOn w:val="Heading2Char"/>
    <w:link w:val="Heading2pt2"/>
    <w:rsid w:val="00AD47C0"/>
    <w:rPr>
      <w:rFonts w:asciiTheme="majorHAnsi" w:eastAsia="Times New Roman" w:hAnsiTheme="majorHAnsi" w:cstheme="majorBidi"/>
      <w:b/>
      <w:spacing w:val="-2"/>
      <w:sz w:val="26"/>
      <w:szCs w:val="26"/>
    </w:rPr>
  </w:style>
  <w:style w:type="paragraph" w:customStyle="1" w:styleId="Heading5a">
    <w:name w:val="Heading 5a"/>
    <w:basedOn w:val="Heading5"/>
    <w:rsid w:val="00AD47C0"/>
    <w:pPr>
      <w:tabs>
        <w:tab w:val="clear" w:pos="737"/>
      </w:tabs>
      <w:spacing w:after="60"/>
      <w:ind w:left="0" w:firstLine="0"/>
    </w:pPr>
    <w:rPr>
      <w:rFonts w:eastAsia="Times New Roman"/>
      <w:b w:val="0"/>
      <w:bCs/>
      <w:i/>
      <w:iCs w:val="0"/>
      <w:sz w:val="22"/>
    </w:rPr>
  </w:style>
  <w:style w:type="paragraph" w:customStyle="1" w:styleId="Heading2NotesContd">
    <w:name w:val="Heading 2 Notes Cont'd"/>
    <w:basedOn w:val="Normal"/>
    <w:rsid w:val="00AD47C0"/>
    <w:pPr>
      <w:keepNext/>
      <w:tabs>
        <w:tab w:val="left" w:pos="1152"/>
      </w:tabs>
      <w:spacing w:before="240" w:after="120"/>
      <w:ind w:left="1152" w:hanging="1152"/>
      <w:outlineLvl w:val="1"/>
    </w:pPr>
    <w:rPr>
      <w:rFonts w:ascii="Calibri" w:eastAsia="Times New Roman" w:hAnsi="Calibri" w:cs="Times New Roman"/>
      <w:b/>
      <w:spacing w:val="0"/>
      <w:kern w:val="28"/>
      <w:sz w:val="28"/>
      <w:szCs w:val="22"/>
    </w:rPr>
  </w:style>
  <w:style w:type="paragraph" w:customStyle="1" w:styleId="heading">
    <w:name w:val="heading"/>
    <w:basedOn w:val="Heading20"/>
    <w:link w:val="headingChar"/>
    <w:semiHidden/>
    <w:rsid w:val="00AD47C0"/>
    <w:pPr>
      <w:keepNext w:val="0"/>
      <w:tabs>
        <w:tab w:val="clear" w:pos="964"/>
      </w:tabs>
      <w:overflowPunct w:val="0"/>
      <w:autoSpaceDE w:val="0"/>
      <w:autoSpaceDN w:val="0"/>
      <w:adjustRightInd w:val="0"/>
      <w:spacing w:after="120"/>
      <w:textAlignment w:val="baseline"/>
    </w:pPr>
    <w:rPr>
      <w:rFonts w:ascii="EY Gothic Cond MedPS" w:hAnsi="EY Gothic Cond MedPS"/>
      <w:bCs/>
      <w:color w:val="0063A6" w:themeColor="accent1"/>
      <w:sz w:val="26"/>
      <w:lang w:val="en-GB"/>
    </w:rPr>
  </w:style>
  <w:style w:type="character" w:customStyle="1" w:styleId="headingChar">
    <w:name w:val="heading Char"/>
    <w:basedOn w:val="Heading2Char"/>
    <w:link w:val="heading"/>
    <w:semiHidden/>
    <w:rsid w:val="00AD47C0"/>
    <w:rPr>
      <w:rFonts w:ascii="EY Gothic Cond MedPS" w:eastAsiaTheme="majorEastAsia" w:hAnsi="EY Gothic Cond MedPS" w:cstheme="majorBidi"/>
      <w:b/>
      <w:bCs/>
      <w:color w:val="0063A6" w:themeColor="accent1"/>
      <w:spacing w:val="-2"/>
      <w:sz w:val="26"/>
      <w:szCs w:val="26"/>
      <w:lang w:val="en-GB"/>
    </w:rPr>
  </w:style>
  <w:style w:type="paragraph" w:customStyle="1" w:styleId="Heading4a">
    <w:name w:val="Heading 4a"/>
    <w:basedOn w:val="Heading4"/>
    <w:rsid w:val="00AD47C0"/>
    <w:pPr>
      <w:tabs>
        <w:tab w:val="clear" w:pos="737"/>
      </w:tabs>
      <w:spacing w:after="60"/>
      <w:ind w:left="720" w:hanging="720"/>
    </w:pPr>
    <w:rPr>
      <w:sz w:val="22"/>
      <w:szCs w:val="22"/>
    </w:rPr>
  </w:style>
  <w:style w:type="paragraph" w:customStyle="1" w:styleId="Heading1Blue">
    <w:name w:val="Heading 1 Blue"/>
    <w:basedOn w:val="Heading10"/>
    <w:link w:val="Heading1BlueChar"/>
    <w:rsid w:val="00AD47C0"/>
    <w:pPr>
      <w:pBdr>
        <w:bottom w:val="none" w:sz="0" w:space="0" w:color="auto"/>
      </w:pBdr>
    </w:pPr>
    <w:rPr>
      <w:color w:val="0000FF"/>
      <w:sz w:val="26"/>
    </w:rPr>
  </w:style>
  <w:style w:type="character" w:customStyle="1" w:styleId="Heading1BlueChar">
    <w:name w:val="Heading 1 Blue Char"/>
    <w:link w:val="Heading1Blue"/>
    <w:locked/>
    <w:rsid w:val="00AD47C0"/>
    <w:rPr>
      <w:rFonts w:asciiTheme="majorHAnsi" w:eastAsiaTheme="majorEastAsia" w:hAnsiTheme="majorHAnsi" w:cstheme="majorBidi"/>
      <w:b/>
      <w:bCs/>
      <w:caps/>
      <w:color w:val="0000FF"/>
      <w:spacing w:val="-2"/>
      <w:sz w:val="26"/>
      <w:szCs w:val="28"/>
    </w:rPr>
  </w:style>
  <w:style w:type="character" w:customStyle="1" w:styleId="SourceReferenceChar">
    <w:name w:val="Source Reference Char"/>
    <w:rsid w:val="00AD47C0"/>
    <w:rPr>
      <w:rFonts w:ascii="Calibri" w:eastAsiaTheme="minorHAnsi" w:hAnsi="Calibri" w:cs="Arial Narrow"/>
      <w:color w:val="0072CE"/>
      <w:sz w:val="16"/>
      <w:szCs w:val="16"/>
      <w:lang w:eastAsia="en-US"/>
    </w:rPr>
  </w:style>
  <w:style w:type="paragraph" w:customStyle="1" w:styleId="Heading3a">
    <w:name w:val="Heading 3a"/>
    <w:basedOn w:val="Normal"/>
    <w:link w:val="Heading3aChar"/>
    <w:rsid w:val="00AD47C0"/>
    <w:pPr>
      <w:keepNext/>
      <w:tabs>
        <w:tab w:val="left" w:pos="1260"/>
      </w:tabs>
      <w:spacing w:before="180" w:after="60"/>
      <w:ind w:left="1260" w:hanging="1260"/>
      <w:outlineLvl w:val="1"/>
    </w:pPr>
    <w:rPr>
      <w:rFonts w:ascii="Calibri" w:hAnsi="Calibri" w:cs="Times New Roman"/>
      <w:b/>
      <w:bCs/>
      <w:spacing w:val="0"/>
      <w:kern w:val="28"/>
      <w:sz w:val="26"/>
      <w:szCs w:val="24"/>
    </w:rPr>
  </w:style>
  <w:style w:type="character" w:customStyle="1" w:styleId="Heading3aChar">
    <w:name w:val="Heading 3a Char"/>
    <w:link w:val="Heading3a"/>
    <w:locked/>
    <w:rsid w:val="00AD47C0"/>
    <w:rPr>
      <w:rFonts w:ascii="Calibri" w:hAnsi="Calibri" w:cs="Times New Roman"/>
      <w:b/>
      <w:bCs/>
      <w:kern w:val="28"/>
      <w:sz w:val="26"/>
      <w:szCs w:val="24"/>
    </w:rPr>
  </w:style>
  <w:style w:type="character" w:customStyle="1" w:styleId="CommentaryHeading2Char">
    <w:name w:val="Commentary Heading 2 Char"/>
    <w:link w:val="CommentaryHeading2"/>
    <w:rsid w:val="00AD47C0"/>
    <w:rPr>
      <w:rFonts w:ascii="Calibri" w:hAnsi="Calibri" w:cs="Arial"/>
      <w:b/>
      <w:bCs/>
      <w:i/>
      <w:noProof/>
      <w:color w:val="0000FF"/>
      <w:sz w:val="22"/>
      <w:szCs w:val="22"/>
    </w:rPr>
  </w:style>
  <w:style w:type="paragraph" w:customStyle="1" w:styleId="Heading5Blue0">
    <w:name w:val="Heading 5 Blue"/>
    <w:basedOn w:val="Heading5"/>
    <w:rsid w:val="00AD47C0"/>
    <w:pPr>
      <w:keepNext w:val="0"/>
      <w:tabs>
        <w:tab w:val="clear" w:pos="737"/>
        <w:tab w:val="num" w:pos="716"/>
      </w:tabs>
      <w:ind w:left="716" w:hanging="432"/>
    </w:pPr>
    <w:rPr>
      <w:rFonts w:cs="Arial Bold"/>
      <w:color w:val="0000FF"/>
      <w:sz w:val="22"/>
      <w:szCs w:val="22"/>
    </w:rPr>
  </w:style>
  <w:style w:type="paragraph" w:customStyle="1" w:styleId="CharCharCharChar">
    <w:name w:val="Char Char Char Char"/>
    <w:basedOn w:val="Normal"/>
    <w:semiHidden/>
    <w:rsid w:val="00AD47C0"/>
    <w:pPr>
      <w:spacing w:before="0" w:after="160" w:line="240" w:lineRule="exact"/>
    </w:pPr>
    <w:rPr>
      <w:rFonts w:ascii="Tahoma" w:hAnsi="Tahoma"/>
      <w:spacing w:val="0"/>
      <w:sz w:val="20"/>
      <w:szCs w:val="20"/>
      <w:lang w:val="en-US"/>
    </w:rPr>
  </w:style>
  <w:style w:type="paragraph" w:customStyle="1" w:styleId="Char1">
    <w:name w:val="Char1"/>
    <w:basedOn w:val="Normal"/>
    <w:semiHidden/>
    <w:rsid w:val="00AD47C0"/>
    <w:pPr>
      <w:spacing w:before="0" w:after="160" w:line="240" w:lineRule="exact"/>
    </w:pPr>
    <w:rPr>
      <w:rFonts w:ascii="Tahoma" w:hAnsi="Tahoma"/>
      <w:spacing w:val="0"/>
      <w:sz w:val="20"/>
      <w:szCs w:val="20"/>
      <w:lang w:val="en-US"/>
    </w:rPr>
  </w:style>
  <w:style w:type="paragraph" w:customStyle="1" w:styleId="CharCharCharChar1">
    <w:name w:val="Char Char Char Char1"/>
    <w:basedOn w:val="Normal"/>
    <w:semiHidden/>
    <w:rsid w:val="00AD47C0"/>
    <w:pPr>
      <w:spacing w:before="0" w:after="160" w:line="240" w:lineRule="exact"/>
    </w:pPr>
    <w:rPr>
      <w:rFonts w:ascii="Tahoma" w:hAnsi="Tahoma"/>
      <w:spacing w:val="0"/>
      <w:sz w:val="20"/>
      <w:szCs w:val="20"/>
      <w:lang w:val="en-US"/>
    </w:rPr>
  </w:style>
  <w:style w:type="paragraph" w:customStyle="1" w:styleId="Char2">
    <w:name w:val="Char2"/>
    <w:basedOn w:val="Normal"/>
    <w:semiHidden/>
    <w:rsid w:val="00AD47C0"/>
    <w:pPr>
      <w:spacing w:before="0" w:after="160" w:line="240" w:lineRule="exact"/>
    </w:pPr>
    <w:rPr>
      <w:rFonts w:ascii="Tahoma" w:hAnsi="Tahoma"/>
      <w:spacing w:val="0"/>
      <w:sz w:val="20"/>
      <w:szCs w:val="20"/>
      <w:lang w:val="en-US"/>
    </w:rPr>
  </w:style>
  <w:style w:type="paragraph" w:customStyle="1" w:styleId="CharCharCharChar2">
    <w:name w:val="Char Char Char Char2"/>
    <w:basedOn w:val="Normal"/>
    <w:semiHidden/>
    <w:rsid w:val="00AD47C0"/>
    <w:pPr>
      <w:spacing w:before="0" w:after="160" w:line="240" w:lineRule="exact"/>
    </w:pPr>
    <w:rPr>
      <w:rFonts w:ascii="Tahoma" w:hAnsi="Tahoma"/>
      <w:spacing w:val="0"/>
      <w:sz w:val="20"/>
      <w:szCs w:val="20"/>
      <w:lang w:val="en-US"/>
    </w:rPr>
  </w:style>
  <w:style w:type="paragraph" w:customStyle="1" w:styleId="Char3">
    <w:name w:val="Char3"/>
    <w:basedOn w:val="Normal"/>
    <w:semiHidden/>
    <w:rsid w:val="00AD47C0"/>
    <w:pPr>
      <w:spacing w:before="0" w:after="160" w:line="240" w:lineRule="exact"/>
    </w:pPr>
    <w:rPr>
      <w:rFonts w:ascii="Tahoma" w:hAnsi="Tahoma"/>
      <w:spacing w:val="0"/>
      <w:sz w:val="20"/>
      <w:szCs w:val="20"/>
      <w:lang w:val="en-US"/>
    </w:rPr>
  </w:style>
  <w:style w:type="paragraph" w:customStyle="1" w:styleId="CharCharCharChar3">
    <w:name w:val="Char Char Char Char3"/>
    <w:basedOn w:val="Normal"/>
    <w:semiHidden/>
    <w:rsid w:val="00AD47C0"/>
    <w:pPr>
      <w:spacing w:before="0" w:after="160" w:line="240" w:lineRule="exact"/>
    </w:pPr>
    <w:rPr>
      <w:rFonts w:ascii="Tahoma" w:hAnsi="Tahoma"/>
      <w:spacing w:val="0"/>
      <w:sz w:val="20"/>
      <w:szCs w:val="20"/>
      <w:lang w:val="en-US"/>
    </w:rPr>
  </w:style>
  <w:style w:type="paragraph" w:customStyle="1" w:styleId="CommentaryHeading4">
    <w:name w:val="Commentary Heading 4"/>
    <w:basedOn w:val="CommentaryHeading3"/>
    <w:link w:val="CommentaryHeading4Char"/>
    <w:rsid w:val="00AD47C0"/>
    <w:pPr>
      <w:pBdr>
        <w:top w:val="none" w:sz="0" w:space="0" w:color="auto"/>
        <w:bottom w:val="none" w:sz="0" w:space="0" w:color="auto"/>
      </w:pBdr>
    </w:pPr>
    <w:rPr>
      <w:i/>
    </w:rPr>
  </w:style>
  <w:style w:type="character" w:customStyle="1" w:styleId="CommentaryHeading4Char">
    <w:name w:val="Commentary Heading 4 Char"/>
    <w:link w:val="CommentaryHeading4"/>
    <w:rsid w:val="00AD47C0"/>
    <w:rPr>
      <w:rFonts w:ascii="Calibri" w:eastAsia="Times New Roman" w:hAnsi="Calibri" w:cs="Arial"/>
      <w:b/>
      <w:bCs/>
      <w:i/>
      <w:noProof/>
      <w:color w:val="0000FF"/>
      <w:sz w:val="22"/>
      <w:szCs w:val="22"/>
    </w:rPr>
  </w:style>
  <w:style w:type="paragraph" w:customStyle="1" w:styleId="Pa210">
    <w:name w:val="Pa2++10"/>
    <w:basedOn w:val="Normal"/>
    <w:next w:val="Normal"/>
    <w:semiHidden/>
    <w:rsid w:val="00AD47C0"/>
    <w:pPr>
      <w:autoSpaceDE w:val="0"/>
      <w:autoSpaceDN w:val="0"/>
      <w:adjustRightInd w:val="0"/>
      <w:spacing w:before="0" w:line="201" w:lineRule="atLeast"/>
    </w:pPr>
    <w:rPr>
      <w:rFonts w:ascii="Stag Medium" w:hAnsi="Stag Medium"/>
      <w:spacing w:val="0"/>
      <w:sz w:val="24"/>
      <w:szCs w:val="24"/>
    </w:rPr>
  </w:style>
  <w:style w:type="paragraph" w:customStyle="1" w:styleId="Footer1">
    <w:name w:val="Footer1"/>
    <w:basedOn w:val="Footer"/>
    <w:rsid w:val="00AD47C0"/>
    <w:pPr>
      <w:tabs>
        <w:tab w:val="right" w:pos="10206"/>
      </w:tabs>
    </w:pPr>
    <w:rPr>
      <w:spacing w:val="0"/>
      <w:sz w:val="22"/>
      <w:szCs w:val="22"/>
    </w:rPr>
  </w:style>
  <w:style w:type="paragraph" w:customStyle="1" w:styleId="NotesIndent0">
    <w:name w:val="NotesIndent"/>
    <w:basedOn w:val="Notes"/>
    <w:link w:val="NotesIndentChar"/>
    <w:rsid w:val="00AD47C0"/>
    <w:pPr>
      <w:ind w:left="915"/>
    </w:pPr>
    <w:rPr>
      <w:iCs w:val="0"/>
      <w:szCs w:val="20"/>
    </w:rPr>
  </w:style>
  <w:style w:type="character" w:customStyle="1" w:styleId="NotesIndentChar">
    <w:name w:val="NotesIndent Char"/>
    <w:link w:val="NotesIndent0"/>
    <w:rsid w:val="00AD47C0"/>
    <w:rPr>
      <w:rFonts w:ascii="Calibri" w:hAnsi="Calibri"/>
      <w:i/>
      <w:sz w:val="16"/>
      <w:szCs w:val="20"/>
    </w:rPr>
  </w:style>
  <w:style w:type="paragraph" w:customStyle="1" w:styleId="Chartpara">
    <w:name w:val="Chart para"/>
    <w:basedOn w:val="Normal"/>
    <w:semiHidden/>
    <w:rsid w:val="00AD47C0"/>
    <w:pPr>
      <w:spacing w:before="0"/>
    </w:pPr>
    <w:rPr>
      <w:spacing w:val="0"/>
      <w:sz w:val="22"/>
      <w:szCs w:val="20"/>
    </w:rPr>
  </w:style>
  <w:style w:type="paragraph" w:customStyle="1" w:styleId="Tablecolumnheading">
    <w:name w:val="Table column heading"/>
    <w:next w:val="Normal"/>
    <w:rsid w:val="00AD47C0"/>
    <w:pPr>
      <w:overflowPunct w:val="0"/>
      <w:autoSpaceDE w:val="0"/>
      <w:autoSpaceDN w:val="0"/>
      <w:adjustRightInd w:val="0"/>
      <w:spacing w:before="0" w:line="220" w:lineRule="exact"/>
      <w:jc w:val="right"/>
      <w:textAlignment w:val="baseline"/>
    </w:pPr>
    <w:rPr>
      <w:rFonts w:ascii="EYInterstate" w:eastAsia="Times New Roman" w:hAnsi="EYInterstate" w:cs="Arial"/>
      <w:b/>
      <w:color w:val="000000"/>
      <w:lang w:val="en-GB"/>
    </w:rPr>
  </w:style>
  <w:style w:type="table" w:customStyle="1" w:styleId="CVtable1">
    <w:name w:val="CV table1"/>
    <w:basedOn w:val="TableNormal"/>
    <w:next w:val="TableGrid"/>
    <w:rsid w:val="00AD47C0"/>
    <w:pPr>
      <w:spacing w:before="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centred">
    <w:name w:val="Text box centred"/>
    <w:qFormat/>
    <w:rsid w:val="00AD47C0"/>
    <w:pPr>
      <w:spacing w:before="0"/>
      <w:jc w:val="center"/>
    </w:pPr>
    <w:rPr>
      <w:rFonts w:ascii="Calibri" w:eastAsia="Times New Roman" w:hAnsi="Calibri" w:cs="Calibri"/>
      <w:sz w:val="16"/>
      <w:szCs w:val="16"/>
      <w:lang w:eastAsia="en-AU"/>
    </w:rPr>
  </w:style>
  <w:style w:type="paragraph" w:customStyle="1" w:styleId="Textboxtext">
    <w:name w:val="Text box text"/>
    <w:qFormat/>
    <w:rsid w:val="00AD47C0"/>
    <w:pPr>
      <w:spacing w:before="0"/>
    </w:pPr>
    <w:rPr>
      <w:rFonts w:ascii="Calibri" w:eastAsiaTheme="minorEastAsia" w:hAnsi="Calibri" w:cs="Calibri"/>
      <w:sz w:val="16"/>
      <w:szCs w:val="16"/>
      <w:lang w:eastAsia="en-AU"/>
    </w:rPr>
  </w:style>
  <w:style w:type="paragraph" w:customStyle="1" w:styleId="CharCharCharChar4">
    <w:name w:val="Char Char Char Char4"/>
    <w:basedOn w:val="Normal"/>
    <w:semiHidden/>
    <w:rsid w:val="00AD47C0"/>
    <w:pPr>
      <w:spacing w:before="0" w:after="160" w:line="240" w:lineRule="exact"/>
    </w:pPr>
    <w:rPr>
      <w:rFonts w:ascii="Times New Roman" w:hAnsi="Times New Roman" w:cs="Times New Roman"/>
      <w:spacing w:val="0"/>
      <w:sz w:val="20"/>
      <w:szCs w:val="20"/>
      <w:lang w:val="en-US"/>
    </w:rPr>
  </w:style>
  <w:style w:type="paragraph" w:customStyle="1" w:styleId="PMNotes">
    <w:name w:val="PMNotes"/>
    <w:basedOn w:val="NotesIndent0"/>
    <w:rsid w:val="00AD47C0"/>
    <w:pPr>
      <w:tabs>
        <w:tab w:val="clear" w:pos="454"/>
      </w:tabs>
      <w:spacing w:after="60"/>
      <w:ind w:left="360" w:right="115" w:firstLine="0"/>
    </w:pPr>
    <w:rPr>
      <w:rFonts w:eastAsia="Times New Roman" w:cs="Times New Roman"/>
    </w:rPr>
  </w:style>
  <w:style w:type="paragraph" w:customStyle="1" w:styleId="Normalhanging">
    <w:name w:val="Normal hanging"/>
    <w:basedOn w:val="Normal"/>
    <w:qFormat/>
    <w:rsid w:val="00AD47C0"/>
    <w:pPr>
      <w:ind w:left="360" w:hanging="360"/>
    </w:pPr>
    <w:rPr>
      <w:spacing w:val="0"/>
      <w:sz w:val="22"/>
      <w:szCs w:val="22"/>
    </w:rPr>
  </w:style>
  <w:style w:type="paragraph" w:customStyle="1" w:styleId="Char">
    <w:name w:val="Char"/>
    <w:basedOn w:val="Normal"/>
    <w:rsid w:val="00AD47C0"/>
    <w:pPr>
      <w:spacing w:before="0" w:after="160" w:line="240" w:lineRule="exact"/>
    </w:pPr>
    <w:rPr>
      <w:rFonts w:ascii="Tahoma" w:eastAsia="Times New Roman" w:hAnsi="Tahoma"/>
      <w:spacing w:val="0"/>
      <w:sz w:val="20"/>
      <w:szCs w:val="20"/>
      <w:lang w:val="en-US"/>
    </w:rPr>
  </w:style>
  <w:style w:type="paragraph" w:customStyle="1" w:styleId="a0">
    <w:name w:val="+"/>
    <w:basedOn w:val="SmallLine0"/>
    <w:qFormat/>
    <w:rsid w:val="00AD47C0"/>
  </w:style>
  <w:style w:type="paragraph" w:customStyle="1" w:styleId="Bullet1">
    <w:name w:val="Bullet 1"/>
    <w:uiPriority w:val="1"/>
    <w:qFormat/>
    <w:rsid w:val="00AD47C0"/>
    <w:pPr>
      <w:numPr>
        <w:numId w:val="38"/>
      </w:numPr>
      <w:tabs>
        <w:tab w:val="left" w:pos="360"/>
      </w:tabs>
      <w:spacing w:before="60" w:after="40"/>
    </w:pPr>
    <w:rPr>
      <w:rFonts w:ascii="Calibri" w:eastAsia="Calibri" w:hAnsi="Calibri" w:cs="Times New Roman"/>
      <w:sz w:val="22"/>
      <w:szCs w:val="22"/>
    </w:rPr>
  </w:style>
  <w:style w:type="paragraph" w:customStyle="1" w:styleId="Bullet1grey">
    <w:name w:val="Bullet 1 grey"/>
    <w:basedOn w:val="Bullet1"/>
    <w:uiPriority w:val="1"/>
    <w:qFormat/>
    <w:rsid w:val="00AD47C0"/>
    <w:rPr>
      <w:color w:val="6E6E64"/>
    </w:rPr>
  </w:style>
  <w:style w:type="paragraph" w:customStyle="1" w:styleId="Normalgrey">
    <w:name w:val="Normal grey"/>
    <w:basedOn w:val="Normal"/>
    <w:qFormat/>
    <w:rsid w:val="00AD47C0"/>
    <w:pPr>
      <w:spacing w:before="60" w:after="60"/>
    </w:pPr>
    <w:rPr>
      <w:rFonts w:ascii="Calibri" w:eastAsia="Calibri" w:hAnsi="Calibri" w:cs="Times New Roman"/>
      <w:color w:val="6E6E64"/>
      <w:spacing w:val="0"/>
      <w:sz w:val="22"/>
      <w:szCs w:val="21"/>
    </w:rPr>
  </w:style>
  <w:style w:type="table" w:customStyle="1" w:styleId="TableGrid30">
    <w:name w:val="Table Grid3"/>
    <w:basedOn w:val="TableNormal"/>
    <w:next w:val="TableGrid"/>
    <w:uiPriority w:val="59"/>
    <w:rsid w:val="00AD47C0"/>
    <w:pPr>
      <w:spacing w:before="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4headingl">
    <w:name w:val="BP4 heading l"/>
    <w:basedOn w:val="Normal"/>
    <w:rsid w:val="00AD47C0"/>
    <w:pPr>
      <w:spacing w:before="0"/>
    </w:pPr>
    <w:rPr>
      <w:rFonts w:ascii="Calibri" w:eastAsia="Times New Roman" w:hAnsi="Calibri" w:cs="Times New Roman"/>
      <w:i/>
      <w:spacing w:val="0"/>
    </w:rPr>
  </w:style>
  <w:style w:type="paragraph" w:customStyle="1" w:styleId="Textboxbullet">
    <w:name w:val="Text box bullet"/>
    <w:basedOn w:val="Textboxtext"/>
    <w:qFormat/>
    <w:rsid w:val="00AD47C0"/>
    <w:pPr>
      <w:numPr>
        <w:numId w:val="39"/>
      </w:numPr>
      <w:ind w:left="227" w:hanging="227"/>
    </w:pPr>
    <w:rPr>
      <w:i/>
    </w:rPr>
  </w:style>
  <w:style w:type="paragraph" w:customStyle="1" w:styleId="TableTextindent1">
    <w:name w:val="Table Text indent"/>
    <w:basedOn w:val="Normal"/>
    <w:rsid w:val="00AD47C0"/>
    <w:pPr>
      <w:spacing w:before="0"/>
      <w:ind w:left="360"/>
    </w:pPr>
    <w:rPr>
      <w:rFonts w:ascii="Calibri" w:eastAsia="Times New Roman" w:hAnsi="Calibri" w:cs="Times New Roman"/>
      <w:spacing w:val="0"/>
      <w:sz w:val="22"/>
    </w:rPr>
  </w:style>
  <w:style w:type="paragraph" w:customStyle="1" w:styleId="ControlledEntitiesHeading1">
    <w:name w:val="ControlledEntitiesHeading1"/>
    <w:qFormat/>
    <w:rsid w:val="00AD47C0"/>
    <w:pPr>
      <w:shd w:val="clear" w:color="auto" w:fill="000000" w:themeFill="text1"/>
      <w:spacing w:before="0" w:after="120"/>
      <w:jc w:val="center"/>
    </w:pPr>
    <w:rPr>
      <w:rFonts w:eastAsia="Times New Roman" w:cstheme="minorHAnsi"/>
      <w:i/>
      <w:color w:val="FFFFFF" w:themeColor="background1"/>
      <w:sz w:val="22"/>
      <w:szCs w:val="22"/>
      <w:lang w:eastAsia="en-AU"/>
    </w:rPr>
  </w:style>
  <w:style w:type="paragraph" w:customStyle="1" w:styleId="ControlledEntitiesHeading2">
    <w:name w:val="ControlledEntitiesHeading2"/>
    <w:qFormat/>
    <w:rsid w:val="00AD47C0"/>
    <w:pPr>
      <w:shd w:val="clear" w:color="auto" w:fill="D9D9D9" w:themeFill="background1" w:themeFillShade="D9"/>
      <w:spacing w:before="0"/>
    </w:pPr>
    <w:rPr>
      <w:rFonts w:ascii="Calibri" w:eastAsia="Times New Roman" w:hAnsi="Calibri" w:cs="Times New Roman"/>
      <w:b/>
      <w:bCs/>
      <w:color w:val="000000" w:themeColor="text1"/>
      <w:lang w:eastAsia="en-AU"/>
    </w:rPr>
  </w:style>
  <w:style w:type="paragraph" w:customStyle="1" w:styleId="ControlledEntitiesText">
    <w:name w:val="ControlledEntitiesText"/>
    <w:qFormat/>
    <w:rsid w:val="00AD47C0"/>
    <w:pPr>
      <w:spacing w:before="20" w:after="20"/>
    </w:pPr>
    <w:rPr>
      <w:rFonts w:ascii="Calibri" w:eastAsia="Times New Roman" w:hAnsi="Calibri" w:cs="Times New Roman"/>
      <w:color w:val="000000" w:themeColor="text1"/>
      <w:lang w:eastAsia="en-AU"/>
    </w:rPr>
  </w:style>
  <w:style w:type="paragraph" w:customStyle="1" w:styleId="ControlledEntitiesDash">
    <w:name w:val="ControlledEntitiesDash"/>
    <w:qFormat/>
    <w:rsid w:val="00AD47C0"/>
    <w:pPr>
      <w:numPr>
        <w:numId w:val="40"/>
      </w:numPr>
      <w:spacing w:before="20" w:after="20"/>
      <w:ind w:left="216" w:hanging="216"/>
      <w:contextualSpacing/>
    </w:pPr>
    <w:rPr>
      <w:rFonts w:ascii="Calibri" w:eastAsia="Times New Roman" w:hAnsi="Calibri" w:cs="Times New Roman"/>
      <w:iCs/>
      <w:color w:val="000000" w:themeColor="text1"/>
      <w:lang w:eastAsia="en-AU"/>
    </w:rPr>
  </w:style>
  <w:style w:type="paragraph" w:customStyle="1" w:styleId="Bullet20">
    <w:name w:val="Bullet 2"/>
    <w:basedOn w:val="Bullet1"/>
    <w:uiPriority w:val="1"/>
    <w:qFormat/>
    <w:rsid w:val="00AD47C0"/>
    <w:pPr>
      <w:numPr>
        <w:numId w:val="0"/>
      </w:numPr>
      <w:tabs>
        <w:tab w:val="clear" w:pos="360"/>
        <w:tab w:val="num" w:pos="720"/>
      </w:tabs>
      <w:spacing w:before="100" w:after="100"/>
      <w:ind w:left="720" w:hanging="360"/>
      <w:contextualSpacing/>
    </w:pPr>
    <w:rPr>
      <w:rFonts w:asciiTheme="minorHAnsi" w:eastAsia="Times New Roman" w:hAnsiTheme="minorHAnsi" w:cs="Calibri"/>
      <w:spacing w:val="2"/>
      <w:sz w:val="20"/>
      <w:szCs w:val="20"/>
      <w:lang w:eastAsia="en-AU"/>
    </w:rPr>
  </w:style>
  <w:style w:type="paragraph" w:customStyle="1" w:styleId="Bulletindent0">
    <w:name w:val="Bullet indent"/>
    <w:basedOn w:val="Bullet20"/>
    <w:uiPriority w:val="9"/>
    <w:qFormat/>
    <w:rsid w:val="00AD47C0"/>
    <w:pPr>
      <w:tabs>
        <w:tab w:val="clear" w:pos="720"/>
        <w:tab w:val="num" w:pos="1152"/>
      </w:tabs>
      <w:ind w:left="1152"/>
    </w:pPr>
  </w:style>
  <w:style w:type="paragraph" w:customStyle="1" w:styleId="Bulletindent2">
    <w:name w:val="Bullet indent 2"/>
    <w:basedOn w:val="Normal"/>
    <w:uiPriority w:val="9"/>
    <w:qFormat/>
    <w:rsid w:val="00AD47C0"/>
    <w:pPr>
      <w:tabs>
        <w:tab w:val="num" w:pos="1512"/>
      </w:tabs>
      <w:spacing w:before="100" w:after="100" w:line="276" w:lineRule="auto"/>
      <w:ind w:left="1512" w:hanging="360"/>
      <w:contextualSpacing/>
    </w:pPr>
    <w:rPr>
      <w:rFonts w:eastAsiaTheme="minorEastAsia"/>
      <w:sz w:val="20"/>
      <w:szCs w:val="20"/>
    </w:rPr>
  </w:style>
  <w:style w:type="paragraph" w:customStyle="1" w:styleId="Numpara">
    <w:name w:val="Num para"/>
    <w:basedOn w:val="ListParagraph"/>
    <w:uiPriority w:val="3"/>
    <w:qFormat/>
    <w:rsid w:val="00AD47C0"/>
    <w:pPr>
      <w:numPr>
        <w:numId w:val="41"/>
      </w:numPr>
      <w:spacing w:before="160" w:after="100" w:line="276" w:lineRule="auto"/>
      <w:contextualSpacing w:val="0"/>
    </w:pPr>
    <w:rPr>
      <w:rFonts w:eastAsiaTheme="minorEastAsia"/>
      <w:sz w:val="20"/>
      <w:szCs w:val="20"/>
    </w:rPr>
  </w:style>
  <w:style w:type="paragraph" w:customStyle="1" w:styleId="Spacer">
    <w:name w:val="Spacer"/>
    <w:basedOn w:val="Normal"/>
    <w:uiPriority w:val="13"/>
    <w:semiHidden/>
    <w:qFormat/>
    <w:rsid w:val="00AD47C0"/>
    <w:pPr>
      <w:spacing w:before="0" w:line="120" w:lineRule="atLeast"/>
    </w:pPr>
    <w:rPr>
      <w:rFonts w:eastAsia="Times New Roman" w:cs="Calibri"/>
      <w:spacing w:val="0"/>
      <w:sz w:val="10"/>
      <w:szCs w:val="22"/>
    </w:rPr>
  </w:style>
  <w:style w:type="paragraph" w:customStyle="1" w:styleId="Tablenum1">
    <w:name w:val="Table num 1"/>
    <w:basedOn w:val="Normal"/>
    <w:uiPriority w:val="6"/>
    <w:rsid w:val="00AD47C0"/>
    <w:pPr>
      <w:tabs>
        <w:tab w:val="num" w:pos="360"/>
      </w:tabs>
      <w:spacing w:before="160" w:after="100" w:line="276" w:lineRule="auto"/>
      <w:ind w:left="360" w:hanging="360"/>
    </w:pPr>
    <w:rPr>
      <w:rFonts w:eastAsiaTheme="minorEastAsia"/>
      <w:sz w:val="17"/>
      <w:szCs w:val="20"/>
    </w:rPr>
  </w:style>
  <w:style w:type="paragraph" w:customStyle="1" w:styleId="Tablenum2">
    <w:name w:val="Table num 2"/>
    <w:basedOn w:val="Normal"/>
    <w:uiPriority w:val="6"/>
    <w:rsid w:val="00AD47C0"/>
    <w:pPr>
      <w:tabs>
        <w:tab w:val="num" w:pos="720"/>
      </w:tabs>
      <w:spacing w:before="160" w:after="100" w:line="276" w:lineRule="auto"/>
      <w:ind w:left="720" w:hanging="360"/>
    </w:pPr>
    <w:rPr>
      <w:rFonts w:eastAsiaTheme="minorEastAsia"/>
      <w:sz w:val="17"/>
      <w:szCs w:val="20"/>
    </w:rPr>
  </w:style>
  <w:style w:type="paragraph" w:customStyle="1" w:styleId="ObjectiveHeading">
    <w:name w:val="Objective Heading"/>
    <w:basedOn w:val="Normal"/>
    <w:next w:val="Normal"/>
    <w:uiPriority w:val="62"/>
    <w:qFormat/>
    <w:rsid w:val="00AD47C0"/>
    <w:pPr>
      <w:keepNext/>
      <w:pBdr>
        <w:top w:val="single" w:sz="6" w:space="1" w:color="auto"/>
        <w:left w:val="single" w:sz="6" w:space="4" w:color="auto"/>
        <w:bottom w:val="single" w:sz="6" w:space="1" w:color="auto"/>
        <w:right w:val="single" w:sz="6" w:space="4" w:color="auto"/>
      </w:pBdr>
      <w:shd w:val="clear" w:color="auto" w:fill="F2F2F2" w:themeFill="background1" w:themeFillShade="F2"/>
    </w:pPr>
    <w:rPr>
      <w:rFonts w:asciiTheme="majorHAnsi" w:hAnsiTheme="majorHAnsi"/>
      <w:b/>
      <w:spacing w:val="0"/>
      <w:sz w:val="24"/>
      <w:szCs w:val="22"/>
    </w:rPr>
  </w:style>
  <w:style w:type="paragraph" w:customStyle="1" w:styleId="PerformanceMeasureNote">
    <w:name w:val="Performance Measure Note"/>
    <w:basedOn w:val="Normal"/>
    <w:uiPriority w:val="63"/>
    <w:qFormat/>
    <w:rsid w:val="00AD47C0"/>
    <w:pPr>
      <w:spacing w:before="20" w:after="20"/>
      <w:ind w:left="170"/>
      <w:contextualSpacing/>
    </w:pPr>
    <w:rPr>
      <w:rFonts w:asciiTheme="majorHAnsi" w:hAnsiTheme="majorHAnsi"/>
      <w:i/>
      <w:spacing w:val="-2"/>
      <w:sz w:val="15"/>
      <w:szCs w:val="15"/>
    </w:rPr>
  </w:style>
  <w:style w:type="table" w:customStyle="1" w:styleId="DTFtexttable0">
    <w:name w:val="DTF text table"/>
    <w:basedOn w:val="TableGrid"/>
    <w:uiPriority w:val="99"/>
    <w:rsid w:val="00AD47C0"/>
    <w:pPr>
      <w:spacing w:before="30" w:after="30" w:line="264" w:lineRule="auto"/>
    </w:pPr>
    <w:rPr>
      <w:spacing w:val="2"/>
      <w:sz w:val="17"/>
      <w:szCs w:val="21"/>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AppendixHeading">
    <w:name w:val="Appendix Heading"/>
    <w:basedOn w:val="Heading1nonTOC"/>
    <w:qFormat/>
    <w:rsid w:val="008852ED"/>
  </w:style>
  <w:style w:type="table" w:customStyle="1" w:styleId="CVtable2">
    <w:name w:val="CV table2"/>
    <w:basedOn w:val="TableNormal"/>
    <w:next w:val="TableGrid"/>
    <w:uiPriority w:val="59"/>
    <w:rsid w:val="004C7643"/>
    <w:pPr>
      <w:spacing w:line="240" w:lineRule="atLeast"/>
    </w:pPr>
    <w:rPr>
      <w:rFonts w:ascii="Calibri" w:eastAsia="Times New Roman"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1.xml"/><Relationship Id="rId21" Type="http://schemas.openxmlformats.org/officeDocument/2006/relationships/footer" Target="footer5.xml"/><Relationship Id="rId42" Type="http://schemas.openxmlformats.org/officeDocument/2006/relationships/header" Target="header13.xml"/><Relationship Id="rId63" Type="http://schemas.openxmlformats.org/officeDocument/2006/relationships/header" Target="header18.xml"/><Relationship Id="rId84" Type="http://schemas.openxmlformats.org/officeDocument/2006/relationships/header" Target="header28.xml"/><Relationship Id="rId138" Type="http://schemas.openxmlformats.org/officeDocument/2006/relationships/footer" Target="footer55.xml"/><Relationship Id="rId159" Type="http://schemas.openxmlformats.org/officeDocument/2006/relationships/image" Target="media/image18.png"/><Relationship Id="rId170" Type="http://schemas.openxmlformats.org/officeDocument/2006/relationships/image" Target="media/image21.png"/><Relationship Id="rId191" Type="http://schemas.openxmlformats.org/officeDocument/2006/relationships/header" Target="header71.xml"/><Relationship Id="rId205" Type="http://schemas.openxmlformats.org/officeDocument/2006/relationships/footer" Target="footer75.xml"/><Relationship Id="rId226" Type="http://schemas.openxmlformats.org/officeDocument/2006/relationships/header" Target="header89.xml"/><Relationship Id="rId247" Type="http://schemas.openxmlformats.org/officeDocument/2006/relationships/header" Target="header100.xml"/><Relationship Id="rId107" Type="http://schemas.openxmlformats.org/officeDocument/2006/relationships/footer" Target="footer38.xml"/><Relationship Id="rId11" Type="http://schemas.openxmlformats.org/officeDocument/2006/relationships/image" Target="media/image2.png"/><Relationship Id="rId32" Type="http://schemas.openxmlformats.org/officeDocument/2006/relationships/footer" Target="footer11.xml"/><Relationship Id="rId53" Type="http://schemas.openxmlformats.org/officeDocument/2006/relationships/package" Target="embeddings/Microsoft_Excel_Worksheet1.xlsx"/><Relationship Id="rId74" Type="http://schemas.openxmlformats.org/officeDocument/2006/relationships/footer" Target="footer22.xml"/><Relationship Id="rId128" Type="http://schemas.openxmlformats.org/officeDocument/2006/relationships/footer" Target="footer49.xml"/><Relationship Id="rId149" Type="http://schemas.openxmlformats.org/officeDocument/2006/relationships/footer" Target="footer59.xml"/><Relationship Id="rId5" Type="http://schemas.openxmlformats.org/officeDocument/2006/relationships/settings" Target="settings.xml"/><Relationship Id="rId95" Type="http://schemas.openxmlformats.org/officeDocument/2006/relationships/header" Target="header33.xml"/><Relationship Id="rId160" Type="http://schemas.openxmlformats.org/officeDocument/2006/relationships/image" Target="media/image19.png"/><Relationship Id="rId181" Type="http://schemas.openxmlformats.org/officeDocument/2006/relationships/header" Target="header64.xml"/><Relationship Id="rId216" Type="http://schemas.openxmlformats.org/officeDocument/2006/relationships/footer" Target="footer79.xml"/><Relationship Id="rId237" Type="http://schemas.openxmlformats.org/officeDocument/2006/relationships/footer" Target="footer88.xml"/><Relationship Id="rId258" Type="http://schemas.openxmlformats.org/officeDocument/2006/relationships/footer" Target="footer91.xml"/><Relationship Id="rId22" Type="http://schemas.openxmlformats.org/officeDocument/2006/relationships/footer" Target="footer6.xml"/><Relationship Id="rId43" Type="http://schemas.openxmlformats.org/officeDocument/2006/relationships/hyperlink" Target="http://www.dtf.vic.gov.au/" TargetMode="External"/><Relationship Id="rId64" Type="http://schemas.openxmlformats.org/officeDocument/2006/relationships/footer" Target="footer17.xml"/><Relationship Id="rId118" Type="http://schemas.openxmlformats.org/officeDocument/2006/relationships/header" Target="header42.xml"/><Relationship Id="rId139" Type="http://schemas.openxmlformats.org/officeDocument/2006/relationships/header" Target="header51.xml"/><Relationship Id="rId85" Type="http://schemas.openxmlformats.org/officeDocument/2006/relationships/footer" Target="footer26.xml"/><Relationship Id="rId150" Type="http://schemas.openxmlformats.org/officeDocument/2006/relationships/diagramData" Target="diagrams/data1.xml"/><Relationship Id="rId171" Type="http://schemas.openxmlformats.org/officeDocument/2006/relationships/image" Target="media/image22.png"/><Relationship Id="rId192" Type="http://schemas.openxmlformats.org/officeDocument/2006/relationships/footer" Target="footer70.xml"/><Relationship Id="rId206" Type="http://schemas.openxmlformats.org/officeDocument/2006/relationships/footer" Target="footer76.xml"/><Relationship Id="rId227" Type="http://schemas.openxmlformats.org/officeDocument/2006/relationships/footer" Target="footer84.xml"/><Relationship Id="rId248" Type="http://schemas.openxmlformats.org/officeDocument/2006/relationships/header" Target="header101.xml"/><Relationship Id="rId12" Type="http://schemas.openxmlformats.org/officeDocument/2006/relationships/header" Target="header1.xml"/><Relationship Id="rId33" Type="http://schemas.openxmlformats.org/officeDocument/2006/relationships/header" Target="header9.xml"/><Relationship Id="rId108" Type="http://schemas.openxmlformats.org/officeDocument/2006/relationships/footer" Target="footer39.xml"/><Relationship Id="rId129" Type="http://schemas.openxmlformats.org/officeDocument/2006/relationships/footer" Target="footer50.xml"/><Relationship Id="rId54" Type="http://schemas.openxmlformats.org/officeDocument/2006/relationships/image" Target="media/image7.emf"/><Relationship Id="rId75" Type="http://schemas.openxmlformats.org/officeDocument/2006/relationships/header" Target="header24.xml"/><Relationship Id="rId96" Type="http://schemas.openxmlformats.org/officeDocument/2006/relationships/footer" Target="footer32.xml"/><Relationship Id="rId140" Type="http://schemas.openxmlformats.org/officeDocument/2006/relationships/footer" Target="footer56.xml"/><Relationship Id="rId161" Type="http://schemas.openxmlformats.org/officeDocument/2006/relationships/diagramData" Target="diagrams/data2.xml"/><Relationship Id="rId182" Type="http://schemas.openxmlformats.org/officeDocument/2006/relationships/header" Target="header65.xml"/><Relationship Id="rId217" Type="http://schemas.openxmlformats.org/officeDocument/2006/relationships/footer" Target="footer80.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78.xml"/><Relationship Id="rId233" Type="http://schemas.openxmlformats.org/officeDocument/2006/relationships/footer" Target="footer87.xml"/><Relationship Id="rId238" Type="http://schemas.openxmlformats.org/officeDocument/2006/relationships/hyperlink" Target="http://www.parliament.vic.gov.au/council/tabled-documents/search-tabled-documents/details/3/7618" TargetMode="External"/><Relationship Id="rId254" Type="http://schemas.openxmlformats.org/officeDocument/2006/relationships/header" Target="header106.xml"/><Relationship Id="rId259" Type="http://schemas.openxmlformats.org/officeDocument/2006/relationships/footer" Target="footer92.xml"/><Relationship Id="rId23" Type="http://schemas.openxmlformats.org/officeDocument/2006/relationships/header" Target="header6.xml"/><Relationship Id="rId28" Type="http://schemas.openxmlformats.org/officeDocument/2006/relationships/oleObject" Target="embeddings/oleObject1.bin"/><Relationship Id="rId49" Type="http://schemas.openxmlformats.org/officeDocument/2006/relationships/chart" Target="charts/chart2.xml"/><Relationship Id="rId114" Type="http://schemas.openxmlformats.org/officeDocument/2006/relationships/header" Target="header40.xml"/><Relationship Id="rId119" Type="http://schemas.openxmlformats.org/officeDocument/2006/relationships/footer" Target="footer45.xml"/><Relationship Id="rId44" Type="http://schemas.openxmlformats.org/officeDocument/2006/relationships/header" Target="header14.xml"/><Relationship Id="rId60" Type="http://schemas.openxmlformats.org/officeDocument/2006/relationships/image" Target="media/image10.emf"/><Relationship Id="rId65" Type="http://schemas.openxmlformats.org/officeDocument/2006/relationships/footer" Target="footer18.xml"/><Relationship Id="rId81" Type="http://schemas.openxmlformats.org/officeDocument/2006/relationships/footer" Target="footer25.xml"/><Relationship Id="rId86" Type="http://schemas.openxmlformats.org/officeDocument/2006/relationships/footer" Target="footer27.xml"/><Relationship Id="rId130" Type="http://schemas.openxmlformats.org/officeDocument/2006/relationships/footer" Target="footer51.xml"/><Relationship Id="rId135" Type="http://schemas.openxmlformats.org/officeDocument/2006/relationships/header" Target="header49.xml"/><Relationship Id="rId151" Type="http://schemas.openxmlformats.org/officeDocument/2006/relationships/diagramLayout" Target="diagrams/layout1.xml"/><Relationship Id="rId156" Type="http://schemas.openxmlformats.org/officeDocument/2006/relationships/footer" Target="footer60.xml"/><Relationship Id="rId177" Type="http://schemas.openxmlformats.org/officeDocument/2006/relationships/footer" Target="footer65.xml"/><Relationship Id="rId198" Type="http://schemas.openxmlformats.org/officeDocument/2006/relationships/footer" Target="footer72.xml"/><Relationship Id="rId172" Type="http://schemas.openxmlformats.org/officeDocument/2006/relationships/header" Target="header59.xml"/><Relationship Id="rId193" Type="http://schemas.openxmlformats.org/officeDocument/2006/relationships/image" Target="media/image23.png"/><Relationship Id="rId202" Type="http://schemas.openxmlformats.org/officeDocument/2006/relationships/header" Target="header75.xml"/><Relationship Id="rId207" Type="http://schemas.openxmlformats.org/officeDocument/2006/relationships/header" Target="header77.xml"/><Relationship Id="rId223" Type="http://schemas.openxmlformats.org/officeDocument/2006/relationships/footer" Target="footer82.xml"/><Relationship Id="rId228" Type="http://schemas.openxmlformats.org/officeDocument/2006/relationships/footer" Target="footer85.xml"/><Relationship Id="rId244" Type="http://schemas.openxmlformats.org/officeDocument/2006/relationships/header" Target="header97.xml"/><Relationship Id="rId249" Type="http://schemas.openxmlformats.org/officeDocument/2006/relationships/header" Target="header102.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5.xml"/><Relationship Id="rId109" Type="http://schemas.openxmlformats.org/officeDocument/2006/relationships/image" Target="media/image13.emf"/><Relationship Id="rId260" Type="http://schemas.openxmlformats.org/officeDocument/2006/relationships/image" Target="media/image26.png"/><Relationship Id="rId34" Type="http://schemas.openxmlformats.org/officeDocument/2006/relationships/footer" Target="footer12.xml"/><Relationship Id="rId50" Type="http://schemas.openxmlformats.org/officeDocument/2006/relationships/image" Target="media/image5.emf"/><Relationship Id="rId55" Type="http://schemas.openxmlformats.org/officeDocument/2006/relationships/package" Target="embeddings/Microsoft_Excel_Worksheet2.xlsx"/><Relationship Id="rId76" Type="http://schemas.openxmlformats.org/officeDocument/2006/relationships/footer" Target="footer23.xml"/><Relationship Id="rId97" Type="http://schemas.openxmlformats.org/officeDocument/2006/relationships/header" Target="header34.xml"/><Relationship Id="rId104" Type="http://schemas.openxmlformats.org/officeDocument/2006/relationships/header" Target="header37.xml"/><Relationship Id="rId120" Type="http://schemas.openxmlformats.org/officeDocument/2006/relationships/footer" Target="footer46.xml"/><Relationship Id="rId125" Type="http://schemas.openxmlformats.org/officeDocument/2006/relationships/image" Target="media/image14.png"/><Relationship Id="rId141" Type="http://schemas.openxmlformats.org/officeDocument/2006/relationships/header" Target="header52.xml"/><Relationship Id="rId146" Type="http://schemas.openxmlformats.org/officeDocument/2006/relationships/header" Target="header55.xml"/><Relationship Id="rId167" Type="http://schemas.openxmlformats.org/officeDocument/2006/relationships/header" Target="header58.xml"/><Relationship Id="rId188" Type="http://schemas.openxmlformats.org/officeDocument/2006/relationships/footer" Target="footer68.xml"/><Relationship Id="rId7" Type="http://schemas.openxmlformats.org/officeDocument/2006/relationships/footnotes" Target="footnotes.xml"/><Relationship Id="rId71" Type="http://schemas.openxmlformats.org/officeDocument/2006/relationships/footer" Target="footer21.xml"/><Relationship Id="rId92" Type="http://schemas.openxmlformats.org/officeDocument/2006/relationships/header" Target="header32.xml"/><Relationship Id="rId162" Type="http://schemas.openxmlformats.org/officeDocument/2006/relationships/diagramLayout" Target="diagrams/layout2.xml"/><Relationship Id="rId183" Type="http://schemas.openxmlformats.org/officeDocument/2006/relationships/footer" Target="footer67.xml"/><Relationship Id="rId213" Type="http://schemas.openxmlformats.org/officeDocument/2006/relationships/header" Target="header81.xml"/><Relationship Id="rId218" Type="http://schemas.openxmlformats.org/officeDocument/2006/relationships/header" Target="header84.xml"/><Relationship Id="rId234" Type="http://schemas.openxmlformats.org/officeDocument/2006/relationships/header" Target="header93.xml"/><Relationship Id="rId239" Type="http://schemas.openxmlformats.org/officeDocument/2006/relationships/hyperlink" Target="http://www.parliament.vic.gov.au/file_uploads/Register_of_Interests_-_2_September_2016_to_18_November_2016_HgF7vXsF.pdf" TargetMode="External"/><Relationship Id="rId2" Type="http://schemas.openxmlformats.org/officeDocument/2006/relationships/numbering" Target="numbering.xml"/><Relationship Id="rId29" Type="http://schemas.openxmlformats.org/officeDocument/2006/relationships/header" Target="header7.xml"/><Relationship Id="rId250" Type="http://schemas.openxmlformats.org/officeDocument/2006/relationships/header" Target="header103.xml"/><Relationship Id="rId255" Type="http://schemas.openxmlformats.org/officeDocument/2006/relationships/footer" Target="footer90.xml"/><Relationship Id="rId24" Type="http://schemas.openxmlformats.org/officeDocument/2006/relationships/footer" Target="footer7.xml"/><Relationship Id="rId40" Type="http://schemas.openxmlformats.org/officeDocument/2006/relationships/header" Target="header11.xml"/><Relationship Id="rId45" Type="http://schemas.openxmlformats.org/officeDocument/2006/relationships/header" Target="header15.xml"/><Relationship Id="rId66" Type="http://schemas.openxmlformats.org/officeDocument/2006/relationships/header" Target="header19.xml"/><Relationship Id="rId87" Type="http://schemas.openxmlformats.org/officeDocument/2006/relationships/header" Target="header29.xml"/><Relationship Id="rId110" Type="http://schemas.openxmlformats.org/officeDocument/2006/relationships/footer" Target="footer40.xml"/><Relationship Id="rId115" Type="http://schemas.openxmlformats.org/officeDocument/2006/relationships/footer" Target="footer43.xml"/><Relationship Id="rId131" Type="http://schemas.openxmlformats.org/officeDocument/2006/relationships/header" Target="header47.xml"/><Relationship Id="rId136" Type="http://schemas.openxmlformats.org/officeDocument/2006/relationships/header" Target="header50.xml"/><Relationship Id="rId157" Type="http://schemas.openxmlformats.org/officeDocument/2006/relationships/footer" Target="footer61.xml"/><Relationship Id="rId178" Type="http://schemas.openxmlformats.org/officeDocument/2006/relationships/header" Target="header62.xml"/><Relationship Id="rId61" Type="http://schemas.openxmlformats.org/officeDocument/2006/relationships/package" Target="embeddings/Microsoft_Excel_Worksheet5.xlsx"/><Relationship Id="rId82" Type="http://schemas.openxmlformats.org/officeDocument/2006/relationships/header" Target="header26.xml"/><Relationship Id="rId152" Type="http://schemas.openxmlformats.org/officeDocument/2006/relationships/diagramQuickStyle" Target="diagrams/quickStyle1.xml"/><Relationship Id="rId173" Type="http://schemas.openxmlformats.org/officeDocument/2006/relationships/header" Target="header60.xml"/><Relationship Id="rId194" Type="http://schemas.openxmlformats.org/officeDocument/2006/relationships/image" Target="media/image24.png"/><Relationship Id="rId199" Type="http://schemas.openxmlformats.org/officeDocument/2006/relationships/hyperlink" Target="mailto:accpol@dtf.vic.gov.au" TargetMode="External"/><Relationship Id="rId203" Type="http://schemas.openxmlformats.org/officeDocument/2006/relationships/header" Target="header76.xml"/><Relationship Id="rId208" Type="http://schemas.openxmlformats.org/officeDocument/2006/relationships/header" Target="header78.xml"/><Relationship Id="rId229" Type="http://schemas.openxmlformats.org/officeDocument/2006/relationships/header" Target="header90.xml"/><Relationship Id="rId19" Type="http://schemas.openxmlformats.org/officeDocument/2006/relationships/header" Target="header5.xml"/><Relationship Id="rId224" Type="http://schemas.openxmlformats.org/officeDocument/2006/relationships/footer" Target="footer83.xml"/><Relationship Id="rId240" Type="http://schemas.openxmlformats.org/officeDocument/2006/relationships/image" Target="media/image25.png"/><Relationship Id="rId245" Type="http://schemas.openxmlformats.org/officeDocument/2006/relationships/header" Target="header98.xml"/><Relationship Id="rId261" Type="http://schemas.openxmlformats.org/officeDocument/2006/relationships/footer" Target="footer93.xml"/><Relationship Id="rId14" Type="http://schemas.openxmlformats.org/officeDocument/2006/relationships/footer" Target="footer1.xml"/><Relationship Id="rId30" Type="http://schemas.openxmlformats.org/officeDocument/2006/relationships/header" Target="header8.xml"/><Relationship Id="rId35" Type="http://schemas.openxmlformats.org/officeDocument/2006/relationships/hyperlink" Target="http://www.dtf.vic.gov.au" TargetMode="External"/><Relationship Id="rId56" Type="http://schemas.openxmlformats.org/officeDocument/2006/relationships/image" Target="media/image8.emf"/><Relationship Id="rId77" Type="http://schemas.openxmlformats.org/officeDocument/2006/relationships/header" Target="header25.xml"/><Relationship Id="rId100" Type="http://schemas.openxmlformats.org/officeDocument/2006/relationships/header" Target="header35.xml"/><Relationship Id="rId105" Type="http://schemas.openxmlformats.org/officeDocument/2006/relationships/header" Target="header38.xml"/><Relationship Id="rId126" Type="http://schemas.openxmlformats.org/officeDocument/2006/relationships/header" Target="header45.xml"/><Relationship Id="rId147" Type="http://schemas.openxmlformats.org/officeDocument/2006/relationships/header" Target="header56.xml"/><Relationship Id="rId168" Type="http://schemas.openxmlformats.org/officeDocument/2006/relationships/footer" Target="footer62.xml"/><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header" Target="header22.xml"/><Relationship Id="rId93" Type="http://schemas.openxmlformats.org/officeDocument/2006/relationships/footer" Target="footer30.xml"/><Relationship Id="rId98" Type="http://schemas.openxmlformats.org/officeDocument/2006/relationships/footer" Target="footer33.xml"/><Relationship Id="rId121" Type="http://schemas.openxmlformats.org/officeDocument/2006/relationships/header" Target="header43.xml"/><Relationship Id="rId142" Type="http://schemas.openxmlformats.org/officeDocument/2006/relationships/footer" Target="footer57.xml"/><Relationship Id="rId163" Type="http://schemas.openxmlformats.org/officeDocument/2006/relationships/diagramQuickStyle" Target="diagrams/quickStyle2.xml"/><Relationship Id="rId184" Type="http://schemas.openxmlformats.org/officeDocument/2006/relationships/header" Target="header66.xml"/><Relationship Id="rId189" Type="http://schemas.openxmlformats.org/officeDocument/2006/relationships/footer" Target="footer69.xml"/><Relationship Id="rId219" Type="http://schemas.openxmlformats.org/officeDocument/2006/relationships/header" Target="header85.xml"/><Relationship Id="rId3" Type="http://schemas.openxmlformats.org/officeDocument/2006/relationships/styles" Target="styles.xml"/><Relationship Id="rId214" Type="http://schemas.openxmlformats.org/officeDocument/2006/relationships/header" Target="header82.xml"/><Relationship Id="rId230" Type="http://schemas.openxmlformats.org/officeDocument/2006/relationships/header" Target="header91.xml"/><Relationship Id="rId235" Type="http://schemas.openxmlformats.org/officeDocument/2006/relationships/header" Target="header94.xml"/><Relationship Id="rId251" Type="http://schemas.openxmlformats.org/officeDocument/2006/relationships/header" Target="header104.xml"/><Relationship Id="rId256" Type="http://schemas.openxmlformats.org/officeDocument/2006/relationships/header" Target="header107.xml"/><Relationship Id="rId25" Type="http://schemas.openxmlformats.org/officeDocument/2006/relationships/footer" Target="footer8.xml"/><Relationship Id="rId46" Type="http://schemas.openxmlformats.org/officeDocument/2006/relationships/footer" Target="footer16.xml"/><Relationship Id="rId67" Type="http://schemas.openxmlformats.org/officeDocument/2006/relationships/header" Target="header20.xml"/><Relationship Id="rId116" Type="http://schemas.openxmlformats.org/officeDocument/2006/relationships/footer" Target="footer44.xml"/><Relationship Id="rId137" Type="http://schemas.openxmlformats.org/officeDocument/2006/relationships/footer" Target="footer54.xml"/><Relationship Id="rId158" Type="http://schemas.openxmlformats.org/officeDocument/2006/relationships/image" Target="media/image17.png"/><Relationship Id="rId20" Type="http://schemas.openxmlformats.org/officeDocument/2006/relationships/footer" Target="footer4.xml"/><Relationship Id="rId41" Type="http://schemas.openxmlformats.org/officeDocument/2006/relationships/header" Target="header12.xml"/><Relationship Id="rId62" Type="http://schemas.openxmlformats.org/officeDocument/2006/relationships/header" Target="header17.xml"/><Relationship Id="rId83" Type="http://schemas.openxmlformats.org/officeDocument/2006/relationships/header" Target="header27.xml"/><Relationship Id="rId88" Type="http://schemas.openxmlformats.org/officeDocument/2006/relationships/header" Target="header30.xml"/><Relationship Id="rId111" Type="http://schemas.openxmlformats.org/officeDocument/2006/relationships/footer" Target="footer41.xml"/><Relationship Id="rId132" Type="http://schemas.openxmlformats.org/officeDocument/2006/relationships/header" Target="header48.xml"/><Relationship Id="rId153" Type="http://schemas.openxmlformats.org/officeDocument/2006/relationships/diagramColors" Target="diagrams/colors1.xml"/><Relationship Id="rId174" Type="http://schemas.openxmlformats.org/officeDocument/2006/relationships/header" Target="header61.xml"/><Relationship Id="rId179" Type="http://schemas.openxmlformats.org/officeDocument/2006/relationships/header" Target="header63.xml"/><Relationship Id="rId195" Type="http://schemas.openxmlformats.org/officeDocument/2006/relationships/header" Target="header72.xml"/><Relationship Id="rId209" Type="http://schemas.openxmlformats.org/officeDocument/2006/relationships/footer" Target="footer77.xml"/><Relationship Id="rId190" Type="http://schemas.openxmlformats.org/officeDocument/2006/relationships/header" Target="header70.xml"/><Relationship Id="rId204" Type="http://schemas.openxmlformats.org/officeDocument/2006/relationships/footer" Target="footer74.xml"/><Relationship Id="rId220" Type="http://schemas.openxmlformats.org/officeDocument/2006/relationships/footer" Target="footer81.xml"/><Relationship Id="rId225" Type="http://schemas.openxmlformats.org/officeDocument/2006/relationships/header" Target="header88.xml"/><Relationship Id="rId241" Type="http://schemas.openxmlformats.org/officeDocument/2006/relationships/hyperlink" Target="http://www.parliament.vic.gov.au/council/tabled-documents/search-tabled-documents?pov_doc_detail___doc_title=register+of" TargetMode="External"/><Relationship Id="rId246" Type="http://schemas.openxmlformats.org/officeDocument/2006/relationships/header" Target="header99.xml"/><Relationship Id="rId15" Type="http://schemas.openxmlformats.org/officeDocument/2006/relationships/footer" Target="footer2.xml"/><Relationship Id="rId36" Type="http://schemas.openxmlformats.org/officeDocument/2006/relationships/footer" Target="footer13.xml"/><Relationship Id="rId57" Type="http://schemas.openxmlformats.org/officeDocument/2006/relationships/package" Target="embeddings/Microsoft_Excel_Worksheet3.xlsx"/><Relationship Id="rId106" Type="http://schemas.openxmlformats.org/officeDocument/2006/relationships/footer" Target="footer37.xml"/><Relationship Id="rId127" Type="http://schemas.openxmlformats.org/officeDocument/2006/relationships/header" Target="header46.xml"/><Relationship Id="rId262"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footer" Target="footer10.xml"/><Relationship Id="rId52" Type="http://schemas.openxmlformats.org/officeDocument/2006/relationships/image" Target="media/image6.emf"/><Relationship Id="rId73" Type="http://schemas.openxmlformats.org/officeDocument/2006/relationships/header" Target="header23.xml"/><Relationship Id="rId78" Type="http://schemas.openxmlformats.org/officeDocument/2006/relationships/footer" Target="footer24.xml"/><Relationship Id="rId94" Type="http://schemas.openxmlformats.org/officeDocument/2006/relationships/footer" Target="footer31.xml"/><Relationship Id="rId99" Type="http://schemas.openxmlformats.org/officeDocument/2006/relationships/footer" Target="footer34.xml"/><Relationship Id="rId101" Type="http://schemas.openxmlformats.org/officeDocument/2006/relationships/header" Target="header36.xml"/><Relationship Id="rId122" Type="http://schemas.openxmlformats.org/officeDocument/2006/relationships/header" Target="header44.xml"/><Relationship Id="rId143" Type="http://schemas.openxmlformats.org/officeDocument/2006/relationships/header" Target="header53.xml"/><Relationship Id="rId148" Type="http://schemas.openxmlformats.org/officeDocument/2006/relationships/footer" Target="footer58.xml"/><Relationship Id="rId164" Type="http://schemas.openxmlformats.org/officeDocument/2006/relationships/diagramColors" Target="diagrams/colors2.xml"/><Relationship Id="rId169" Type="http://schemas.openxmlformats.org/officeDocument/2006/relationships/image" Target="media/image20.png"/><Relationship Id="rId185" Type="http://schemas.openxmlformats.org/officeDocument/2006/relationships/header" Target="header67.xml"/><Relationship Id="rId4" Type="http://schemas.microsoft.com/office/2007/relationships/stylesWithEffects" Target="stylesWithEffects.xml"/><Relationship Id="rId9" Type="http://schemas.openxmlformats.org/officeDocument/2006/relationships/hyperlink" Target="http://creativecommons.org/licenses/by/4.0/" TargetMode="External"/><Relationship Id="rId180" Type="http://schemas.openxmlformats.org/officeDocument/2006/relationships/footer" Target="footer66.xml"/><Relationship Id="rId210" Type="http://schemas.openxmlformats.org/officeDocument/2006/relationships/header" Target="header79.xml"/><Relationship Id="rId215" Type="http://schemas.openxmlformats.org/officeDocument/2006/relationships/header" Target="header83.xml"/><Relationship Id="rId236" Type="http://schemas.openxmlformats.org/officeDocument/2006/relationships/header" Target="header95.xml"/><Relationship Id="rId257" Type="http://schemas.openxmlformats.org/officeDocument/2006/relationships/header" Target="header108.xml"/><Relationship Id="rId26" Type="http://schemas.openxmlformats.org/officeDocument/2006/relationships/footer" Target="footer9.xml"/><Relationship Id="rId231" Type="http://schemas.openxmlformats.org/officeDocument/2006/relationships/header" Target="header92.xml"/><Relationship Id="rId252" Type="http://schemas.openxmlformats.org/officeDocument/2006/relationships/footer" Target="footer89.xml"/><Relationship Id="rId47" Type="http://schemas.openxmlformats.org/officeDocument/2006/relationships/header" Target="header16.xml"/><Relationship Id="rId68" Type="http://schemas.openxmlformats.org/officeDocument/2006/relationships/header" Target="header21.xml"/><Relationship Id="rId89" Type="http://schemas.openxmlformats.org/officeDocument/2006/relationships/footer" Target="footer28.xml"/><Relationship Id="rId112" Type="http://schemas.openxmlformats.org/officeDocument/2006/relationships/footer" Target="footer42.xml"/><Relationship Id="rId133" Type="http://schemas.openxmlformats.org/officeDocument/2006/relationships/footer" Target="footer52.xml"/><Relationship Id="rId154" Type="http://schemas.microsoft.com/office/2007/relationships/diagramDrawing" Target="diagrams/drawing1.xml"/><Relationship Id="rId175" Type="http://schemas.openxmlformats.org/officeDocument/2006/relationships/footer" Target="footer63.xml"/><Relationship Id="rId196" Type="http://schemas.openxmlformats.org/officeDocument/2006/relationships/header" Target="header73.xml"/><Relationship Id="rId200" Type="http://schemas.openxmlformats.org/officeDocument/2006/relationships/header" Target="header74.xml"/><Relationship Id="rId16" Type="http://schemas.openxmlformats.org/officeDocument/2006/relationships/header" Target="header3.xml"/><Relationship Id="rId221" Type="http://schemas.openxmlformats.org/officeDocument/2006/relationships/header" Target="header86.xml"/><Relationship Id="rId242" Type="http://schemas.openxmlformats.org/officeDocument/2006/relationships/hyperlink" Target="http://www.parliament.vic.gov.au/file_uploads/Cumulative_Summary_of_Returns_as_at_30_September_2016_VbDPLyg3.pdf" TargetMode="External"/><Relationship Id="rId263" Type="http://schemas.openxmlformats.org/officeDocument/2006/relationships/theme" Target="theme/theme1.xml"/><Relationship Id="rId37" Type="http://schemas.openxmlformats.org/officeDocument/2006/relationships/footer" Target="footer14.xml"/><Relationship Id="rId58" Type="http://schemas.openxmlformats.org/officeDocument/2006/relationships/image" Target="media/image9.emf"/><Relationship Id="rId79" Type="http://schemas.openxmlformats.org/officeDocument/2006/relationships/image" Target="media/image11.png"/><Relationship Id="rId102" Type="http://schemas.openxmlformats.org/officeDocument/2006/relationships/footer" Target="footer35.xml"/><Relationship Id="rId123" Type="http://schemas.openxmlformats.org/officeDocument/2006/relationships/footer" Target="footer47.xml"/><Relationship Id="rId144" Type="http://schemas.openxmlformats.org/officeDocument/2006/relationships/header" Target="header54.xml"/><Relationship Id="rId90" Type="http://schemas.openxmlformats.org/officeDocument/2006/relationships/footer" Target="footer29.xml"/><Relationship Id="rId165" Type="http://schemas.microsoft.com/office/2007/relationships/diagramDrawing" Target="diagrams/drawing2.xml"/><Relationship Id="rId186" Type="http://schemas.openxmlformats.org/officeDocument/2006/relationships/header" Target="header68.xml"/><Relationship Id="rId211" Type="http://schemas.openxmlformats.org/officeDocument/2006/relationships/header" Target="header80.xml"/><Relationship Id="rId232" Type="http://schemas.openxmlformats.org/officeDocument/2006/relationships/footer" Target="footer86.xml"/><Relationship Id="rId253" Type="http://schemas.openxmlformats.org/officeDocument/2006/relationships/header" Target="header105.xml"/><Relationship Id="rId27" Type="http://schemas.openxmlformats.org/officeDocument/2006/relationships/image" Target="media/image4.emf"/><Relationship Id="rId48" Type="http://schemas.openxmlformats.org/officeDocument/2006/relationships/chart" Target="charts/chart1.xml"/><Relationship Id="rId69" Type="http://schemas.openxmlformats.org/officeDocument/2006/relationships/footer" Target="footer19.xml"/><Relationship Id="rId113" Type="http://schemas.openxmlformats.org/officeDocument/2006/relationships/header" Target="header39.xml"/><Relationship Id="rId134" Type="http://schemas.openxmlformats.org/officeDocument/2006/relationships/footer" Target="footer53.xml"/><Relationship Id="rId80" Type="http://schemas.openxmlformats.org/officeDocument/2006/relationships/image" Target="media/image12.png"/><Relationship Id="rId155" Type="http://schemas.openxmlformats.org/officeDocument/2006/relationships/image" Target="media/image16.emf"/><Relationship Id="rId176" Type="http://schemas.openxmlformats.org/officeDocument/2006/relationships/footer" Target="footer64.xml"/><Relationship Id="rId197" Type="http://schemas.openxmlformats.org/officeDocument/2006/relationships/footer" Target="footer71.xml"/><Relationship Id="rId201" Type="http://schemas.openxmlformats.org/officeDocument/2006/relationships/footer" Target="footer73.xml"/><Relationship Id="rId222" Type="http://schemas.openxmlformats.org/officeDocument/2006/relationships/header" Target="header87.xml"/><Relationship Id="rId243" Type="http://schemas.openxmlformats.org/officeDocument/2006/relationships/header" Target="header96.xml"/><Relationship Id="rId17" Type="http://schemas.openxmlformats.org/officeDocument/2006/relationships/footer" Target="footer3.xml"/><Relationship Id="rId38" Type="http://schemas.openxmlformats.org/officeDocument/2006/relationships/header" Target="header10.xml"/><Relationship Id="rId59" Type="http://schemas.openxmlformats.org/officeDocument/2006/relationships/package" Target="embeddings/Microsoft_Excel_Worksheet4.xlsx"/><Relationship Id="rId103" Type="http://schemas.openxmlformats.org/officeDocument/2006/relationships/footer" Target="footer36.xml"/><Relationship Id="rId124" Type="http://schemas.openxmlformats.org/officeDocument/2006/relationships/footer" Target="footer48.xml"/><Relationship Id="rId70" Type="http://schemas.openxmlformats.org/officeDocument/2006/relationships/footer" Target="footer20.xml"/><Relationship Id="rId91" Type="http://schemas.openxmlformats.org/officeDocument/2006/relationships/header" Target="header31.xml"/><Relationship Id="rId145" Type="http://schemas.openxmlformats.org/officeDocument/2006/relationships/image" Target="media/image15.png"/><Relationship Id="rId166" Type="http://schemas.openxmlformats.org/officeDocument/2006/relationships/header" Target="header57.xml"/><Relationship Id="rId187" Type="http://schemas.openxmlformats.org/officeDocument/2006/relationships/header" Target="header69.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Publicatio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a:pPr>
            <a:r>
              <a:rPr lang="en-US" sz="1100"/>
              <a:t>Figure 1: Number of Victorians</a:t>
            </a:r>
            <a:r>
              <a:rPr lang="en-US" sz="1100" baseline="0"/>
              <a:t> serviced by the department</a:t>
            </a:r>
            <a:endParaRPr lang="en-US" sz="1100"/>
          </a:p>
        </c:rich>
      </c:tx>
      <c:layout>
        <c:manualLayout>
          <c:xMode val="edge"/>
          <c:yMode val="edge"/>
          <c:x val="0.10377777777777777"/>
          <c:y val="3.7037037037037035E-2"/>
        </c:manualLayout>
      </c:layout>
      <c:overlay val="0"/>
    </c:title>
    <c:autoTitleDeleted val="0"/>
    <c:plotArea>
      <c:layout/>
      <c:lineChart>
        <c:grouping val="standard"/>
        <c:varyColors val="0"/>
        <c:ser>
          <c:idx val="0"/>
          <c:order val="0"/>
          <c:tx>
            <c:strRef>
              <c:f>'[Chart in Microsoft Word]Sheet1'!$B$1</c:f>
              <c:strCache>
                <c:ptCount val="1"/>
                <c:pt idx="0">
                  <c:v>Number</c:v>
                </c:pt>
              </c:strCache>
            </c:strRef>
          </c:tx>
          <c:spPr>
            <a:ln>
              <a:solidFill>
                <a:schemeClr val="tx1"/>
              </a:solidFill>
            </a:ln>
          </c:spPr>
          <c:marker>
            <c:spPr>
              <a:solidFill>
                <a:schemeClr val="tx1"/>
              </a:solidFill>
              <a:ln>
                <a:noFill/>
              </a:ln>
            </c:spPr>
          </c:marker>
          <c:cat>
            <c:strRef>
              <c:f>'[Chart in Microsoft Word]Sheet1'!$A$2:$A$5</c:f>
              <c:strCache>
                <c:ptCount val="4"/>
                <c:pt idx="0">
                  <c:v>2013-14</c:v>
                </c:pt>
                <c:pt idx="1">
                  <c:v>2014-15</c:v>
                </c:pt>
                <c:pt idx="2">
                  <c:v>2015-16</c:v>
                </c:pt>
                <c:pt idx="3">
                  <c:v>2016-17</c:v>
                </c:pt>
              </c:strCache>
            </c:strRef>
          </c:cat>
          <c:val>
            <c:numRef>
              <c:f>'[Chart in Microsoft Word]Sheet1'!$B$2:$B$5</c:f>
              <c:numCache>
                <c:formatCode>General</c:formatCode>
                <c:ptCount val="4"/>
                <c:pt idx="0">
                  <c:v>70</c:v>
                </c:pt>
                <c:pt idx="1">
                  <c:v>68</c:v>
                </c:pt>
                <c:pt idx="2">
                  <c:v>65</c:v>
                </c:pt>
                <c:pt idx="3">
                  <c:v>60</c:v>
                </c:pt>
              </c:numCache>
            </c:numRef>
          </c:val>
          <c:smooth val="0"/>
        </c:ser>
        <c:dLbls>
          <c:showLegendKey val="0"/>
          <c:showVal val="0"/>
          <c:showCatName val="0"/>
          <c:showSerName val="0"/>
          <c:showPercent val="0"/>
          <c:showBubbleSize val="0"/>
        </c:dLbls>
        <c:marker val="1"/>
        <c:smooth val="0"/>
        <c:axId val="251820672"/>
        <c:axId val="251839232"/>
      </c:lineChart>
      <c:catAx>
        <c:axId val="251820672"/>
        <c:scaling>
          <c:orientation val="minMax"/>
        </c:scaling>
        <c:delete val="0"/>
        <c:axPos val="b"/>
        <c:majorTickMark val="out"/>
        <c:minorTickMark val="none"/>
        <c:tickLblPos val="nextTo"/>
        <c:crossAx val="251839232"/>
        <c:crosses val="autoZero"/>
        <c:auto val="1"/>
        <c:lblAlgn val="ctr"/>
        <c:lblOffset val="100"/>
        <c:noMultiLvlLbl val="0"/>
      </c:catAx>
      <c:valAx>
        <c:axId val="251839232"/>
        <c:scaling>
          <c:orientation val="minMax"/>
          <c:max val="100"/>
          <c:min val="0"/>
        </c:scaling>
        <c:delete val="0"/>
        <c:axPos val="l"/>
        <c:majorGridlines>
          <c:spPr>
            <a:ln>
              <a:solidFill>
                <a:schemeClr val="bg1">
                  <a:lumMod val="50000"/>
                </a:schemeClr>
              </a:solidFill>
              <a:prstDash val="dash"/>
            </a:ln>
          </c:spPr>
        </c:majorGridlines>
        <c:title>
          <c:tx>
            <c:rich>
              <a:bodyPr rot="-5400000" vert="horz"/>
              <a:lstStyle/>
              <a:p>
                <a:pPr>
                  <a:defRPr sz="1050"/>
                </a:pPr>
                <a:r>
                  <a:rPr lang="en-AU" sz="1050"/>
                  <a:t>Number ('000)</a:t>
                </a:r>
              </a:p>
            </c:rich>
          </c:tx>
          <c:overlay val="0"/>
        </c:title>
        <c:numFmt formatCode="General" sourceLinked="1"/>
        <c:majorTickMark val="out"/>
        <c:minorTickMark val="none"/>
        <c:tickLblPos val="nextTo"/>
        <c:crossAx val="251820672"/>
        <c:crosses val="autoZero"/>
        <c:crossBetween val="between"/>
        <c:min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Figure 2: Client satisfaction</a:t>
            </a:r>
            <a:r>
              <a:rPr lang="en-US" sz="1100" baseline="0"/>
              <a:t> level for the services provided by the department</a:t>
            </a:r>
            <a:endParaRPr lang="en-US" sz="1100"/>
          </a:p>
        </c:rich>
      </c:tx>
      <c:layout>
        <c:manualLayout>
          <c:xMode val="edge"/>
          <c:yMode val="edge"/>
          <c:x val="0.10331933508311461"/>
          <c:y val="4.1666666666666664E-2"/>
        </c:manualLayout>
      </c:layout>
      <c:overlay val="0"/>
    </c:title>
    <c:autoTitleDeleted val="0"/>
    <c:plotArea>
      <c:layout/>
      <c:lineChart>
        <c:grouping val="standard"/>
        <c:varyColors val="0"/>
        <c:ser>
          <c:idx val="0"/>
          <c:order val="0"/>
          <c:tx>
            <c:strRef>
              <c:f>'[Chart in Microsoft Word]Sheet1'!$E$1</c:f>
              <c:strCache>
                <c:ptCount val="1"/>
                <c:pt idx="0">
                  <c:v>Satisfaction Level</c:v>
                </c:pt>
              </c:strCache>
            </c:strRef>
          </c:tx>
          <c:spPr>
            <a:ln>
              <a:solidFill>
                <a:schemeClr val="tx1"/>
              </a:solidFill>
            </a:ln>
          </c:spPr>
          <c:marker>
            <c:spPr>
              <a:solidFill>
                <a:schemeClr val="tx1"/>
              </a:solidFill>
              <a:ln>
                <a:noFill/>
              </a:ln>
            </c:spPr>
          </c:marker>
          <c:cat>
            <c:strRef>
              <c:f>'[Chart in Microsoft Word]Sheet1'!$D$2:$D$5</c:f>
              <c:strCache>
                <c:ptCount val="4"/>
                <c:pt idx="0">
                  <c:v>2013-14</c:v>
                </c:pt>
                <c:pt idx="1">
                  <c:v>2014-15</c:v>
                </c:pt>
                <c:pt idx="2">
                  <c:v>2015-16</c:v>
                </c:pt>
                <c:pt idx="3">
                  <c:v>2016-17</c:v>
                </c:pt>
              </c:strCache>
            </c:strRef>
          </c:cat>
          <c:val>
            <c:numRef>
              <c:f>'[Chart in Microsoft Word]Sheet1'!$E$2:$E$5</c:f>
              <c:numCache>
                <c:formatCode>General</c:formatCode>
                <c:ptCount val="4"/>
                <c:pt idx="0">
                  <c:v>60</c:v>
                </c:pt>
                <c:pt idx="1">
                  <c:v>59</c:v>
                </c:pt>
                <c:pt idx="2">
                  <c:v>58.8</c:v>
                </c:pt>
                <c:pt idx="3">
                  <c:v>61</c:v>
                </c:pt>
              </c:numCache>
            </c:numRef>
          </c:val>
          <c:smooth val="0"/>
        </c:ser>
        <c:dLbls>
          <c:showLegendKey val="0"/>
          <c:showVal val="0"/>
          <c:showCatName val="0"/>
          <c:showSerName val="0"/>
          <c:showPercent val="0"/>
          <c:showBubbleSize val="0"/>
        </c:dLbls>
        <c:marker val="1"/>
        <c:smooth val="0"/>
        <c:axId val="251928960"/>
        <c:axId val="251930880"/>
      </c:lineChart>
      <c:catAx>
        <c:axId val="251928960"/>
        <c:scaling>
          <c:orientation val="minMax"/>
        </c:scaling>
        <c:delete val="0"/>
        <c:axPos val="b"/>
        <c:majorTickMark val="out"/>
        <c:minorTickMark val="none"/>
        <c:tickLblPos val="nextTo"/>
        <c:crossAx val="251930880"/>
        <c:crosses val="autoZero"/>
        <c:auto val="1"/>
        <c:lblAlgn val="ctr"/>
        <c:lblOffset val="100"/>
        <c:noMultiLvlLbl val="0"/>
      </c:catAx>
      <c:valAx>
        <c:axId val="251930880"/>
        <c:scaling>
          <c:orientation val="minMax"/>
          <c:max val="100"/>
          <c:min val="0"/>
        </c:scaling>
        <c:delete val="0"/>
        <c:axPos val="l"/>
        <c:majorGridlines>
          <c:spPr>
            <a:ln>
              <a:solidFill>
                <a:schemeClr val="bg1">
                  <a:lumMod val="50000"/>
                </a:schemeClr>
              </a:solidFill>
              <a:prstDash val="dash"/>
            </a:ln>
          </c:spPr>
        </c:majorGridlines>
        <c:title>
          <c:tx>
            <c:rich>
              <a:bodyPr rot="-5400000" vert="horz"/>
              <a:lstStyle/>
              <a:p>
                <a:pPr>
                  <a:defRPr sz="1050"/>
                </a:pPr>
                <a:r>
                  <a:rPr lang="en-AU" sz="1050"/>
                  <a:t>Per cent (%)</a:t>
                </a:r>
              </a:p>
            </c:rich>
          </c:tx>
          <c:overlay val="0"/>
        </c:title>
        <c:numFmt formatCode="General" sourceLinked="1"/>
        <c:majorTickMark val="out"/>
        <c:minorTickMark val="none"/>
        <c:tickLblPos val="nextTo"/>
        <c:crossAx val="251928960"/>
        <c:crosses val="autoZero"/>
        <c:crossBetween val="between"/>
        <c:minorUnit val="10"/>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08B51-9711-404C-8F7D-70C960C066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00E0A43-924E-4D99-BECC-D41E865012B6}">
      <dgm:prSet phldrT="[Text]" custT="1"/>
      <dgm:spPr/>
      <dgm:t>
        <a:bodyPr/>
        <a:lstStyle/>
        <a:p>
          <a:pPr algn="ctr"/>
          <a:r>
            <a:rPr lang="en-AU" sz="800" i="0"/>
            <a:t>Financial</a:t>
          </a:r>
          <a:r>
            <a:rPr lang="en-AU" sz="900" i="0"/>
            <a:t> </a:t>
          </a:r>
          <a:br>
            <a:rPr lang="en-AU" sz="900" i="0"/>
          </a:br>
          <a:r>
            <a:rPr lang="en-AU" sz="800" i="0"/>
            <a:t>risks</a:t>
          </a:r>
        </a:p>
      </dgm:t>
    </dgm:pt>
    <dgm:pt modelId="{111F253D-831F-434B-BCDA-3CC2A6584E9D}" type="parTrans" cxnId="{EF691D93-B264-49EC-B0F0-95C5E64D4A25}">
      <dgm:prSet/>
      <dgm:spPr/>
      <dgm:t>
        <a:bodyPr/>
        <a:lstStyle/>
        <a:p>
          <a:pPr algn="ctr"/>
          <a:endParaRPr lang="en-AU" i="1"/>
        </a:p>
      </dgm:t>
    </dgm:pt>
    <dgm:pt modelId="{2EF6506B-5110-4091-9744-FA4B6CFF31B3}" type="sibTrans" cxnId="{EF691D93-B264-49EC-B0F0-95C5E64D4A25}">
      <dgm:prSet/>
      <dgm:spPr/>
      <dgm:t>
        <a:bodyPr/>
        <a:lstStyle/>
        <a:p>
          <a:pPr algn="ctr"/>
          <a:endParaRPr lang="en-AU" i="1"/>
        </a:p>
      </dgm:t>
    </dgm:pt>
    <dgm:pt modelId="{0D601A43-5546-4EB9-862D-4578610B0096}">
      <dgm:prSet phldrT="[Text]" custT="1"/>
      <dgm:spPr/>
      <dgm:t>
        <a:bodyPr/>
        <a:lstStyle/>
        <a:p>
          <a:pPr algn="ctr"/>
          <a:r>
            <a:rPr lang="en-AU" sz="800" i="0"/>
            <a:t>Credit risk</a:t>
          </a:r>
        </a:p>
      </dgm:t>
    </dgm:pt>
    <dgm:pt modelId="{ACCA4044-824D-4560-BFDA-3609010FCA60}" type="parTrans" cxnId="{1381F698-D7A1-482C-A4EF-608E8DAAF00A}">
      <dgm:prSet/>
      <dgm:spPr>
        <a:noFill/>
        <a:ln w="19050">
          <a:solidFill>
            <a:schemeClr val="accent2"/>
          </a:solidFill>
        </a:ln>
      </dgm:spPr>
      <dgm:t>
        <a:bodyPr/>
        <a:lstStyle/>
        <a:p>
          <a:pPr algn="ctr"/>
          <a:endParaRPr lang="en-AU" i="1"/>
        </a:p>
      </dgm:t>
    </dgm:pt>
    <dgm:pt modelId="{B355A12B-6A2C-469E-8A30-A6A8026D0AE1}" type="sibTrans" cxnId="{1381F698-D7A1-482C-A4EF-608E8DAAF00A}">
      <dgm:prSet/>
      <dgm:spPr/>
      <dgm:t>
        <a:bodyPr/>
        <a:lstStyle/>
        <a:p>
          <a:pPr algn="ctr"/>
          <a:endParaRPr lang="en-AU" i="1"/>
        </a:p>
      </dgm:t>
    </dgm:pt>
    <dgm:pt modelId="{1B32C497-D2AD-4BC6-A9FD-6971E200C5DD}">
      <dgm:prSet phldrT="[Text]" custT="1"/>
      <dgm:spPr/>
      <dgm:t>
        <a:bodyPr/>
        <a:lstStyle/>
        <a:p>
          <a:pPr algn="ctr"/>
          <a:r>
            <a:rPr lang="en-AU" sz="800" i="0"/>
            <a:t>Liquidity risk</a:t>
          </a:r>
        </a:p>
      </dgm:t>
    </dgm:pt>
    <dgm:pt modelId="{42E7197C-3C7A-4AF8-838F-A9D97E3F3DB5}" type="parTrans" cxnId="{98A80563-2A3F-4F80-8FB5-B6D1BA312865}">
      <dgm:prSet/>
      <dgm:spPr>
        <a:ln w="19050"/>
      </dgm:spPr>
      <dgm:t>
        <a:bodyPr/>
        <a:lstStyle/>
        <a:p>
          <a:pPr algn="ctr"/>
          <a:endParaRPr lang="en-AU" i="1"/>
        </a:p>
      </dgm:t>
    </dgm:pt>
    <dgm:pt modelId="{A8E4AB93-6579-4776-A6AA-D5ADA765F47C}" type="sibTrans" cxnId="{98A80563-2A3F-4F80-8FB5-B6D1BA312865}">
      <dgm:prSet/>
      <dgm:spPr/>
      <dgm:t>
        <a:bodyPr/>
        <a:lstStyle/>
        <a:p>
          <a:pPr algn="ctr"/>
          <a:endParaRPr lang="en-AU" i="1"/>
        </a:p>
      </dgm:t>
    </dgm:pt>
    <dgm:pt modelId="{FE23C7D8-08C4-44EC-B82F-00BF348BBB1D}">
      <dgm:prSet phldrT="[Text]" custT="1"/>
      <dgm:spPr/>
      <dgm:t>
        <a:bodyPr/>
        <a:lstStyle/>
        <a:p>
          <a:pPr algn="ctr"/>
          <a:r>
            <a:rPr lang="en-AU" sz="800" i="0"/>
            <a:t>Market risk</a:t>
          </a:r>
        </a:p>
      </dgm:t>
    </dgm:pt>
    <dgm:pt modelId="{04C19B8C-79E8-4B4F-98D0-A1732D1AFE5A}" type="parTrans" cxnId="{B438D2F4-100C-466D-9BD0-2A48BA0CFC97}">
      <dgm:prSet/>
      <dgm:spPr>
        <a:noFill/>
        <a:ln w="19050">
          <a:solidFill>
            <a:schemeClr val="accent2"/>
          </a:solidFill>
        </a:ln>
      </dgm:spPr>
      <dgm:t>
        <a:bodyPr/>
        <a:lstStyle/>
        <a:p>
          <a:pPr algn="ctr"/>
          <a:endParaRPr lang="en-AU" i="1"/>
        </a:p>
      </dgm:t>
    </dgm:pt>
    <dgm:pt modelId="{62962670-2AE1-4E2A-B4C6-583BB788F26E}" type="sibTrans" cxnId="{B438D2F4-100C-466D-9BD0-2A48BA0CFC97}">
      <dgm:prSet/>
      <dgm:spPr/>
      <dgm:t>
        <a:bodyPr/>
        <a:lstStyle/>
        <a:p>
          <a:pPr algn="ctr"/>
          <a:endParaRPr lang="en-AU" i="1"/>
        </a:p>
      </dgm:t>
    </dgm:pt>
    <dgm:pt modelId="{30B46815-3ED7-4148-8FD9-DE748840D896}">
      <dgm:prSet custT="1"/>
      <dgm:spPr/>
      <dgm:t>
        <a:bodyPr/>
        <a:lstStyle/>
        <a:p>
          <a:pPr algn="ctr"/>
          <a:r>
            <a:rPr lang="en-AU" sz="800" i="0"/>
            <a:t>Interest rate risk</a:t>
          </a:r>
        </a:p>
      </dgm:t>
    </dgm:pt>
    <dgm:pt modelId="{22F30268-D84B-43FA-A587-E640AE1D9A05}" type="parTrans" cxnId="{0636F55B-4E30-4EA2-B43A-8F55DCF1160D}">
      <dgm:prSet/>
      <dgm:spPr>
        <a:ln w="19050">
          <a:solidFill>
            <a:schemeClr val="accent2"/>
          </a:solidFill>
        </a:ln>
      </dgm:spPr>
      <dgm:t>
        <a:bodyPr/>
        <a:lstStyle/>
        <a:p>
          <a:pPr algn="ctr"/>
          <a:endParaRPr lang="en-AU" i="1"/>
        </a:p>
      </dgm:t>
    </dgm:pt>
    <dgm:pt modelId="{26BE35FE-F44F-4267-A14B-FD6E4E8A5409}" type="sibTrans" cxnId="{0636F55B-4E30-4EA2-B43A-8F55DCF1160D}">
      <dgm:prSet/>
      <dgm:spPr/>
      <dgm:t>
        <a:bodyPr/>
        <a:lstStyle/>
        <a:p>
          <a:pPr algn="ctr"/>
          <a:endParaRPr lang="en-AU" i="1"/>
        </a:p>
      </dgm:t>
    </dgm:pt>
    <dgm:pt modelId="{0D2BF681-D351-407B-A2AC-A67096570515}">
      <dgm:prSet custT="1"/>
      <dgm:spPr/>
      <dgm:t>
        <a:bodyPr/>
        <a:lstStyle/>
        <a:p>
          <a:pPr algn="ctr"/>
          <a:r>
            <a:rPr lang="en-AU" sz="800" i="0"/>
            <a:t>Foreign currency risk</a:t>
          </a:r>
        </a:p>
      </dgm:t>
    </dgm:pt>
    <dgm:pt modelId="{7E0A9A4C-D7DE-4405-814A-AD66FC9C8AFB}" type="parTrans" cxnId="{78ADC94C-CDDC-4AF0-BAE1-E6DBD73E39AE}">
      <dgm:prSet/>
      <dgm:spPr>
        <a:ln w="19050">
          <a:solidFill>
            <a:schemeClr val="accent2"/>
          </a:solidFill>
        </a:ln>
      </dgm:spPr>
      <dgm:t>
        <a:bodyPr/>
        <a:lstStyle/>
        <a:p>
          <a:pPr algn="ctr"/>
          <a:endParaRPr lang="en-AU" i="1"/>
        </a:p>
      </dgm:t>
    </dgm:pt>
    <dgm:pt modelId="{2FC48F28-3115-408F-8BA8-A4412C755320}" type="sibTrans" cxnId="{78ADC94C-CDDC-4AF0-BAE1-E6DBD73E39AE}">
      <dgm:prSet/>
      <dgm:spPr/>
      <dgm:t>
        <a:bodyPr/>
        <a:lstStyle/>
        <a:p>
          <a:pPr algn="ctr"/>
          <a:endParaRPr lang="en-AU" i="1"/>
        </a:p>
      </dgm:t>
    </dgm:pt>
    <dgm:pt modelId="{66E63331-79BB-4165-91AB-CA2C6B53757F}">
      <dgm:prSet custT="1"/>
      <dgm:spPr/>
      <dgm:t>
        <a:bodyPr/>
        <a:lstStyle/>
        <a:p>
          <a:pPr algn="ctr"/>
          <a:r>
            <a:rPr lang="en-AU" sz="800" i="0"/>
            <a:t>Equity price risk</a:t>
          </a:r>
        </a:p>
      </dgm:t>
    </dgm:pt>
    <dgm:pt modelId="{3403720D-E72D-497C-8D5D-373E75C88EEF}" type="parTrans" cxnId="{452C5905-F968-4A99-A612-DAC15DF84BFD}">
      <dgm:prSet/>
      <dgm:spPr>
        <a:ln w="19050">
          <a:solidFill>
            <a:schemeClr val="accent2"/>
          </a:solidFill>
        </a:ln>
      </dgm:spPr>
      <dgm:t>
        <a:bodyPr/>
        <a:lstStyle/>
        <a:p>
          <a:pPr algn="ctr"/>
          <a:endParaRPr lang="en-AU" i="1"/>
        </a:p>
      </dgm:t>
    </dgm:pt>
    <dgm:pt modelId="{BDC49E44-AFC9-44C1-A00D-9A5F539753A4}" type="sibTrans" cxnId="{452C5905-F968-4A99-A612-DAC15DF84BFD}">
      <dgm:prSet/>
      <dgm:spPr/>
      <dgm:t>
        <a:bodyPr/>
        <a:lstStyle/>
        <a:p>
          <a:pPr algn="ctr"/>
          <a:endParaRPr lang="en-AU" i="1"/>
        </a:p>
      </dgm:t>
    </dgm:pt>
    <dgm:pt modelId="{9D85C7BB-97B7-466E-8155-0DD475D88B2A}" type="pres">
      <dgm:prSet presAssocID="{6C108B51-9711-404C-8F7D-70C960C0666C}" presName="hierChild1" presStyleCnt="0">
        <dgm:presLayoutVars>
          <dgm:orgChart val="1"/>
          <dgm:chPref val="1"/>
          <dgm:dir/>
          <dgm:animOne val="branch"/>
          <dgm:animLvl val="lvl"/>
          <dgm:resizeHandles/>
        </dgm:presLayoutVars>
      </dgm:prSet>
      <dgm:spPr/>
      <dgm:t>
        <a:bodyPr/>
        <a:lstStyle/>
        <a:p>
          <a:endParaRPr lang="en-AU"/>
        </a:p>
      </dgm:t>
    </dgm:pt>
    <dgm:pt modelId="{EA5FBB3E-7928-4761-8EDB-ED46C63B3FA5}" type="pres">
      <dgm:prSet presAssocID="{000E0A43-924E-4D99-BECC-D41E865012B6}" presName="hierRoot1" presStyleCnt="0">
        <dgm:presLayoutVars>
          <dgm:hierBranch val="init"/>
        </dgm:presLayoutVars>
      </dgm:prSet>
      <dgm:spPr/>
    </dgm:pt>
    <dgm:pt modelId="{ECB35C8B-82FE-4FC3-8A56-10EEF67C802D}" type="pres">
      <dgm:prSet presAssocID="{000E0A43-924E-4D99-BECC-D41E865012B6}" presName="rootComposite1" presStyleCnt="0"/>
      <dgm:spPr/>
    </dgm:pt>
    <dgm:pt modelId="{B48E2CF8-E088-4C1D-B72C-CC848FDD5BEE}" type="pres">
      <dgm:prSet presAssocID="{000E0A43-924E-4D99-BECC-D41E865012B6}" presName="rootText1" presStyleLbl="node0" presStyleIdx="0" presStyleCnt="1" custScaleX="133542" custLinFactNeighborY="7444">
        <dgm:presLayoutVars>
          <dgm:chPref val="3"/>
        </dgm:presLayoutVars>
      </dgm:prSet>
      <dgm:spPr/>
      <dgm:t>
        <a:bodyPr/>
        <a:lstStyle/>
        <a:p>
          <a:endParaRPr lang="en-AU"/>
        </a:p>
      </dgm:t>
    </dgm:pt>
    <dgm:pt modelId="{74FE4CAD-E710-4296-ABCD-E520321701F1}" type="pres">
      <dgm:prSet presAssocID="{000E0A43-924E-4D99-BECC-D41E865012B6}" presName="rootConnector1" presStyleLbl="node1" presStyleIdx="0" presStyleCnt="0"/>
      <dgm:spPr/>
      <dgm:t>
        <a:bodyPr/>
        <a:lstStyle/>
        <a:p>
          <a:endParaRPr lang="en-AU"/>
        </a:p>
      </dgm:t>
    </dgm:pt>
    <dgm:pt modelId="{9AD9FEDB-D31B-4868-878A-BF63EB51BDCC}" type="pres">
      <dgm:prSet presAssocID="{000E0A43-924E-4D99-BECC-D41E865012B6}" presName="hierChild2" presStyleCnt="0"/>
      <dgm:spPr/>
    </dgm:pt>
    <dgm:pt modelId="{DF9D247E-15D9-4B5D-8615-675B32ABDF1E}" type="pres">
      <dgm:prSet presAssocID="{ACCA4044-824D-4560-BFDA-3609010FCA60}" presName="Name37" presStyleLbl="parChTrans1D2" presStyleIdx="0" presStyleCnt="3"/>
      <dgm:spPr/>
      <dgm:t>
        <a:bodyPr/>
        <a:lstStyle/>
        <a:p>
          <a:endParaRPr lang="en-AU"/>
        </a:p>
      </dgm:t>
    </dgm:pt>
    <dgm:pt modelId="{CFDDF759-8B8C-4B89-BB57-13F389627C10}" type="pres">
      <dgm:prSet presAssocID="{0D601A43-5546-4EB9-862D-4578610B0096}" presName="hierRoot2" presStyleCnt="0">
        <dgm:presLayoutVars>
          <dgm:hierBranch val="init"/>
        </dgm:presLayoutVars>
      </dgm:prSet>
      <dgm:spPr/>
    </dgm:pt>
    <dgm:pt modelId="{CD9CE157-1C10-47B6-AF22-7C67BA8AF89C}" type="pres">
      <dgm:prSet presAssocID="{0D601A43-5546-4EB9-862D-4578610B0096}" presName="rootComposite" presStyleCnt="0"/>
      <dgm:spPr/>
    </dgm:pt>
    <dgm:pt modelId="{84040EBD-6A13-4CC9-8058-65BE9646BAA0}" type="pres">
      <dgm:prSet presAssocID="{0D601A43-5546-4EB9-862D-4578610B0096}" presName="rootText" presStyleLbl="node2" presStyleIdx="0" presStyleCnt="3" custScaleX="133542">
        <dgm:presLayoutVars>
          <dgm:chPref val="3"/>
        </dgm:presLayoutVars>
      </dgm:prSet>
      <dgm:spPr/>
      <dgm:t>
        <a:bodyPr/>
        <a:lstStyle/>
        <a:p>
          <a:endParaRPr lang="en-AU"/>
        </a:p>
      </dgm:t>
    </dgm:pt>
    <dgm:pt modelId="{9FEDAC78-CE31-4ABF-A4E8-ED75644388E7}" type="pres">
      <dgm:prSet presAssocID="{0D601A43-5546-4EB9-862D-4578610B0096}" presName="rootConnector" presStyleLbl="node2" presStyleIdx="0" presStyleCnt="3"/>
      <dgm:spPr/>
      <dgm:t>
        <a:bodyPr/>
        <a:lstStyle/>
        <a:p>
          <a:endParaRPr lang="en-AU"/>
        </a:p>
      </dgm:t>
    </dgm:pt>
    <dgm:pt modelId="{02C23E8E-A057-4575-B6BB-EB25466E6846}" type="pres">
      <dgm:prSet presAssocID="{0D601A43-5546-4EB9-862D-4578610B0096}" presName="hierChild4" presStyleCnt="0"/>
      <dgm:spPr/>
    </dgm:pt>
    <dgm:pt modelId="{CFD9EC9F-B952-409D-ABA8-5E0C3D29AC0C}" type="pres">
      <dgm:prSet presAssocID="{0D601A43-5546-4EB9-862D-4578610B0096}" presName="hierChild5" presStyleCnt="0"/>
      <dgm:spPr/>
    </dgm:pt>
    <dgm:pt modelId="{72F62C39-D602-474D-9815-21345247CE41}" type="pres">
      <dgm:prSet presAssocID="{42E7197C-3C7A-4AF8-838F-A9D97E3F3DB5}" presName="Name37" presStyleLbl="parChTrans1D2" presStyleIdx="1" presStyleCnt="3"/>
      <dgm:spPr/>
      <dgm:t>
        <a:bodyPr/>
        <a:lstStyle/>
        <a:p>
          <a:endParaRPr lang="en-AU"/>
        </a:p>
      </dgm:t>
    </dgm:pt>
    <dgm:pt modelId="{386843BB-8BD8-4481-BD1A-7B535FA8A635}" type="pres">
      <dgm:prSet presAssocID="{1B32C497-D2AD-4BC6-A9FD-6971E200C5DD}" presName="hierRoot2" presStyleCnt="0">
        <dgm:presLayoutVars>
          <dgm:hierBranch val="init"/>
        </dgm:presLayoutVars>
      </dgm:prSet>
      <dgm:spPr/>
    </dgm:pt>
    <dgm:pt modelId="{F87F9ADE-DF0B-422A-BDB9-63916BA652BB}" type="pres">
      <dgm:prSet presAssocID="{1B32C497-D2AD-4BC6-A9FD-6971E200C5DD}" presName="rootComposite" presStyleCnt="0"/>
      <dgm:spPr/>
    </dgm:pt>
    <dgm:pt modelId="{8E7EEAFB-04F4-444D-8879-0E46AFC6532E}" type="pres">
      <dgm:prSet presAssocID="{1B32C497-D2AD-4BC6-A9FD-6971E200C5DD}" presName="rootText" presStyleLbl="node2" presStyleIdx="1" presStyleCnt="3" custScaleX="133542">
        <dgm:presLayoutVars>
          <dgm:chPref val="3"/>
        </dgm:presLayoutVars>
      </dgm:prSet>
      <dgm:spPr/>
      <dgm:t>
        <a:bodyPr/>
        <a:lstStyle/>
        <a:p>
          <a:endParaRPr lang="en-AU"/>
        </a:p>
      </dgm:t>
    </dgm:pt>
    <dgm:pt modelId="{5A8E8AA8-CAED-4243-AD2C-0412916253FE}" type="pres">
      <dgm:prSet presAssocID="{1B32C497-D2AD-4BC6-A9FD-6971E200C5DD}" presName="rootConnector" presStyleLbl="node2" presStyleIdx="1" presStyleCnt="3"/>
      <dgm:spPr/>
      <dgm:t>
        <a:bodyPr/>
        <a:lstStyle/>
        <a:p>
          <a:endParaRPr lang="en-AU"/>
        </a:p>
      </dgm:t>
    </dgm:pt>
    <dgm:pt modelId="{265E1270-C335-46C3-B9F5-F46EC2C72303}" type="pres">
      <dgm:prSet presAssocID="{1B32C497-D2AD-4BC6-A9FD-6971E200C5DD}" presName="hierChild4" presStyleCnt="0"/>
      <dgm:spPr/>
    </dgm:pt>
    <dgm:pt modelId="{58517E2C-C170-4A54-B580-C507FD2F8AF7}" type="pres">
      <dgm:prSet presAssocID="{1B32C497-D2AD-4BC6-A9FD-6971E200C5DD}" presName="hierChild5" presStyleCnt="0"/>
      <dgm:spPr/>
    </dgm:pt>
    <dgm:pt modelId="{D5789983-9F11-46FC-97F3-A8C5ECA7FEF2}" type="pres">
      <dgm:prSet presAssocID="{04C19B8C-79E8-4B4F-98D0-A1732D1AFE5A}" presName="Name37" presStyleLbl="parChTrans1D2" presStyleIdx="2" presStyleCnt="3"/>
      <dgm:spPr/>
      <dgm:t>
        <a:bodyPr/>
        <a:lstStyle/>
        <a:p>
          <a:endParaRPr lang="en-AU"/>
        </a:p>
      </dgm:t>
    </dgm:pt>
    <dgm:pt modelId="{D772CAC9-A619-4541-9193-F6D026BE72ED}" type="pres">
      <dgm:prSet presAssocID="{FE23C7D8-08C4-44EC-B82F-00BF348BBB1D}" presName="hierRoot2" presStyleCnt="0">
        <dgm:presLayoutVars>
          <dgm:hierBranch val="init"/>
        </dgm:presLayoutVars>
      </dgm:prSet>
      <dgm:spPr/>
    </dgm:pt>
    <dgm:pt modelId="{41A097EE-9137-40B4-B758-E16A6CB6CFEE}" type="pres">
      <dgm:prSet presAssocID="{FE23C7D8-08C4-44EC-B82F-00BF348BBB1D}" presName="rootComposite" presStyleCnt="0"/>
      <dgm:spPr/>
    </dgm:pt>
    <dgm:pt modelId="{0EA51102-9A7D-43D7-9925-B8F842D2DC8B}" type="pres">
      <dgm:prSet presAssocID="{FE23C7D8-08C4-44EC-B82F-00BF348BBB1D}" presName="rootText" presStyleLbl="node2" presStyleIdx="2" presStyleCnt="3" custScaleX="133542">
        <dgm:presLayoutVars>
          <dgm:chPref val="3"/>
        </dgm:presLayoutVars>
      </dgm:prSet>
      <dgm:spPr/>
      <dgm:t>
        <a:bodyPr/>
        <a:lstStyle/>
        <a:p>
          <a:endParaRPr lang="en-AU"/>
        </a:p>
      </dgm:t>
    </dgm:pt>
    <dgm:pt modelId="{C191A6B2-3A11-49E4-B08E-543AB083E89C}" type="pres">
      <dgm:prSet presAssocID="{FE23C7D8-08C4-44EC-B82F-00BF348BBB1D}" presName="rootConnector" presStyleLbl="node2" presStyleIdx="2" presStyleCnt="3"/>
      <dgm:spPr/>
      <dgm:t>
        <a:bodyPr/>
        <a:lstStyle/>
        <a:p>
          <a:endParaRPr lang="en-AU"/>
        </a:p>
      </dgm:t>
    </dgm:pt>
    <dgm:pt modelId="{6ED2DE74-3E09-4598-B6E9-83C2402AF007}" type="pres">
      <dgm:prSet presAssocID="{FE23C7D8-08C4-44EC-B82F-00BF348BBB1D}" presName="hierChild4" presStyleCnt="0"/>
      <dgm:spPr/>
    </dgm:pt>
    <dgm:pt modelId="{4CAD4A0A-3035-4198-82A7-94BA5CC201C9}" type="pres">
      <dgm:prSet presAssocID="{22F30268-D84B-43FA-A587-E640AE1D9A05}" presName="Name37" presStyleLbl="parChTrans1D3" presStyleIdx="0" presStyleCnt="3"/>
      <dgm:spPr/>
      <dgm:t>
        <a:bodyPr/>
        <a:lstStyle/>
        <a:p>
          <a:endParaRPr lang="en-AU"/>
        </a:p>
      </dgm:t>
    </dgm:pt>
    <dgm:pt modelId="{885FF897-3D55-4DE0-B3E1-66500EDBCCEF}" type="pres">
      <dgm:prSet presAssocID="{30B46815-3ED7-4148-8FD9-DE748840D896}" presName="hierRoot2" presStyleCnt="0">
        <dgm:presLayoutVars>
          <dgm:hierBranch val="init"/>
        </dgm:presLayoutVars>
      </dgm:prSet>
      <dgm:spPr/>
    </dgm:pt>
    <dgm:pt modelId="{528BA893-9235-415B-81A5-1B60FA5E86A3}" type="pres">
      <dgm:prSet presAssocID="{30B46815-3ED7-4148-8FD9-DE748840D896}" presName="rootComposite" presStyleCnt="0"/>
      <dgm:spPr/>
    </dgm:pt>
    <dgm:pt modelId="{2B531A73-1C7C-4B2C-B51D-E85F691D5520}" type="pres">
      <dgm:prSet presAssocID="{30B46815-3ED7-4148-8FD9-DE748840D896}" presName="rootText" presStyleLbl="node3" presStyleIdx="0" presStyleCnt="3" custScaleX="180282">
        <dgm:presLayoutVars>
          <dgm:chPref val="3"/>
        </dgm:presLayoutVars>
      </dgm:prSet>
      <dgm:spPr/>
      <dgm:t>
        <a:bodyPr/>
        <a:lstStyle/>
        <a:p>
          <a:endParaRPr lang="en-AU"/>
        </a:p>
      </dgm:t>
    </dgm:pt>
    <dgm:pt modelId="{4053AF82-2FFF-4E13-BE0F-D6360E221659}" type="pres">
      <dgm:prSet presAssocID="{30B46815-3ED7-4148-8FD9-DE748840D896}" presName="rootConnector" presStyleLbl="node3" presStyleIdx="0" presStyleCnt="3"/>
      <dgm:spPr/>
      <dgm:t>
        <a:bodyPr/>
        <a:lstStyle/>
        <a:p>
          <a:endParaRPr lang="en-AU"/>
        </a:p>
      </dgm:t>
    </dgm:pt>
    <dgm:pt modelId="{5ED59970-67FF-4F9E-852E-473DB8872742}" type="pres">
      <dgm:prSet presAssocID="{30B46815-3ED7-4148-8FD9-DE748840D896}" presName="hierChild4" presStyleCnt="0"/>
      <dgm:spPr/>
    </dgm:pt>
    <dgm:pt modelId="{BE0DA805-FCDC-4395-AC18-1DC4F4F8AACF}" type="pres">
      <dgm:prSet presAssocID="{30B46815-3ED7-4148-8FD9-DE748840D896}" presName="hierChild5" presStyleCnt="0"/>
      <dgm:spPr/>
    </dgm:pt>
    <dgm:pt modelId="{DA40D798-317C-45FD-8067-EB02C280A485}" type="pres">
      <dgm:prSet presAssocID="{7E0A9A4C-D7DE-4405-814A-AD66FC9C8AFB}" presName="Name37" presStyleLbl="parChTrans1D3" presStyleIdx="1" presStyleCnt="3"/>
      <dgm:spPr/>
      <dgm:t>
        <a:bodyPr/>
        <a:lstStyle/>
        <a:p>
          <a:endParaRPr lang="en-AU"/>
        </a:p>
      </dgm:t>
    </dgm:pt>
    <dgm:pt modelId="{18F6150C-55D9-4665-96D6-97723507DEE1}" type="pres">
      <dgm:prSet presAssocID="{0D2BF681-D351-407B-A2AC-A67096570515}" presName="hierRoot2" presStyleCnt="0">
        <dgm:presLayoutVars>
          <dgm:hierBranch val="init"/>
        </dgm:presLayoutVars>
      </dgm:prSet>
      <dgm:spPr/>
    </dgm:pt>
    <dgm:pt modelId="{42BC6C2A-8E72-4F77-9683-E83124BA8C0A}" type="pres">
      <dgm:prSet presAssocID="{0D2BF681-D351-407B-A2AC-A67096570515}" presName="rootComposite" presStyleCnt="0"/>
      <dgm:spPr/>
    </dgm:pt>
    <dgm:pt modelId="{A4CC5C13-8A10-4B8E-A099-DBBAB056B881}" type="pres">
      <dgm:prSet presAssocID="{0D2BF681-D351-407B-A2AC-A67096570515}" presName="rootText" presStyleLbl="node3" presStyleIdx="1" presStyleCnt="3" custScaleX="180282">
        <dgm:presLayoutVars>
          <dgm:chPref val="3"/>
        </dgm:presLayoutVars>
      </dgm:prSet>
      <dgm:spPr/>
      <dgm:t>
        <a:bodyPr/>
        <a:lstStyle/>
        <a:p>
          <a:endParaRPr lang="en-AU"/>
        </a:p>
      </dgm:t>
    </dgm:pt>
    <dgm:pt modelId="{F0C10C8E-5F72-4873-84ED-7424BD25B729}" type="pres">
      <dgm:prSet presAssocID="{0D2BF681-D351-407B-A2AC-A67096570515}" presName="rootConnector" presStyleLbl="node3" presStyleIdx="1" presStyleCnt="3"/>
      <dgm:spPr/>
      <dgm:t>
        <a:bodyPr/>
        <a:lstStyle/>
        <a:p>
          <a:endParaRPr lang="en-AU"/>
        </a:p>
      </dgm:t>
    </dgm:pt>
    <dgm:pt modelId="{8375B996-A664-410E-8BEB-7E96013FDDF2}" type="pres">
      <dgm:prSet presAssocID="{0D2BF681-D351-407B-A2AC-A67096570515}" presName="hierChild4" presStyleCnt="0"/>
      <dgm:spPr/>
    </dgm:pt>
    <dgm:pt modelId="{71BED334-38DC-42EE-8E74-134F77D46C42}" type="pres">
      <dgm:prSet presAssocID="{0D2BF681-D351-407B-A2AC-A67096570515}" presName="hierChild5" presStyleCnt="0"/>
      <dgm:spPr/>
    </dgm:pt>
    <dgm:pt modelId="{1B558BCD-B7CB-40DD-BF07-1278E45B7E1A}" type="pres">
      <dgm:prSet presAssocID="{3403720D-E72D-497C-8D5D-373E75C88EEF}" presName="Name37" presStyleLbl="parChTrans1D3" presStyleIdx="2" presStyleCnt="3"/>
      <dgm:spPr/>
      <dgm:t>
        <a:bodyPr/>
        <a:lstStyle/>
        <a:p>
          <a:endParaRPr lang="en-AU"/>
        </a:p>
      </dgm:t>
    </dgm:pt>
    <dgm:pt modelId="{FBDD4882-A20A-4C4A-9D1C-D7B5E8BDCED9}" type="pres">
      <dgm:prSet presAssocID="{66E63331-79BB-4165-91AB-CA2C6B53757F}" presName="hierRoot2" presStyleCnt="0">
        <dgm:presLayoutVars>
          <dgm:hierBranch val="init"/>
        </dgm:presLayoutVars>
      </dgm:prSet>
      <dgm:spPr/>
    </dgm:pt>
    <dgm:pt modelId="{784B017B-6EAA-471A-A9FA-90D2316EFB77}" type="pres">
      <dgm:prSet presAssocID="{66E63331-79BB-4165-91AB-CA2C6B53757F}" presName="rootComposite" presStyleCnt="0"/>
      <dgm:spPr/>
    </dgm:pt>
    <dgm:pt modelId="{06449079-0CD7-4A11-927F-65754B9DAC51}" type="pres">
      <dgm:prSet presAssocID="{66E63331-79BB-4165-91AB-CA2C6B53757F}" presName="rootText" presStyleLbl="node3" presStyleIdx="2" presStyleCnt="3" custScaleX="180282">
        <dgm:presLayoutVars>
          <dgm:chPref val="3"/>
        </dgm:presLayoutVars>
      </dgm:prSet>
      <dgm:spPr/>
      <dgm:t>
        <a:bodyPr/>
        <a:lstStyle/>
        <a:p>
          <a:endParaRPr lang="en-AU"/>
        </a:p>
      </dgm:t>
    </dgm:pt>
    <dgm:pt modelId="{99CF1E7D-42E6-4C5C-8D91-275A1CC1F1A6}" type="pres">
      <dgm:prSet presAssocID="{66E63331-79BB-4165-91AB-CA2C6B53757F}" presName="rootConnector" presStyleLbl="node3" presStyleIdx="2" presStyleCnt="3"/>
      <dgm:spPr/>
      <dgm:t>
        <a:bodyPr/>
        <a:lstStyle/>
        <a:p>
          <a:endParaRPr lang="en-AU"/>
        </a:p>
      </dgm:t>
    </dgm:pt>
    <dgm:pt modelId="{2F16FD62-119F-499C-8C71-BD843C394FA2}" type="pres">
      <dgm:prSet presAssocID="{66E63331-79BB-4165-91AB-CA2C6B53757F}" presName="hierChild4" presStyleCnt="0"/>
      <dgm:spPr/>
    </dgm:pt>
    <dgm:pt modelId="{A9D5C663-7D72-4D18-9610-81B2A50BE3C7}" type="pres">
      <dgm:prSet presAssocID="{66E63331-79BB-4165-91AB-CA2C6B53757F}" presName="hierChild5" presStyleCnt="0"/>
      <dgm:spPr/>
    </dgm:pt>
    <dgm:pt modelId="{9B00DF90-EAAE-435B-9820-110F12512F59}" type="pres">
      <dgm:prSet presAssocID="{FE23C7D8-08C4-44EC-B82F-00BF348BBB1D}" presName="hierChild5" presStyleCnt="0"/>
      <dgm:spPr/>
    </dgm:pt>
    <dgm:pt modelId="{6BCC068D-69D9-4018-A965-7628C7AF59D6}" type="pres">
      <dgm:prSet presAssocID="{000E0A43-924E-4D99-BECC-D41E865012B6}" presName="hierChild3" presStyleCnt="0"/>
      <dgm:spPr/>
    </dgm:pt>
  </dgm:ptLst>
  <dgm:cxnLst>
    <dgm:cxn modelId="{ACDAE242-52E7-407E-A58D-ED17FFCB77D8}" type="presOf" srcId="{42E7197C-3C7A-4AF8-838F-A9D97E3F3DB5}" destId="{72F62C39-D602-474D-9815-21345247CE41}" srcOrd="0" destOrd="0" presId="urn:microsoft.com/office/officeart/2005/8/layout/orgChart1"/>
    <dgm:cxn modelId="{78ADC94C-CDDC-4AF0-BAE1-E6DBD73E39AE}" srcId="{FE23C7D8-08C4-44EC-B82F-00BF348BBB1D}" destId="{0D2BF681-D351-407B-A2AC-A67096570515}" srcOrd="1" destOrd="0" parTransId="{7E0A9A4C-D7DE-4405-814A-AD66FC9C8AFB}" sibTransId="{2FC48F28-3115-408F-8BA8-A4412C755320}"/>
    <dgm:cxn modelId="{9188149C-0D0F-4F69-B80A-61B0F6883F61}" type="presOf" srcId="{1B32C497-D2AD-4BC6-A9FD-6971E200C5DD}" destId="{8E7EEAFB-04F4-444D-8879-0E46AFC6532E}" srcOrd="0" destOrd="0" presId="urn:microsoft.com/office/officeart/2005/8/layout/orgChart1"/>
    <dgm:cxn modelId="{98A80563-2A3F-4F80-8FB5-B6D1BA312865}" srcId="{000E0A43-924E-4D99-BECC-D41E865012B6}" destId="{1B32C497-D2AD-4BC6-A9FD-6971E200C5DD}" srcOrd="1" destOrd="0" parTransId="{42E7197C-3C7A-4AF8-838F-A9D97E3F3DB5}" sibTransId="{A8E4AB93-6579-4776-A6AA-D5ADA765F47C}"/>
    <dgm:cxn modelId="{694A5CC0-268B-4250-9B48-3BA45EF28BDA}" type="presOf" srcId="{000E0A43-924E-4D99-BECC-D41E865012B6}" destId="{B48E2CF8-E088-4C1D-B72C-CC848FDD5BEE}" srcOrd="0" destOrd="0" presId="urn:microsoft.com/office/officeart/2005/8/layout/orgChart1"/>
    <dgm:cxn modelId="{EF691D93-B264-49EC-B0F0-95C5E64D4A25}" srcId="{6C108B51-9711-404C-8F7D-70C960C0666C}" destId="{000E0A43-924E-4D99-BECC-D41E865012B6}" srcOrd="0" destOrd="0" parTransId="{111F253D-831F-434B-BCDA-3CC2A6584E9D}" sibTransId="{2EF6506B-5110-4091-9744-FA4B6CFF31B3}"/>
    <dgm:cxn modelId="{4D0056B0-AEC3-4FA7-A74A-C136602D4E34}" type="presOf" srcId="{7E0A9A4C-D7DE-4405-814A-AD66FC9C8AFB}" destId="{DA40D798-317C-45FD-8067-EB02C280A485}" srcOrd="0" destOrd="0" presId="urn:microsoft.com/office/officeart/2005/8/layout/orgChart1"/>
    <dgm:cxn modelId="{82CBF7D7-77FF-4818-9933-85441490919E}" type="presOf" srcId="{3403720D-E72D-497C-8D5D-373E75C88EEF}" destId="{1B558BCD-B7CB-40DD-BF07-1278E45B7E1A}" srcOrd="0" destOrd="0" presId="urn:microsoft.com/office/officeart/2005/8/layout/orgChart1"/>
    <dgm:cxn modelId="{70A5C7BF-C0E4-4BF2-B059-01D16C598D3D}" type="presOf" srcId="{0D601A43-5546-4EB9-862D-4578610B0096}" destId="{9FEDAC78-CE31-4ABF-A4E8-ED75644388E7}" srcOrd="1" destOrd="0" presId="urn:microsoft.com/office/officeart/2005/8/layout/orgChart1"/>
    <dgm:cxn modelId="{7E2253FB-B716-4875-AA06-0948F803D71C}" type="presOf" srcId="{0D2BF681-D351-407B-A2AC-A67096570515}" destId="{A4CC5C13-8A10-4B8E-A099-DBBAB056B881}" srcOrd="0" destOrd="0" presId="urn:microsoft.com/office/officeart/2005/8/layout/orgChart1"/>
    <dgm:cxn modelId="{D0F7741D-34A0-45B4-BEC7-CA00669E6513}" type="presOf" srcId="{6C108B51-9711-404C-8F7D-70C960C0666C}" destId="{9D85C7BB-97B7-466E-8155-0DD475D88B2A}" srcOrd="0" destOrd="0" presId="urn:microsoft.com/office/officeart/2005/8/layout/orgChart1"/>
    <dgm:cxn modelId="{A60143FC-F94B-4AD9-A8D4-2AA855D360D3}" type="presOf" srcId="{FE23C7D8-08C4-44EC-B82F-00BF348BBB1D}" destId="{0EA51102-9A7D-43D7-9925-B8F842D2DC8B}" srcOrd="0" destOrd="0" presId="urn:microsoft.com/office/officeart/2005/8/layout/orgChart1"/>
    <dgm:cxn modelId="{D1280B4F-0BD9-492E-B298-DB44733102CA}" type="presOf" srcId="{22F30268-D84B-43FA-A587-E640AE1D9A05}" destId="{4CAD4A0A-3035-4198-82A7-94BA5CC201C9}" srcOrd="0" destOrd="0" presId="urn:microsoft.com/office/officeart/2005/8/layout/orgChart1"/>
    <dgm:cxn modelId="{D8AAE8D1-FDB0-40B4-9675-13DFA8E29492}" type="presOf" srcId="{30B46815-3ED7-4148-8FD9-DE748840D896}" destId="{2B531A73-1C7C-4B2C-B51D-E85F691D5520}" srcOrd="0" destOrd="0" presId="urn:microsoft.com/office/officeart/2005/8/layout/orgChart1"/>
    <dgm:cxn modelId="{1381F698-D7A1-482C-A4EF-608E8DAAF00A}" srcId="{000E0A43-924E-4D99-BECC-D41E865012B6}" destId="{0D601A43-5546-4EB9-862D-4578610B0096}" srcOrd="0" destOrd="0" parTransId="{ACCA4044-824D-4560-BFDA-3609010FCA60}" sibTransId="{B355A12B-6A2C-469E-8A30-A6A8026D0AE1}"/>
    <dgm:cxn modelId="{73D44510-EE8D-4CCB-80CF-CBA54A3115D3}" type="presOf" srcId="{000E0A43-924E-4D99-BECC-D41E865012B6}" destId="{74FE4CAD-E710-4296-ABCD-E520321701F1}" srcOrd="1" destOrd="0" presId="urn:microsoft.com/office/officeart/2005/8/layout/orgChart1"/>
    <dgm:cxn modelId="{D55C1F09-E88E-4DA8-9720-2BE8B30405D1}" type="presOf" srcId="{0D2BF681-D351-407B-A2AC-A67096570515}" destId="{F0C10C8E-5F72-4873-84ED-7424BD25B729}" srcOrd="1" destOrd="0" presId="urn:microsoft.com/office/officeart/2005/8/layout/orgChart1"/>
    <dgm:cxn modelId="{8A1A21EE-6E9A-431F-9245-1B8D620B4934}" type="presOf" srcId="{FE23C7D8-08C4-44EC-B82F-00BF348BBB1D}" destId="{C191A6B2-3A11-49E4-B08E-543AB083E89C}" srcOrd="1" destOrd="0" presId="urn:microsoft.com/office/officeart/2005/8/layout/orgChart1"/>
    <dgm:cxn modelId="{F3023709-C141-4EE0-B5E2-DC46504FA006}" type="presOf" srcId="{30B46815-3ED7-4148-8FD9-DE748840D896}" destId="{4053AF82-2FFF-4E13-BE0F-D6360E221659}" srcOrd="1" destOrd="0" presId="urn:microsoft.com/office/officeart/2005/8/layout/orgChart1"/>
    <dgm:cxn modelId="{3E230A14-6FDE-4956-996F-E6D56CC332BA}" type="presOf" srcId="{ACCA4044-824D-4560-BFDA-3609010FCA60}" destId="{DF9D247E-15D9-4B5D-8615-675B32ABDF1E}" srcOrd="0" destOrd="0" presId="urn:microsoft.com/office/officeart/2005/8/layout/orgChart1"/>
    <dgm:cxn modelId="{0636F55B-4E30-4EA2-B43A-8F55DCF1160D}" srcId="{FE23C7D8-08C4-44EC-B82F-00BF348BBB1D}" destId="{30B46815-3ED7-4148-8FD9-DE748840D896}" srcOrd="0" destOrd="0" parTransId="{22F30268-D84B-43FA-A587-E640AE1D9A05}" sibTransId="{26BE35FE-F44F-4267-A14B-FD6E4E8A5409}"/>
    <dgm:cxn modelId="{452C5905-F968-4A99-A612-DAC15DF84BFD}" srcId="{FE23C7D8-08C4-44EC-B82F-00BF348BBB1D}" destId="{66E63331-79BB-4165-91AB-CA2C6B53757F}" srcOrd="2" destOrd="0" parTransId="{3403720D-E72D-497C-8D5D-373E75C88EEF}" sibTransId="{BDC49E44-AFC9-44C1-A00D-9A5F539753A4}"/>
    <dgm:cxn modelId="{DFC40DB5-E0B9-476F-8708-02F49E76C42C}" type="presOf" srcId="{04C19B8C-79E8-4B4F-98D0-A1732D1AFE5A}" destId="{D5789983-9F11-46FC-97F3-A8C5ECA7FEF2}" srcOrd="0" destOrd="0" presId="urn:microsoft.com/office/officeart/2005/8/layout/orgChart1"/>
    <dgm:cxn modelId="{0DF7C56F-8172-492A-B84B-AFCAD11E10E4}" type="presOf" srcId="{66E63331-79BB-4165-91AB-CA2C6B53757F}" destId="{06449079-0CD7-4A11-927F-65754B9DAC51}" srcOrd="0" destOrd="0" presId="urn:microsoft.com/office/officeart/2005/8/layout/orgChart1"/>
    <dgm:cxn modelId="{CF4F218E-E198-4616-A3E2-371070AEFC3A}" type="presOf" srcId="{0D601A43-5546-4EB9-862D-4578610B0096}" destId="{84040EBD-6A13-4CC9-8058-65BE9646BAA0}" srcOrd="0" destOrd="0" presId="urn:microsoft.com/office/officeart/2005/8/layout/orgChart1"/>
    <dgm:cxn modelId="{1DB02E8F-8049-4474-9BE5-92740669286E}" type="presOf" srcId="{1B32C497-D2AD-4BC6-A9FD-6971E200C5DD}" destId="{5A8E8AA8-CAED-4243-AD2C-0412916253FE}" srcOrd="1" destOrd="0" presId="urn:microsoft.com/office/officeart/2005/8/layout/orgChart1"/>
    <dgm:cxn modelId="{299F73A9-5A8B-4AF2-BAE7-506126B2EB23}" type="presOf" srcId="{66E63331-79BB-4165-91AB-CA2C6B53757F}" destId="{99CF1E7D-42E6-4C5C-8D91-275A1CC1F1A6}" srcOrd="1" destOrd="0" presId="urn:microsoft.com/office/officeart/2005/8/layout/orgChart1"/>
    <dgm:cxn modelId="{B438D2F4-100C-466D-9BD0-2A48BA0CFC97}" srcId="{000E0A43-924E-4D99-BECC-D41E865012B6}" destId="{FE23C7D8-08C4-44EC-B82F-00BF348BBB1D}" srcOrd="2" destOrd="0" parTransId="{04C19B8C-79E8-4B4F-98D0-A1732D1AFE5A}" sibTransId="{62962670-2AE1-4E2A-B4C6-583BB788F26E}"/>
    <dgm:cxn modelId="{5F3FE492-114E-4A48-8D62-3A049494E7D6}" type="presParOf" srcId="{9D85C7BB-97B7-466E-8155-0DD475D88B2A}" destId="{EA5FBB3E-7928-4761-8EDB-ED46C63B3FA5}" srcOrd="0" destOrd="0" presId="urn:microsoft.com/office/officeart/2005/8/layout/orgChart1"/>
    <dgm:cxn modelId="{6D2D6D89-056E-479C-9B3E-CCE6AE190FAB}" type="presParOf" srcId="{EA5FBB3E-7928-4761-8EDB-ED46C63B3FA5}" destId="{ECB35C8B-82FE-4FC3-8A56-10EEF67C802D}" srcOrd="0" destOrd="0" presId="urn:microsoft.com/office/officeart/2005/8/layout/orgChart1"/>
    <dgm:cxn modelId="{AB1E87B4-9015-40FE-8738-E1921420FA6B}" type="presParOf" srcId="{ECB35C8B-82FE-4FC3-8A56-10EEF67C802D}" destId="{B48E2CF8-E088-4C1D-B72C-CC848FDD5BEE}" srcOrd="0" destOrd="0" presId="urn:microsoft.com/office/officeart/2005/8/layout/orgChart1"/>
    <dgm:cxn modelId="{7A07EFDB-2ED2-4727-925C-BBEC172DD1CE}" type="presParOf" srcId="{ECB35C8B-82FE-4FC3-8A56-10EEF67C802D}" destId="{74FE4CAD-E710-4296-ABCD-E520321701F1}" srcOrd="1" destOrd="0" presId="urn:microsoft.com/office/officeart/2005/8/layout/orgChart1"/>
    <dgm:cxn modelId="{7D79AE0F-EEE7-479D-8AB5-A8E54D098450}" type="presParOf" srcId="{EA5FBB3E-7928-4761-8EDB-ED46C63B3FA5}" destId="{9AD9FEDB-D31B-4868-878A-BF63EB51BDCC}" srcOrd="1" destOrd="0" presId="urn:microsoft.com/office/officeart/2005/8/layout/orgChart1"/>
    <dgm:cxn modelId="{0FBD1D88-6A50-491C-A21B-6E996EE5827E}" type="presParOf" srcId="{9AD9FEDB-D31B-4868-878A-BF63EB51BDCC}" destId="{DF9D247E-15D9-4B5D-8615-675B32ABDF1E}" srcOrd="0" destOrd="0" presId="urn:microsoft.com/office/officeart/2005/8/layout/orgChart1"/>
    <dgm:cxn modelId="{5AEA3001-3DB2-4314-9A31-A40B3D004A38}" type="presParOf" srcId="{9AD9FEDB-D31B-4868-878A-BF63EB51BDCC}" destId="{CFDDF759-8B8C-4B89-BB57-13F389627C10}" srcOrd="1" destOrd="0" presId="urn:microsoft.com/office/officeart/2005/8/layout/orgChart1"/>
    <dgm:cxn modelId="{DEF8EDE7-DA4C-4E35-9314-A06CA954FD41}" type="presParOf" srcId="{CFDDF759-8B8C-4B89-BB57-13F389627C10}" destId="{CD9CE157-1C10-47B6-AF22-7C67BA8AF89C}" srcOrd="0" destOrd="0" presId="urn:microsoft.com/office/officeart/2005/8/layout/orgChart1"/>
    <dgm:cxn modelId="{1CF15BEA-7B74-45BB-9D12-7B9ACC153BE9}" type="presParOf" srcId="{CD9CE157-1C10-47B6-AF22-7C67BA8AF89C}" destId="{84040EBD-6A13-4CC9-8058-65BE9646BAA0}" srcOrd="0" destOrd="0" presId="urn:microsoft.com/office/officeart/2005/8/layout/orgChart1"/>
    <dgm:cxn modelId="{DD8F494C-A9BA-480C-BB0C-6AF4A880AB46}" type="presParOf" srcId="{CD9CE157-1C10-47B6-AF22-7C67BA8AF89C}" destId="{9FEDAC78-CE31-4ABF-A4E8-ED75644388E7}" srcOrd="1" destOrd="0" presId="urn:microsoft.com/office/officeart/2005/8/layout/orgChart1"/>
    <dgm:cxn modelId="{F6C71D29-ED80-45DF-AB84-34E7BA38E76C}" type="presParOf" srcId="{CFDDF759-8B8C-4B89-BB57-13F389627C10}" destId="{02C23E8E-A057-4575-B6BB-EB25466E6846}" srcOrd="1" destOrd="0" presId="urn:microsoft.com/office/officeart/2005/8/layout/orgChart1"/>
    <dgm:cxn modelId="{9DF400DB-4427-4121-B6DA-DD4EF6765ADA}" type="presParOf" srcId="{CFDDF759-8B8C-4B89-BB57-13F389627C10}" destId="{CFD9EC9F-B952-409D-ABA8-5E0C3D29AC0C}" srcOrd="2" destOrd="0" presId="urn:microsoft.com/office/officeart/2005/8/layout/orgChart1"/>
    <dgm:cxn modelId="{C698C8F6-07F0-4E94-817F-494FEA00045B}" type="presParOf" srcId="{9AD9FEDB-D31B-4868-878A-BF63EB51BDCC}" destId="{72F62C39-D602-474D-9815-21345247CE41}" srcOrd="2" destOrd="0" presId="urn:microsoft.com/office/officeart/2005/8/layout/orgChart1"/>
    <dgm:cxn modelId="{2B7A9CF3-8243-4E24-AC98-C01F286AF920}" type="presParOf" srcId="{9AD9FEDB-D31B-4868-878A-BF63EB51BDCC}" destId="{386843BB-8BD8-4481-BD1A-7B535FA8A635}" srcOrd="3" destOrd="0" presId="urn:microsoft.com/office/officeart/2005/8/layout/orgChart1"/>
    <dgm:cxn modelId="{CA7D2BD6-643F-4FCE-8C9C-5A774374CA2A}" type="presParOf" srcId="{386843BB-8BD8-4481-BD1A-7B535FA8A635}" destId="{F87F9ADE-DF0B-422A-BDB9-63916BA652BB}" srcOrd="0" destOrd="0" presId="urn:microsoft.com/office/officeart/2005/8/layout/orgChart1"/>
    <dgm:cxn modelId="{9FA4D376-3BAD-44E0-8BB1-492147FD5FB1}" type="presParOf" srcId="{F87F9ADE-DF0B-422A-BDB9-63916BA652BB}" destId="{8E7EEAFB-04F4-444D-8879-0E46AFC6532E}" srcOrd="0" destOrd="0" presId="urn:microsoft.com/office/officeart/2005/8/layout/orgChart1"/>
    <dgm:cxn modelId="{9A46CC48-9B5B-41D8-8C6B-5DCA81866DA7}" type="presParOf" srcId="{F87F9ADE-DF0B-422A-BDB9-63916BA652BB}" destId="{5A8E8AA8-CAED-4243-AD2C-0412916253FE}" srcOrd="1" destOrd="0" presId="urn:microsoft.com/office/officeart/2005/8/layout/orgChart1"/>
    <dgm:cxn modelId="{A2C568FC-1A67-4933-A098-BAFCC593367F}" type="presParOf" srcId="{386843BB-8BD8-4481-BD1A-7B535FA8A635}" destId="{265E1270-C335-46C3-B9F5-F46EC2C72303}" srcOrd="1" destOrd="0" presId="urn:microsoft.com/office/officeart/2005/8/layout/orgChart1"/>
    <dgm:cxn modelId="{D582D4AF-BACA-4282-A71B-7E136D000C2D}" type="presParOf" srcId="{386843BB-8BD8-4481-BD1A-7B535FA8A635}" destId="{58517E2C-C170-4A54-B580-C507FD2F8AF7}" srcOrd="2" destOrd="0" presId="urn:microsoft.com/office/officeart/2005/8/layout/orgChart1"/>
    <dgm:cxn modelId="{6360DEB1-CCC9-42E1-820F-F770D6C55E1C}" type="presParOf" srcId="{9AD9FEDB-D31B-4868-878A-BF63EB51BDCC}" destId="{D5789983-9F11-46FC-97F3-A8C5ECA7FEF2}" srcOrd="4" destOrd="0" presId="urn:microsoft.com/office/officeart/2005/8/layout/orgChart1"/>
    <dgm:cxn modelId="{3EA50075-22CA-4425-872E-020F0F14FB8E}" type="presParOf" srcId="{9AD9FEDB-D31B-4868-878A-BF63EB51BDCC}" destId="{D772CAC9-A619-4541-9193-F6D026BE72ED}" srcOrd="5" destOrd="0" presId="urn:microsoft.com/office/officeart/2005/8/layout/orgChart1"/>
    <dgm:cxn modelId="{DE5A410A-0E93-45DC-B038-6323D569B342}" type="presParOf" srcId="{D772CAC9-A619-4541-9193-F6D026BE72ED}" destId="{41A097EE-9137-40B4-B758-E16A6CB6CFEE}" srcOrd="0" destOrd="0" presId="urn:microsoft.com/office/officeart/2005/8/layout/orgChart1"/>
    <dgm:cxn modelId="{427EEECE-7CC8-4BFA-A9EC-1AFDB287A079}" type="presParOf" srcId="{41A097EE-9137-40B4-B758-E16A6CB6CFEE}" destId="{0EA51102-9A7D-43D7-9925-B8F842D2DC8B}" srcOrd="0" destOrd="0" presId="urn:microsoft.com/office/officeart/2005/8/layout/orgChart1"/>
    <dgm:cxn modelId="{4857AD76-B5B5-440C-AA5E-EA19336AFA02}" type="presParOf" srcId="{41A097EE-9137-40B4-B758-E16A6CB6CFEE}" destId="{C191A6B2-3A11-49E4-B08E-543AB083E89C}" srcOrd="1" destOrd="0" presId="urn:microsoft.com/office/officeart/2005/8/layout/orgChart1"/>
    <dgm:cxn modelId="{BB0FE1E2-0778-4DD8-BCC5-9F1C8DE6BC98}" type="presParOf" srcId="{D772CAC9-A619-4541-9193-F6D026BE72ED}" destId="{6ED2DE74-3E09-4598-B6E9-83C2402AF007}" srcOrd="1" destOrd="0" presId="urn:microsoft.com/office/officeart/2005/8/layout/orgChart1"/>
    <dgm:cxn modelId="{E78032C1-A314-43B4-B56E-D3248259C409}" type="presParOf" srcId="{6ED2DE74-3E09-4598-B6E9-83C2402AF007}" destId="{4CAD4A0A-3035-4198-82A7-94BA5CC201C9}" srcOrd="0" destOrd="0" presId="urn:microsoft.com/office/officeart/2005/8/layout/orgChart1"/>
    <dgm:cxn modelId="{6EFFCF86-6A2C-4AB3-AEA9-6ADBBACAD6B6}" type="presParOf" srcId="{6ED2DE74-3E09-4598-B6E9-83C2402AF007}" destId="{885FF897-3D55-4DE0-B3E1-66500EDBCCEF}" srcOrd="1" destOrd="0" presId="urn:microsoft.com/office/officeart/2005/8/layout/orgChart1"/>
    <dgm:cxn modelId="{80650600-E6EA-4B91-A4E3-623C1D468B0B}" type="presParOf" srcId="{885FF897-3D55-4DE0-B3E1-66500EDBCCEF}" destId="{528BA893-9235-415B-81A5-1B60FA5E86A3}" srcOrd="0" destOrd="0" presId="urn:microsoft.com/office/officeart/2005/8/layout/orgChart1"/>
    <dgm:cxn modelId="{087C7663-8CBC-4024-B7D5-3843E3EDE7F9}" type="presParOf" srcId="{528BA893-9235-415B-81A5-1B60FA5E86A3}" destId="{2B531A73-1C7C-4B2C-B51D-E85F691D5520}" srcOrd="0" destOrd="0" presId="urn:microsoft.com/office/officeart/2005/8/layout/orgChart1"/>
    <dgm:cxn modelId="{1DA98C97-E627-4B42-9567-C907961C11F3}" type="presParOf" srcId="{528BA893-9235-415B-81A5-1B60FA5E86A3}" destId="{4053AF82-2FFF-4E13-BE0F-D6360E221659}" srcOrd="1" destOrd="0" presId="urn:microsoft.com/office/officeart/2005/8/layout/orgChart1"/>
    <dgm:cxn modelId="{0D5EF18C-9D39-4138-B342-0754C203C2E7}" type="presParOf" srcId="{885FF897-3D55-4DE0-B3E1-66500EDBCCEF}" destId="{5ED59970-67FF-4F9E-852E-473DB8872742}" srcOrd="1" destOrd="0" presId="urn:microsoft.com/office/officeart/2005/8/layout/orgChart1"/>
    <dgm:cxn modelId="{3B78CD4A-ECC9-4718-9668-D327FD5C8053}" type="presParOf" srcId="{885FF897-3D55-4DE0-B3E1-66500EDBCCEF}" destId="{BE0DA805-FCDC-4395-AC18-1DC4F4F8AACF}" srcOrd="2" destOrd="0" presId="urn:microsoft.com/office/officeart/2005/8/layout/orgChart1"/>
    <dgm:cxn modelId="{D6CCDF54-96A6-4F32-8553-4F8A84E29A75}" type="presParOf" srcId="{6ED2DE74-3E09-4598-B6E9-83C2402AF007}" destId="{DA40D798-317C-45FD-8067-EB02C280A485}" srcOrd="2" destOrd="0" presId="urn:microsoft.com/office/officeart/2005/8/layout/orgChart1"/>
    <dgm:cxn modelId="{EFC3DBA5-9204-4178-B602-60C29F188B69}" type="presParOf" srcId="{6ED2DE74-3E09-4598-B6E9-83C2402AF007}" destId="{18F6150C-55D9-4665-96D6-97723507DEE1}" srcOrd="3" destOrd="0" presId="urn:microsoft.com/office/officeart/2005/8/layout/orgChart1"/>
    <dgm:cxn modelId="{3DD08275-3B15-4859-8335-3D687B4EFC84}" type="presParOf" srcId="{18F6150C-55D9-4665-96D6-97723507DEE1}" destId="{42BC6C2A-8E72-4F77-9683-E83124BA8C0A}" srcOrd="0" destOrd="0" presId="urn:microsoft.com/office/officeart/2005/8/layout/orgChart1"/>
    <dgm:cxn modelId="{92EAB05E-D508-4CD9-9E8A-5FB23FFB8A76}" type="presParOf" srcId="{42BC6C2A-8E72-4F77-9683-E83124BA8C0A}" destId="{A4CC5C13-8A10-4B8E-A099-DBBAB056B881}" srcOrd="0" destOrd="0" presId="urn:microsoft.com/office/officeart/2005/8/layout/orgChart1"/>
    <dgm:cxn modelId="{4F5B7867-BCA4-46E1-94A9-8FC2BEB42CB2}" type="presParOf" srcId="{42BC6C2A-8E72-4F77-9683-E83124BA8C0A}" destId="{F0C10C8E-5F72-4873-84ED-7424BD25B729}" srcOrd="1" destOrd="0" presId="urn:microsoft.com/office/officeart/2005/8/layout/orgChart1"/>
    <dgm:cxn modelId="{DED8DB33-6C2B-4B96-920C-7D74A2798C11}" type="presParOf" srcId="{18F6150C-55D9-4665-96D6-97723507DEE1}" destId="{8375B996-A664-410E-8BEB-7E96013FDDF2}" srcOrd="1" destOrd="0" presId="urn:microsoft.com/office/officeart/2005/8/layout/orgChart1"/>
    <dgm:cxn modelId="{2AC89DDA-D889-4FE8-902F-366593FF5260}" type="presParOf" srcId="{18F6150C-55D9-4665-96D6-97723507DEE1}" destId="{71BED334-38DC-42EE-8E74-134F77D46C42}" srcOrd="2" destOrd="0" presId="urn:microsoft.com/office/officeart/2005/8/layout/orgChart1"/>
    <dgm:cxn modelId="{98968A09-ADED-4497-A3ED-76CB47506107}" type="presParOf" srcId="{6ED2DE74-3E09-4598-B6E9-83C2402AF007}" destId="{1B558BCD-B7CB-40DD-BF07-1278E45B7E1A}" srcOrd="4" destOrd="0" presId="urn:microsoft.com/office/officeart/2005/8/layout/orgChart1"/>
    <dgm:cxn modelId="{023C0F7F-814F-4BC3-A8FB-3D286CB98B1F}" type="presParOf" srcId="{6ED2DE74-3E09-4598-B6E9-83C2402AF007}" destId="{FBDD4882-A20A-4C4A-9D1C-D7B5E8BDCED9}" srcOrd="5" destOrd="0" presId="urn:microsoft.com/office/officeart/2005/8/layout/orgChart1"/>
    <dgm:cxn modelId="{2D97C957-35CC-44F0-B30C-D8CE78F631B4}" type="presParOf" srcId="{FBDD4882-A20A-4C4A-9D1C-D7B5E8BDCED9}" destId="{784B017B-6EAA-471A-A9FA-90D2316EFB77}" srcOrd="0" destOrd="0" presId="urn:microsoft.com/office/officeart/2005/8/layout/orgChart1"/>
    <dgm:cxn modelId="{9DD4A13A-3F79-4A68-8429-1C87BA8B5194}" type="presParOf" srcId="{784B017B-6EAA-471A-A9FA-90D2316EFB77}" destId="{06449079-0CD7-4A11-927F-65754B9DAC51}" srcOrd="0" destOrd="0" presId="urn:microsoft.com/office/officeart/2005/8/layout/orgChart1"/>
    <dgm:cxn modelId="{D1C86454-ED3D-42C6-9E7F-666C14D1035B}" type="presParOf" srcId="{784B017B-6EAA-471A-A9FA-90D2316EFB77}" destId="{99CF1E7D-42E6-4C5C-8D91-275A1CC1F1A6}" srcOrd="1" destOrd="0" presId="urn:microsoft.com/office/officeart/2005/8/layout/orgChart1"/>
    <dgm:cxn modelId="{5BDB7407-C4C9-4AD8-AD40-7FA4E5F89757}" type="presParOf" srcId="{FBDD4882-A20A-4C4A-9D1C-D7B5E8BDCED9}" destId="{2F16FD62-119F-499C-8C71-BD843C394FA2}" srcOrd="1" destOrd="0" presId="urn:microsoft.com/office/officeart/2005/8/layout/orgChart1"/>
    <dgm:cxn modelId="{3A92CA07-D4CA-454B-8F39-05ED7CF989CA}" type="presParOf" srcId="{FBDD4882-A20A-4C4A-9D1C-D7B5E8BDCED9}" destId="{A9D5C663-7D72-4D18-9610-81B2A50BE3C7}" srcOrd="2" destOrd="0" presId="urn:microsoft.com/office/officeart/2005/8/layout/orgChart1"/>
    <dgm:cxn modelId="{33A9465B-B320-4D2A-98B7-D3DD8051E18D}" type="presParOf" srcId="{D772CAC9-A619-4541-9193-F6D026BE72ED}" destId="{9B00DF90-EAAE-435B-9820-110F12512F59}" srcOrd="2" destOrd="0" presId="urn:microsoft.com/office/officeart/2005/8/layout/orgChart1"/>
    <dgm:cxn modelId="{F91023A9-CB1C-40BE-A1B1-E09D124A3E2F}" type="presParOf" srcId="{EA5FBB3E-7928-4761-8EDB-ED46C63B3FA5}" destId="{6BCC068D-69D9-4018-A965-7628C7AF59D6}" srcOrd="2" destOrd="0" presId="urn:microsoft.com/office/officeart/2005/8/layout/orgChart1"/>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38D943-866D-4DC5-8B61-97E0F51ADF6B}" type="doc">
      <dgm:prSet loTypeId="urn:microsoft.com/office/officeart/2005/8/layout/process2" loCatId="process" qsTypeId="urn:microsoft.com/office/officeart/2005/8/quickstyle/simple1" qsCatId="simple" csTypeId="urn:microsoft.com/office/officeart/2005/8/colors/accent1_2" csCatId="accent1" phldr="1"/>
      <dgm:spPr/>
    </dgm:pt>
    <dgm:pt modelId="{DC7971CB-5230-4902-98F5-313939A8F5B3}">
      <dgm:prSet phldrT="[Text]" custT="1"/>
      <dgm:spPr/>
      <dgm:t>
        <a:bodyPr/>
        <a:lstStyle/>
        <a:p>
          <a:r>
            <a:rPr lang="en-AU" sz="1100"/>
            <a:t>G2.2 </a:t>
          </a:r>
          <a:br>
            <a:rPr lang="en-AU" sz="1100"/>
          </a:br>
          <a:r>
            <a:rPr lang="en-AU" sz="1100"/>
            <a:t>Determine materiality</a:t>
          </a:r>
        </a:p>
      </dgm:t>
    </dgm:pt>
    <dgm:pt modelId="{BC3B19E8-9A3D-4385-8208-36EA0FC1828C}" type="parTrans" cxnId="{1C656E70-C313-4B2E-A3C5-4756D2909171}">
      <dgm:prSet/>
      <dgm:spPr/>
      <dgm:t>
        <a:bodyPr/>
        <a:lstStyle/>
        <a:p>
          <a:endParaRPr lang="en-AU" sz="1100"/>
        </a:p>
      </dgm:t>
    </dgm:pt>
    <dgm:pt modelId="{3323517C-5285-4C45-8904-81DE0C402FCD}" type="sibTrans" cxnId="{1C656E70-C313-4B2E-A3C5-4756D2909171}">
      <dgm:prSet custT="1"/>
      <dgm:spPr/>
      <dgm:t>
        <a:bodyPr/>
        <a:lstStyle/>
        <a:p>
          <a:endParaRPr lang="en-AU" sz="1100"/>
        </a:p>
      </dgm:t>
    </dgm:pt>
    <dgm:pt modelId="{8B388527-5D6E-4293-ACA8-5999315BD989}">
      <dgm:prSet phldrT="[Text]" custT="1"/>
      <dgm:spPr/>
      <dgm:t>
        <a:bodyPr/>
        <a:lstStyle/>
        <a:p>
          <a:r>
            <a:rPr lang="en-AU" sz="1100"/>
            <a:t>G2.6 </a:t>
          </a:r>
          <a:br>
            <a:rPr lang="en-AU" sz="1100"/>
          </a:br>
          <a:r>
            <a:rPr lang="en-AU" sz="1100"/>
            <a:t>Gain in-principle agreement on judgements made and proposed changes</a:t>
          </a:r>
        </a:p>
      </dgm:t>
    </dgm:pt>
    <dgm:pt modelId="{3CB91E99-62C0-4000-AC40-7C72CC1D7A97}" type="parTrans" cxnId="{3CD7AD39-2934-46CA-AE0F-0F31107A2790}">
      <dgm:prSet/>
      <dgm:spPr/>
      <dgm:t>
        <a:bodyPr/>
        <a:lstStyle/>
        <a:p>
          <a:endParaRPr lang="en-AU" sz="1100"/>
        </a:p>
      </dgm:t>
    </dgm:pt>
    <dgm:pt modelId="{E0624BD7-5A1B-46D3-8E20-B452780C150C}" type="sibTrans" cxnId="{3CD7AD39-2934-46CA-AE0F-0F31107A2790}">
      <dgm:prSet custT="1"/>
      <dgm:spPr/>
      <dgm:t>
        <a:bodyPr/>
        <a:lstStyle/>
        <a:p>
          <a:endParaRPr lang="en-AU" sz="1100"/>
        </a:p>
      </dgm:t>
    </dgm:pt>
    <dgm:pt modelId="{5C9E08AE-9D3E-4439-AC0A-5C7A7F67E0A2}">
      <dgm:prSet phldrT="[Text]" custT="1"/>
      <dgm:spPr/>
      <dgm:t>
        <a:bodyPr/>
        <a:lstStyle/>
        <a:p>
          <a:r>
            <a:rPr lang="en-AU" sz="1100"/>
            <a:t>G2.7 </a:t>
          </a:r>
          <a:br>
            <a:rPr lang="en-AU" sz="1100"/>
          </a:br>
          <a:r>
            <a:rPr lang="en-AU" sz="1100"/>
            <a:t>Process changes and rewrite </a:t>
          </a:r>
          <a:br>
            <a:rPr lang="en-AU" sz="1100"/>
          </a:br>
          <a:r>
            <a:rPr lang="en-AU" sz="1100"/>
            <a:t>technical wording into plain English</a:t>
          </a:r>
        </a:p>
      </dgm:t>
    </dgm:pt>
    <dgm:pt modelId="{C345809A-BE41-4E0E-AC4C-B534B43005B8}" type="parTrans" cxnId="{430648A1-513E-405C-9798-F51425930CB1}">
      <dgm:prSet/>
      <dgm:spPr/>
      <dgm:t>
        <a:bodyPr/>
        <a:lstStyle/>
        <a:p>
          <a:endParaRPr lang="en-AU" sz="1100"/>
        </a:p>
      </dgm:t>
    </dgm:pt>
    <dgm:pt modelId="{7BEDDE5A-C2DC-497B-9925-E05CC6BA303C}" type="sibTrans" cxnId="{430648A1-513E-405C-9798-F51425930CB1}">
      <dgm:prSet custT="1"/>
      <dgm:spPr/>
      <dgm:t>
        <a:bodyPr/>
        <a:lstStyle/>
        <a:p>
          <a:endParaRPr lang="en-AU" sz="1100"/>
        </a:p>
      </dgm:t>
    </dgm:pt>
    <dgm:pt modelId="{4216176A-10A7-4620-AFA5-18D4D34B19D5}">
      <dgm:prSet phldrT="[Text]" custT="1"/>
      <dgm:spPr/>
      <dgm:t>
        <a:bodyPr/>
        <a:lstStyle/>
        <a:p>
          <a:r>
            <a:rPr lang="en-AU" sz="1100"/>
            <a:t>G2.3 </a:t>
          </a:r>
          <a:br>
            <a:rPr lang="en-AU" sz="1100"/>
          </a:br>
          <a:r>
            <a:rPr lang="en-AU" sz="1100"/>
            <a:t>Reorder accounting policies and </a:t>
          </a:r>
          <a:br>
            <a:rPr lang="en-AU" sz="1100"/>
          </a:br>
          <a:r>
            <a:rPr lang="en-AU" sz="1100"/>
            <a:t>critical estimates and judgements</a:t>
          </a:r>
        </a:p>
      </dgm:t>
    </dgm:pt>
    <dgm:pt modelId="{F8308032-F049-4B81-8CA4-8A03A4E1715D}" type="parTrans" cxnId="{0BF8F7AC-75F1-4530-A411-BCFE61D9A9CB}">
      <dgm:prSet/>
      <dgm:spPr/>
      <dgm:t>
        <a:bodyPr/>
        <a:lstStyle/>
        <a:p>
          <a:endParaRPr lang="en-AU" sz="1100"/>
        </a:p>
      </dgm:t>
    </dgm:pt>
    <dgm:pt modelId="{B2C18172-5A36-4229-803D-57A6D363A17F}" type="sibTrans" cxnId="{0BF8F7AC-75F1-4530-A411-BCFE61D9A9CB}">
      <dgm:prSet custT="1"/>
      <dgm:spPr/>
      <dgm:t>
        <a:bodyPr/>
        <a:lstStyle/>
        <a:p>
          <a:endParaRPr lang="en-AU" sz="1100"/>
        </a:p>
      </dgm:t>
    </dgm:pt>
    <dgm:pt modelId="{0B561D43-5895-4D00-89B0-BD22D55BBCEB}">
      <dgm:prSet phldrT="[Text]" custT="1"/>
      <dgm:spPr/>
      <dgm:t>
        <a:bodyPr/>
        <a:lstStyle/>
        <a:p>
          <a:r>
            <a:rPr lang="en-AU" sz="1100"/>
            <a:t>G2.4 </a:t>
          </a:r>
          <a:br>
            <a:rPr lang="en-AU" sz="1100"/>
          </a:br>
          <a:r>
            <a:rPr lang="en-AU" sz="1100"/>
            <a:t>Reorder and group the notes to </a:t>
          </a:r>
          <a:br>
            <a:rPr lang="en-AU" sz="1100"/>
          </a:br>
          <a:r>
            <a:rPr lang="en-AU" sz="1100"/>
            <a:t>the finanical statements into sections</a:t>
          </a:r>
        </a:p>
      </dgm:t>
    </dgm:pt>
    <dgm:pt modelId="{516C49CC-B634-4701-92C9-A6309B4C53B5}" type="parTrans" cxnId="{94125AC4-7ECA-4F9E-B7C1-04379EB601CA}">
      <dgm:prSet/>
      <dgm:spPr/>
      <dgm:t>
        <a:bodyPr/>
        <a:lstStyle/>
        <a:p>
          <a:endParaRPr lang="en-AU" sz="1100"/>
        </a:p>
      </dgm:t>
    </dgm:pt>
    <dgm:pt modelId="{54CA7DA5-1422-427A-A518-E95E10A53C4F}" type="sibTrans" cxnId="{94125AC4-7ECA-4F9E-B7C1-04379EB601CA}">
      <dgm:prSet custT="1"/>
      <dgm:spPr/>
      <dgm:t>
        <a:bodyPr/>
        <a:lstStyle/>
        <a:p>
          <a:endParaRPr lang="en-AU" sz="1100"/>
        </a:p>
      </dgm:t>
    </dgm:pt>
    <dgm:pt modelId="{A3A84746-A325-41D4-BF4E-9497806763CB}">
      <dgm:prSet phldrT="[Text]" custT="1"/>
      <dgm:spPr/>
      <dgm:t>
        <a:bodyPr/>
        <a:lstStyle/>
        <a:p>
          <a:r>
            <a:rPr lang="en-AU" sz="1100"/>
            <a:t>G2.1 </a:t>
          </a:r>
          <a:br>
            <a:rPr lang="en-AU" sz="1100"/>
          </a:br>
          <a:r>
            <a:rPr lang="en-AU" sz="1100"/>
            <a:t>Stakeholder engagement</a:t>
          </a:r>
        </a:p>
      </dgm:t>
    </dgm:pt>
    <dgm:pt modelId="{DA3CADB8-B8EC-4478-A9FA-8F623E6D373B}" type="parTrans" cxnId="{2313B12F-85A9-4E23-A497-CE09B285C60C}">
      <dgm:prSet/>
      <dgm:spPr/>
      <dgm:t>
        <a:bodyPr/>
        <a:lstStyle/>
        <a:p>
          <a:endParaRPr lang="en-AU" sz="1100"/>
        </a:p>
      </dgm:t>
    </dgm:pt>
    <dgm:pt modelId="{1C4F46AA-A806-40C1-A951-03A732AAC0AA}" type="sibTrans" cxnId="{2313B12F-85A9-4E23-A497-CE09B285C60C}">
      <dgm:prSet custT="1"/>
      <dgm:spPr/>
      <dgm:t>
        <a:bodyPr/>
        <a:lstStyle/>
        <a:p>
          <a:endParaRPr lang="en-AU" sz="1100"/>
        </a:p>
      </dgm:t>
    </dgm:pt>
    <dgm:pt modelId="{4728D31D-53E7-4A80-B2C4-2E71D4DC192C}">
      <dgm:prSet phldrT="[Text]" custT="1"/>
      <dgm:spPr/>
      <dgm:t>
        <a:bodyPr/>
        <a:lstStyle/>
        <a:p>
          <a:r>
            <a:rPr lang="en-AU" sz="1100"/>
            <a:t>G2.8 </a:t>
          </a:r>
          <a:br>
            <a:rPr lang="en-AU" sz="1100"/>
          </a:br>
          <a:r>
            <a:rPr lang="en-AU" sz="1100"/>
            <a:t>Prepare a consultation draft for </a:t>
          </a:r>
          <a:br>
            <a:rPr lang="en-AU" sz="1100"/>
          </a:br>
          <a:r>
            <a:rPr lang="en-AU" sz="1100"/>
            <a:t>review and obatain approval</a:t>
          </a:r>
        </a:p>
      </dgm:t>
    </dgm:pt>
    <dgm:pt modelId="{9562B0A8-36CC-4AA5-8F33-87E8486941C9}" type="parTrans" cxnId="{36426547-117C-4F35-9F29-28B8CE3C6A41}">
      <dgm:prSet/>
      <dgm:spPr/>
      <dgm:t>
        <a:bodyPr/>
        <a:lstStyle/>
        <a:p>
          <a:endParaRPr lang="en-AU"/>
        </a:p>
      </dgm:t>
    </dgm:pt>
    <dgm:pt modelId="{68B568E3-367A-4EFC-836E-1DD3C16F2092}" type="sibTrans" cxnId="{36426547-117C-4F35-9F29-28B8CE3C6A41}">
      <dgm:prSet/>
      <dgm:spPr/>
      <dgm:t>
        <a:bodyPr/>
        <a:lstStyle/>
        <a:p>
          <a:endParaRPr lang="en-AU"/>
        </a:p>
      </dgm:t>
    </dgm:pt>
    <dgm:pt modelId="{2DF85053-8F33-4ABD-84FA-AE7B1BCBBAA8}">
      <dgm:prSet phldrT="[Text]" custT="1"/>
      <dgm:spPr/>
      <dgm:t>
        <a:bodyPr/>
        <a:lstStyle/>
        <a:p>
          <a:r>
            <a:rPr lang="en-AU" sz="1100"/>
            <a:t>G2.5 </a:t>
          </a:r>
          <a:br>
            <a:rPr lang="en-AU" sz="1100"/>
          </a:br>
          <a:r>
            <a:rPr lang="en-AU" sz="1100"/>
            <a:t>Remove immaterial disclosures</a:t>
          </a:r>
        </a:p>
      </dgm:t>
    </dgm:pt>
    <dgm:pt modelId="{3803F3D6-6FAD-4F64-9096-A3E7322429EA}" type="parTrans" cxnId="{4B37267B-3811-45E9-8695-D430ECDBB708}">
      <dgm:prSet/>
      <dgm:spPr/>
      <dgm:t>
        <a:bodyPr/>
        <a:lstStyle/>
        <a:p>
          <a:endParaRPr lang="en-AU"/>
        </a:p>
      </dgm:t>
    </dgm:pt>
    <dgm:pt modelId="{D7271EAE-DC50-4B37-9D86-6FEBC5AEF225}" type="sibTrans" cxnId="{4B37267B-3811-45E9-8695-D430ECDBB708}">
      <dgm:prSet/>
      <dgm:spPr/>
      <dgm:t>
        <a:bodyPr/>
        <a:lstStyle/>
        <a:p>
          <a:endParaRPr lang="en-AU"/>
        </a:p>
      </dgm:t>
    </dgm:pt>
    <dgm:pt modelId="{71D6B8C3-C29F-4D82-A1DF-568C2BA6ABA5}" type="pres">
      <dgm:prSet presAssocID="{6238D943-866D-4DC5-8B61-97E0F51ADF6B}" presName="linearFlow" presStyleCnt="0">
        <dgm:presLayoutVars>
          <dgm:resizeHandles val="exact"/>
        </dgm:presLayoutVars>
      </dgm:prSet>
      <dgm:spPr/>
    </dgm:pt>
    <dgm:pt modelId="{0643865F-8F36-4D3E-9366-B9D088D557DC}" type="pres">
      <dgm:prSet presAssocID="{A3A84746-A325-41D4-BF4E-9497806763CB}" presName="node" presStyleLbl="node1" presStyleIdx="0" presStyleCnt="8" custScaleX="202986" custScaleY="121509">
        <dgm:presLayoutVars>
          <dgm:bulletEnabled val="1"/>
        </dgm:presLayoutVars>
      </dgm:prSet>
      <dgm:spPr/>
      <dgm:t>
        <a:bodyPr/>
        <a:lstStyle/>
        <a:p>
          <a:endParaRPr lang="en-AU"/>
        </a:p>
      </dgm:t>
    </dgm:pt>
    <dgm:pt modelId="{1B1F9CB7-3227-4C1C-9A8D-62D18F860546}" type="pres">
      <dgm:prSet presAssocID="{1C4F46AA-A806-40C1-A951-03A732AAC0AA}" presName="sibTrans" presStyleLbl="sibTrans2D1" presStyleIdx="0" presStyleCnt="7"/>
      <dgm:spPr/>
      <dgm:t>
        <a:bodyPr/>
        <a:lstStyle/>
        <a:p>
          <a:endParaRPr lang="en-AU"/>
        </a:p>
      </dgm:t>
    </dgm:pt>
    <dgm:pt modelId="{0ED4B50F-7C8F-4AF2-868C-B8A1DC3A46A9}" type="pres">
      <dgm:prSet presAssocID="{1C4F46AA-A806-40C1-A951-03A732AAC0AA}" presName="connectorText" presStyleLbl="sibTrans2D1" presStyleIdx="0" presStyleCnt="7"/>
      <dgm:spPr/>
      <dgm:t>
        <a:bodyPr/>
        <a:lstStyle/>
        <a:p>
          <a:endParaRPr lang="en-AU"/>
        </a:p>
      </dgm:t>
    </dgm:pt>
    <dgm:pt modelId="{4ABF1770-A2B5-4B5F-A515-693BCFFC424E}" type="pres">
      <dgm:prSet presAssocID="{DC7971CB-5230-4902-98F5-313939A8F5B3}" presName="node" presStyleLbl="node1" presStyleIdx="1" presStyleCnt="8" custScaleX="202842" custScaleY="121509">
        <dgm:presLayoutVars>
          <dgm:bulletEnabled val="1"/>
        </dgm:presLayoutVars>
      </dgm:prSet>
      <dgm:spPr/>
      <dgm:t>
        <a:bodyPr/>
        <a:lstStyle/>
        <a:p>
          <a:endParaRPr lang="en-AU"/>
        </a:p>
      </dgm:t>
    </dgm:pt>
    <dgm:pt modelId="{8C62512C-965F-4048-A93E-A837B06B8A6B}" type="pres">
      <dgm:prSet presAssocID="{3323517C-5285-4C45-8904-81DE0C402FCD}" presName="sibTrans" presStyleLbl="sibTrans2D1" presStyleIdx="1" presStyleCnt="7"/>
      <dgm:spPr/>
      <dgm:t>
        <a:bodyPr/>
        <a:lstStyle/>
        <a:p>
          <a:endParaRPr lang="en-AU"/>
        </a:p>
      </dgm:t>
    </dgm:pt>
    <dgm:pt modelId="{18FBD47E-974C-486D-832B-0DCFD6BF1332}" type="pres">
      <dgm:prSet presAssocID="{3323517C-5285-4C45-8904-81DE0C402FCD}" presName="connectorText" presStyleLbl="sibTrans2D1" presStyleIdx="1" presStyleCnt="7"/>
      <dgm:spPr/>
      <dgm:t>
        <a:bodyPr/>
        <a:lstStyle/>
        <a:p>
          <a:endParaRPr lang="en-AU"/>
        </a:p>
      </dgm:t>
    </dgm:pt>
    <dgm:pt modelId="{14A74F9C-68B3-476D-B0BC-C3E43C0D83C4}" type="pres">
      <dgm:prSet presAssocID="{4216176A-10A7-4620-AFA5-18D4D34B19D5}" presName="node" presStyleLbl="node1" presStyleIdx="2" presStyleCnt="8" custScaleX="202842" custScaleY="165698">
        <dgm:presLayoutVars>
          <dgm:bulletEnabled val="1"/>
        </dgm:presLayoutVars>
      </dgm:prSet>
      <dgm:spPr/>
      <dgm:t>
        <a:bodyPr/>
        <a:lstStyle/>
        <a:p>
          <a:endParaRPr lang="en-AU"/>
        </a:p>
      </dgm:t>
    </dgm:pt>
    <dgm:pt modelId="{49FFE44F-0768-48F6-8FDA-F96F9846A429}" type="pres">
      <dgm:prSet presAssocID="{B2C18172-5A36-4229-803D-57A6D363A17F}" presName="sibTrans" presStyleLbl="sibTrans2D1" presStyleIdx="2" presStyleCnt="7"/>
      <dgm:spPr/>
      <dgm:t>
        <a:bodyPr/>
        <a:lstStyle/>
        <a:p>
          <a:endParaRPr lang="en-AU"/>
        </a:p>
      </dgm:t>
    </dgm:pt>
    <dgm:pt modelId="{F5A15C4B-D6E2-4F23-8330-397BBC898291}" type="pres">
      <dgm:prSet presAssocID="{B2C18172-5A36-4229-803D-57A6D363A17F}" presName="connectorText" presStyleLbl="sibTrans2D1" presStyleIdx="2" presStyleCnt="7"/>
      <dgm:spPr/>
      <dgm:t>
        <a:bodyPr/>
        <a:lstStyle/>
        <a:p>
          <a:endParaRPr lang="en-AU"/>
        </a:p>
      </dgm:t>
    </dgm:pt>
    <dgm:pt modelId="{009039BE-63C8-4A27-826D-65EBC6C89EA0}" type="pres">
      <dgm:prSet presAssocID="{0B561D43-5895-4D00-89B0-BD22D55BBCEB}" presName="node" presStyleLbl="node1" presStyleIdx="3" presStyleCnt="8" custScaleX="202842" custScaleY="180688">
        <dgm:presLayoutVars>
          <dgm:bulletEnabled val="1"/>
        </dgm:presLayoutVars>
      </dgm:prSet>
      <dgm:spPr/>
      <dgm:t>
        <a:bodyPr/>
        <a:lstStyle/>
        <a:p>
          <a:endParaRPr lang="en-AU"/>
        </a:p>
      </dgm:t>
    </dgm:pt>
    <dgm:pt modelId="{D1F2F87A-15E4-40C5-9FDB-37EA80572FA8}" type="pres">
      <dgm:prSet presAssocID="{54CA7DA5-1422-427A-A518-E95E10A53C4F}" presName="sibTrans" presStyleLbl="sibTrans2D1" presStyleIdx="3" presStyleCnt="7"/>
      <dgm:spPr/>
      <dgm:t>
        <a:bodyPr/>
        <a:lstStyle/>
        <a:p>
          <a:endParaRPr lang="en-AU"/>
        </a:p>
      </dgm:t>
    </dgm:pt>
    <dgm:pt modelId="{2A569B7F-B378-43AE-B3A3-549E8B39A4D6}" type="pres">
      <dgm:prSet presAssocID="{54CA7DA5-1422-427A-A518-E95E10A53C4F}" presName="connectorText" presStyleLbl="sibTrans2D1" presStyleIdx="3" presStyleCnt="7"/>
      <dgm:spPr/>
      <dgm:t>
        <a:bodyPr/>
        <a:lstStyle/>
        <a:p>
          <a:endParaRPr lang="en-AU"/>
        </a:p>
      </dgm:t>
    </dgm:pt>
    <dgm:pt modelId="{D8D75C95-63CF-4364-AD04-83095275B22B}" type="pres">
      <dgm:prSet presAssocID="{2DF85053-8F33-4ABD-84FA-AE7B1BCBBAA8}" presName="node" presStyleLbl="node1" presStyleIdx="4" presStyleCnt="8" custScaleX="202934" custScaleY="124135" custLinFactNeighborX="-1076">
        <dgm:presLayoutVars>
          <dgm:bulletEnabled val="1"/>
        </dgm:presLayoutVars>
      </dgm:prSet>
      <dgm:spPr/>
      <dgm:t>
        <a:bodyPr/>
        <a:lstStyle/>
        <a:p>
          <a:endParaRPr lang="en-AU"/>
        </a:p>
      </dgm:t>
    </dgm:pt>
    <dgm:pt modelId="{A18470A0-EC18-4EB1-AB2C-C85A24D16D1A}" type="pres">
      <dgm:prSet presAssocID="{D7271EAE-DC50-4B37-9D86-6FEBC5AEF225}" presName="sibTrans" presStyleLbl="sibTrans2D1" presStyleIdx="4" presStyleCnt="7"/>
      <dgm:spPr/>
      <dgm:t>
        <a:bodyPr/>
        <a:lstStyle/>
        <a:p>
          <a:endParaRPr lang="en-AU"/>
        </a:p>
      </dgm:t>
    </dgm:pt>
    <dgm:pt modelId="{49C9F6C8-68AB-4F73-B7AD-F009E6FFB361}" type="pres">
      <dgm:prSet presAssocID="{D7271EAE-DC50-4B37-9D86-6FEBC5AEF225}" presName="connectorText" presStyleLbl="sibTrans2D1" presStyleIdx="4" presStyleCnt="7"/>
      <dgm:spPr/>
      <dgm:t>
        <a:bodyPr/>
        <a:lstStyle/>
        <a:p>
          <a:endParaRPr lang="en-AU"/>
        </a:p>
      </dgm:t>
    </dgm:pt>
    <dgm:pt modelId="{17EC6B9A-14FA-417C-A374-73605BBB644C}" type="pres">
      <dgm:prSet presAssocID="{8B388527-5D6E-4293-ACA8-5999315BD989}" presName="node" presStyleLbl="node1" presStyleIdx="5" presStyleCnt="8" custScaleX="202842" custScaleY="157264">
        <dgm:presLayoutVars>
          <dgm:bulletEnabled val="1"/>
        </dgm:presLayoutVars>
      </dgm:prSet>
      <dgm:spPr/>
      <dgm:t>
        <a:bodyPr/>
        <a:lstStyle/>
        <a:p>
          <a:endParaRPr lang="en-AU"/>
        </a:p>
      </dgm:t>
    </dgm:pt>
    <dgm:pt modelId="{23A4B096-ECD7-46CB-A8A0-B062CEAD93F9}" type="pres">
      <dgm:prSet presAssocID="{E0624BD7-5A1B-46D3-8E20-B452780C150C}" presName="sibTrans" presStyleLbl="sibTrans2D1" presStyleIdx="5" presStyleCnt="7"/>
      <dgm:spPr/>
      <dgm:t>
        <a:bodyPr/>
        <a:lstStyle/>
        <a:p>
          <a:endParaRPr lang="en-AU"/>
        </a:p>
      </dgm:t>
    </dgm:pt>
    <dgm:pt modelId="{C47A722F-4F50-41AF-83F7-1A258E97489C}" type="pres">
      <dgm:prSet presAssocID="{E0624BD7-5A1B-46D3-8E20-B452780C150C}" presName="connectorText" presStyleLbl="sibTrans2D1" presStyleIdx="5" presStyleCnt="7"/>
      <dgm:spPr/>
      <dgm:t>
        <a:bodyPr/>
        <a:lstStyle/>
        <a:p>
          <a:endParaRPr lang="en-AU"/>
        </a:p>
      </dgm:t>
    </dgm:pt>
    <dgm:pt modelId="{63BB4163-9BCE-4FAC-ACFB-C7B2CFA5CF96}" type="pres">
      <dgm:prSet presAssocID="{5C9E08AE-9D3E-4439-AC0A-5C7A7F67E0A2}" presName="node" presStyleLbl="node1" presStyleIdx="6" presStyleCnt="8" custScaleX="202842" custScaleY="159220">
        <dgm:presLayoutVars>
          <dgm:bulletEnabled val="1"/>
        </dgm:presLayoutVars>
      </dgm:prSet>
      <dgm:spPr/>
      <dgm:t>
        <a:bodyPr/>
        <a:lstStyle/>
        <a:p>
          <a:endParaRPr lang="en-AU"/>
        </a:p>
      </dgm:t>
    </dgm:pt>
    <dgm:pt modelId="{683CBDEC-F273-4D42-8441-351071621F23}" type="pres">
      <dgm:prSet presAssocID="{7BEDDE5A-C2DC-497B-9925-E05CC6BA303C}" presName="sibTrans" presStyleLbl="sibTrans2D1" presStyleIdx="6" presStyleCnt="7"/>
      <dgm:spPr/>
      <dgm:t>
        <a:bodyPr/>
        <a:lstStyle/>
        <a:p>
          <a:endParaRPr lang="en-AU"/>
        </a:p>
      </dgm:t>
    </dgm:pt>
    <dgm:pt modelId="{8D70DD8E-3849-4DFF-80F2-65D92417B343}" type="pres">
      <dgm:prSet presAssocID="{7BEDDE5A-C2DC-497B-9925-E05CC6BA303C}" presName="connectorText" presStyleLbl="sibTrans2D1" presStyleIdx="6" presStyleCnt="7"/>
      <dgm:spPr/>
      <dgm:t>
        <a:bodyPr/>
        <a:lstStyle/>
        <a:p>
          <a:endParaRPr lang="en-AU"/>
        </a:p>
      </dgm:t>
    </dgm:pt>
    <dgm:pt modelId="{126943B2-4D66-4BBC-A238-C025D4AF5FDE}" type="pres">
      <dgm:prSet presAssocID="{4728D31D-53E7-4A80-B2C4-2E71D4DC192C}" presName="node" presStyleLbl="node1" presStyleIdx="7" presStyleCnt="8" custScaleX="202861" custScaleY="165087">
        <dgm:presLayoutVars>
          <dgm:bulletEnabled val="1"/>
        </dgm:presLayoutVars>
      </dgm:prSet>
      <dgm:spPr/>
      <dgm:t>
        <a:bodyPr/>
        <a:lstStyle/>
        <a:p>
          <a:endParaRPr lang="en-AU"/>
        </a:p>
      </dgm:t>
    </dgm:pt>
  </dgm:ptLst>
  <dgm:cxnLst>
    <dgm:cxn modelId="{61625EC1-DC34-4B48-8133-247B734D70BE}" type="presOf" srcId="{4216176A-10A7-4620-AFA5-18D4D34B19D5}" destId="{14A74F9C-68B3-476D-B0BC-C3E43C0D83C4}" srcOrd="0" destOrd="0" presId="urn:microsoft.com/office/officeart/2005/8/layout/process2"/>
    <dgm:cxn modelId="{36426547-117C-4F35-9F29-28B8CE3C6A41}" srcId="{6238D943-866D-4DC5-8B61-97E0F51ADF6B}" destId="{4728D31D-53E7-4A80-B2C4-2E71D4DC192C}" srcOrd="7" destOrd="0" parTransId="{9562B0A8-36CC-4AA5-8F33-87E8486941C9}" sibTransId="{68B568E3-367A-4EFC-836E-1DD3C16F2092}"/>
    <dgm:cxn modelId="{3023C317-8896-4462-B286-E499AC75019D}" type="presOf" srcId="{6238D943-866D-4DC5-8B61-97E0F51ADF6B}" destId="{71D6B8C3-C29F-4D82-A1DF-568C2BA6ABA5}" srcOrd="0" destOrd="0" presId="urn:microsoft.com/office/officeart/2005/8/layout/process2"/>
    <dgm:cxn modelId="{81BE37AF-A0A3-4103-BEAE-CC669A319FAC}" type="presOf" srcId="{B2C18172-5A36-4229-803D-57A6D363A17F}" destId="{49FFE44F-0768-48F6-8FDA-F96F9846A429}" srcOrd="0" destOrd="0" presId="urn:microsoft.com/office/officeart/2005/8/layout/process2"/>
    <dgm:cxn modelId="{4F4A81AE-C6A7-4891-A0CC-469563141711}" type="presOf" srcId="{D7271EAE-DC50-4B37-9D86-6FEBC5AEF225}" destId="{49C9F6C8-68AB-4F73-B7AD-F009E6FFB361}" srcOrd="1" destOrd="0" presId="urn:microsoft.com/office/officeart/2005/8/layout/process2"/>
    <dgm:cxn modelId="{2313B12F-85A9-4E23-A497-CE09B285C60C}" srcId="{6238D943-866D-4DC5-8B61-97E0F51ADF6B}" destId="{A3A84746-A325-41D4-BF4E-9497806763CB}" srcOrd="0" destOrd="0" parTransId="{DA3CADB8-B8EC-4478-A9FA-8F623E6D373B}" sibTransId="{1C4F46AA-A806-40C1-A951-03A732AAC0AA}"/>
    <dgm:cxn modelId="{7932C23A-0A8A-49CF-AB2D-50F30494DC56}" type="presOf" srcId="{5C9E08AE-9D3E-4439-AC0A-5C7A7F67E0A2}" destId="{63BB4163-9BCE-4FAC-ACFB-C7B2CFA5CF96}" srcOrd="0" destOrd="0" presId="urn:microsoft.com/office/officeart/2005/8/layout/process2"/>
    <dgm:cxn modelId="{6B15A35B-CA79-4219-BA91-EA754E01046E}" type="presOf" srcId="{7BEDDE5A-C2DC-497B-9925-E05CC6BA303C}" destId="{683CBDEC-F273-4D42-8441-351071621F23}" srcOrd="0" destOrd="0" presId="urn:microsoft.com/office/officeart/2005/8/layout/process2"/>
    <dgm:cxn modelId="{7E233464-44AB-4FD7-9ACC-6DF9C767798C}" type="presOf" srcId="{3323517C-5285-4C45-8904-81DE0C402FCD}" destId="{8C62512C-965F-4048-A93E-A837B06B8A6B}" srcOrd="0" destOrd="0" presId="urn:microsoft.com/office/officeart/2005/8/layout/process2"/>
    <dgm:cxn modelId="{4B37267B-3811-45E9-8695-D430ECDBB708}" srcId="{6238D943-866D-4DC5-8B61-97E0F51ADF6B}" destId="{2DF85053-8F33-4ABD-84FA-AE7B1BCBBAA8}" srcOrd="4" destOrd="0" parTransId="{3803F3D6-6FAD-4F64-9096-A3E7322429EA}" sibTransId="{D7271EAE-DC50-4B37-9D86-6FEBC5AEF225}"/>
    <dgm:cxn modelId="{1C656E70-C313-4B2E-A3C5-4756D2909171}" srcId="{6238D943-866D-4DC5-8B61-97E0F51ADF6B}" destId="{DC7971CB-5230-4902-98F5-313939A8F5B3}" srcOrd="1" destOrd="0" parTransId="{BC3B19E8-9A3D-4385-8208-36EA0FC1828C}" sibTransId="{3323517C-5285-4C45-8904-81DE0C402FCD}"/>
    <dgm:cxn modelId="{8F93BCAE-43D5-4D94-B7D5-7265D93B9480}" type="presOf" srcId="{2DF85053-8F33-4ABD-84FA-AE7B1BCBBAA8}" destId="{D8D75C95-63CF-4364-AD04-83095275B22B}" srcOrd="0" destOrd="0" presId="urn:microsoft.com/office/officeart/2005/8/layout/process2"/>
    <dgm:cxn modelId="{EB234C3E-104B-402F-AABB-BD278D98E650}" type="presOf" srcId="{1C4F46AA-A806-40C1-A951-03A732AAC0AA}" destId="{1B1F9CB7-3227-4C1C-9A8D-62D18F860546}" srcOrd="0" destOrd="0" presId="urn:microsoft.com/office/officeart/2005/8/layout/process2"/>
    <dgm:cxn modelId="{91007D11-6956-41C2-926A-C2BC0B2FA380}" type="presOf" srcId="{DC7971CB-5230-4902-98F5-313939A8F5B3}" destId="{4ABF1770-A2B5-4B5F-A515-693BCFFC424E}" srcOrd="0" destOrd="0" presId="urn:microsoft.com/office/officeart/2005/8/layout/process2"/>
    <dgm:cxn modelId="{A43EC641-626B-41E2-9164-737289075648}" type="presOf" srcId="{54CA7DA5-1422-427A-A518-E95E10A53C4F}" destId="{2A569B7F-B378-43AE-B3A3-549E8B39A4D6}" srcOrd="1" destOrd="0" presId="urn:microsoft.com/office/officeart/2005/8/layout/process2"/>
    <dgm:cxn modelId="{0BF8F7AC-75F1-4530-A411-BCFE61D9A9CB}" srcId="{6238D943-866D-4DC5-8B61-97E0F51ADF6B}" destId="{4216176A-10A7-4620-AFA5-18D4D34B19D5}" srcOrd="2" destOrd="0" parTransId="{F8308032-F049-4B81-8CA4-8A03A4E1715D}" sibTransId="{B2C18172-5A36-4229-803D-57A6D363A17F}"/>
    <dgm:cxn modelId="{383E1638-5AB3-439B-9C52-BC99E8F1A929}" type="presOf" srcId="{3323517C-5285-4C45-8904-81DE0C402FCD}" destId="{18FBD47E-974C-486D-832B-0DCFD6BF1332}" srcOrd="1" destOrd="0" presId="urn:microsoft.com/office/officeart/2005/8/layout/process2"/>
    <dgm:cxn modelId="{601C5022-DCED-4FA6-98F6-D5E81800DF8F}" type="presOf" srcId="{7BEDDE5A-C2DC-497B-9925-E05CC6BA303C}" destId="{8D70DD8E-3849-4DFF-80F2-65D92417B343}" srcOrd="1" destOrd="0" presId="urn:microsoft.com/office/officeart/2005/8/layout/process2"/>
    <dgm:cxn modelId="{ABD2A285-C9C7-4081-A2CE-6A5FFBD3CA0A}" type="presOf" srcId="{0B561D43-5895-4D00-89B0-BD22D55BBCEB}" destId="{009039BE-63C8-4A27-826D-65EBC6C89EA0}" srcOrd="0" destOrd="0" presId="urn:microsoft.com/office/officeart/2005/8/layout/process2"/>
    <dgm:cxn modelId="{EE7395DC-D661-4CBC-9047-8E813D4EF6D3}" type="presOf" srcId="{B2C18172-5A36-4229-803D-57A6D363A17F}" destId="{F5A15C4B-D6E2-4F23-8330-397BBC898291}" srcOrd="1" destOrd="0" presId="urn:microsoft.com/office/officeart/2005/8/layout/process2"/>
    <dgm:cxn modelId="{FAD6F500-6F5D-41CB-A33A-FA6CDF19D125}" type="presOf" srcId="{E0624BD7-5A1B-46D3-8E20-B452780C150C}" destId="{C47A722F-4F50-41AF-83F7-1A258E97489C}" srcOrd="1" destOrd="0" presId="urn:microsoft.com/office/officeart/2005/8/layout/process2"/>
    <dgm:cxn modelId="{3CD7AD39-2934-46CA-AE0F-0F31107A2790}" srcId="{6238D943-866D-4DC5-8B61-97E0F51ADF6B}" destId="{8B388527-5D6E-4293-ACA8-5999315BD989}" srcOrd="5" destOrd="0" parTransId="{3CB91E99-62C0-4000-AC40-7C72CC1D7A97}" sibTransId="{E0624BD7-5A1B-46D3-8E20-B452780C150C}"/>
    <dgm:cxn modelId="{45ED2779-DBA0-4FEA-A643-671BEB022AEE}" type="presOf" srcId="{E0624BD7-5A1B-46D3-8E20-B452780C150C}" destId="{23A4B096-ECD7-46CB-A8A0-B062CEAD93F9}" srcOrd="0" destOrd="0" presId="urn:microsoft.com/office/officeart/2005/8/layout/process2"/>
    <dgm:cxn modelId="{DEA6F546-E312-46A5-8BE0-6D1D0FA60310}" type="presOf" srcId="{1C4F46AA-A806-40C1-A951-03A732AAC0AA}" destId="{0ED4B50F-7C8F-4AF2-868C-B8A1DC3A46A9}" srcOrd="1" destOrd="0" presId="urn:microsoft.com/office/officeart/2005/8/layout/process2"/>
    <dgm:cxn modelId="{0900E2B4-10FE-4D3E-AE1A-242E364EF685}" type="presOf" srcId="{54CA7DA5-1422-427A-A518-E95E10A53C4F}" destId="{D1F2F87A-15E4-40C5-9FDB-37EA80572FA8}" srcOrd="0" destOrd="0" presId="urn:microsoft.com/office/officeart/2005/8/layout/process2"/>
    <dgm:cxn modelId="{7D26A78C-6B61-45B0-B3E9-05B0758C9848}" type="presOf" srcId="{A3A84746-A325-41D4-BF4E-9497806763CB}" destId="{0643865F-8F36-4D3E-9366-B9D088D557DC}" srcOrd="0" destOrd="0" presId="urn:microsoft.com/office/officeart/2005/8/layout/process2"/>
    <dgm:cxn modelId="{430648A1-513E-405C-9798-F51425930CB1}" srcId="{6238D943-866D-4DC5-8B61-97E0F51ADF6B}" destId="{5C9E08AE-9D3E-4439-AC0A-5C7A7F67E0A2}" srcOrd="6" destOrd="0" parTransId="{C345809A-BE41-4E0E-AC4C-B534B43005B8}" sibTransId="{7BEDDE5A-C2DC-497B-9925-E05CC6BA303C}"/>
    <dgm:cxn modelId="{2B8B16B7-3246-44EE-B804-94B13633E2E2}" type="presOf" srcId="{8B388527-5D6E-4293-ACA8-5999315BD989}" destId="{17EC6B9A-14FA-417C-A374-73605BBB644C}" srcOrd="0" destOrd="0" presId="urn:microsoft.com/office/officeart/2005/8/layout/process2"/>
    <dgm:cxn modelId="{150D958B-073F-49C9-A3E6-59FF11D8A601}" type="presOf" srcId="{4728D31D-53E7-4A80-B2C4-2E71D4DC192C}" destId="{126943B2-4D66-4BBC-A238-C025D4AF5FDE}" srcOrd="0" destOrd="0" presId="urn:microsoft.com/office/officeart/2005/8/layout/process2"/>
    <dgm:cxn modelId="{94125AC4-7ECA-4F9E-B7C1-04379EB601CA}" srcId="{6238D943-866D-4DC5-8B61-97E0F51ADF6B}" destId="{0B561D43-5895-4D00-89B0-BD22D55BBCEB}" srcOrd="3" destOrd="0" parTransId="{516C49CC-B634-4701-92C9-A6309B4C53B5}" sibTransId="{54CA7DA5-1422-427A-A518-E95E10A53C4F}"/>
    <dgm:cxn modelId="{6C8CF7E5-5428-4234-9220-6C62F7462623}" type="presOf" srcId="{D7271EAE-DC50-4B37-9D86-6FEBC5AEF225}" destId="{A18470A0-EC18-4EB1-AB2C-C85A24D16D1A}" srcOrd="0" destOrd="0" presId="urn:microsoft.com/office/officeart/2005/8/layout/process2"/>
    <dgm:cxn modelId="{7B39F922-4723-430D-B5DE-1255BB7E8473}" type="presParOf" srcId="{71D6B8C3-C29F-4D82-A1DF-568C2BA6ABA5}" destId="{0643865F-8F36-4D3E-9366-B9D088D557DC}" srcOrd="0" destOrd="0" presId="urn:microsoft.com/office/officeart/2005/8/layout/process2"/>
    <dgm:cxn modelId="{B608A86A-7DCB-404F-8243-BEB44FF19FE8}" type="presParOf" srcId="{71D6B8C3-C29F-4D82-A1DF-568C2BA6ABA5}" destId="{1B1F9CB7-3227-4C1C-9A8D-62D18F860546}" srcOrd="1" destOrd="0" presId="urn:microsoft.com/office/officeart/2005/8/layout/process2"/>
    <dgm:cxn modelId="{C31D005A-EA1C-4A1D-93B4-CF9C2E230412}" type="presParOf" srcId="{1B1F9CB7-3227-4C1C-9A8D-62D18F860546}" destId="{0ED4B50F-7C8F-4AF2-868C-B8A1DC3A46A9}" srcOrd="0" destOrd="0" presId="urn:microsoft.com/office/officeart/2005/8/layout/process2"/>
    <dgm:cxn modelId="{471B69D7-B94B-41E3-B271-406474A65E54}" type="presParOf" srcId="{71D6B8C3-C29F-4D82-A1DF-568C2BA6ABA5}" destId="{4ABF1770-A2B5-4B5F-A515-693BCFFC424E}" srcOrd="2" destOrd="0" presId="urn:microsoft.com/office/officeart/2005/8/layout/process2"/>
    <dgm:cxn modelId="{F670C64F-01D4-4FD9-9387-2DCE4D88E94A}" type="presParOf" srcId="{71D6B8C3-C29F-4D82-A1DF-568C2BA6ABA5}" destId="{8C62512C-965F-4048-A93E-A837B06B8A6B}" srcOrd="3" destOrd="0" presId="urn:microsoft.com/office/officeart/2005/8/layout/process2"/>
    <dgm:cxn modelId="{3A0F8831-49A4-4551-96E1-9091E6D3DB4D}" type="presParOf" srcId="{8C62512C-965F-4048-A93E-A837B06B8A6B}" destId="{18FBD47E-974C-486D-832B-0DCFD6BF1332}" srcOrd="0" destOrd="0" presId="urn:microsoft.com/office/officeart/2005/8/layout/process2"/>
    <dgm:cxn modelId="{FC14A690-0424-4D3D-A338-0DD94DE01ECF}" type="presParOf" srcId="{71D6B8C3-C29F-4D82-A1DF-568C2BA6ABA5}" destId="{14A74F9C-68B3-476D-B0BC-C3E43C0D83C4}" srcOrd="4" destOrd="0" presId="urn:microsoft.com/office/officeart/2005/8/layout/process2"/>
    <dgm:cxn modelId="{FCE10525-F5A1-4335-A254-8E4F91004CD7}" type="presParOf" srcId="{71D6B8C3-C29F-4D82-A1DF-568C2BA6ABA5}" destId="{49FFE44F-0768-48F6-8FDA-F96F9846A429}" srcOrd="5" destOrd="0" presId="urn:microsoft.com/office/officeart/2005/8/layout/process2"/>
    <dgm:cxn modelId="{B25D265A-F176-4262-9F4C-E62D7C22A9D7}" type="presParOf" srcId="{49FFE44F-0768-48F6-8FDA-F96F9846A429}" destId="{F5A15C4B-D6E2-4F23-8330-397BBC898291}" srcOrd="0" destOrd="0" presId="urn:microsoft.com/office/officeart/2005/8/layout/process2"/>
    <dgm:cxn modelId="{6857FD22-05DF-4BBB-A60A-B312A1D2DAC8}" type="presParOf" srcId="{71D6B8C3-C29F-4D82-A1DF-568C2BA6ABA5}" destId="{009039BE-63C8-4A27-826D-65EBC6C89EA0}" srcOrd="6" destOrd="0" presId="urn:microsoft.com/office/officeart/2005/8/layout/process2"/>
    <dgm:cxn modelId="{D249DB96-91D9-4473-87A2-F89B51F0AE3A}" type="presParOf" srcId="{71D6B8C3-C29F-4D82-A1DF-568C2BA6ABA5}" destId="{D1F2F87A-15E4-40C5-9FDB-37EA80572FA8}" srcOrd="7" destOrd="0" presId="urn:microsoft.com/office/officeart/2005/8/layout/process2"/>
    <dgm:cxn modelId="{B0AA2FDE-D92B-4FD1-A946-2286D6ECF0F4}" type="presParOf" srcId="{D1F2F87A-15E4-40C5-9FDB-37EA80572FA8}" destId="{2A569B7F-B378-43AE-B3A3-549E8B39A4D6}" srcOrd="0" destOrd="0" presId="urn:microsoft.com/office/officeart/2005/8/layout/process2"/>
    <dgm:cxn modelId="{780668A7-CAD6-44D1-B773-5007D85D615A}" type="presParOf" srcId="{71D6B8C3-C29F-4D82-A1DF-568C2BA6ABA5}" destId="{D8D75C95-63CF-4364-AD04-83095275B22B}" srcOrd="8" destOrd="0" presId="urn:microsoft.com/office/officeart/2005/8/layout/process2"/>
    <dgm:cxn modelId="{AF3F1C4D-0108-46D7-A1B0-1EA9DEF8B9F5}" type="presParOf" srcId="{71D6B8C3-C29F-4D82-A1DF-568C2BA6ABA5}" destId="{A18470A0-EC18-4EB1-AB2C-C85A24D16D1A}" srcOrd="9" destOrd="0" presId="urn:microsoft.com/office/officeart/2005/8/layout/process2"/>
    <dgm:cxn modelId="{CB51FBBB-26F7-453B-94DA-9CC5769D956C}" type="presParOf" srcId="{A18470A0-EC18-4EB1-AB2C-C85A24D16D1A}" destId="{49C9F6C8-68AB-4F73-B7AD-F009E6FFB361}" srcOrd="0" destOrd="0" presId="urn:microsoft.com/office/officeart/2005/8/layout/process2"/>
    <dgm:cxn modelId="{7361476D-D7A2-442F-8C67-24BCAFFA0A40}" type="presParOf" srcId="{71D6B8C3-C29F-4D82-A1DF-568C2BA6ABA5}" destId="{17EC6B9A-14FA-417C-A374-73605BBB644C}" srcOrd="10" destOrd="0" presId="urn:microsoft.com/office/officeart/2005/8/layout/process2"/>
    <dgm:cxn modelId="{B2F3C2EB-2CFD-4251-BF3C-4BE1C0840D46}" type="presParOf" srcId="{71D6B8C3-C29F-4D82-A1DF-568C2BA6ABA5}" destId="{23A4B096-ECD7-46CB-A8A0-B062CEAD93F9}" srcOrd="11" destOrd="0" presId="urn:microsoft.com/office/officeart/2005/8/layout/process2"/>
    <dgm:cxn modelId="{65BC1E3C-A04C-4493-AAF2-EFC7BEC7911C}" type="presParOf" srcId="{23A4B096-ECD7-46CB-A8A0-B062CEAD93F9}" destId="{C47A722F-4F50-41AF-83F7-1A258E97489C}" srcOrd="0" destOrd="0" presId="urn:microsoft.com/office/officeart/2005/8/layout/process2"/>
    <dgm:cxn modelId="{A5A2AA26-A277-4B0A-A953-E392884B53EF}" type="presParOf" srcId="{71D6B8C3-C29F-4D82-A1DF-568C2BA6ABA5}" destId="{63BB4163-9BCE-4FAC-ACFB-C7B2CFA5CF96}" srcOrd="12" destOrd="0" presId="urn:microsoft.com/office/officeart/2005/8/layout/process2"/>
    <dgm:cxn modelId="{D05E3FCC-B700-41DB-98A8-EBA58C3BE19E}" type="presParOf" srcId="{71D6B8C3-C29F-4D82-A1DF-568C2BA6ABA5}" destId="{683CBDEC-F273-4D42-8441-351071621F23}" srcOrd="13" destOrd="0" presId="urn:microsoft.com/office/officeart/2005/8/layout/process2"/>
    <dgm:cxn modelId="{B3426ECD-DCE7-4EC6-8E83-E94C7D490561}" type="presParOf" srcId="{683CBDEC-F273-4D42-8441-351071621F23}" destId="{8D70DD8E-3849-4DFF-80F2-65D92417B343}" srcOrd="0" destOrd="0" presId="urn:microsoft.com/office/officeart/2005/8/layout/process2"/>
    <dgm:cxn modelId="{774C5743-47C3-4A35-AD69-B8253F1B6C8C}" type="presParOf" srcId="{71D6B8C3-C29F-4D82-A1DF-568C2BA6ABA5}" destId="{126943B2-4D66-4BBC-A238-C025D4AF5FDE}" srcOrd="14" destOrd="0" presId="urn:microsoft.com/office/officeart/2005/8/layout/process2"/>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58BCD-B7CB-40DD-BF07-1278E45B7E1A}">
      <dsp:nvSpPr>
        <dsp:cNvPr id="0" name=""/>
        <dsp:cNvSpPr/>
      </dsp:nvSpPr>
      <dsp:spPr>
        <a:xfrm>
          <a:off x="1856849" y="619327"/>
          <a:ext cx="102524" cy="962221"/>
        </a:xfrm>
        <a:custGeom>
          <a:avLst/>
          <a:gdLst/>
          <a:ahLst/>
          <a:cxnLst/>
          <a:rect l="0" t="0" r="0" b="0"/>
          <a:pathLst>
            <a:path>
              <a:moveTo>
                <a:pt x="0" y="0"/>
              </a:moveTo>
              <a:lnTo>
                <a:pt x="0" y="962221"/>
              </a:lnTo>
              <a:lnTo>
                <a:pt x="102524" y="962221"/>
              </a:lnTo>
            </a:path>
          </a:pathLst>
        </a:custGeom>
        <a:noFill/>
        <a:ln w="1905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DA40D798-317C-45FD-8067-EB02C280A485}">
      <dsp:nvSpPr>
        <dsp:cNvPr id="0" name=""/>
        <dsp:cNvSpPr/>
      </dsp:nvSpPr>
      <dsp:spPr>
        <a:xfrm>
          <a:off x="1856849" y="619327"/>
          <a:ext cx="102524" cy="598829"/>
        </a:xfrm>
        <a:custGeom>
          <a:avLst/>
          <a:gdLst/>
          <a:ahLst/>
          <a:cxnLst/>
          <a:rect l="0" t="0" r="0" b="0"/>
          <a:pathLst>
            <a:path>
              <a:moveTo>
                <a:pt x="0" y="0"/>
              </a:moveTo>
              <a:lnTo>
                <a:pt x="0" y="598829"/>
              </a:lnTo>
              <a:lnTo>
                <a:pt x="102524" y="598829"/>
              </a:lnTo>
            </a:path>
          </a:pathLst>
        </a:custGeom>
        <a:noFill/>
        <a:ln w="1905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CAD4A0A-3035-4198-82A7-94BA5CC201C9}">
      <dsp:nvSpPr>
        <dsp:cNvPr id="0" name=""/>
        <dsp:cNvSpPr/>
      </dsp:nvSpPr>
      <dsp:spPr>
        <a:xfrm>
          <a:off x="1856849" y="619327"/>
          <a:ext cx="102524" cy="235437"/>
        </a:xfrm>
        <a:custGeom>
          <a:avLst/>
          <a:gdLst/>
          <a:ahLst/>
          <a:cxnLst/>
          <a:rect l="0" t="0" r="0" b="0"/>
          <a:pathLst>
            <a:path>
              <a:moveTo>
                <a:pt x="0" y="0"/>
              </a:moveTo>
              <a:lnTo>
                <a:pt x="0" y="235437"/>
              </a:lnTo>
              <a:lnTo>
                <a:pt x="102524" y="235437"/>
              </a:lnTo>
            </a:path>
          </a:pathLst>
        </a:custGeom>
        <a:noFill/>
        <a:ln w="1905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D5789983-9F11-46FC-97F3-A8C5ECA7FEF2}">
      <dsp:nvSpPr>
        <dsp:cNvPr id="0" name=""/>
        <dsp:cNvSpPr/>
      </dsp:nvSpPr>
      <dsp:spPr>
        <a:xfrm>
          <a:off x="1339270" y="229265"/>
          <a:ext cx="790976" cy="91440"/>
        </a:xfrm>
        <a:custGeom>
          <a:avLst/>
          <a:gdLst/>
          <a:ahLst/>
          <a:cxnLst/>
          <a:rect l="0" t="0" r="0" b="0"/>
          <a:pathLst>
            <a:path>
              <a:moveTo>
                <a:pt x="0" y="45720"/>
              </a:moveTo>
              <a:lnTo>
                <a:pt x="0" y="80411"/>
              </a:lnTo>
              <a:lnTo>
                <a:pt x="790976" y="80411"/>
              </a:lnTo>
              <a:lnTo>
                <a:pt x="790976" y="134152"/>
              </a:lnTo>
            </a:path>
          </a:pathLst>
        </a:custGeom>
        <a:noFill/>
        <a:ln w="1905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72F62C39-D602-474D-9815-21345247CE41}">
      <dsp:nvSpPr>
        <dsp:cNvPr id="0" name=""/>
        <dsp:cNvSpPr/>
      </dsp:nvSpPr>
      <dsp:spPr>
        <a:xfrm>
          <a:off x="1293550" y="229265"/>
          <a:ext cx="91440" cy="91440"/>
        </a:xfrm>
        <a:custGeom>
          <a:avLst/>
          <a:gdLst/>
          <a:ahLst/>
          <a:cxnLst/>
          <a:rect l="0" t="0" r="0" b="0"/>
          <a:pathLst>
            <a:path>
              <a:moveTo>
                <a:pt x="45720" y="45720"/>
              </a:moveTo>
              <a:lnTo>
                <a:pt x="45720" y="134152"/>
              </a:lnTo>
            </a:path>
          </a:pathLst>
        </a:custGeom>
        <a:noFill/>
        <a:ln w="190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F9D247E-15D9-4B5D-8615-675B32ABDF1E}">
      <dsp:nvSpPr>
        <dsp:cNvPr id="0" name=""/>
        <dsp:cNvSpPr/>
      </dsp:nvSpPr>
      <dsp:spPr>
        <a:xfrm>
          <a:off x="548294" y="229265"/>
          <a:ext cx="790976" cy="91440"/>
        </a:xfrm>
        <a:custGeom>
          <a:avLst/>
          <a:gdLst/>
          <a:ahLst/>
          <a:cxnLst/>
          <a:rect l="0" t="0" r="0" b="0"/>
          <a:pathLst>
            <a:path>
              <a:moveTo>
                <a:pt x="790976" y="45720"/>
              </a:moveTo>
              <a:lnTo>
                <a:pt x="790976" y="80411"/>
              </a:lnTo>
              <a:lnTo>
                <a:pt x="0" y="80411"/>
              </a:lnTo>
              <a:lnTo>
                <a:pt x="0" y="134152"/>
              </a:lnTo>
            </a:path>
          </a:pathLst>
        </a:custGeom>
        <a:noFill/>
        <a:ln w="1905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B48E2CF8-E088-4C1D-B72C-CC848FDD5BEE}">
      <dsp:nvSpPr>
        <dsp:cNvPr id="0" name=""/>
        <dsp:cNvSpPr/>
      </dsp:nvSpPr>
      <dsp:spPr>
        <a:xfrm>
          <a:off x="997523" y="19075"/>
          <a:ext cx="683494" cy="2559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Financial</a:t>
          </a:r>
          <a:r>
            <a:rPr lang="en-AU" sz="900" i="0" kern="1200"/>
            <a:t> </a:t>
          </a:r>
          <a:br>
            <a:rPr lang="en-AU" sz="900" i="0" kern="1200"/>
          </a:br>
          <a:r>
            <a:rPr lang="en-AU" sz="800" i="0" kern="1200"/>
            <a:t>risks</a:t>
          </a:r>
        </a:p>
      </dsp:txBody>
      <dsp:txXfrm>
        <a:off x="997523" y="19075"/>
        <a:ext cx="683494" cy="255909"/>
      </dsp:txXfrm>
    </dsp:sp>
    <dsp:sp modelId="{84040EBD-6A13-4CC9-8058-65BE9646BAA0}">
      <dsp:nvSpPr>
        <dsp:cNvPr id="0" name=""/>
        <dsp:cNvSpPr/>
      </dsp:nvSpPr>
      <dsp:spPr>
        <a:xfrm>
          <a:off x="206546" y="363417"/>
          <a:ext cx="683494" cy="2559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Credit risk</a:t>
          </a:r>
        </a:p>
      </dsp:txBody>
      <dsp:txXfrm>
        <a:off x="206546" y="363417"/>
        <a:ext cx="683494" cy="255909"/>
      </dsp:txXfrm>
    </dsp:sp>
    <dsp:sp modelId="{8E7EEAFB-04F4-444D-8879-0E46AFC6532E}">
      <dsp:nvSpPr>
        <dsp:cNvPr id="0" name=""/>
        <dsp:cNvSpPr/>
      </dsp:nvSpPr>
      <dsp:spPr>
        <a:xfrm>
          <a:off x="997523" y="363417"/>
          <a:ext cx="683494" cy="2559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Liquidity risk</a:t>
          </a:r>
        </a:p>
      </dsp:txBody>
      <dsp:txXfrm>
        <a:off x="997523" y="363417"/>
        <a:ext cx="683494" cy="255909"/>
      </dsp:txXfrm>
    </dsp:sp>
    <dsp:sp modelId="{0EA51102-9A7D-43D7-9925-B8F842D2DC8B}">
      <dsp:nvSpPr>
        <dsp:cNvPr id="0" name=""/>
        <dsp:cNvSpPr/>
      </dsp:nvSpPr>
      <dsp:spPr>
        <a:xfrm>
          <a:off x="1788500" y="363417"/>
          <a:ext cx="683494" cy="2559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Market risk</a:t>
          </a:r>
        </a:p>
      </dsp:txBody>
      <dsp:txXfrm>
        <a:off x="1788500" y="363417"/>
        <a:ext cx="683494" cy="255909"/>
      </dsp:txXfrm>
    </dsp:sp>
    <dsp:sp modelId="{2B531A73-1C7C-4B2C-B51D-E85F691D5520}">
      <dsp:nvSpPr>
        <dsp:cNvPr id="0" name=""/>
        <dsp:cNvSpPr/>
      </dsp:nvSpPr>
      <dsp:spPr>
        <a:xfrm>
          <a:off x="1959373" y="726810"/>
          <a:ext cx="922719" cy="2559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Interest rate risk</a:t>
          </a:r>
        </a:p>
      </dsp:txBody>
      <dsp:txXfrm>
        <a:off x="1959373" y="726810"/>
        <a:ext cx="922719" cy="255909"/>
      </dsp:txXfrm>
    </dsp:sp>
    <dsp:sp modelId="{A4CC5C13-8A10-4B8E-A099-DBBAB056B881}">
      <dsp:nvSpPr>
        <dsp:cNvPr id="0" name=""/>
        <dsp:cNvSpPr/>
      </dsp:nvSpPr>
      <dsp:spPr>
        <a:xfrm>
          <a:off x="1959373" y="1090202"/>
          <a:ext cx="922719" cy="2559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Foreign currency risk</a:t>
          </a:r>
        </a:p>
      </dsp:txBody>
      <dsp:txXfrm>
        <a:off x="1959373" y="1090202"/>
        <a:ext cx="922719" cy="255909"/>
      </dsp:txXfrm>
    </dsp:sp>
    <dsp:sp modelId="{06449079-0CD7-4A11-927F-65754B9DAC51}">
      <dsp:nvSpPr>
        <dsp:cNvPr id="0" name=""/>
        <dsp:cNvSpPr/>
      </dsp:nvSpPr>
      <dsp:spPr>
        <a:xfrm>
          <a:off x="1959373" y="1453594"/>
          <a:ext cx="922719" cy="2559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Equity price risk</a:t>
          </a:r>
        </a:p>
      </dsp:txBody>
      <dsp:txXfrm>
        <a:off x="1959373" y="1453594"/>
        <a:ext cx="922719" cy="2559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43865F-8F36-4D3E-9366-B9D088D557DC}">
      <dsp:nvSpPr>
        <dsp:cNvPr id="0" name=""/>
        <dsp:cNvSpPr/>
      </dsp:nvSpPr>
      <dsp:spPr>
        <a:xfrm>
          <a:off x="1735992" y="3451"/>
          <a:ext cx="2719265" cy="4069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G2.1 </a:t>
          </a:r>
          <a:br>
            <a:rPr lang="en-AU" sz="1100" kern="1200"/>
          </a:br>
          <a:r>
            <a:rPr lang="en-AU" sz="1100" kern="1200"/>
            <a:t>Stakeholder engagement</a:t>
          </a:r>
        </a:p>
      </dsp:txBody>
      <dsp:txXfrm>
        <a:off x="1747911" y="15370"/>
        <a:ext cx="2695427" cy="383105"/>
      </dsp:txXfrm>
    </dsp:sp>
    <dsp:sp modelId="{1B1F9CB7-3227-4C1C-9A8D-62D18F860546}">
      <dsp:nvSpPr>
        <dsp:cNvPr id="0" name=""/>
        <dsp:cNvSpPr/>
      </dsp:nvSpPr>
      <dsp:spPr>
        <a:xfrm rot="5400000">
          <a:off x="3032829" y="418767"/>
          <a:ext cx="125590"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50413" y="431326"/>
        <a:ext cx="90424" cy="87913"/>
      </dsp:txXfrm>
    </dsp:sp>
    <dsp:sp modelId="{4ABF1770-A2B5-4B5F-A515-693BCFFC424E}">
      <dsp:nvSpPr>
        <dsp:cNvPr id="0" name=""/>
        <dsp:cNvSpPr/>
      </dsp:nvSpPr>
      <dsp:spPr>
        <a:xfrm>
          <a:off x="1736956" y="577849"/>
          <a:ext cx="2717336" cy="4069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G2.2 </a:t>
          </a:r>
          <a:br>
            <a:rPr lang="en-AU" sz="1100" kern="1200"/>
          </a:br>
          <a:r>
            <a:rPr lang="en-AU" sz="1100" kern="1200"/>
            <a:t>Determine materiality</a:t>
          </a:r>
        </a:p>
      </dsp:txBody>
      <dsp:txXfrm>
        <a:off x="1748875" y="589768"/>
        <a:ext cx="2693498" cy="383105"/>
      </dsp:txXfrm>
    </dsp:sp>
    <dsp:sp modelId="{8C62512C-965F-4048-A93E-A837B06B8A6B}">
      <dsp:nvSpPr>
        <dsp:cNvPr id="0" name=""/>
        <dsp:cNvSpPr/>
      </dsp:nvSpPr>
      <dsp:spPr>
        <a:xfrm rot="5400000">
          <a:off x="3032829" y="993165"/>
          <a:ext cx="125590"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50413" y="1005724"/>
        <a:ext cx="90424" cy="87913"/>
      </dsp:txXfrm>
    </dsp:sp>
    <dsp:sp modelId="{14A74F9C-68B3-476D-B0BC-C3E43C0D83C4}">
      <dsp:nvSpPr>
        <dsp:cNvPr id="0" name=""/>
        <dsp:cNvSpPr/>
      </dsp:nvSpPr>
      <dsp:spPr>
        <a:xfrm>
          <a:off x="1736956" y="1152246"/>
          <a:ext cx="2717336" cy="554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G2.3 </a:t>
          </a:r>
          <a:br>
            <a:rPr lang="en-AU" sz="1100" kern="1200"/>
          </a:br>
          <a:r>
            <a:rPr lang="en-AU" sz="1100" kern="1200"/>
            <a:t>Reorder accounting policies and </a:t>
          </a:r>
          <a:br>
            <a:rPr lang="en-AU" sz="1100" kern="1200"/>
          </a:br>
          <a:r>
            <a:rPr lang="en-AU" sz="1100" kern="1200"/>
            <a:t>critical estimates and judgements</a:t>
          </a:r>
        </a:p>
      </dsp:txBody>
      <dsp:txXfrm>
        <a:off x="1753209" y="1168499"/>
        <a:ext cx="2684830" cy="522429"/>
      </dsp:txXfrm>
    </dsp:sp>
    <dsp:sp modelId="{49FFE44F-0768-48F6-8FDA-F96F9846A429}">
      <dsp:nvSpPr>
        <dsp:cNvPr id="0" name=""/>
        <dsp:cNvSpPr/>
      </dsp:nvSpPr>
      <dsp:spPr>
        <a:xfrm rot="5400000">
          <a:off x="3032829" y="1715554"/>
          <a:ext cx="125590"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50413" y="1728113"/>
        <a:ext cx="90424" cy="87913"/>
      </dsp:txXfrm>
    </dsp:sp>
    <dsp:sp modelId="{009039BE-63C8-4A27-826D-65EBC6C89EA0}">
      <dsp:nvSpPr>
        <dsp:cNvPr id="0" name=""/>
        <dsp:cNvSpPr/>
      </dsp:nvSpPr>
      <dsp:spPr>
        <a:xfrm>
          <a:off x="1736956" y="1874636"/>
          <a:ext cx="2717336" cy="6051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G2.4 </a:t>
          </a:r>
          <a:br>
            <a:rPr lang="en-AU" sz="1100" kern="1200"/>
          </a:br>
          <a:r>
            <a:rPr lang="en-AU" sz="1100" kern="1200"/>
            <a:t>Reorder and group the notes to </a:t>
          </a:r>
          <a:br>
            <a:rPr lang="en-AU" sz="1100" kern="1200"/>
          </a:br>
          <a:r>
            <a:rPr lang="en-AU" sz="1100" kern="1200"/>
            <a:t>the finanical statements into sections</a:t>
          </a:r>
        </a:p>
      </dsp:txBody>
      <dsp:txXfrm>
        <a:off x="1754680" y="1892360"/>
        <a:ext cx="2681888" cy="569690"/>
      </dsp:txXfrm>
    </dsp:sp>
    <dsp:sp modelId="{D1F2F87A-15E4-40C5-9FDB-37EA80572FA8}">
      <dsp:nvSpPr>
        <dsp:cNvPr id="0" name=""/>
        <dsp:cNvSpPr/>
      </dsp:nvSpPr>
      <dsp:spPr>
        <a:xfrm rot="5473088">
          <a:off x="3024601" y="2488147"/>
          <a:ext cx="125618"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42599" y="2500696"/>
        <a:ext cx="90424" cy="87933"/>
      </dsp:txXfrm>
    </dsp:sp>
    <dsp:sp modelId="{D8D75C95-63CF-4364-AD04-83095275B22B}">
      <dsp:nvSpPr>
        <dsp:cNvPr id="0" name=""/>
        <dsp:cNvSpPr/>
      </dsp:nvSpPr>
      <dsp:spPr>
        <a:xfrm>
          <a:off x="1721926" y="2647228"/>
          <a:ext cx="2718568" cy="4157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G2.5 </a:t>
          </a:r>
          <a:br>
            <a:rPr lang="en-AU" sz="1100" kern="1200"/>
          </a:br>
          <a:r>
            <a:rPr lang="en-AU" sz="1100" kern="1200"/>
            <a:t>Remove immaterial disclosures</a:t>
          </a:r>
        </a:p>
      </dsp:txBody>
      <dsp:txXfrm>
        <a:off x="1734103" y="2659405"/>
        <a:ext cx="2694214" cy="391384"/>
      </dsp:txXfrm>
    </dsp:sp>
    <dsp:sp modelId="{A18470A0-EC18-4EB1-AB2C-C85A24D16D1A}">
      <dsp:nvSpPr>
        <dsp:cNvPr id="0" name=""/>
        <dsp:cNvSpPr/>
      </dsp:nvSpPr>
      <dsp:spPr>
        <a:xfrm rot="5322425">
          <a:off x="3024980" y="3071339"/>
          <a:ext cx="125622"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rot="-5400000">
        <a:off x="3042154" y="3083886"/>
        <a:ext cx="90424" cy="87935"/>
      </dsp:txXfrm>
    </dsp:sp>
    <dsp:sp modelId="{17EC6B9A-14FA-417C-A374-73605BBB644C}">
      <dsp:nvSpPr>
        <dsp:cNvPr id="0" name=""/>
        <dsp:cNvSpPr/>
      </dsp:nvSpPr>
      <dsp:spPr>
        <a:xfrm>
          <a:off x="1736956" y="3230420"/>
          <a:ext cx="2717336" cy="5266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G2.6 </a:t>
          </a:r>
          <a:br>
            <a:rPr lang="en-AU" sz="1100" kern="1200"/>
          </a:br>
          <a:r>
            <a:rPr lang="en-AU" sz="1100" kern="1200"/>
            <a:t>Gain in-principle agreement on judgements made and proposed changes</a:t>
          </a:r>
        </a:p>
      </dsp:txBody>
      <dsp:txXfrm>
        <a:off x="1752382" y="3245846"/>
        <a:ext cx="2686484" cy="495837"/>
      </dsp:txXfrm>
    </dsp:sp>
    <dsp:sp modelId="{23A4B096-ECD7-46CB-A8A0-B062CEAD93F9}">
      <dsp:nvSpPr>
        <dsp:cNvPr id="0" name=""/>
        <dsp:cNvSpPr/>
      </dsp:nvSpPr>
      <dsp:spPr>
        <a:xfrm rot="5400000">
          <a:off x="3032829" y="3765483"/>
          <a:ext cx="125590"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50413" y="3778042"/>
        <a:ext cx="90424" cy="87913"/>
      </dsp:txXfrm>
    </dsp:sp>
    <dsp:sp modelId="{63BB4163-9BCE-4FAC-ACFB-C7B2CFA5CF96}">
      <dsp:nvSpPr>
        <dsp:cNvPr id="0" name=""/>
        <dsp:cNvSpPr/>
      </dsp:nvSpPr>
      <dsp:spPr>
        <a:xfrm>
          <a:off x="1736956" y="3924564"/>
          <a:ext cx="2717336" cy="5332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G2.7 </a:t>
          </a:r>
          <a:br>
            <a:rPr lang="en-AU" sz="1100" kern="1200"/>
          </a:br>
          <a:r>
            <a:rPr lang="en-AU" sz="1100" kern="1200"/>
            <a:t>Process changes and rewrite </a:t>
          </a:r>
          <a:br>
            <a:rPr lang="en-AU" sz="1100" kern="1200"/>
          </a:br>
          <a:r>
            <a:rPr lang="en-AU" sz="1100" kern="1200"/>
            <a:t>technical wording into plain English</a:t>
          </a:r>
        </a:p>
      </dsp:txBody>
      <dsp:txXfrm>
        <a:off x="1752574" y="3940182"/>
        <a:ext cx="2686100" cy="502004"/>
      </dsp:txXfrm>
    </dsp:sp>
    <dsp:sp modelId="{683CBDEC-F273-4D42-8441-351071621F23}">
      <dsp:nvSpPr>
        <dsp:cNvPr id="0" name=""/>
        <dsp:cNvSpPr/>
      </dsp:nvSpPr>
      <dsp:spPr>
        <a:xfrm rot="5400000">
          <a:off x="3032829" y="4466177"/>
          <a:ext cx="125590"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50413" y="4478736"/>
        <a:ext cx="90424" cy="87913"/>
      </dsp:txXfrm>
    </dsp:sp>
    <dsp:sp modelId="{126943B2-4D66-4BBC-A238-C025D4AF5FDE}">
      <dsp:nvSpPr>
        <dsp:cNvPr id="0" name=""/>
        <dsp:cNvSpPr/>
      </dsp:nvSpPr>
      <dsp:spPr>
        <a:xfrm>
          <a:off x="1736829" y="4625258"/>
          <a:ext cx="2717590" cy="55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G2.8 </a:t>
          </a:r>
          <a:br>
            <a:rPr lang="en-AU" sz="1100" kern="1200"/>
          </a:br>
          <a:r>
            <a:rPr lang="en-AU" sz="1100" kern="1200"/>
            <a:t>Prepare a consultation draft for </a:t>
          </a:r>
          <a:br>
            <a:rPr lang="en-AU" sz="1100" kern="1200"/>
          </a:br>
          <a:r>
            <a:rPr lang="en-AU" sz="1100" kern="1200"/>
            <a:t>review and obatain approval</a:t>
          </a:r>
        </a:p>
      </dsp:txBody>
      <dsp:txXfrm>
        <a:off x="1753023" y="4641452"/>
        <a:ext cx="2685202" cy="5205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99606-56D0-48BE-A93F-30476C9E4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Publication.dotx</Template>
  <TotalTime>9</TotalTime>
  <Pages>119</Pages>
  <Words>138249</Words>
  <Characters>788022</Characters>
  <Application>Microsoft Office Word</Application>
  <DocSecurity>0</DocSecurity>
  <Lines>6566</Lines>
  <Paragraphs>1848</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924423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2016-17 Model Report for Victorian Government Departments</dc:subject>
  <dc:creator>Leigh Anlezark</dc:creator>
  <cp:lastModifiedBy>Louise Koschmann</cp:lastModifiedBy>
  <cp:revision>2</cp:revision>
  <cp:lastPrinted>2017-06-28T00:29:00Z</cp:lastPrinted>
  <dcterms:created xsi:type="dcterms:W3CDTF">2018-01-25T03:04:00Z</dcterms:created>
  <dcterms:modified xsi:type="dcterms:W3CDTF">2018-01-25T03:04:00Z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70cc709f-1293-4c83-a493-f5b52bc02fa0</vt:lpwstr>
  </property>
  <property fmtid="{D5CDD505-2E9C-101B-9397-08002B2CF9AE}" pid="4" name="PSPFClassification">
    <vt:lpwstr>Do Not Mark</vt:lpwstr>
  </property>
</Properties>
</file>