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A4" w:rsidRPr="00A36573" w:rsidRDefault="002620A4" w:rsidP="006B3A50">
      <w:pPr>
        <w:pStyle w:val="NewsletterNormal"/>
      </w:pPr>
    </w:p>
    <w:p w:rsidR="002620A4" w:rsidRPr="00A73FFD" w:rsidRDefault="00AD2270" w:rsidP="002620A4">
      <w:pPr>
        <w:pStyle w:val="NewsletterIntroductoryCopy"/>
      </w:pPr>
      <w:r>
        <w:t>Scope: t</w:t>
      </w:r>
      <w:r w:rsidR="00542B5C" w:rsidRPr="00823E75">
        <w:t>his bi</w:t>
      </w:r>
      <w:r w:rsidR="008207D7">
        <w:noBreakHyphen/>
      </w:r>
      <w:r w:rsidR="00542B5C" w:rsidRPr="00823E75">
        <w:t xml:space="preserve">annual </w:t>
      </w:r>
      <w:r w:rsidR="00542B5C">
        <w:t>n</w:t>
      </w:r>
      <w:r w:rsidR="00542B5C" w:rsidRPr="00823E75">
        <w:t xml:space="preserve">ewsletter outlines areas of particular importance in public sector financial reporting. </w:t>
      </w:r>
      <w:r w:rsidR="00542B5C">
        <w:t>The newsletter is applicable</w:t>
      </w:r>
      <w:r w:rsidR="00542B5C" w:rsidRPr="00823E75">
        <w:t xml:space="preserve"> to both budget and financial reporting areas of Victorian public sector entities.</w:t>
      </w:r>
    </w:p>
    <w:p w:rsidR="002620A4" w:rsidRDefault="002620A4" w:rsidP="006B3A50">
      <w:pPr>
        <w:pStyle w:val="NewsletterNormal"/>
      </w:pPr>
    </w:p>
    <w:p w:rsidR="002620A4" w:rsidRP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FA0574" w:rsidRDefault="00FA0574" w:rsidP="006B3A50">
      <w:pPr>
        <w:pStyle w:val="NewsletterNormal"/>
      </w:pPr>
    </w:p>
    <w:p w:rsidR="00FA0574" w:rsidRDefault="00FA057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6B3A50" w:rsidRDefault="006B3A50" w:rsidP="006B3A50">
      <w:pPr>
        <w:pStyle w:val="NewsletterNormal"/>
      </w:pPr>
    </w:p>
    <w:p w:rsidR="006B3A50" w:rsidRDefault="006B3A50" w:rsidP="006B3A50">
      <w:pPr>
        <w:pStyle w:val="NewsletterNormal"/>
      </w:pPr>
    </w:p>
    <w:p w:rsidR="002620A4" w:rsidRDefault="002620A4" w:rsidP="006B3A50">
      <w:pPr>
        <w:pStyle w:val="NewsletterNormal"/>
      </w:pPr>
      <w:r>
        <w:rPr>
          <w:noProof/>
        </w:rPr>
        <mc:AlternateContent>
          <mc:Choice Requires="wps">
            <w:drawing>
              <wp:anchor distT="0" distB="0" distL="114300" distR="114300" simplePos="0" relativeHeight="251659264" behindDoc="1" locked="0" layoutInCell="1" allowOverlap="1" wp14:anchorId="0EF2E055" wp14:editId="1694D813">
                <wp:simplePos x="0" y="0"/>
                <wp:positionH relativeFrom="column">
                  <wp:posOffset>-134620</wp:posOffset>
                </wp:positionH>
                <wp:positionV relativeFrom="paragraph">
                  <wp:posOffset>28770</wp:posOffset>
                </wp:positionV>
                <wp:extent cx="2162175" cy="2018030"/>
                <wp:effectExtent l="0" t="0" r="9525" b="12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18030"/>
                        </a:xfrm>
                        <a:prstGeom prst="rect">
                          <a:avLst/>
                        </a:prstGeom>
                        <a:solidFill>
                          <a:srgbClr val="C4D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pt;margin-top:2.25pt;width:170.25pt;height:1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BgAIAAP0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" fillcolor="#c4dff6" stroked="f"/>
            </w:pict>
          </mc:Fallback>
        </mc:AlternateContent>
      </w:r>
    </w:p>
    <w:p w:rsidR="002620A4" w:rsidRPr="00F85F11" w:rsidRDefault="002620A4" w:rsidP="002620A4">
      <w:pPr>
        <w:pStyle w:val="NewsletterTOCheading"/>
      </w:pPr>
      <w:r>
        <w:t>Inside this edition</w:t>
      </w:r>
    </w:p>
    <w:p w:rsidR="006B0908" w:rsidRDefault="002620A4">
      <w:pPr>
        <w:pStyle w:val="TOC1"/>
        <w:rPr>
          <w:rFonts w:asciiTheme="minorHAnsi" w:eastAsiaTheme="minorEastAsia" w:hAnsiTheme="minorHAnsi" w:cstheme="minorBidi"/>
          <w:color w:val="auto"/>
          <w:sz w:val="22"/>
          <w:szCs w:val="22"/>
        </w:rPr>
      </w:pPr>
      <w:r w:rsidRPr="00B90E28">
        <w:fldChar w:fldCharType="begin"/>
      </w:r>
      <w:r w:rsidRPr="00B90E28">
        <w:instrText xml:space="preserve"> TOC \h \z \t "</w:instrText>
      </w:r>
      <w:r w:rsidR="00EC02E9">
        <w:instrText>Newsletter</w:instrText>
      </w:r>
      <w:r w:rsidRPr="00B90E28">
        <w:instrText xml:space="preserve"> Heading 1,1" </w:instrText>
      </w:r>
      <w:r w:rsidRPr="00B90E28">
        <w:fldChar w:fldCharType="separate"/>
      </w:r>
      <w:hyperlink w:anchor="_Toc379186552" w:history="1">
        <w:r w:rsidR="006B0908" w:rsidRPr="00EE6798">
          <w:rPr>
            <w:rStyle w:val="Hyperlink"/>
          </w:rPr>
          <w:t>Overview</w:t>
        </w:r>
        <w:r w:rsidR="006B0908">
          <w:rPr>
            <w:webHidden/>
          </w:rPr>
          <w:tab/>
        </w:r>
        <w:r w:rsidR="006B0908">
          <w:rPr>
            <w:webHidden/>
          </w:rPr>
          <w:fldChar w:fldCharType="begin"/>
        </w:r>
        <w:r w:rsidR="006B0908">
          <w:rPr>
            <w:webHidden/>
          </w:rPr>
          <w:instrText xml:space="preserve"> PAGEREF _Toc379186552 \h </w:instrText>
        </w:r>
        <w:r w:rsidR="006B0908">
          <w:rPr>
            <w:webHidden/>
          </w:rPr>
        </w:r>
        <w:r w:rsidR="006B0908">
          <w:rPr>
            <w:webHidden/>
          </w:rPr>
          <w:fldChar w:fldCharType="separate"/>
        </w:r>
        <w:r w:rsidR="0081639A">
          <w:rPr>
            <w:webHidden/>
          </w:rPr>
          <w:t>1</w:t>
        </w:r>
        <w:r w:rsidR="006B0908">
          <w:rPr>
            <w:webHidden/>
          </w:rPr>
          <w:fldChar w:fldCharType="end"/>
        </w:r>
      </w:hyperlink>
    </w:p>
    <w:p w:rsidR="006B0908" w:rsidRDefault="0081639A">
      <w:pPr>
        <w:pStyle w:val="TOC1"/>
        <w:rPr>
          <w:rFonts w:asciiTheme="minorHAnsi" w:eastAsiaTheme="minorEastAsia" w:hAnsiTheme="minorHAnsi" w:cstheme="minorBidi"/>
          <w:color w:val="auto"/>
          <w:sz w:val="22"/>
          <w:szCs w:val="22"/>
        </w:rPr>
      </w:pPr>
      <w:hyperlink w:anchor="_Toc379186553" w:history="1">
        <w:r w:rsidR="006B0908" w:rsidRPr="00EE6798">
          <w:rPr>
            <w:rStyle w:val="Hyperlink"/>
          </w:rPr>
          <w:t>2013</w:t>
        </w:r>
        <w:r w:rsidR="006B0908" w:rsidRPr="00EE6798">
          <w:rPr>
            <w:rStyle w:val="Hyperlink"/>
          </w:rPr>
          <w:noBreakHyphen/>
          <w:t>14 reporting year</w:t>
        </w:r>
        <w:r w:rsidR="006B0908">
          <w:rPr>
            <w:webHidden/>
          </w:rPr>
          <w:tab/>
        </w:r>
        <w:r w:rsidR="006B0908">
          <w:rPr>
            <w:webHidden/>
          </w:rPr>
          <w:fldChar w:fldCharType="begin"/>
        </w:r>
        <w:r w:rsidR="006B0908">
          <w:rPr>
            <w:webHidden/>
          </w:rPr>
          <w:instrText xml:space="preserve"> PAGEREF _Toc379186553 \h </w:instrText>
        </w:r>
        <w:r w:rsidR="006B0908">
          <w:rPr>
            <w:webHidden/>
          </w:rPr>
        </w:r>
        <w:r w:rsidR="006B0908">
          <w:rPr>
            <w:webHidden/>
          </w:rPr>
          <w:fldChar w:fldCharType="separate"/>
        </w:r>
        <w:r>
          <w:rPr>
            <w:webHidden/>
          </w:rPr>
          <w:t>1</w:t>
        </w:r>
        <w:r w:rsidR="006B0908">
          <w:rPr>
            <w:webHidden/>
          </w:rPr>
          <w:fldChar w:fldCharType="end"/>
        </w:r>
      </w:hyperlink>
    </w:p>
    <w:p w:rsidR="006B0908" w:rsidRDefault="0081639A">
      <w:pPr>
        <w:pStyle w:val="TOC1"/>
        <w:rPr>
          <w:rFonts w:asciiTheme="minorHAnsi" w:eastAsiaTheme="minorEastAsia" w:hAnsiTheme="minorHAnsi" w:cstheme="minorBidi"/>
          <w:color w:val="auto"/>
          <w:sz w:val="22"/>
          <w:szCs w:val="22"/>
        </w:rPr>
      </w:pPr>
      <w:hyperlink w:anchor="_Toc379186554" w:history="1">
        <w:r w:rsidR="006B0908" w:rsidRPr="00EE6798">
          <w:rPr>
            <w:rStyle w:val="Hyperlink"/>
          </w:rPr>
          <w:t>2013</w:t>
        </w:r>
        <w:r w:rsidR="006B0908" w:rsidRPr="00EE6798">
          <w:rPr>
            <w:rStyle w:val="Hyperlink"/>
          </w:rPr>
          <w:noBreakHyphen/>
          <w:t>14 key financial publication dates for the State of Victoria</w:t>
        </w:r>
        <w:r w:rsidR="006B0908">
          <w:rPr>
            <w:webHidden/>
          </w:rPr>
          <w:tab/>
        </w:r>
        <w:r w:rsidR="006B0908">
          <w:rPr>
            <w:webHidden/>
          </w:rPr>
          <w:fldChar w:fldCharType="begin"/>
        </w:r>
        <w:r w:rsidR="006B0908">
          <w:rPr>
            <w:webHidden/>
          </w:rPr>
          <w:instrText xml:space="preserve"> PAGEREF _Toc379186554 \h </w:instrText>
        </w:r>
        <w:r w:rsidR="006B0908">
          <w:rPr>
            <w:webHidden/>
          </w:rPr>
        </w:r>
        <w:r w:rsidR="006B0908">
          <w:rPr>
            <w:webHidden/>
          </w:rPr>
          <w:fldChar w:fldCharType="separate"/>
        </w:r>
        <w:r>
          <w:rPr>
            <w:webHidden/>
          </w:rPr>
          <w:t>5</w:t>
        </w:r>
        <w:r w:rsidR="006B0908">
          <w:rPr>
            <w:webHidden/>
          </w:rPr>
          <w:fldChar w:fldCharType="end"/>
        </w:r>
      </w:hyperlink>
    </w:p>
    <w:p w:rsidR="006B0908" w:rsidRDefault="0081639A">
      <w:pPr>
        <w:pStyle w:val="TOC1"/>
        <w:rPr>
          <w:rFonts w:asciiTheme="minorHAnsi" w:eastAsiaTheme="minorEastAsia" w:hAnsiTheme="minorHAnsi" w:cstheme="minorBidi"/>
          <w:color w:val="auto"/>
          <w:sz w:val="22"/>
          <w:szCs w:val="22"/>
        </w:rPr>
      </w:pPr>
      <w:hyperlink w:anchor="_Toc379186555" w:history="1">
        <w:r w:rsidR="006B0908" w:rsidRPr="00EE6798">
          <w:rPr>
            <w:rStyle w:val="Hyperlink"/>
          </w:rPr>
          <w:t>Key AASB Standards issued but not effective for 2013</w:t>
        </w:r>
        <w:r w:rsidR="006B0908" w:rsidRPr="00EE6798">
          <w:rPr>
            <w:rStyle w:val="Hyperlink"/>
          </w:rPr>
          <w:noBreakHyphen/>
          <w:t>14</w:t>
        </w:r>
        <w:r w:rsidR="006B0908">
          <w:rPr>
            <w:webHidden/>
          </w:rPr>
          <w:tab/>
        </w:r>
        <w:r w:rsidR="006B0908">
          <w:rPr>
            <w:webHidden/>
          </w:rPr>
          <w:fldChar w:fldCharType="begin"/>
        </w:r>
        <w:r w:rsidR="006B0908">
          <w:rPr>
            <w:webHidden/>
          </w:rPr>
          <w:instrText xml:space="preserve"> PAGEREF _Toc379186555 \h </w:instrText>
        </w:r>
        <w:r w:rsidR="006B0908">
          <w:rPr>
            <w:webHidden/>
          </w:rPr>
        </w:r>
        <w:r w:rsidR="006B0908">
          <w:rPr>
            <w:webHidden/>
          </w:rPr>
          <w:fldChar w:fldCharType="separate"/>
        </w:r>
        <w:r>
          <w:rPr>
            <w:webHidden/>
          </w:rPr>
          <w:t>6</w:t>
        </w:r>
        <w:r w:rsidR="006B0908">
          <w:rPr>
            <w:webHidden/>
          </w:rPr>
          <w:fldChar w:fldCharType="end"/>
        </w:r>
      </w:hyperlink>
    </w:p>
    <w:p w:rsidR="006B0908" w:rsidRDefault="0081639A">
      <w:pPr>
        <w:pStyle w:val="TOC1"/>
        <w:rPr>
          <w:rFonts w:asciiTheme="minorHAnsi" w:eastAsiaTheme="minorEastAsia" w:hAnsiTheme="minorHAnsi" w:cstheme="minorBidi"/>
          <w:color w:val="auto"/>
          <w:sz w:val="22"/>
          <w:szCs w:val="22"/>
        </w:rPr>
      </w:pPr>
      <w:hyperlink w:anchor="_Toc379186556" w:history="1">
        <w:r w:rsidR="006B0908" w:rsidRPr="00EE6798">
          <w:rPr>
            <w:rStyle w:val="Hyperlink"/>
          </w:rPr>
          <w:t>Looking forward</w:t>
        </w:r>
        <w:r w:rsidR="006B0908">
          <w:rPr>
            <w:webHidden/>
          </w:rPr>
          <w:tab/>
        </w:r>
        <w:r w:rsidR="006B0908">
          <w:rPr>
            <w:webHidden/>
          </w:rPr>
          <w:fldChar w:fldCharType="begin"/>
        </w:r>
        <w:r w:rsidR="006B0908">
          <w:rPr>
            <w:webHidden/>
          </w:rPr>
          <w:instrText xml:space="preserve"> PAGEREF _Toc379186556 \h </w:instrText>
        </w:r>
        <w:r w:rsidR="006B0908">
          <w:rPr>
            <w:webHidden/>
          </w:rPr>
        </w:r>
        <w:r w:rsidR="006B0908">
          <w:rPr>
            <w:webHidden/>
          </w:rPr>
          <w:fldChar w:fldCharType="separate"/>
        </w:r>
        <w:r>
          <w:rPr>
            <w:webHidden/>
          </w:rPr>
          <w:t>9</w:t>
        </w:r>
        <w:r w:rsidR="006B0908">
          <w:rPr>
            <w:webHidden/>
          </w:rPr>
          <w:fldChar w:fldCharType="end"/>
        </w:r>
      </w:hyperlink>
    </w:p>
    <w:p w:rsidR="006B0908" w:rsidRDefault="0081639A">
      <w:pPr>
        <w:pStyle w:val="TOC1"/>
        <w:rPr>
          <w:rFonts w:asciiTheme="minorHAnsi" w:eastAsiaTheme="minorEastAsia" w:hAnsiTheme="minorHAnsi" w:cstheme="minorBidi"/>
          <w:color w:val="auto"/>
          <w:sz w:val="22"/>
          <w:szCs w:val="22"/>
        </w:rPr>
      </w:pPr>
      <w:hyperlink w:anchor="_Toc379186557" w:history="1">
        <w:r w:rsidR="006B0908" w:rsidRPr="00EE6798">
          <w:rPr>
            <w:rStyle w:val="Hyperlink"/>
          </w:rPr>
          <w:t>How to contact us</w:t>
        </w:r>
        <w:r w:rsidR="006B0908">
          <w:rPr>
            <w:webHidden/>
          </w:rPr>
          <w:tab/>
        </w:r>
        <w:r w:rsidR="006B0908">
          <w:rPr>
            <w:webHidden/>
          </w:rPr>
          <w:fldChar w:fldCharType="begin"/>
        </w:r>
        <w:r w:rsidR="006B0908">
          <w:rPr>
            <w:webHidden/>
          </w:rPr>
          <w:instrText xml:space="preserve"> PAGEREF _Toc379186557 \h </w:instrText>
        </w:r>
        <w:r w:rsidR="006B0908">
          <w:rPr>
            <w:webHidden/>
          </w:rPr>
        </w:r>
        <w:r w:rsidR="006B0908">
          <w:rPr>
            <w:webHidden/>
          </w:rPr>
          <w:fldChar w:fldCharType="separate"/>
        </w:r>
        <w:r>
          <w:rPr>
            <w:webHidden/>
          </w:rPr>
          <w:t>10</w:t>
        </w:r>
        <w:r w:rsidR="006B0908">
          <w:rPr>
            <w:webHidden/>
          </w:rPr>
          <w:fldChar w:fldCharType="end"/>
        </w:r>
      </w:hyperlink>
    </w:p>
    <w:p w:rsidR="002620A4" w:rsidRDefault="002620A4" w:rsidP="00312DD3">
      <w:pPr>
        <w:pStyle w:val="TOC1"/>
      </w:pPr>
      <w:r w:rsidRPr="00B90E28">
        <w:fldChar w:fldCharType="end"/>
      </w:r>
    </w:p>
    <w:p w:rsidR="002620A4" w:rsidRDefault="002620A4" w:rsidP="002620A4">
      <w:pPr>
        <w:pStyle w:val="NewsletterHeading1"/>
      </w:pPr>
      <w:r>
        <w:br w:type="column"/>
      </w:r>
      <w:bookmarkStart w:id="0" w:name="_Toc379186552"/>
      <w:r w:rsidRPr="005C2AD7">
        <w:lastRenderedPageBreak/>
        <w:t>Overview</w:t>
      </w:r>
      <w:bookmarkEnd w:id="0"/>
    </w:p>
    <w:p w:rsidR="009B43F2" w:rsidRDefault="007B67BE" w:rsidP="009B43F2">
      <w:pPr>
        <w:pStyle w:val="NewsletterNormal"/>
      </w:pPr>
      <w:r>
        <w:t>F</w:t>
      </w:r>
      <w:r w:rsidR="009B43F2">
        <w:t xml:space="preserve">urther information is provided </w:t>
      </w:r>
      <w:r>
        <w:t>in this edition of the newsletter</w:t>
      </w:r>
      <w:r w:rsidR="003E670C">
        <w:t>,</w:t>
      </w:r>
      <w:r>
        <w:t xml:space="preserve"> </w:t>
      </w:r>
      <w:r w:rsidR="009B43F2">
        <w:t xml:space="preserve">regarding the key implementation considerations for </w:t>
      </w:r>
      <w:r w:rsidR="008207D7">
        <w:t>AASB </w:t>
      </w:r>
      <w:r w:rsidR="009B43F2">
        <w:t xml:space="preserve">13 </w:t>
      </w:r>
      <w:r w:rsidR="009B43F2" w:rsidRPr="00F44065">
        <w:rPr>
          <w:i/>
        </w:rPr>
        <w:t>Fair Value Measurement</w:t>
      </w:r>
      <w:r w:rsidR="009B43F2">
        <w:t xml:space="preserve"> and the </w:t>
      </w:r>
      <w:r w:rsidR="00501250">
        <w:t>potential changes to the measurement requirements</w:t>
      </w:r>
      <w:r w:rsidR="009B43F2">
        <w:t xml:space="preserve"> for annual leave under the revised </w:t>
      </w:r>
      <w:r w:rsidR="008207D7">
        <w:t>AASB </w:t>
      </w:r>
      <w:r w:rsidR="009B43F2">
        <w:t>1</w:t>
      </w:r>
      <w:r w:rsidR="00EE5B44">
        <w:t>1</w:t>
      </w:r>
      <w:r w:rsidR="009B43F2">
        <w:t xml:space="preserve">9 </w:t>
      </w:r>
      <w:r w:rsidR="009B43F2" w:rsidRPr="00F44065">
        <w:rPr>
          <w:i/>
        </w:rPr>
        <w:t>Employee Benefits</w:t>
      </w:r>
      <w:r w:rsidR="009B43F2">
        <w:rPr>
          <w:i/>
        </w:rPr>
        <w:t>.</w:t>
      </w:r>
      <w:r w:rsidR="009B43F2">
        <w:t xml:space="preserve"> </w:t>
      </w:r>
    </w:p>
    <w:p w:rsidR="009B43F2" w:rsidRDefault="007B67BE" w:rsidP="009B43F2">
      <w:pPr>
        <w:pStyle w:val="NewsletterNormal"/>
      </w:pPr>
      <w:r>
        <w:t>P</w:t>
      </w:r>
      <w:r w:rsidR="009B43F2">
        <w:t>roposed revisions to Financial Reporting Directions (FRDs) for 2013</w:t>
      </w:r>
      <w:r w:rsidR="008207D7">
        <w:noBreakHyphen/>
      </w:r>
      <w:r w:rsidR="009B43F2">
        <w:t xml:space="preserve">14 reporting period are </w:t>
      </w:r>
      <w:r w:rsidR="00EB0BC3">
        <w:t xml:space="preserve">further </w:t>
      </w:r>
      <w:r w:rsidR="009B43F2">
        <w:t xml:space="preserve">outlined, together with the key changes required in </w:t>
      </w:r>
      <w:r w:rsidR="008207D7">
        <w:t>FRD </w:t>
      </w:r>
      <w:r w:rsidR="009B43F2">
        <w:t xml:space="preserve">11A </w:t>
      </w:r>
      <w:r w:rsidR="001268E0" w:rsidRPr="001268E0">
        <w:rPr>
          <w:i/>
        </w:rPr>
        <w:t>Disclosure of E</w:t>
      </w:r>
      <w:r w:rsidR="00DE2DF7" w:rsidRPr="001268E0">
        <w:rPr>
          <w:i/>
        </w:rPr>
        <w:t>x</w:t>
      </w:r>
      <w:r w:rsidR="008207D7" w:rsidRPr="001268E0">
        <w:rPr>
          <w:i/>
        </w:rPr>
        <w:noBreakHyphen/>
      </w:r>
      <w:r w:rsidR="009B43F2" w:rsidRPr="001268E0">
        <w:rPr>
          <w:i/>
        </w:rPr>
        <w:t>gratia Expenses</w:t>
      </w:r>
      <w:r w:rsidR="009B43F2">
        <w:t xml:space="preserve"> and </w:t>
      </w:r>
      <w:r w:rsidR="008207D7">
        <w:t>FRD </w:t>
      </w:r>
      <w:r w:rsidR="009B43F2">
        <w:t xml:space="preserve">22D </w:t>
      </w:r>
      <w:r w:rsidR="009B43F2" w:rsidRPr="00F44065">
        <w:rPr>
          <w:i/>
        </w:rPr>
        <w:t xml:space="preserve">Standard Disclosures for the </w:t>
      </w:r>
      <w:bookmarkStart w:id="1" w:name="_GoBack"/>
      <w:bookmarkEnd w:id="1"/>
      <w:r w:rsidR="009B43F2" w:rsidRPr="00F44065">
        <w:rPr>
          <w:i/>
        </w:rPr>
        <w:t>Report of Operations</w:t>
      </w:r>
      <w:r w:rsidR="009B43F2">
        <w:t>. Any related disclosure changes will be reflected in the updated 2013</w:t>
      </w:r>
      <w:r w:rsidR="008207D7">
        <w:noBreakHyphen/>
      </w:r>
      <w:r w:rsidR="009B43F2">
        <w:t>14 Model Report for Victorian Government Departments, anticipated to be issued by mid</w:t>
      </w:r>
      <w:r w:rsidR="008207D7">
        <w:noBreakHyphen/>
      </w:r>
      <w:r w:rsidR="001C04AD">
        <w:t>April </w:t>
      </w:r>
      <w:r w:rsidR="009B43F2">
        <w:t xml:space="preserve">2014. </w:t>
      </w:r>
    </w:p>
    <w:p w:rsidR="00542B5C" w:rsidRDefault="009B43F2" w:rsidP="002620A4">
      <w:pPr>
        <w:pStyle w:val="NewsletterNormal"/>
      </w:pPr>
      <w:r>
        <w:t xml:space="preserve">Highlights of the requirements in the ‘package of five’ </w:t>
      </w:r>
      <w:r w:rsidRPr="005C2AD7">
        <w:t xml:space="preserve">new accounting standards </w:t>
      </w:r>
      <w:r>
        <w:t xml:space="preserve">that </w:t>
      </w:r>
      <w:r w:rsidR="00EB0BC3">
        <w:t xml:space="preserve">will </w:t>
      </w:r>
      <w:r>
        <w:t>come into effect for most public sector entities from 2014</w:t>
      </w:r>
      <w:r w:rsidR="008207D7">
        <w:noBreakHyphen/>
      </w:r>
      <w:r>
        <w:t xml:space="preserve">15, as well as discussion around the ongoing projects for revenue recognition, leases and service concession arrangements are </w:t>
      </w:r>
      <w:r w:rsidR="00EB0BC3">
        <w:t xml:space="preserve">also </w:t>
      </w:r>
      <w:r>
        <w:t>covered.</w:t>
      </w:r>
    </w:p>
    <w:p w:rsidR="00B3784C" w:rsidRDefault="00542B5C" w:rsidP="00542B5C">
      <w:pPr>
        <w:pStyle w:val="NewsletterHeading1"/>
      </w:pPr>
      <w:bookmarkStart w:id="2" w:name="_Toc365553149"/>
      <w:bookmarkStart w:id="3" w:name="_Toc379186553"/>
      <w:r w:rsidRPr="00792E2A">
        <w:t>201</w:t>
      </w:r>
      <w:r>
        <w:t>3</w:t>
      </w:r>
      <w:r w:rsidR="008207D7">
        <w:noBreakHyphen/>
      </w:r>
      <w:r w:rsidRPr="00792E2A">
        <w:t>1</w:t>
      </w:r>
      <w:r>
        <w:t>4</w:t>
      </w:r>
      <w:r w:rsidRPr="00792E2A">
        <w:t xml:space="preserve"> reporting year</w:t>
      </w:r>
      <w:bookmarkEnd w:id="2"/>
      <w:bookmarkEnd w:id="3"/>
    </w:p>
    <w:p w:rsidR="00F00724" w:rsidRPr="00F00724" w:rsidRDefault="008207D7" w:rsidP="00F00724">
      <w:pPr>
        <w:pStyle w:val="NewsletterHeading2"/>
        <w:rPr>
          <w:rFonts w:asciiTheme="minorHAnsi" w:eastAsiaTheme="minorEastAsia" w:hAnsiTheme="minorHAnsi" w:cstheme="minorBidi"/>
          <w:color w:val="auto"/>
          <w:sz w:val="20"/>
          <w:szCs w:val="22"/>
        </w:rPr>
      </w:pPr>
      <w:r>
        <w:t>AASB </w:t>
      </w:r>
      <w:r w:rsidR="00266D90" w:rsidRPr="008207D7">
        <w:t xml:space="preserve">13 </w:t>
      </w:r>
      <w:r w:rsidR="00A02A21" w:rsidRPr="00F00724">
        <w:rPr>
          <w:i/>
        </w:rPr>
        <w:t xml:space="preserve">Fair Value </w:t>
      </w:r>
      <w:proofErr w:type="gramStart"/>
      <w:r w:rsidR="00A02A21" w:rsidRPr="00F00724">
        <w:rPr>
          <w:i/>
        </w:rPr>
        <w:t>M</w:t>
      </w:r>
      <w:r w:rsidR="00266D90" w:rsidRPr="00F00724">
        <w:rPr>
          <w:i/>
        </w:rPr>
        <w:t>easurement</w:t>
      </w:r>
      <w:proofErr w:type="gramEnd"/>
      <w:r w:rsidR="000E64D6" w:rsidRPr="006C4F46">
        <w:t xml:space="preserve"> </w:t>
      </w:r>
    </w:p>
    <w:p w:rsidR="00A97E55" w:rsidRPr="00EE5B44" w:rsidRDefault="00EE5B44" w:rsidP="00542B5C">
      <w:pPr>
        <w:pStyle w:val="NewsletterBullet1"/>
      </w:pPr>
      <w:r w:rsidRPr="006C4F46">
        <w:rPr>
          <w:i/>
        </w:rPr>
        <w:t>Unchanged principles for fair value</w:t>
      </w:r>
      <w:r w:rsidRPr="006C4F46">
        <w:t xml:space="preserve">: </w:t>
      </w:r>
      <w:r w:rsidR="008207D7">
        <w:t>AASB </w:t>
      </w:r>
      <w:r w:rsidRPr="006C4F46">
        <w:t>13 provides a single source of guidance for measuring the fair value of assets and liabilities. Despite wording differences, the underlying principles related to the new definition of fair value remain unchanged. The key</w:t>
      </w:r>
      <w:r w:rsidR="003D5458">
        <w:t xml:space="preserve"> considerations required in </w:t>
      </w:r>
      <w:r w:rsidRPr="006C4F46">
        <w:t>determining fair value include:</w:t>
      </w:r>
    </w:p>
    <w:p w:rsidR="00A97E55" w:rsidRDefault="00A97E55" w:rsidP="00A97E55">
      <w:pPr>
        <w:pStyle w:val="NewsletterBullet2"/>
      </w:pPr>
      <w:r>
        <w:t>the particular asset or liability that is the subject of the measurement (consist</w:t>
      </w:r>
      <w:r w:rsidR="00AD2270">
        <w:t>ently with its unit of account);</w:t>
      </w:r>
    </w:p>
    <w:p w:rsidR="00A97E55" w:rsidRDefault="00A97E55" w:rsidP="00A97E55">
      <w:pPr>
        <w:pStyle w:val="NewsletterBullet2"/>
      </w:pPr>
      <w:r>
        <w:t>for a non</w:t>
      </w:r>
      <w:r w:rsidR="008207D7">
        <w:noBreakHyphen/>
      </w:r>
      <w:r>
        <w:t>financial asset, the valuation premise that is appropriate for the measurement (consistently</w:t>
      </w:r>
      <w:r w:rsidR="00AD2270">
        <w:t xml:space="preserve"> with its highest and best use);</w:t>
      </w:r>
    </w:p>
    <w:p w:rsidR="00A97E55" w:rsidRDefault="00A97E55" w:rsidP="00A97E55">
      <w:pPr>
        <w:pStyle w:val="NewsletterBullet2"/>
      </w:pPr>
      <w:r>
        <w:t xml:space="preserve">the principal (or most advantageous) market for the asset or </w:t>
      </w:r>
      <w:r w:rsidR="00AD2270">
        <w:t>liability; and</w:t>
      </w:r>
    </w:p>
    <w:p w:rsidR="00A97E55" w:rsidRDefault="00A97E55" w:rsidP="006C4F46">
      <w:pPr>
        <w:pStyle w:val="NewsletterBullet2"/>
      </w:pPr>
      <w:proofErr w:type="gramStart"/>
      <w:r>
        <w:t>the</w:t>
      </w:r>
      <w:proofErr w:type="gramEnd"/>
      <w:r>
        <w:t xml:space="preserve"> valuation technique(s) appropriate for the measurement, considering the availability of data with which to develop inputs that represent the assumptions that market participants would use when pricing the asset or liability and the level of the fair value hierarchy within which the inputs are categorised.</w:t>
      </w:r>
    </w:p>
    <w:p w:rsidR="00CC60EC" w:rsidRDefault="00BE19F8">
      <w:pPr>
        <w:pStyle w:val="NewsletterBullet1"/>
      </w:pPr>
      <w:r w:rsidRPr="00F44065">
        <w:rPr>
          <w:i/>
        </w:rPr>
        <w:t xml:space="preserve">Considering the highest and best use </w:t>
      </w:r>
      <w:r>
        <w:t>(HBU)</w:t>
      </w:r>
      <w:r w:rsidRPr="00F44065">
        <w:rPr>
          <w:i/>
        </w:rPr>
        <w:t xml:space="preserve"> for non</w:t>
      </w:r>
      <w:r w:rsidR="008207D7">
        <w:rPr>
          <w:i/>
        </w:rPr>
        <w:noBreakHyphen/>
      </w:r>
      <w:r w:rsidRPr="00F44065">
        <w:rPr>
          <w:i/>
        </w:rPr>
        <w:t>financial physical assets</w:t>
      </w:r>
      <w:r>
        <w:t xml:space="preserve">: </w:t>
      </w:r>
      <w:r w:rsidR="008207D7">
        <w:t>AASB </w:t>
      </w:r>
      <w:r>
        <w:t xml:space="preserve">13 explicitly requires consideration of HBU in fair value measurement. DTF is currently </w:t>
      </w:r>
      <w:r w:rsidR="003D5458">
        <w:t>work</w:t>
      </w:r>
      <w:r>
        <w:t xml:space="preserve">ing with </w:t>
      </w:r>
      <w:proofErr w:type="spellStart"/>
      <w:r>
        <w:t>Valuer</w:t>
      </w:r>
      <w:proofErr w:type="spellEnd"/>
      <w:r w:rsidR="008207D7">
        <w:noBreakHyphen/>
      </w:r>
      <w:r>
        <w:t xml:space="preserve">General Victoria and </w:t>
      </w:r>
      <w:r w:rsidR="003D5458">
        <w:t xml:space="preserve">the </w:t>
      </w:r>
      <w:r>
        <w:t>Victoria</w:t>
      </w:r>
      <w:r w:rsidR="009F730E">
        <w:t>n</w:t>
      </w:r>
      <w:r>
        <w:t xml:space="preserve"> Auditor</w:t>
      </w:r>
      <w:r w:rsidR="008207D7">
        <w:noBreakHyphen/>
      </w:r>
      <w:r>
        <w:t>General</w:t>
      </w:r>
      <w:r w:rsidR="009F730E">
        <w:t>’s</w:t>
      </w:r>
      <w:r>
        <w:t xml:space="preserve"> Office (VAGO) to </w:t>
      </w:r>
      <w:r w:rsidR="003D5458">
        <w:t xml:space="preserve">develop and agree </w:t>
      </w:r>
      <w:r>
        <w:t xml:space="preserve">on the application of this requirement. DTF will further advise entities on the finalised position once </w:t>
      </w:r>
      <w:r w:rsidR="008907AC">
        <w:t>available</w:t>
      </w:r>
      <w:r>
        <w:t xml:space="preserve">. The agreed outcomes with VAGO will form the basis of DTF’s revision to </w:t>
      </w:r>
      <w:r w:rsidR="008207D7">
        <w:t>FRD </w:t>
      </w:r>
      <w:r>
        <w:t xml:space="preserve">103D </w:t>
      </w:r>
      <w:r w:rsidRPr="00F44065">
        <w:rPr>
          <w:i/>
        </w:rPr>
        <w:t>Non</w:t>
      </w:r>
      <w:r w:rsidR="008207D7">
        <w:rPr>
          <w:i/>
        </w:rPr>
        <w:noBreakHyphen/>
      </w:r>
      <w:r w:rsidRPr="00F44065">
        <w:rPr>
          <w:i/>
        </w:rPr>
        <w:t>financial physical assets</w:t>
      </w:r>
      <w:r>
        <w:t>.</w:t>
      </w:r>
    </w:p>
    <w:p w:rsidR="009B0855" w:rsidRDefault="008207D7">
      <w:pPr>
        <w:pStyle w:val="NewsletterBullet1"/>
      </w:pPr>
      <w:r>
        <w:rPr>
          <w:i/>
        </w:rPr>
        <w:br w:type="column"/>
      </w:r>
      <w:r>
        <w:rPr>
          <w:i/>
        </w:rPr>
        <w:lastRenderedPageBreak/>
        <w:br w:type="column"/>
      </w:r>
      <w:r w:rsidR="00E032D1" w:rsidRPr="006C4F46">
        <w:rPr>
          <w:i/>
        </w:rPr>
        <w:lastRenderedPageBreak/>
        <w:t>Additional disclosures</w:t>
      </w:r>
      <w:r w:rsidR="00BF13FD">
        <w:rPr>
          <w:i/>
        </w:rPr>
        <w:t xml:space="preserve"> on fair value</w:t>
      </w:r>
      <w:r w:rsidR="00E032D1">
        <w:t>:</w:t>
      </w:r>
      <w:r w:rsidR="001574D4">
        <w:t xml:space="preserve"> </w:t>
      </w:r>
      <w:r w:rsidR="009B0855">
        <w:t xml:space="preserve">In light of </w:t>
      </w:r>
      <w:r>
        <w:t>AASB </w:t>
      </w:r>
      <w:r w:rsidR="009B0855">
        <w:t xml:space="preserve">13, the asset classes that </w:t>
      </w:r>
      <w:r w:rsidR="004F4E62">
        <w:t>are most likely to be affected</w:t>
      </w:r>
      <w:r w:rsidR="009B0855">
        <w:t xml:space="preserve"> includ</w:t>
      </w:r>
      <w:r w:rsidR="004F4E62">
        <w:t>e</w:t>
      </w:r>
      <w:r w:rsidR="009B0855">
        <w:t>:</w:t>
      </w:r>
    </w:p>
    <w:p w:rsidR="009B0855" w:rsidRDefault="008207D7" w:rsidP="006C4F46">
      <w:pPr>
        <w:pStyle w:val="NewsletterBullet2"/>
      </w:pPr>
      <w:r>
        <w:t>non</w:t>
      </w:r>
      <w:r>
        <w:noBreakHyphen/>
      </w:r>
      <w:r w:rsidR="009B0855">
        <w:t>financial physical assets held for sale;</w:t>
      </w:r>
    </w:p>
    <w:p w:rsidR="009B0855" w:rsidRDefault="008207D7" w:rsidP="006C4F46">
      <w:pPr>
        <w:pStyle w:val="NewsletterBullet2"/>
      </w:pPr>
      <w:r>
        <w:t>property</w:t>
      </w:r>
      <w:r w:rsidR="009B0855">
        <w:t>, plant and equipment;</w:t>
      </w:r>
    </w:p>
    <w:p w:rsidR="009B0855" w:rsidRDefault="008207D7" w:rsidP="006C4F46">
      <w:pPr>
        <w:pStyle w:val="NewsletterBullet2"/>
      </w:pPr>
      <w:r>
        <w:t xml:space="preserve">biological </w:t>
      </w:r>
      <w:r w:rsidR="009B0855">
        <w:t>assets;</w:t>
      </w:r>
    </w:p>
    <w:p w:rsidR="009B0855" w:rsidRDefault="008207D7" w:rsidP="006C4F46">
      <w:pPr>
        <w:pStyle w:val="NewsletterBullet2"/>
      </w:pPr>
      <w:r>
        <w:t xml:space="preserve">investment </w:t>
      </w:r>
      <w:r w:rsidR="009B0855">
        <w:t>properties;</w:t>
      </w:r>
      <w:r w:rsidR="00386778">
        <w:t xml:space="preserve"> and</w:t>
      </w:r>
    </w:p>
    <w:p w:rsidR="001B3819" w:rsidRDefault="008207D7" w:rsidP="006C4F46">
      <w:pPr>
        <w:pStyle w:val="NewsletterBullet2"/>
      </w:pPr>
      <w:proofErr w:type="gramStart"/>
      <w:r>
        <w:t>financial</w:t>
      </w:r>
      <w:proofErr w:type="gramEnd"/>
      <w:r>
        <w:t xml:space="preserve"> </w:t>
      </w:r>
      <w:r w:rsidR="009B0855">
        <w:t>instruments</w:t>
      </w:r>
      <w:r w:rsidR="00386778">
        <w:t>.</w:t>
      </w:r>
    </w:p>
    <w:p w:rsidR="001B3819" w:rsidRDefault="001B3819" w:rsidP="009414FE">
      <w:pPr>
        <w:pStyle w:val="NewsletterNormal"/>
      </w:pPr>
      <w:r>
        <w:t xml:space="preserve">More details on the guidance to the fair value disclosure requirements under </w:t>
      </w:r>
      <w:r w:rsidR="008207D7">
        <w:t>AASB </w:t>
      </w:r>
      <w:r>
        <w:t>13 will be included in the 2013</w:t>
      </w:r>
      <w:r w:rsidR="008207D7">
        <w:noBreakHyphen/>
      </w:r>
      <w:r>
        <w:t>14 Model Report for Victorian Government Departments.</w:t>
      </w:r>
    </w:p>
    <w:p w:rsidR="005C2AD7" w:rsidRDefault="001B3819" w:rsidP="009414FE">
      <w:pPr>
        <w:pStyle w:val="NewsletterNormal"/>
      </w:pPr>
      <w:r>
        <w:t xml:space="preserve">Departments and entities are strongly </w:t>
      </w:r>
      <w:r w:rsidR="00DC753A">
        <w:t>encourag</w:t>
      </w:r>
      <w:r>
        <w:t xml:space="preserve">ed to liaise with </w:t>
      </w:r>
      <w:proofErr w:type="spellStart"/>
      <w:r w:rsidR="004F4E62">
        <w:t>v</w:t>
      </w:r>
      <w:r>
        <w:t>aluer</w:t>
      </w:r>
      <w:r w:rsidR="004F4E62">
        <w:t>s</w:t>
      </w:r>
      <w:proofErr w:type="spellEnd"/>
      <w:r>
        <w:t xml:space="preserve"> as early as practica</w:t>
      </w:r>
      <w:r w:rsidR="00EF7FF5">
        <w:t>ble</w:t>
      </w:r>
      <w:r>
        <w:t xml:space="preserve"> to collect </w:t>
      </w:r>
      <w:r w:rsidR="00DC753A">
        <w:t xml:space="preserve">information and </w:t>
      </w:r>
      <w:r>
        <w:t>input</w:t>
      </w:r>
      <w:r w:rsidR="004A4DD2">
        <w:t>s</w:t>
      </w:r>
      <w:r>
        <w:t xml:space="preserve"> required for </w:t>
      </w:r>
      <w:r w:rsidR="00FB7DFC">
        <w:t>the implementation</w:t>
      </w:r>
      <w:r>
        <w:t xml:space="preserve"> of </w:t>
      </w:r>
      <w:r w:rsidR="008207D7">
        <w:t>AASB </w:t>
      </w:r>
      <w:r>
        <w:t>13.</w:t>
      </w:r>
    </w:p>
    <w:p w:rsidR="008D2903" w:rsidRDefault="008207D7" w:rsidP="006C4F46">
      <w:pPr>
        <w:pStyle w:val="NewsletterHeading2"/>
      </w:pPr>
      <w:r>
        <w:t>AASB </w:t>
      </w:r>
      <w:r w:rsidR="00B00264" w:rsidRPr="008207D7">
        <w:t>119</w:t>
      </w:r>
      <w:r w:rsidR="00B00264">
        <w:t xml:space="preserve"> </w:t>
      </w:r>
      <w:r w:rsidR="00B00264" w:rsidRPr="006C4F46">
        <w:rPr>
          <w:rFonts w:eastAsiaTheme="minorEastAsia"/>
          <w:i/>
        </w:rPr>
        <w:t>Employee</w:t>
      </w:r>
      <w:r w:rsidR="00B00264" w:rsidRPr="006C4F46">
        <w:rPr>
          <w:i/>
        </w:rPr>
        <w:t xml:space="preserve"> Benefits</w:t>
      </w:r>
      <w:r w:rsidR="00B00264">
        <w:t xml:space="preserve"> </w:t>
      </w:r>
      <w:r w:rsidR="008D2903" w:rsidRPr="008207D7">
        <w:t>(Sept 2011,</w:t>
      </w:r>
      <w:r w:rsidR="008D2903" w:rsidRPr="00FA0574">
        <w:t xml:space="preserve"> </w:t>
      </w:r>
      <w:r w:rsidR="00B00264" w:rsidRPr="00B76845">
        <w:t>as amended)</w:t>
      </w:r>
      <w:r w:rsidR="008D2903" w:rsidRPr="008D2903">
        <w:t xml:space="preserve"> </w:t>
      </w:r>
    </w:p>
    <w:p w:rsidR="005C2AD7" w:rsidRDefault="005C2AD7" w:rsidP="008207D7">
      <w:pPr>
        <w:pStyle w:val="NewsletterNormal"/>
      </w:pPr>
      <w:r>
        <w:t>For the 2013</w:t>
      </w:r>
      <w:r w:rsidR="008207D7">
        <w:rPr>
          <w:b/>
          <w:bCs/>
        </w:rPr>
        <w:noBreakHyphen/>
      </w:r>
      <w:r>
        <w:t>14 reporting period, t</w:t>
      </w:r>
      <w:r w:rsidRPr="008D2903">
        <w:t xml:space="preserve">he </w:t>
      </w:r>
      <w:r w:rsidR="00641C44">
        <w:t xml:space="preserve">revised </w:t>
      </w:r>
      <w:r w:rsidR="008207D7" w:rsidRPr="008207D7">
        <w:t>AASB</w:t>
      </w:r>
      <w:r w:rsidR="008207D7">
        <w:rPr>
          <w:b/>
          <w:bCs/>
        </w:rPr>
        <w:t> </w:t>
      </w:r>
      <w:r w:rsidRPr="008D2903">
        <w:t>119</w:t>
      </w:r>
      <w:r>
        <w:t xml:space="preserve"> and the consequential amendments </w:t>
      </w:r>
      <w:r w:rsidR="00641C44">
        <w:t xml:space="preserve">will be applied </w:t>
      </w:r>
      <w:r>
        <w:t xml:space="preserve">for the first time.  </w:t>
      </w:r>
    </w:p>
    <w:p w:rsidR="00B94A00" w:rsidRPr="006C4F46" w:rsidRDefault="005C2AD7">
      <w:pPr>
        <w:pStyle w:val="NewsletterBullet1"/>
      </w:pPr>
      <w:r>
        <w:t xml:space="preserve">The most significant changes include the accounting </w:t>
      </w:r>
      <w:r w:rsidRPr="00CC14AB">
        <w:t>for changes in defined benefi</w:t>
      </w:r>
      <w:r w:rsidR="00AD2270">
        <w:t xml:space="preserve">t obligations and plan assets. </w:t>
      </w:r>
      <w:r w:rsidR="00FB5E09">
        <w:t>The current accounting policy in Victoria is that DTF</w:t>
      </w:r>
      <w:r w:rsidR="00FB5E09" w:rsidRPr="00CC14AB">
        <w:t xml:space="preserve"> recognises and discloses the State’s defined benefit liabilities in its financial statements</w:t>
      </w:r>
      <w:r w:rsidR="00FB5E09">
        <w:t>. As such, changes in defined benefit obligations and plan assets will have limited imp</w:t>
      </w:r>
      <w:r w:rsidR="00386778">
        <w:t xml:space="preserve">acts on departments and most </w:t>
      </w:r>
      <w:r w:rsidR="00FB5E09">
        <w:t>VPS entities.</w:t>
      </w:r>
      <w:r w:rsidR="00FB5E09">
        <w:rPr>
          <w:b/>
          <w:bCs/>
        </w:rPr>
        <w:t xml:space="preserve"> </w:t>
      </w:r>
    </w:p>
    <w:p w:rsidR="00542B5C" w:rsidRDefault="00B94A00">
      <w:pPr>
        <w:pStyle w:val="NewsletterBullet1"/>
      </w:pPr>
      <w:r w:rsidRPr="006C4F46">
        <w:rPr>
          <w:rStyle w:val="NewsletterNormalChar"/>
        </w:rPr>
        <w:t>Another</w:t>
      </w:r>
      <w:r w:rsidR="00CC14AB" w:rsidRPr="006C4F46">
        <w:rPr>
          <w:rStyle w:val="NewsletterNormalChar"/>
        </w:rPr>
        <w:t xml:space="preserve"> key change introduced by the revised </w:t>
      </w:r>
      <w:r w:rsidR="008207D7">
        <w:rPr>
          <w:rStyle w:val="NewsletterNormalChar"/>
        </w:rPr>
        <w:t>AASB </w:t>
      </w:r>
      <w:r w:rsidR="00CC14AB" w:rsidRPr="006C4F46">
        <w:rPr>
          <w:rStyle w:val="NewsletterNormalChar"/>
        </w:rPr>
        <w:t>119 that could affect VPS entities is the tightened definition of short term employee benefits.</w:t>
      </w:r>
      <w:r w:rsidR="00F0482C" w:rsidRPr="006C4F46">
        <w:rPr>
          <w:rStyle w:val="NewsletterNormalChar"/>
        </w:rPr>
        <w:t xml:space="preserve"> Consequential implications arising from this change include:</w:t>
      </w:r>
      <w:r w:rsidR="00F0482C">
        <w:rPr>
          <w:b/>
          <w:bCs/>
        </w:rPr>
        <w:t xml:space="preserve"> </w:t>
      </w:r>
    </w:p>
    <w:p w:rsidR="00F0482C" w:rsidRDefault="00AD2270">
      <w:pPr>
        <w:pStyle w:val="NewsletterBullet2"/>
      </w:pPr>
      <w:proofErr w:type="gramStart"/>
      <w:r>
        <w:t>r</w:t>
      </w:r>
      <w:r w:rsidR="00F0482C">
        <w:t>eview</w:t>
      </w:r>
      <w:proofErr w:type="gramEnd"/>
      <w:r w:rsidR="00F0482C">
        <w:t xml:space="preserve"> of </w:t>
      </w:r>
      <w:r w:rsidR="002F6CBB">
        <w:t>certain</w:t>
      </w:r>
      <w:r w:rsidR="00F0482C">
        <w:t xml:space="preserve"> employee benefits is </w:t>
      </w:r>
      <w:r w:rsidR="002057E7">
        <w:t>considered necessary</w:t>
      </w:r>
      <w:r w:rsidR="00F0482C">
        <w:t xml:space="preserve"> to ensure they will </w:t>
      </w:r>
      <w:r w:rsidR="002F6CBB">
        <w:t>remain qualified</w:t>
      </w:r>
      <w:r w:rsidR="00F0482C">
        <w:t xml:space="preserve"> as </w:t>
      </w:r>
      <w:r w:rsidR="002F6CBB">
        <w:t>short</w:t>
      </w:r>
      <w:r w:rsidR="00F0482C">
        <w:t xml:space="preserve"> </w:t>
      </w:r>
      <w:r w:rsidR="002F6CBB">
        <w:t xml:space="preserve">term employee benefits under </w:t>
      </w:r>
      <w:r w:rsidR="00F0482C">
        <w:t xml:space="preserve">the revised definition. If reclassification to </w:t>
      </w:r>
      <w:r w:rsidR="009E2561">
        <w:t>long</w:t>
      </w:r>
      <w:r w:rsidR="008207D7">
        <w:noBreakHyphen/>
      </w:r>
      <w:r w:rsidR="009E2561">
        <w:t>term employee benefits</w:t>
      </w:r>
      <w:r w:rsidR="002F6CBB" w:rsidRPr="002F6CBB">
        <w:t xml:space="preserve"> </w:t>
      </w:r>
      <w:r w:rsidR="002F6CBB">
        <w:t>is required</w:t>
      </w:r>
      <w:r w:rsidR="009E2561">
        <w:t>, it</w:t>
      </w:r>
      <w:r w:rsidR="00F0482C">
        <w:t xml:space="preserve"> would </w:t>
      </w:r>
      <w:r w:rsidR="009E2561">
        <w:t xml:space="preserve">change the </w:t>
      </w:r>
      <w:r w:rsidR="00F0482C">
        <w:t xml:space="preserve">measurement </w:t>
      </w:r>
      <w:r w:rsidR="002F6CBB">
        <w:t xml:space="preserve">basis </w:t>
      </w:r>
      <w:r w:rsidR="009E2561">
        <w:t xml:space="preserve">from </w:t>
      </w:r>
      <w:r w:rsidR="002F6CBB">
        <w:t>nominal</w:t>
      </w:r>
      <w:r w:rsidR="009E2561">
        <w:t xml:space="preserve"> to </w:t>
      </w:r>
      <w:r w:rsidR="002F6CBB">
        <w:t xml:space="preserve">a </w:t>
      </w:r>
      <w:r w:rsidR="009E2561">
        <w:t>discounted basis.</w:t>
      </w:r>
      <w:r w:rsidR="00F0482C">
        <w:t xml:space="preserve"> For example, provision for annual leave is generally not expected to be wholly settled within 12 months after the </w:t>
      </w:r>
      <w:r w:rsidR="009E2561">
        <w:t xml:space="preserve">end of the report period within which </w:t>
      </w:r>
      <w:r w:rsidR="00F0482C">
        <w:t>employee</w:t>
      </w:r>
      <w:r w:rsidR="009E2561">
        <w:t>s</w:t>
      </w:r>
      <w:r w:rsidR="00F0482C">
        <w:t xml:space="preserve"> render the related services. Theref</w:t>
      </w:r>
      <w:r w:rsidR="002F6CBB">
        <w:t>ore, provision for annual leave</w:t>
      </w:r>
      <w:r w:rsidR="00F0482C">
        <w:t xml:space="preserve"> is more likely to be </w:t>
      </w:r>
      <w:r w:rsidR="002F6CBB">
        <w:t xml:space="preserve">classified as </w:t>
      </w:r>
      <w:r w:rsidR="00F0482C">
        <w:t>long</w:t>
      </w:r>
      <w:r w:rsidR="008207D7">
        <w:noBreakHyphen/>
      </w:r>
      <w:r w:rsidR="00F0482C">
        <w:t>term</w:t>
      </w:r>
      <w:r w:rsidR="002F6CBB">
        <w:t xml:space="preserve"> employee benefits</w:t>
      </w:r>
      <w:r w:rsidR="009E2561">
        <w:t xml:space="preserve"> </w:t>
      </w:r>
      <w:r w:rsidR="008907AC">
        <w:t xml:space="preserve">and </w:t>
      </w:r>
      <w:r w:rsidR="009E2561">
        <w:t>meas</w:t>
      </w:r>
      <w:r w:rsidR="009339E7">
        <w:t>ure</w:t>
      </w:r>
      <w:r w:rsidR="008907AC">
        <w:t>d</w:t>
      </w:r>
      <w:r w:rsidR="009339E7">
        <w:t xml:space="preserve"> </w:t>
      </w:r>
      <w:r w:rsidR="009E2561">
        <w:t>at a discounted value</w:t>
      </w:r>
      <w:r w:rsidR="00A2354E">
        <w:t>;</w:t>
      </w:r>
      <w:r w:rsidR="009E2561">
        <w:t xml:space="preserve"> </w:t>
      </w:r>
    </w:p>
    <w:p w:rsidR="00B94A00" w:rsidRDefault="00AD2270">
      <w:pPr>
        <w:pStyle w:val="NewsletterBullet2"/>
      </w:pPr>
      <w:r>
        <w:t>c</w:t>
      </w:r>
      <w:r w:rsidR="009E2561">
        <w:t>hanges in comparatives where reclassification to long</w:t>
      </w:r>
      <w:r w:rsidR="008207D7">
        <w:noBreakHyphen/>
      </w:r>
      <w:r w:rsidR="009E2561">
        <w:t>term employee benefits is made</w:t>
      </w:r>
      <w:r w:rsidR="00A2354E">
        <w:t>; and</w:t>
      </w:r>
    </w:p>
    <w:p w:rsidR="005C2AD7" w:rsidRDefault="00AD2270" w:rsidP="006C4F46">
      <w:pPr>
        <w:pStyle w:val="NewsletterBullet2"/>
      </w:pPr>
      <w:proofErr w:type="gramStart"/>
      <w:r>
        <w:t>c</w:t>
      </w:r>
      <w:r w:rsidR="009339E7">
        <w:t>onsequential</w:t>
      </w:r>
      <w:proofErr w:type="gramEnd"/>
      <w:r w:rsidR="009339E7">
        <w:t xml:space="preserve"> d</w:t>
      </w:r>
      <w:r w:rsidR="00B13B6B">
        <w:t>isclos</w:t>
      </w:r>
      <w:r w:rsidR="00AA6928">
        <w:t xml:space="preserve">ure </w:t>
      </w:r>
      <w:r w:rsidR="0087125B">
        <w:t xml:space="preserve">relating to </w:t>
      </w:r>
      <w:r w:rsidR="00B13B6B">
        <w:t>change</w:t>
      </w:r>
      <w:r w:rsidR="009339E7">
        <w:t>s</w:t>
      </w:r>
      <w:r w:rsidR="00B13B6B">
        <w:t xml:space="preserve"> in accounting policy in accordance with </w:t>
      </w:r>
      <w:r w:rsidR="008207D7">
        <w:t>AASB </w:t>
      </w:r>
      <w:r w:rsidR="00B13B6B">
        <w:t>108</w:t>
      </w:r>
      <w:r w:rsidR="009C4E85">
        <w:t xml:space="preserve"> </w:t>
      </w:r>
      <w:r w:rsidR="00E80105" w:rsidRPr="006C4F46">
        <w:rPr>
          <w:i/>
        </w:rPr>
        <w:t>Accounting Policies, Changes in Accounting Estimates and Errors</w:t>
      </w:r>
      <w:r w:rsidR="00E80105">
        <w:rPr>
          <w:i/>
        </w:rPr>
        <w:t>.</w:t>
      </w:r>
    </w:p>
    <w:p w:rsidR="001C61F7" w:rsidRDefault="001C61F7">
      <w:pPr>
        <w:pStyle w:val="NewsletterNormal"/>
      </w:pPr>
    </w:p>
    <w:p w:rsidR="00E744C0" w:rsidRDefault="008207D7" w:rsidP="00202E8C">
      <w:pPr>
        <w:pStyle w:val="NewsletterHeading2"/>
      </w:pPr>
      <w:r>
        <w:br w:type="column"/>
      </w:r>
      <w:r>
        <w:lastRenderedPageBreak/>
        <w:br w:type="column"/>
      </w:r>
      <w:r w:rsidR="00E744C0">
        <w:t>Other amending standards effective for 2013-14</w:t>
      </w:r>
    </w:p>
    <w:p w:rsidR="00386778" w:rsidRDefault="00386778" w:rsidP="00202E8C">
      <w:pPr>
        <w:pStyle w:val="NewsletterHeading2"/>
      </w:pPr>
      <w:r w:rsidRPr="00386778">
        <w:rPr>
          <w:rFonts w:asciiTheme="minorHAnsi" w:eastAsiaTheme="minorEastAsia" w:hAnsiTheme="minorHAnsi" w:cstheme="minorBidi"/>
          <w:b w:val="0"/>
          <w:bCs w:val="0"/>
          <w:color w:val="auto"/>
          <w:sz w:val="20"/>
          <w:szCs w:val="22"/>
        </w:rPr>
        <w:t>Amendments to a number of other standards are expected to have immaterial impacts on most entities’ 2013</w:t>
      </w:r>
      <w:r w:rsidRPr="00386778">
        <w:rPr>
          <w:rFonts w:asciiTheme="minorHAnsi" w:eastAsiaTheme="minorEastAsia" w:hAnsiTheme="minorHAnsi" w:cstheme="minorBidi"/>
          <w:b w:val="0"/>
          <w:bCs w:val="0"/>
          <w:color w:val="auto"/>
          <w:sz w:val="20"/>
          <w:szCs w:val="22"/>
        </w:rPr>
        <w:noBreakHyphen/>
        <w:t>14 financial reporting. For a comprehensive list of all accounting standards applicable for the 2013</w:t>
      </w:r>
      <w:r w:rsidRPr="00386778">
        <w:rPr>
          <w:rFonts w:asciiTheme="minorHAnsi" w:eastAsiaTheme="minorEastAsia" w:hAnsiTheme="minorHAnsi" w:cstheme="minorBidi"/>
          <w:b w:val="0"/>
          <w:bCs w:val="0"/>
          <w:color w:val="auto"/>
          <w:sz w:val="20"/>
          <w:szCs w:val="22"/>
        </w:rPr>
        <w:noBreakHyphen/>
        <w:t xml:space="preserve">14 reporting period, please refer to the AASB’s website at </w:t>
      </w:r>
      <w:hyperlink r:id="rId9" w:history="1">
        <w:r w:rsidRPr="00386778">
          <w:rPr>
            <w:rFonts w:asciiTheme="minorHAnsi" w:eastAsiaTheme="minorEastAsia" w:hAnsiTheme="minorHAnsi" w:cstheme="minorBidi"/>
            <w:b w:val="0"/>
            <w:bCs w:val="0"/>
            <w:color w:val="auto"/>
            <w:sz w:val="20"/>
            <w:szCs w:val="22"/>
          </w:rPr>
          <w:t>www.aasb.gov.au</w:t>
        </w:r>
      </w:hyperlink>
      <w:r w:rsidRPr="00386778">
        <w:rPr>
          <w:rFonts w:asciiTheme="minorHAnsi" w:eastAsiaTheme="minorEastAsia" w:hAnsiTheme="minorHAnsi" w:cstheme="minorBidi"/>
          <w:b w:val="0"/>
          <w:bCs w:val="0"/>
          <w:color w:val="auto"/>
          <w:sz w:val="20"/>
          <w:szCs w:val="22"/>
        </w:rPr>
        <w:t>.</w:t>
      </w:r>
    </w:p>
    <w:p w:rsidR="001C61F7" w:rsidRDefault="001C61F7" w:rsidP="00202E8C">
      <w:pPr>
        <w:pStyle w:val="NewsletterHeading2"/>
      </w:pPr>
      <w:r w:rsidRPr="00823E75">
        <w:t>201</w:t>
      </w:r>
      <w:r>
        <w:t>3</w:t>
      </w:r>
      <w:r w:rsidR="008207D7">
        <w:noBreakHyphen/>
      </w:r>
      <w:r w:rsidRPr="00823E75">
        <w:t>1</w:t>
      </w:r>
      <w:r>
        <w:t>4</w:t>
      </w:r>
      <w:r w:rsidRPr="00823E75">
        <w:t xml:space="preserve"> financial reporting legislation</w:t>
      </w:r>
    </w:p>
    <w:p w:rsidR="001C61F7" w:rsidRDefault="001C61F7" w:rsidP="001C61F7">
      <w:pPr>
        <w:pStyle w:val="NewsletterNormal"/>
      </w:pPr>
      <w:r w:rsidRPr="00792E2A">
        <w:t xml:space="preserve">The </w:t>
      </w:r>
      <w:r w:rsidRPr="00792E2A">
        <w:rPr>
          <w:i/>
        </w:rPr>
        <w:t>Financial Management Act 1994</w:t>
      </w:r>
      <w:r w:rsidRPr="00823E75">
        <w:t xml:space="preserve"> continues to be the principal legisla</w:t>
      </w:r>
      <w:r w:rsidRPr="006723F3">
        <w:t>tion governing Victorian public se</w:t>
      </w:r>
      <w:r w:rsidRPr="009A417A">
        <w:t>ctor financial reporting for</w:t>
      </w:r>
      <w:r w:rsidRPr="00EE4392">
        <w:t xml:space="preserve"> </w:t>
      </w:r>
      <w:r w:rsidRPr="00594EA2">
        <w:t>201</w:t>
      </w:r>
      <w:r>
        <w:t>3</w:t>
      </w:r>
      <w:r w:rsidR="008207D7">
        <w:noBreakHyphen/>
      </w:r>
      <w:r w:rsidRPr="00594EA2">
        <w:t>1</w:t>
      </w:r>
      <w:r>
        <w:t>4</w:t>
      </w:r>
      <w:r w:rsidRPr="00594EA2">
        <w:t>.</w:t>
      </w:r>
    </w:p>
    <w:p w:rsidR="001C61F7" w:rsidRPr="001C61F7" w:rsidRDefault="001C61F7" w:rsidP="001C61F7">
      <w:pPr>
        <w:pStyle w:val="NewsletterHeading2"/>
      </w:pPr>
      <w:r w:rsidRPr="002F081A">
        <w:t>F</w:t>
      </w:r>
      <w:r>
        <w:t>inancial Reporting Directions (FRDs) and guidance notes</w:t>
      </w:r>
    </w:p>
    <w:p w:rsidR="001C61F7" w:rsidRDefault="00181682" w:rsidP="001C61F7">
      <w:pPr>
        <w:pStyle w:val="NewsletterNormal"/>
      </w:pPr>
      <w:r>
        <w:t>As outlined in the previous n</w:t>
      </w:r>
      <w:r w:rsidR="003E277F">
        <w:t xml:space="preserve">ewsletter, </w:t>
      </w:r>
      <w:r>
        <w:t>t</w:t>
      </w:r>
      <w:r w:rsidR="004A0C08">
        <w:t>he revised</w:t>
      </w:r>
      <w:r w:rsidR="001C61F7">
        <w:t xml:space="preserve"> FRDs</w:t>
      </w:r>
      <w:r w:rsidR="004A0C08">
        <w:t xml:space="preserve"> effective </w:t>
      </w:r>
      <w:r w:rsidR="004A4DD2">
        <w:t>for</w:t>
      </w:r>
      <w:r w:rsidR="004A0C08">
        <w:t xml:space="preserve"> 2013</w:t>
      </w:r>
      <w:r w:rsidR="008207D7">
        <w:noBreakHyphen/>
      </w:r>
      <w:r w:rsidR="004A0C08">
        <w:t xml:space="preserve">14 </w:t>
      </w:r>
      <w:r w:rsidR="001C61F7">
        <w:t>include:</w:t>
      </w:r>
    </w:p>
    <w:p w:rsidR="001C61F7" w:rsidRDefault="008207D7" w:rsidP="001C61F7">
      <w:pPr>
        <w:pStyle w:val="NewsletterBullet1"/>
      </w:pPr>
      <w:r>
        <w:t>FRD </w:t>
      </w:r>
      <w:r w:rsidR="001C61F7">
        <w:t xml:space="preserve">119A </w:t>
      </w:r>
      <w:r w:rsidR="001C61F7" w:rsidRPr="002F081A">
        <w:rPr>
          <w:i/>
        </w:rPr>
        <w:t>Transfers through contributed capital</w:t>
      </w:r>
      <w:r w:rsidR="001C61F7">
        <w:t xml:space="preserve"> (formerly </w:t>
      </w:r>
      <w:r>
        <w:t>FRD </w:t>
      </w:r>
      <w:r w:rsidR="001C61F7">
        <w:t xml:space="preserve">119 </w:t>
      </w:r>
      <w:r w:rsidR="001C61F7" w:rsidRPr="002F081A">
        <w:rPr>
          <w:i/>
        </w:rPr>
        <w:t xml:space="preserve">Contributions by </w:t>
      </w:r>
      <w:r w:rsidR="001C61F7">
        <w:rPr>
          <w:i/>
        </w:rPr>
        <w:t>o</w:t>
      </w:r>
      <w:r w:rsidR="001C61F7" w:rsidRPr="002F081A">
        <w:rPr>
          <w:i/>
        </w:rPr>
        <w:t>wners</w:t>
      </w:r>
      <w:r w:rsidR="001C61F7">
        <w:t>), with key changes that simplify the designation process required for accounting for contributions by or distributions to owners;</w:t>
      </w:r>
    </w:p>
    <w:p w:rsidR="001C61F7" w:rsidRDefault="008207D7" w:rsidP="001C61F7">
      <w:pPr>
        <w:pStyle w:val="NewsletterBullet1"/>
      </w:pPr>
      <w:r>
        <w:t>FRD </w:t>
      </w:r>
      <w:r w:rsidR="001C61F7">
        <w:t xml:space="preserve">11A </w:t>
      </w:r>
      <w:r w:rsidR="001C61F7" w:rsidRPr="00233B7C">
        <w:rPr>
          <w:i/>
        </w:rPr>
        <w:t>Disclosure of ex</w:t>
      </w:r>
      <w:r>
        <w:rPr>
          <w:i/>
        </w:rPr>
        <w:noBreakHyphen/>
      </w:r>
      <w:r w:rsidR="001C61F7" w:rsidRPr="00233B7C">
        <w:rPr>
          <w:i/>
        </w:rPr>
        <w:t>gratia expenses</w:t>
      </w:r>
      <w:r w:rsidR="001C61F7">
        <w:rPr>
          <w:i/>
        </w:rPr>
        <w:t xml:space="preserve"> </w:t>
      </w:r>
      <w:r w:rsidR="001C61F7">
        <w:t xml:space="preserve">(formerly </w:t>
      </w:r>
      <w:r>
        <w:t>FRD </w:t>
      </w:r>
      <w:r w:rsidR="001C61F7">
        <w:t xml:space="preserve">11 </w:t>
      </w:r>
      <w:r w:rsidR="001C61F7" w:rsidRPr="00233B7C">
        <w:rPr>
          <w:i/>
        </w:rPr>
        <w:t>Disclosure</w:t>
      </w:r>
      <w:r w:rsidR="001C61F7" w:rsidRPr="003B371F">
        <w:rPr>
          <w:i/>
        </w:rPr>
        <w:t xml:space="preserve"> </w:t>
      </w:r>
      <w:r w:rsidR="001C61F7" w:rsidRPr="0092767F">
        <w:rPr>
          <w:i/>
        </w:rPr>
        <w:t>of ex</w:t>
      </w:r>
      <w:r>
        <w:rPr>
          <w:i/>
        </w:rPr>
        <w:noBreakHyphen/>
      </w:r>
      <w:r w:rsidR="001C61F7" w:rsidRPr="0092767F">
        <w:rPr>
          <w:i/>
        </w:rPr>
        <w:t>gratia payments</w:t>
      </w:r>
      <w:r w:rsidR="001C61F7">
        <w:t>)</w:t>
      </w:r>
      <w:r w:rsidR="001C61F7">
        <w:rPr>
          <w:i/>
        </w:rPr>
        <w:t xml:space="preserve">, </w:t>
      </w:r>
      <w:r w:rsidR="001C61F7">
        <w:t>which requires disclosure of the purpose, in addition to the nature and amount, for any ex</w:t>
      </w:r>
      <w:r>
        <w:noBreakHyphen/>
      </w:r>
      <w:r w:rsidR="001C61F7">
        <w:t>gratia expenses;</w:t>
      </w:r>
      <w:r w:rsidR="00F0207E">
        <w:t xml:space="preserve"> and</w:t>
      </w:r>
    </w:p>
    <w:p w:rsidR="001C61F7" w:rsidRDefault="008207D7" w:rsidP="001C61F7">
      <w:pPr>
        <w:pStyle w:val="NewsletterBullet1"/>
      </w:pPr>
      <w:r>
        <w:t>FRD </w:t>
      </w:r>
      <w:r w:rsidR="001C61F7" w:rsidRPr="00F93A1F">
        <w:t xml:space="preserve">22D </w:t>
      </w:r>
      <w:r w:rsidR="001C61F7" w:rsidRPr="002F081A">
        <w:rPr>
          <w:i/>
        </w:rPr>
        <w:t>Standard disclosures in the Report of Operations</w:t>
      </w:r>
      <w:r w:rsidR="001C61F7">
        <w:t xml:space="preserve">, which </w:t>
      </w:r>
      <w:r w:rsidR="00181682">
        <w:t>revises the definitions for</w:t>
      </w:r>
      <w:r w:rsidR="00181682" w:rsidRPr="00EA1A43">
        <w:t xml:space="preserve"> contra</w:t>
      </w:r>
      <w:r w:rsidR="00181682">
        <w:t xml:space="preserve">ctor and consultancy, and also </w:t>
      </w:r>
      <w:r w:rsidR="001C61F7">
        <w:t>updates the disclosure requirements for consultancy expenditure</w:t>
      </w:r>
      <w:r w:rsidR="00BF1610">
        <w:t>.</w:t>
      </w:r>
    </w:p>
    <w:p w:rsidR="003722FF" w:rsidRDefault="001C61F7" w:rsidP="006C4F46">
      <w:pPr>
        <w:pStyle w:val="NewsletterBullet1"/>
        <w:numPr>
          <w:ilvl w:val="0"/>
          <w:numId w:val="0"/>
        </w:numPr>
      </w:pPr>
      <w:r w:rsidRPr="00CF23C9">
        <w:t xml:space="preserve">In addition, several of the existing FRDs </w:t>
      </w:r>
      <w:r w:rsidR="004A4DD2">
        <w:t>are planned to be</w:t>
      </w:r>
      <w:r w:rsidRPr="00CF23C9">
        <w:t xml:space="preserve"> </w:t>
      </w:r>
      <w:r w:rsidR="00E8764D">
        <w:t xml:space="preserve">revised </w:t>
      </w:r>
      <w:r w:rsidR="004A4DD2">
        <w:t xml:space="preserve">for </w:t>
      </w:r>
      <w:r w:rsidR="00E8764D">
        <w:t>application in 2013</w:t>
      </w:r>
      <w:r w:rsidR="008207D7">
        <w:noBreakHyphen/>
      </w:r>
      <w:r w:rsidR="00E8764D">
        <w:t>14</w:t>
      </w:r>
      <w:r w:rsidRPr="00CF23C9">
        <w:t>, including:</w:t>
      </w:r>
    </w:p>
    <w:p w:rsidR="00A93E4B" w:rsidRDefault="008207D7">
      <w:pPr>
        <w:pStyle w:val="NewsletterBullet1"/>
      </w:pPr>
      <w:r>
        <w:t>FRD </w:t>
      </w:r>
      <w:r w:rsidR="003722FF">
        <w:t xml:space="preserve">22D </w:t>
      </w:r>
      <w:r w:rsidR="00CC6664">
        <w:rPr>
          <w:i/>
        </w:rPr>
        <w:t>Standard d</w:t>
      </w:r>
      <w:r w:rsidR="003722FF" w:rsidRPr="00816C5A">
        <w:rPr>
          <w:i/>
        </w:rPr>
        <w:t xml:space="preserve">isclosures in the Report of Operation, </w:t>
      </w:r>
      <w:r w:rsidR="003722FF">
        <w:t>acknowledging the application of</w:t>
      </w:r>
      <w:r w:rsidR="003722FF" w:rsidRPr="00CF32B1">
        <w:t xml:space="preserve"> </w:t>
      </w:r>
      <w:r w:rsidR="003722FF" w:rsidRPr="00816C5A">
        <w:rPr>
          <w:i/>
        </w:rPr>
        <w:t xml:space="preserve">Carers </w:t>
      </w:r>
      <w:r w:rsidR="003722FF" w:rsidRPr="00CF32B1">
        <w:rPr>
          <w:i/>
        </w:rPr>
        <w:t>Recognition Act</w:t>
      </w:r>
      <w:r w:rsidR="003722FF">
        <w:t xml:space="preserve"> </w:t>
      </w:r>
      <w:r w:rsidR="003722FF" w:rsidRPr="00CF32B1">
        <w:rPr>
          <w:i/>
        </w:rPr>
        <w:t>2012</w:t>
      </w:r>
      <w:r w:rsidR="006C4F46">
        <w:t>, and incorporating certain PAEC recommendations, as detailed below</w:t>
      </w:r>
      <w:r w:rsidR="00A93E4B">
        <w:t xml:space="preserve"> in the next section</w:t>
      </w:r>
      <w:r w:rsidR="003722FF">
        <w:t>;</w:t>
      </w:r>
    </w:p>
    <w:p w:rsidR="00526899" w:rsidRPr="00526899" w:rsidRDefault="008207D7" w:rsidP="00526899">
      <w:pPr>
        <w:pStyle w:val="NewsletterBullet1"/>
      </w:pPr>
      <w:r>
        <w:t>FRD </w:t>
      </w:r>
      <w:r w:rsidR="00CC6664">
        <w:t>25A</w:t>
      </w:r>
      <w:r w:rsidR="00526899" w:rsidRPr="006C4F46">
        <w:t xml:space="preserve"> </w:t>
      </w:r>
      <w:r w:rsidR="00526899" w:rsidRPr="006C4F46">
        <w:rPr>
          <w:i/>
        </w:rPr>
        <w:t xml:space="preserve">Victorian Industry Participation Policy </w:t>
      </w:r>
      <w:r w:rsidR="00CC6664">
        <w:t>is planned to be</w:t>
      </w:r>
      <w:r w:rsidR="00BF1610">
        <w:t xml:space="preserve"> revised to reflect </w:t>
      </w:r>
      <w:r w:rsidR="00526899" w:rsidRPr="006C4F46">
        <w:t>recent reforms to the Victorian Industr</w:t>
      </w:r>
      <w:r w:rsidR="00BF1610">
        <w:t>y Participation Policy;</w:t>
      </w:r>
    </w:p>
    <w:p w:rsidR="00A93E4B" w:rsidRPr="00FF6DD0" w:rsidRDefault="008207D7" w:rsidP="00A93E4B">
      <w:pPr>
        <w:pStyle w:val="NewsletterBullet1"/>
      </w:pPr>
      <w:r>
        <w:t>FRD </w:t>
      </w:r>
      <w:r w:rsidR="00FF6DD0" w:rsidRPr="006C4F46">
        <w:t xml:space="preserve">27B </w:t>
      </w:r>
      <w:r w:rsidR="00FF6DD0" w:rsidRPr="006C4F46">
        <w:rPr>
          <w:i/>
        </w:rPr>
        <w:t xml:space="preserve">Presentation and reporting of performance information, </w:t>
      </w:r>
      <w:r w:rsidR="00FF6DD0" w:rsidRPr="006C4F46">
        <w:t>to update Appendix 1 to reflect recent chang</w:t>
      </w:r>
      <w:r w:rsidR="00CC6664">
        <w:t xml:space="preserve">es to the list of applicable </w:t>
      </w:r>
      <w:r w:rsidR="00FF6DD0" w:rsidRPr="006C4F46">
        <w:t>water entities</w:t>
      </w:r>
      <w:r w:rsidR="00A93E4B" w:rsidRPr="00FF6DD0">
        <w:t xml:space="preserve">; </w:t>
      </w:r>
    </w:p>
    <w:p w:rsidR="00A93E4B" w:rsidRPr="00FF6DD0" w:rsidRDefault="008207D7">
      <w:pPr>
        <w:pStyle w:val="NewsletterBullet1"/>
      </w:pPr>
      <w:r>
        <w:t>FRD </w:t>
      </w:r>
      <w:r w:rsidR="00A93E4B" w:rsidRPr="00FF6DD0">
        <w:t xml:space="preserve">103D </w:t>
      </w:r>
      <w:r w:rsidR="00A93E4B" w:rsidRPr="00FF6DD0">
        <w:rPr>
          <w:i/>
        </w:rPr>
        <w:t>Non</w:t>
      </w:r>
      <w:r>
        <w:rPr>
          <w:i/>
        </w:rPr>
        <w:noBreakHyphen/>
      </w:r>
      <w:r w:rsidR="00A93E4B" w:rsidRPr="00FF6DD0">
        <w:rPr>
          <w:i/>
        </w:rPr>
        <w:t xml:space="preserve">financial physical assets, </w:t>
      </w:r>
      <w:r w:rsidR="00A93E4B" w:rsidRPr="00FF6DD0">
        <w:t xml:space="preserve">mainly aligning the requirements and implementation guidance on fair value measurement with </w:t>
      </w:r>
      <w:r>
        <w:t>AASB </w:t>
      </w:r>
      <w:r w:rsidR="00A93E4B" w:rsidRPr="00FF6DD0">
        <w:t>13;</w:t>
      </w:r>
    </w:p>
    <w:p w:rsidR="00A93E4B" w:rsidRPr="00FF6DD0" w:rsidRDefault="008207D7">
      <w:pPr>
        <w:pStyle w:val="NewsletterBullet1"/>
      </w:pPr>
      <w:r>
        <w:t>FRD </w:t>
      </w:r>
      <w:r w:rsidR="00FF6DD0" w:rsidRPr="006C4F46">
        <w:t xml:space="preserve">112C </w:t>
      </w:r>
      <w:r w:rsidR="00FF6DD0" w:rsidRPr="006C4F46">
        <w:rPr>
          <w:i/>
        </w:rPr>
        <w:t>Defined benefit superannuation obligations</w:t>
      </w:r>
      <w:r w:rsidR="00FF6DD0" w:rsidRPr="006C4F46">
        <w:t xml:space="preserve">, to remove the requirement that all </w:t>
      </w:r>
      <w:r w:rsidR="00FF6DD0" w:rsidRPr="006C4F46">
        <w:rPr>
          <w:szCs w:val="21"/>
        </w:rPr>
        <w:t xml:space="preserve">movements in the defined benefit liabilities or </w:t>
      </w:r>
      <w:r w:rsidR="00BF1610">
        <w:rPr>
          <w:szCs w:val="21"/>
        </w:rPr>
        <w:t xml:space="preserve">surpluses are recognised in </w:t>
      </w:r>
      <w:r w:rsidR="00FF6DD0" w:rsidRPr="006C4F46">
        <w:rPr>
          <w:szCs w:val="21"/>
        </w:rPr>
        <w:t>other comprehensive income</w:t>
      </w:r>
      <w:r w:rsidR="00860450">
        <w:rPr>
          <w:szCs w:val="21"/>
        </w:rPr>
        <w:t>,</w:t>
      </w:r>
      <w:r w:rsidR="00FF6DD0" w:rsidRPr="006C4F46">
        <w:rPr>
          <w:szCs w:val="21"/>
        </w:rPr>
        <w:t xml:space="preserve"> as this treatment is now mandated in </w:t>
      </w:r>
      <w:r w:rsidR="00FF6DD0" w:rsidRPr="006C4F46">
        <w:t xml:space="preserve">the revised </w:t>
      </w:r>
      <w:r>
        <w:t>AASB </w:t>
      </w:r>
      <w:r w:rsidR="00FF6DD0" w:rsidRPr="006C4F46">
        <w:t>119, following removal of the previous alternat</w:t>
      </w:r>
      <w:r w:rsidR="00860450">
        <w:t>ive treatments</w:t>
      </w:r>
      <w:r w:rsidR="00A93E4B" w:rsidRPr="006C4F46">
        <w:t>; and</w:t>
      </w:r>
      <w:r w:rsidR="00A93E4B" w:rsidRPr="00FF6DD0" w:rsidDel="003E277F">
        <w:t xml:space="preserve"> </w:t>
      </w:r>
    </w:p>
    <w:p w:rsidR="003A02B0" w:rsidRDefault="008207D7">
      <w:pPr>
        <w:pStyle w:val="NewsletterBullet1"/>
      </w:pPr>
      <w:r>
        <w:t>FRD </w:t>
      </w:r>
      <w:r w:rsidR="00A93E4B" w:rsidRPr="00781F3D">
        <w:t>120</w:t>
      </w:r>
      <w:r w:rsidR="00A93E4B">
        <w:t>G</w:t>
      </w:r>
      <w:r w:rsidR="00A93E4B" w:rsidRPr="00792E2A">
        <w:rPr>
          <w:i/>
        </w:rPr>
        <w:t xml:space="preserve"> </w:t>
      </w:r>
      <w:r w:rsidR="00A93E4B">
        <w:rPr>
          <w:i/>
        </w:rPr>
        <w:t>Accounting and reporting pronouncements applicable to the 2012</w:t>
      </w:r>
      <w:r>
        <w:rPr>
          <w:i/>
        </w:rPr>
        <w:noBreakHyphen/>
      </w:r>
      <w:r w:rsidR="00A93E4B">
        <w:rPr>
          <w:i/>
        </w:rPr>
        <w:t xml:space="preserve">13 reporting period, </w:t>
      </w:r>
      <w:r w:rsidR="00A93E4B" w:rsidRPr="005F708D">
        <w:t>updating</w:t>
      </w:r>
      <w:r w:rsidR="00A93E4B">
        <w:t xml:space="preserve"> the accounting standards and other pronouncements </w:t>
      </w:r>
      <w:proofErr w:type="gramStart"/>
      <w:r w:rsidR="00A93E4B">
        <w:t>that are</w:t>
      </w:r>
      <w:proofErr w:type="gramEnd"/>
      <w:r w:rsidR="00A93E4B">
        <w:t xml:space="preserve"> applicable to the current reporting period (i.e. 2013</w:t>
      </w:r>
      <w:r>
        <w:noBreakHyphen/>
      </w:r>
      <w:r w:rsidR="00A93E4B">
        <w:t>14) and those that are issued but not yet effective</w:t>
      </w:r>
      <w:r w:rsidR="00A93E4B" w:rsidRPr="002F081A">
        <w:t>.</w:t>
      </w:r>
    </w:p>
    <w:p w:rsidR="003A02B0" w:rsidRDefault="003A02B0" w:rsidP="006C4F46">
      <w:pPr>
        <w:pStyle w:val="NewsletterBullet1"/>
        <w:numPr>
          <w:ilvl w:val="0"/>
          <w:numId w:val="0"/>
        </w:numPr>
        <w:ind w:left="283" w:hanging="283"/>
      </w:pPr>
    </w:p>
    <w:p w:rsidR="001C61F7" w:rsidRPr="001C61F7" w:rsidRDefault="00525911" w:rsidP="001C61F7">
      <w:pPr>
        <w:pStyle w:val="NewsletterHeading2"/>
      </w:pPr>
      <w:r>
        <w:br w:type="column"/>
      </w:r>
      <w:r w:rsidR="008207D7">
        <w:br w:type="column"/>
      </w:r>
      <w:r w:rsidR="001C61F7" w:rsidRPr="004E67F8">
        <w:t>2013</w:t>
      </w:r>
      <w:r w:rsidR="008207D7">
        <w:noBreakHyphen/>
      </w:r>
      <w:r w:rsidR="001C61F7" w:rsidRPr="004E67F8">
        <w:t>14 Model Report for Victorian Government Departments (2013</w:t>
      </w:r>
      <w:r w:rsidR="008207D7">
        <w:noBreakHyphen/>
      </w:r>
      <w:r w:rsidR="001C61F7" w:rsidRPr="004E67F8">
        <w:t>14 Model Report)</w:t>
      </w:r>
    </w:p>
    <w:p w:rsidR="001C61F7" w:rsidRDefault="001C61F7" w:rsidP="001C61F7">
      <w:pPr>
        <w:pStyle w:val="NewsletterNormal"/>
      </w:pPr>
      <w:r w:rsidRPr="002F081A">
        <w:t>DT</w:t>
      </w:r>
      <w:r w:rsidR="008207D7">
        <w:t>F</w:t>
      </w:r>
      <w:r w:rsidRPr="002F081A">
        <w:t xml:space="preserve"> is planning </w:t>
      </w:r>
      <w:r>
        <w:t>the</w:t>
      </w:r>
      <w:r w:rsidRPr="002F081A">
        <w:t xml:space="preserve"> release </w:t>
      </w:r>
      <w:r>
        <w:t xml:space="preserve">of </w:t>
      </w:r>
      <w:r w:rsidRPr="002F081A">
        <w:t>the 2013</w:t>
      </w:r>
      <w:r w:rsidR="008207D7">
        <w:noBreakHyphen/>
      </w:r>
      <w:r w:rsidRPr="002F081A">
        <w:t xml:space="preserve">14 Model Report </w:t>
      </w:r>
      <w:r w:rsidR="008207D7">
        <w:t>around mid</w:t>
      </w:r>
      <w:r w:rsidR="008207D7">
        <w:noBreakHyphen/>
      </w:r>
      <w:r w:rsidRPr="005F69CA">
        <w:t>April 2014.</w:t>
      </w:r>
      <w:r w:rsidR="003413C7">
        <w:t xml:space="preserve"> </w:t>
      </w:r>
      <w:r w:rsidR="00833199">
        <w:t>Key</w:t>
      </w:r>
      <w:r w:rsidR="003413C7">
        <w:t xml:space="preserve"> changes to </w:t>
      </w:r>
      <w:r w:rsidR="003B5E90">
        <w:t>the</w:t>
      </w:r>
      <w:r w:rsidR="004A0C08">
        <w:t xml:space="preserve"> Model include:</w:t>
      </w:r>
    </w:p>
    <w:p w:rsidR="00CF23C9" w:rsidRDefault="003413C7" w:rsidP="006C4F46">
      <w:pPr>
        <w:pStyle w:val="NewsletterBullet1"/>
      </w:pPr>
      <w:r>
        <w:t>Additional</w:t>
      </w:r>
      <w:r w:rsidR="00CF23C9">
        <w:t xml:space="preserve"> note disclosures</w:t>
      </w:r>
      <w:r>
        <w:t xml:space="preserve"> in </w:t>
      </w:r>
      <w:r w:rsidR="00CD41FE">
        <w:t xml:space="preserve">response to </w:t>
      </w:r>
      <w:r w:rsidR="008207D7">
        <w:t>AASB </w:t>
      </w:r>
      <w:r w:rsidR="00CD41FE">
        <w:t>13</w:t>
      </w:r>
      <w:r w:rsidR="00CF23C9">
        <w:t xml:space="preserve">: </w:t>
      </w:r>
    </w:p>
    <w:p w:rsidR="00CF23C9" w:rsidRDefault="00CF23C9" w:rsidP="006C4F46">
      <w:pPr>
        <w:pStyle w:val="NewsletterBullet2"/>
      </w:pPr>
      <w:r>
        <w:t xml:space="preserve">Note 1 </w:t>
      </w:r>
      <w:r w:rsidRPr="003413C7">
        <w:t>Summary of key accounting policies</w:t>
      </w:r>
      <w:r>
        <w:t>;</w:t>
      </w:r>
    </w:p>
    <w:p w:rsidR="00CF23C9" w:rsidRPr="006C4F46" w:rsidRDefault="00CF23C9" w:rsidP="006C4F46">
      <w:pPr>
        <w:pStyle w:val="NewsletterBullet2"/>
      </w:pPr>
      <w:r>
        <w:t>Note 15</w:t>
      </w:r>
      <w:r w:rsidR="008207D7">
        <w:t xml:space="preserve"> </w:t>
      </w:r>
      <w:r w:rsidRPr="003413C7">
        <w:t>Non</w:t>
      </w:r>
      <w:r w:rsidR="008207D7">
        <w:noBreakHyphen/>
      </w:r>
      <w:r w:rsidRPr="003413C7">
        <w:t>financial physical assets held for sale</w:t>
      </w:r>
      <w:r w:rsidR="002524F5">
        <w:t>;</w:t>
      </w:r>
    </w:p>
    <w:p w:rsidR="00CF23C9" w:rsidRDefault="00CF23C9" w:rsidP="006C4F46">
      <w:pPr>
        <w:pStyle w:val="NewsletterBullet2"/>
      </w:pPr>
      <w:r>
        <w:t>Note 17</w:t>
      </w:r>
      <w:r w:rsidR="008207D7">
        <w:t xml:space="preserve"> </w:t>
      </w:r>
      <w:r w:rsidR="003413C7">
        <w:t>Property, plant and equipment;</w:t>
      </w:r>
    </w:p>
    <w:p w:rsidR="003413C7" w:rsidRDefault="003413C7" w:rsidP="006C4F46">
      <w:pPr>
        <w:pStyle w:val="NewsletterBullet2"/>
      </w:pPr>
      <w:r>
        <w:t>Note 18</w:t>
      </w:r>
      <w:r w:rsidR="008207D7">
        <w:t xml:space="preserve"> </w:t>
      </w:r>
      <w:r w:rsidRPr="003413C7">
        <w:t>Biological assets</w:t>
      </w:r>
      <w:r>
        <w:t>;</w:t>
      </w:r>
    </w:p>
    <w:p w:rsidR="00CF23C9" w:rsidRDefault="003413C7" w:rsidP="006C4F46">
      <w:pPr>
        <w:pStyle w:val="NewsletterBullet2"/>
      </w:pPr>
      <w:r>
        <w:t>Note 19</w:t>
      </w:r>
      <w:r w:rsidR="008207D7">
        <w:t xml:space="preserve"> </w:t>
      </w:r>
      <w:r w:rsidR="00CF23C9" w:rsidRPr="00CF23C9">
        <w:t>Investment properties</w:t>
      </w:r>
      <w:r w:rsidR="008207D7">
        <w:t>; and</w:t>
      </w:r>
    </w:p>
    <w:p w:rsidR="00CF23C9" w:rsidRDefault="00CF23C9" w:rsidP="006C4F46">
      <w:pPr>
        <w:pStyle w:val="NewsletterBullet2"/>
      </w:pPr>
      <w:r>
        <w:t>Note 33</w:t>
      </w:r>
      <w:r w:rsidR="008207D7">
        <w:t xml:space="preserve"> </w:t>
      </w:r>
      <w:r w:rsidRPr="00CF23C9">
        <w:t>Financial instruments</w:t>
      </w:r>
      <w:r w:rsidR="008207D7">
        <w:t>.</w:t>
      </w:r>
    </w:p>
    <w:p w:rsidR="003413C7" w:rsidRDefault="003413C7" w:rsidP="006C4F46">
      <w:pPr>
        <w:pStyle w:val="NewsletterBullet1"/>
      </w:pPr>
      <w:r>
        <w:t>Additional illustration</w:t>
      </w:r>
      <w:r w:rsidR="0081202D">
        <w:t>s</w:t>
      </w:r>
      <w:r>
        <w:t xml:space="preserve"> and guidance in response </w:t>
      </w:r>
      <w:r w:rsidR="002524F5">
        <w:t xml:space="preserve">to </w:t>
      </w:r>
      <w:r w:rsidR="00E91225">
        <w:t xml:space="preserve">the revised definition of </w:t>
      </w:r>
      <w:r>
        <w:t>short</w:t>
      </w:r>
      <w:r w:rsidR="008207D7">
        <w:noBreakHyphen/>
      </w:r>
      <w:r w:rsidR="00E91225">
        <w:t>term employee benefits</w:t>
      </w:r>
      <w:r w:rsidR="00CD41FE">
        <w:t xml:space="preserve"> under </w:t>
      </w:r>
      <w:r w:rsidR="008207D7">
        <w:t>AASB </w:t>
      </w:r>
      <w:r w:rsidR="00CD41FE">
        <w:t>119 (</w:t>
      </w:r>
      <w:r w:rsidR="008616E0">
        <w:t>Sept</w:t>
      </w:r>
      <w:r w:rsidR="00CD41FE">
        <w:t xml:space="preserve"> 2011</w:t>
      </w:r>
      <w:r w:rsidR="008616E0">
        <w:t>, as amended</w:t>
      </w:r>
      <w:r w:rsidR="00CD41FE">
        <w:t>)</w:t>
      </w:r>
      <w:r w:rsidR="003B5E90">
        <w:t xml:space="preserve">, as well as </w:t>
      </w:r>
      <w:r>
        <w:t xml:space="preserve">consequential </w:t>
      </w:r>
      <w:r w:rsidR="00CD41FE">
        <w:t>disclosure</w:t>
      </w:r>
      <w:r w:rsidR="003B5E90">
        <w:t>s</w:t>
      </w:r>
      <w:r w:rsidR="00CD41FE">
        <w:t xml:space="preserve"> </w:t>
      </w:r>
      <w:r w:rsidR="002524F5">
        <w:t>regarding</w:t>
      </w:r>
      <w:r w:rsidR="00CD41FE">
        <w:t xml:space="preserve"> changes</w:t>
      </w:r>
      <w:r>
        <w:t xml:space="preserve"> in accounting policy (Note 1 and Note 24 </w:t>
      </w:r>
      <w:r w:rsidRPr="006C4F46">
        <w:rPr>
          <w:i/>
        </w:rPr>
        <w:t>Provisions</w:t>
      </w:r>
      <w:r>
        <w:t>);</w:t>
      </w:r>
    </w:p>
    <w:p w:rsidR="00CD41FE" w:rsidRDefault="00CD41FE" w:rsidP="006C4F46">
      <w:pPr>
        <w:pStyle w:val="NewsletterBullet1"/>
      </w:pPr>
      <w:r>
        <w:t xml:space="preserve">Illustrations </w:t>
      </w:r>
      <w:r w:rsidR="006928EB">
        <w:t xml:space="preserve">and guidance </w:t>
      </w:r>
      <w:r w:rsidR="008616E0">
        <w:t>reflecting</w:t>
      </w:r>
      <w:r w:rsidR="006928EB">
        <w:t xml:space="preserve"> the implementation of </w:t>
      </w:r>
      <w:r>
        <w:t>the revised FRDs for 2013</w:t>
      </w:r>
      <w:r w:rsidR="008207D7">
        <w:noBreakHyphen/>
      </w:r>
      <w:r>
        <w:t>14;</w:t>
      </w:r>
    </w:p>
    <w:p w:rsidR="00CD41FE" w:rsidRDefault="008616E0" w:rsidP="006C4F46">
      <w:pPr>
        <w:pStyle w:val="NewsletterBullet1"/>
      </w:pPr>
      <w:r>
        <w:t>Implementation of</w:t>
      </w:r>
      <w:r w:rsidR="00CD41FE">
        <w:t xml:space="preserve"> </w:t>
      </w:r>
      <w:r w:rsidR="009D004A">
        <w:t>PAEC recommendations</w:t>
      </w:r>
      <w:r>
        <w:t>, including</w:t>
      </w:r>
      <w:r w:rsidR="00973C81">
        <w:t>:</w:t>
      </w:r>
    </w:p>
    <w:p w:rsidR="00CD41FE" w:rsidRDefault="00AD2270" w:rsidP="006C4F46">
      <w:pPr>
        <w:pStyle w:val="NewsletterBullet2"/>
      </w:pPr>
      <w:r>
        <w:t>p</w:t>
      </w:r>
      <w:r w:rsidR="004E67F8">
        <w:t xml:space="preserve">rogress updates against </w:t>
      </w:r>
      <w:r w:rsidR="006928EB">
        <w:t xml:space="preserve">an entity’s strategic </w:t>
      </w:r>
      <w:r w:rsidR="004E67F8">
        <w:t xml:space="preserve">goals, </w:t>
      </w:r>
      <w:r w:rsidR="006928EB">
        <w:t xml:space="preserve">objectives and targets </w:t>
      </w:r>
      <w:r w:rsidR="004E67F8">
        <w:t>outlined</w:t>
      </w:r>
      <w:r w:rsidR="006928EB">
        <w:t xml:space="preserve"> in </w:t>
      </w:r>
      <w:r w:rsidR="004E67F8">
        <w:t>an entity’s</w:t>
      </w:r>
      <w:r w:rsidR="006928EB">
        <w:t xml:space="preserve"> planning </w:t>
      </w:r>
      <w:r w:rsidR="004E67F8">
        <w:t xml:space="preserve">and policy </w:t>
      </w:r>
      <w:r w:rsidR="006928EB">
        <w:t>documents;</w:t>
      </w:r>
    </w:p>
    <w:p w:rsidR="006928EB" w:rsidRDefault="00AD2270" w:rsidP="006C4F46">
      <w:pPr>
        <w:pStyle w:val="NewsletterBullet2"/>
      </w:pPr>
      <w:r>
        <w:t>r</w:t>
      </w:r>
      <w:r w:rsidR="004E67F8">
        <w:t xml:space="preserve">eference to the past and to the future (i.e. expectations) regarding an entity’s </w:t>
      </w:r>
      <w:r w:rsidR="006928EB">
        <w:t xml:space="preserve">key initiatives and projects, </w:t>
      </w:r>
      <w:r w:rsidR="004E67F8">
        <w:t>thereby providing sufficient historic context of the entity’s activities</w:t>
      </w:r>
      <w:r w:rsidR="006928EB">
        <w:t>;</w:t>
      </w:r>
    </w:p>
    <w:p w:rsidR="009D004A" w:rsidRDefault="00AD2270" w:rsidP="006C4F46">
      <w:pPr>
        <w:pStyle w:val="NewsletterBullet2"/>
      </w:pPr>
      <w:r>
        <w:t>w</w:t>
      </w:r>
      <w:r w:rsidR="00DB4D63">
        <w:t>here an entity has a workforce inclusion policy/plan, the entity is required to disclose at least one measurable target on this policy/plan, and the statistics on the target(s);</w:t>
      </w:r>
    </w:p>
    <w:p w:rsidR="00973C81" w:rsidRDefault="00AD2270" w:rsidP="006C4F46">
      <w:pPr>
        <w:pStyle w:val="NewsletterBullet2"/>
      </w:pPr>
      <w:r>
        <w:t>f</w:t>
      </w:r>
      <w:r w:rsidR="00A502B0">
        <w:t xml:space="preserve">urther disclosure in the Occupational Health and Safety (OH&amp;S) section where fatalities </w:t>
      </w:r>
      <w:r w:rsidR="000047C7">
        <w:t>occurred,</w:t>
      </w:r>
      <w:r w:rsidR="00973C81">
        <w:t xml:space="preserve"> requiring explanations of circumstances that led to the fatality and action</w:t>
      </w:r>
      <w:r w:rsidR="000727F1">
        <w:t>s taken to prevent recurrences; and</w:t>
      </w:r>
      <w:r w:rsidR="006928EB">
        <w:t xml:space="preserve"> </w:t>
      </w:r>
    </w:p>
    <w:p w:rsidR="00973C81" w:rsidRPr="003B5E90" w:rsidRDefault="00AD2270" w:rsidP="006C4F46">
      <w:pPr>
        <w:pStyle w:val="NewsletterBullet2"/>
      </w:pPr>
      <w:proofErr w:type="gramStart"/>
      <w:r>
        <w:t>d</w:t>
      </w:r>
      <w:r w:rsidR="00973C81" w:rsidRPr="003B5E90">
        <w:t>isaggregation</w:t>
      </w:r>
      <w:proofErr w:type="gramEnd"/>
      <w:r w:rsidR="00973C81" w:rsidRPr="003B5E90">
        <w:t xml:space="preserve"> of financial line items into P</w:t>
      </w:r>
      <w:r w:rsidR="003B5E90" w:rsidRPr="003B5E90">
        <w:t xml:space="preserve">ublic </w:t>
      </w:r>
      <w:r w:rsidR="00973C81" w:rsidRPr="003B5E90">
        <w:t>P</w:t>
      </w:r>
      <w:r w:rsidR="003B5E90" w:rsidRPr="003B5E90">
        <w:t xml:space="preserve">rivate </w:t>
      </w:r>
      <w:r w:rsidR="00973C81" w:rsidRPr="003B5E90">
        <w:t>P</w:t>
      </w:r>
      <w:r w:rsidR="003B5E90" w:rsidRPr="003B5E90">
        <w:t>artnership (PPP)</w:t>
      </w:r>
      <w:r w:rsidR="00973C81" w:rsidRPr="003B5E90">
        <w:t xml:space="preserve"> and non</w:t>
      </w:r>
      <w:r w:rsidR="008207D7" w:rsidRPr="003B5E90">
        <w:noBreakHyphen/>
      </w:r>
      <w:r w:rsidR="00973C81" w:rsidRPr="003B5E90">
        <w:t xml:space="preserve">PPP related where relevant. </w:t>
      </w:r>
    </w:p>
    <w:p w:rsidR="00CD41FE" w:rsidRDefault="00091140" w:rsidP="006C4F46">
      <w:pPr>
        <w:pStyle w:val="NewsletterBullet1"/>
      </w:pPr>
      <w:r>
        <w:t xml:space="preserve">Responses to </w:t>
      </w:r>
      <w:r w:rsidR="007E443B">
        <w:t>VAGO re</w:t>
      </w:r>
      <w:r w:rsidR="0017102D">
        <w:t>commendations, with enhanced guidance on current disclosure requirements (e.g. com</w:t>
      </w:r>
      <w:r w:rsidR="00737E9B">
        <w:t>mitments disclosures, provision</w:t>
      </w:r>
      <w:r w:rsidR="0017102D">
        <w:t xml:space="preserve"> for on</w:t>
      </w:r>
      <w:r w:rsidR="008207D7">
        <w:noBreakHyphen/>
      </w:r>
      <w:r w:rsidR="0017102D">
        <w:t xml:space="preserve">costs </w:t>
      </w:r>
      <w:r w:rsidR="00AD2270">
        <w:t>etc.</w:t>
      </w:r>
      <w:r w:rsidR="0017102D">
        <w:t xml:space="preserve">). </w:t>
      </w:r>
    </w:p>
    <w:p w:rsidR="001C61F7" w:rsidRDefault="000F4569" w:rsidP="001C61F7">
      <w:pPr>
        <w:pStyle w:val="NewsletterNormal"/>
      </w:pPr>
      <w:r>
        <w:t>A</w:t>
      </w:r>
      <w:r w:rsidR="004A0C08">
        <w:t xml:space="preserve"> comprehensive list of all the significant changes</w:t>
      </w:r>
      <w:r>
        <w:t xml:space="preserve"> will be detailed in the </w:t>
      </w:r>
      <w:r w:rsidR="004A0C08" w:rsidRPr="006C4F46">
        <w:rPr>
          <w:i/>
        </w:rPr>
        <w:t>Summary of Changes</w:t>
      </w:r>
      <w:r w:rsidR="004A0C08">
        <w:t xml:space="preserve"> </w:t>
      </w:r>
      <w:r>
        <w:t>when the</w:t>
      </w:r>
      <w:r w:rsidR="004A0C08">
        <w:t xml:space="preserve"> 2013</w:t>
      </w:r>
      <w:r w:rsidR="008207D7">
        <w:noBreakHyphen/>
      </w:r>
      <w:r w:rsidR="004A0C08">
        <w:t>14 Model Report is issued</w:t>
      </w:r>
      <w:r w:rsidR="00BB3B43">
        <w:t xml:space="preserve"> in mid</w:t>
      </w:r>
      <w:r w:rsidR="00BB3B43">
        <w:noBreakHyphen/>
      </w:r>
      <w:r>
        <w:t>April</w:t>
      </w:r>
      <w:r w:rsidR="00525911">
        <w:t xml:space="preserve"> 2014</w:t>
      </w:r>
      <w:r w:rsidR="004A0C08">
        <w:t xml:space="preserve">.  </w:t>
      </w:r>
    </w:p>
    <w:p w:rsidR="001C61F7" w:rsidRPr="001C61F7" w:rsidRDefault="008207D7" w:rsidP="001C61F7">
      <w:pPr>
        <w:pStyle w:val="NewsletterHeading2"/>
      </w:pPr>
      <w:r>
        <w:br w:type="column"/>
      </w:r>
      <w:r>
        <w:br w:type="column"/>
      </w:r>
      <w:r w:rsidR="001C61F7" w:rsidRPr="002F081A">
        <w:t>Other guidance</w:t>
      </w:r>
    </w:p>
    <w:p w:rsidR="001C61F7" w:rsidRPr="001C61F7" w:rsidRDefault="001C61F7" w:rsidP="001C61F7">
      <w:pPr>
        <w:pStyle w:val="NewsletterHeading3"/>
      </w:pPr>
      <w:r w:rsidRPr="001C61F7">
        <w:t>Superannuation Guarantee Levy</w:t>
      </w:r>
    </w:p>
    <w:p w:rsidR="001C61F7" w:rsidRDefault="005F40E0" w:rsidP="001C61F7">
      <w:pPr>
        <w:pStyle w:val="NewsletterNormal"/>
      </w:pPr>
      <w:r>
        <w:t xml:space="preserve">As updated in the previous </w:t>
      </w:r>
      <w:r w:rsidR="003E277F">
        <w:t>n</w:t>
      </w:r>
      <w:r w:rsidR="00752A25">
        <w:t xml:space="preserve">ewsletter, </w:t>
      </w:r>
      <w:r w:rsidR="001C61F7">
        <w:t xml:space="preserve">the </w:t>
      </w:r>
      <w:r w:rsidR="001C61F7" w:rsidRPr="00AB242E">
        <w:t xml:space="preserve">Superannuation Guarantee Levy </w:t>
      </w:r>
      <w:r w:rsidR="001C61F7">
        <w:t xml:space="preserve">(SGL) will increase </w:t>
      </w:r>
      <w:r w:rsidR="00752A25">
        <w:t xml:space="preserve">progressively </w:t>
      </w:r>
      <w:r w:rsidR="001C61F7">
        <w:t>from 9 per cent to 12 per cent</w:t>
      </w:r>
      <w:r w:rsidR="00752A25" w:rsidRPr="00752A25">
        <w:t xml:space="preserve"> </w:t>
      </w:r>
      <w:r w:rsidR="00752A25">
        <w:t>from 1 July 2013 to</w:t>
      </w:r>
      <w:r w:rsidR="00752A25" w:rsidRPr="005058BD">
        <w:t xml:space="preserve"> 1 July 2019</w:t>
      </w:r>
      <w:r w:rsidR="001C61F7">
        <w:t>. Departments and entities should take into account of these future changes when estimating and measuring their employee benefits liabilities and expenses for financial reporting and future budget estimates.</w:t>
      </w:r>
    </w:p>
    <w:tbl>
      <w:tblPr>
        <w:tblStyle w:val="TableGrid"/>
        <w:tblW w:w="6220" w:type="dxa"/>
        <w:tblInd w:w="72" w:type="dxa"/>
        <w:tblLayout w:type="fixed"/>
        <w:tblCellMar>
          <w:left w:w="72" w:type="dxa"/>
          <w:right w:w="72" w:type="dxa"/>
        </w:tblCellMar>
        <w:tblLook w:val="04A0" w:firstRow="1" w:lastRow="0" w:firstColumn="1" w:lastColumn="0" w:noHBand="0" w:noVBand="1"/>
      </w:tblPr>
      <w:tblGrid>
        <w:gridCol w:w="1800"/>
        <w:gridCol w:w="4420"/>
      </w:tblGrid>
      <w:tr w:rsidR="001C61F7" w:rsidRPr="002F081A" w:rsidTr="001C61F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 xml:space="preserve">Date </w:t>
            </w:r>
          </w:p>
        </w:tc>
        <w:tc>
          <w:tcPr>
            <w:tcW w:w="4420" w:type="dxa"/>
          </w:tcPr>
          <w:p w:rsidR="001C61F7" w:rsidRPr="002F081A" w:rsidRDefault="001C61F7" w:rsidP="005343EB">
            <w:pPr>
              <w:pStyle w:val="TableText"/>
              <w:cnfStyle w:val="100000000000" w:firstRow="1" w:lastRow="0" w:firstColumn="0" w:lastColumn="0" w:oddVBand="0" w:evenVBand="0" w:oddHBand="0" w:evenHBand="0" w:firstRowFirstColumn="0" w:firstRowLastColumn="0" w:lastRowFirstColumn="0" w:lastRowLastColumn="0"/>
              <w:rPr>
                <w:b/>
              </w:rPr>
            </w:pPr>
            <w:r w:rsidRPr="002F081A">
              <w:rPr>
                <w:b/>
              </w:rPr>
              <w:t xml:space="preserve">Levy </w:t>
            </w:r>
            <w:r>
              <w:rPr>
                <w:b/>
              </w:rPr>
              <w:t>(per cent</w:t>
            </w:r>
            <w:r w:rsidRPr="002F081A">
              <w:rPr>
                <w:b/>
              </w:rPr>
              <w:t>)</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 xml:space="preserve">1 July 2013 </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9.25</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2014</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9.5</w:t>
            </w:r>
          </w:p>
        </w:tc>
      </w:tr>
      <w:tr w:rsidR="001C61F7" w:rsidRPr="002F081A" w:rsidTr="001C61F7">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2015</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10</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2016</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10.5</w:t>
            </w:r>
          </w:p>
        </w:tc>
      </w:tr>
      <w:tr w:rsidR="001C61F7" w:rsidTr="001C61F7">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2017</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11</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2018</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11.5</w:t>
            </w:r>
          </w:p>
        </w:tc>
      </w:tr>
      <w:tr w:rsidR="001C61F7" w:rsidTr="001C61F7">
        <w:trPr>
          <w:trHeight w:val="334"/>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5343EB">
            <w:pPr>
              <w:pStyle w:val="TableText"/>
              <w:rPr>
                <w:b/>
              </w:rPr>
            </w:pPr>
            <w:r w:rsidRPr="002F081A">
              <w:rPr>
                <w:b/>
              </w:rPr>
              <w:t>1 July 2019</w:t>
            </w:r>
          </w:p>
        </w:tc>
        <w:tc>
          <w:tcPr>
            <w:tcW w:w="4420" w:type="dxa"/>
          </w:tcPr>
          <w:p w:rsidR="001C61F7" w:rsidRDefault="001C61F7" w:rsidP="005343EB">
            <w:pPr>
              <w:pStyle w:val="TableText"/>
              <w:cnfStyle w:val="000000000000" w:firstRow="0" w:lastRow="0" w:firstColumn="0" w:lastColumn="0" w:oddVBand="0" w:evenVBand="0" w:oddHBand="0" w:evenHBand="0" w:firstRowFirstColumn="0" w:firstRowLastColumn="0" w:lastRowFirstColumn="0" w:lastRowLastColumn="0"/>
            </w:pPr>
            <w:r>
              <w:t>12</w:t>
            </w:r>
          </w:p>
        </w:tc>
      </w:tr>
    </w:tbl>
    <w:p w:rsidR="001C61F7" w:rsidRDefault="001C61F7" w:rsidP="001C61F7">
      <w:pPr>
        <w:pStyle w:val="NewsletterHeading3"/>
      </w:pPr>
      <w:r w:rsidRPr="00594EA2">
        <w:t xml:space="preserve">Long </w:t>
      </w:r>
      <w:proofErr w:type="gramStart"/>
      <w:r>
        <w:t>s</w:t>
      </w:r>
      <w:r w:rsidRPr="00594EA2">
        <w:t xml:space="preserve">ervice </w:t>
      </w:r>
      <w:r>
        <w:t>l</w:t>
      </w:r>
      <w:r w:rsidRPr="00594EA2">
        <w:t>eave</w:t>
      </w:r>
      <w:proofErr w:type="gramEnd"/>
      <w:r w:rsidRPr="00594EA2">
        <w:t xml:space="preserve"> discount rates</w:t>
      </w:r>
    </w:p>
    <w:p w:rsidR="001C61F7" w:rsidRDefault="001C61F7" w:rsidP="001C61F7">
      <w:pPr>
        <w:pStyle w:val="NewsletterNormal"/>
      </w:pPr>
      <w:r w:rsidRPr="00594EA2">
        <w:t xml:space="preserve">The </w:t>
      </w:r>
      <w:r>
        <w:t>l</w:t>
      </w:r>
      <w:r w:rsidRPr="00594EA2">
        <w:t xml:space="preserve">ong </w:t>
      </w:r>
      <w:r>
        <w:t>s</w:t>
      </w:r>
      <w:r w:rsidRPr="00594EA2">
        <w:t xml:space="preserve">ervice </w:t>
      </w:r>
      <w:r>
        <w:t>l</w:t>
      </w:r>
      <w:r w:rsidRPr="00594EA2">
        <w:t xml:space="preserve">eave (LSL) discount rates are published </w:t>
      </w:r>
      <w:r>
        <w:t xml:space="preserve">by DTF </w:t>
      </w:r>
      <w:r w:rsidRPr="00594EA2">
        <w:t>quarterly (and monthly during the last quarter of 201</w:t>
      </w:r>
      <w:r>
        <w:t>3</w:t>
      </w:r>
      <w:r w:rsidR="008207D7">
        <w:noBreakHyphen/>
      </w:r>
      <w:r w:rsidRPr="00594EA2">
        <w:t>1</w:t>
      </w:r>
      <w:r>
        <w:t>4</w:t>
      </w:r>
      <w:r w:rsidRPr="00FD5C38">
        <w:t xml:space="preserve">) to assist entities in ascertaining their financial position prior to and at year end. The rates for </w:t>
      </w:r>
      <w:r w:rsidR="00752A25">
        <w:t>31 March 2014</w:t>
      </w:r>
      <w:r w:rsidRPr="00FD5C38">
        <w:t xml:space="preserve"> </w:t>
      </w:r>
      <w:r>
        <w:t>will be</w:t>
      </w:r>
      <w:r w:rsidRPr="00FD5C38">
        <w:t xml:space="preserve"> published on the DTF website </w:t>
      </w:r>
      <w:r>
        <w:t xml:space="preserve">at the beginning of </w:t>
      </w:r>
      <w:r w:rsidR="00752A25">
        <w:t>April</w:t>
      </w:r>
      <w:r w:rsidRPr="002F081A">
        <w:t xml:space="preserve">. </w:t>
      </w:r>
      <w:r w:rsidRPr="00B43392" w:rsidDel="00296F2A">
        <w:t xml:space="preserve"> </w:t>
      </w:r>
    </w:p>
    <w:p w:rsidR="001C61F7" w:rsidRPr="008709B7" w:rsidRDefault="001C61F7" w:rsidP="001C61F7">
      <w:pPr>
        <w:pStyle w:val="NewsletterHeading3"/>
      </w:pPr>
      <w:r w:rsidRPr="008709B7">
        <w:t>Budget and Financial Management Guidance (BFMGs)</w:t>
      </w:r>
    </w:p>
    <w:p w:rsidR="00DE2DF7" w:rsidRDefault="002C7410" w:rsidP="006C4F46">
      <w:pPr>
        <w:pStyle w:val="NewsletterNormal"/>
      </w:pPr>
      <w:r w:rsidRPr="00D461EF">
        <w:t>There have been no amendments to or new BFMGs issued since the last newsletter.</w:t>
      </w:r>
      <w:r w:rsidR="00DE2DF7" w:rsidRPr="008709B7">
        <w:t xml:space="preserve"> </w:t>
      </w:r>
    </w:p>
    <w:p w:rsidR="00DE2DF7" w:rsidRDefault="00DE2DF7" w:rsidP="00DE2DF7">
      <w:pPr>
        <w:pStyle w:val="NewsletterHeading1"/>
      </w:pPr>
      <w:bookmarkStart w:id="4" w:name="_Toc379186554"/>
      <w:r w:rsidRPr="002F081A">
        <w:t>2013</w:t>
      </w:r>
      <w:r w:rsidR="008207D7">
        <w:noBreakHyphen/>
      </w:r>
      <w:r w:rsidRPr="002F081A">
        <w:t>14 key financial publication dates for the State of Victoria</w:t>
      </w:r>
      <w:bookmarkEnd w:id="4"/>
    </w:p>
    <w:p w:rsidR="00DE2DF7" w:rsidRDefault="00DE2DF7" w:rsidP="00DE2DF7">
      <w:pPr>
        <w:pStyle w:val="NewsletterNormal"/>
      </w:pPr>
      <w:r w:rsidRPr="002F081A">
        <w:t>The following table shows the remaining indicative key publication tabling dates for 2013</w:t>
      </w:r>
      <w:r w:rsidR="008207D7">
        <w:noBreakHyphen/>
      </w:r>
      <w:r w:rsidRPr="002F081A">
        <w:t>14</w:t>
      </w:r>
      <w:r w:rsidRPr="00FD5C38">
        <w:t>.</w:t>
      </w:r>
    </w:p>
    <w:tbl>
      <w:tblPr>
        <w:tblStyle w:val="TableGrid"/>
        <w:tblW w:w="7051" w:type="dxa"/>
        <w:tblLook w:val="01E0" w:firstRow="1" w:lastRow="1" w:firstColumn="1" w:lastColumn="1" w:noHBand="0" w:noVBand="0"/>
      </w:tblPr>
      <w:tblGrid>
        <w:gridCol w:w="1431"/>
        <w:gridCol w:w="2482"/>
        <w:gridCol w:w="3138"/>
      </w:tblGrid>
      <w:tr w:rsidR="00DE2DF7" w:rsidRPr="00522459" w:rsidTr="009F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rsidR="00DE2DF7" w:rsidRPr="001C61F7" w:rsidRDefault="00DE2DF7" w:rsidP="009F2E99">
            <w:pPr>
              <w:pStyle w:val="TableText"/>
              <w:rPr>
                <w:b/>
              </w:rPr>
            </w:pPr>
            <w:r w:rsidRPr="001C61F7">
              <w:rPr>
                <w:b/>
              </w:rPr>
              <w:t>Reporting year</w:t>
            </w:r>
          </w:p>
        </w:tc>
        <w:tc>
          <w:tcPr>
            <w:tcW w:w="2482" w:type="dxa"/>
          </w:tcPr>
          <w:p w:rsidR="00DE2DF7" w:rsidRPr="001C61F7" w:rsidRDefault="00DE2DF7" w:rsidP="009F2E99">
            <w:pPr>
              <w:pStyle w:val="TableText"/>
              <w:cnfStyle w:val="100000000000" w:firstRow="1" w:lastRow="0" w:firstColumn="0" w:lastColumn="0" w:oddVBand="0" w:evenVBand="0" w:oddHBand="0" w:evenHBand="0" w:firstRowFirstColumn="0" w:firstRowLastColumn="0" w:lastRowFirstColumn="0" w:lastRowLastColumn="0"/>
              <w:rPr>
                <w:b/>
              </w:rPr>
            </w:pPr>
            <w:r w:rsidRPr="001C61F7">
              <w:rPr>
                <w:b/>
              </w:rPr>
              <w:t>Publication</w:t>
            </w:r>
          </w:p>
        </w:tc>
        <w:tc>
          <w:tcPr>
            <w:tcW w:w="3138" w:type="dxa"/>
          </w:tcPr>
          <w:p w:rsidR="00DE2DF7" w:rsidRPr="001C61F7" w:rsidRDefault="00DE2DF7" w:rsidP="009F2E99">
            <w:pPr>
              <w:pStyle w:val="TableText"/>
              <w:cnfStyle w:val="100000000000" w:firstRow="1" w:lastRow="0" w:firstColumn="0" w:lastColumn="0" w:oddVBand="0" w:evenVBand="0" w:oddHBand="0" w:evenHBand="0" w:firstRowFirstColumn="0" w:firstRowLastColumn="0" w:lastRowFirstColumn="0" w:lastRowLastColumn="0"/>
              <w:rPr>
                <w:b/>
              </w:rPr>
            </w:pPr>
            <w:r w:rsidRPr="001C61F7">
              <w:rPr>
                <w:b/>
              </w:rPr>
              <w:t xml:space="preserve">Preliminary tabling dates – </w:t>
            </w:r>
            <w:r w:rsidRPr="001C61F7">
              <w:rPr>
                <w:b/>
              </w:rPr>
              <w:br/>
              <w:t>actual dates to be confirmed</w:t>
            </w:r>
          </w:p>
        </w:tc>
      </w:tr>
      <w:tr w:rsidR="00DE2DF7" w:rsidRPr="00522459" w:rsidTr="009F2E99">
        <w:tc>
          <w:tcPr>
            <w:cnfStyle w:val="001000000000" w:firstRow="0" w:lastRow="0" w:firstColumn="1" w:lastColumn="0" w:oddVBand="0" w:evenVBand="0" w:oddHBand="0" w:evenHBand="0" w:firstRowFirstColumn="0" w:firstRowLastColumn="0" w:lastRowFirstColumn="0" w:lastRowLastColumn="0"/>
            <w:tcW w:w="1431" w:type="dxa"/>
          </w:tcPr>
          <w:p w:rsidR="00DE2DF7" w:rsidRPr="009A417A" w:rsidRDefault="00DE2DF7" w:rsidP="009F2E99">
            <w:pPr>
              <w:pStyle w:val="TableText"/>
              <w:rPr>
                <w:b/>
              </w:rPr>
            </w:pPr>
            <w:r w:rsidRPr="009A417A">
              <w:rPr>
                <w:b/>
              </w:rPr>
              <w:t>201</w:t>
            </w:r>
            <w:r>
              <w:rPr>
                <w:b/>
              </w:rPr>
              <w:t>3</w:t>
            </w:r>
            <w:r w:rsidR="008207D7">
              <w:rPr>
                <w:b/>
              </w:rPr>
              <w:noBreakHyphen/>
            </w:r>
            <w:r w:rsidRPr="009A417A">
              <w:rPr>
                <w:b/>
              </w:rPr>
              <w:t>1</w:t>
            </w:r>
            <w:r>
              <w:rPr>
                <w:b/>
              </w:rPr>
              <w:t>4</w:t>
            </w:r>
          </w:p>
        </w:tc>
        <w:tc>
          <w:tcPr>
            <w:tcW w:w="2482" w:type="dxa"/>
          </w:tcPr>
          <w:p w:rsidR="00DE2DF7" w:rsidRPr="00522459"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522459">
              <w:t>Mid</w:t>
            </w:r>
            <w:r w:rsidR="008207D7">
              <w:noBreakHyphen/>
            </w:r>
            <w:r w:rsidRPr="00522459">
              <w:t>Year Report</w:t>
            </w:r>
          </w:p>
        </w:tc>
        <w:tc>
          <w:tcPr>
            <w:tcW w:w="3138" w:type="dxa"/>
          </w:tcPr>
          <w:p w:rsidR="00DE2DF7" w:rsidRPr="00522459"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522459">
              <w:t xml:space="preserve">The legislative due date is </w:t>
            </w:r>
            <w:r w:rsidRPr="002F081A">
              <w:t>15 March 2014.</w:t>
            </w:r>
          </w:p>
        </w:tc>
      </w:tr>
      <w:tr w:rsidR="00DE2DF7" w:rsidRPr="00522459" w:rsidTr="009F2E99">
        <w:tc>
          <w:tcPr>
            <w:cnfStyle w:val="001000000000" w:firstRow="0" w:lastRow="0" w:firstColumn="1" w:lastColumn="0" w:oddVBand="0" w:evenVBand="0" w:oddHBand="0" w:evenHBand="0" w:firstRowFirstColumn="0" w:firstRowLastColumn="0" w:lastRowFirstColumn="0" w:lastRowLastColumn="0"/>
            <w:tcW w:w="1431" w:type="dxa"/>
          </w:tcPr>
          <w:p w:rsidR="00DE2DF7" w:rsidRPr="009A417A" w:rsidRDefault="00DE2DF7" w:rsidP="009F2E99">
            <w:pPr>
              <w:pStyle w:val="TableText"/>
              <w:rPr>
                <w:b/>
              </w:rPr>
            </w:pPr>
            <w:r w:rsidRPr="009A417A">
              <w:rPr>
                <w:b/>
              </w:rPr>
              <w:t>201</w:t>
            </w:r>
            <w:r>
              <w:rPr>
                <w:b/>
              </w:rPr>
              <w:t>4</w:t>
            </w:r>
            <w:r w:rsidR="008207D7">
              <w:rPr>
                <w:b/>
              </w:rPr>
              <w:noBreakHyphen/>
            </w:r>
            <w:r w:rsidRPr="009A417A">
              <w:rPr>
                <w:b/>
              </w:rPr>
              <w:t>1</w:t>
            </w:r>
            <w:r>
              <w:rPr>
                <w:b/>
              </w:rPr>
              <w:t>5</w:t>
            </w:r>
          </w:p>
        </w:tc>
        <w:tc>
          <w:tcPr>
            <w:tcW w:w="2482" w:type="dxa"/>
          </w:tcPr>
          <w:p w:rsidR="00DE2DF7" w:rsidRPr="002F081A"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2F081A">
              <w:t>Budget papers</w:t>
            </w:r>
          </w:p>
        </w:tc>
        <w:tc>
          <w:tcPr>
            <w:tcW w:w="3138" w:type="dxa"/>
          </w:tcPr>
          <w:p w:rsidR="00DE2DF7" w:rsidRPr="002F081A"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2F081A">
              <w:t>6 May 2014.</w:t>
            </w:r>
          </w:p>
        </w:tc>
      </w:tr>
      <w:tr w:rsidR="00DE2DF7" w:rsidRPr="00522459" w:rsidTr="009F2E99">
        <w:tc>
          <w:tcPr>
            <w:cnfStyle w:val="001000000000" w:firstRow="0" w:lastRow="0" w:firstColumn="1" w:lastColumn="0" w:oddVBand="0" w:evenVBand="0" w:oddHBand="0" w:evenHBand="0" w:firstRowFirstColumn="0" w:firstRowLastColumn="0" w:lastRowFirstColumn="0" w:lastRowLastColumn="0"/>
            <w:tcW w:w="1431" w:type="dxa"/>
          </w:tcPr>
          <w:p w:rsidR="00DE2DF7" w:rsidRPr="009A417A" w:rsidRDefault="00DE2DF7" w:rsidP="009F2E99">
            <w:pPr>
              <w:pStyle w:val="TableText"/>
              <w:rPr>
                <w:b/>
              </w:rPr>
            </w:pPr>
            <w:r w:rsidRPr="009A417A">
              <w:rPr>
                <w:b/>
              </w:rPr>
              <w:t>201</w:t>
            </w:r>
            <w:r>
              <w:rPr>
                <w:b/>
              </w:rPr>
              <w:t>3</w:t>
            </w:r>
            <w:r w:rsidR="008207D7">
              <w:rPr>
                <w:b/>
              </w:rPr>
              <w:noBreakHyphen/>
            </w:r>
            <w:r w:rsidRPr="009A417A">
              <w:rPr>
                <w:b/>
              </w:rPr>
              <w:t>1</w:t>
            </w:r>
            <w:r>
              <w:rPr>
                <w:b/>
              </w:rPr>
              <w:t>4</w:t>
            </w:r>
          </w:p>
        </w:tc>
        <w:tc>
          <w:tcPr>
            <w:tcW w:w="2482" w:type="dxa"/>
          </w:tcPr>
          <w:p w:rsidR="00DE2DF7" w:rsidRPr="00522459"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522459">
              <w:t>Annual Financial Report</w:t>
            </w:r>
          </w:p>
        </w:tc>
        <w:tc>
          <w:tcPr>
            <w:tcW w:w="3138" w:type="dxa"/>
          </w:tcPr>
          <w:p w:rsidR="00DE2DF7" w:rsidRPr="00522459" w:rsidRDefault="00DE2DF7" w:rsidP="009F2E99">
            <w:pPr>
              <w:pStyle w:val="TableText"/>
              <w:cnfStyle w:val="000000000000" w:firstRow="0" w:lastRow="0" w:firstColumn="0" w:lastColumn="0" w:oddVBand="0" w:evenVBand="0" w:oddHBand="0" w:evenHBand="0" w:firstRowFirstColumn="0" w:firstRowLastColumn="0" w:lastRowFirstColumn="0" w:lastRowLastColumn="0"/>
            </w:pPr>
            <w:r w:rsidRPr="00522459">
              <w:t xml:space="preserve">To be advised, but </w:t>
            </w:r>
            <w:r>
              <w:t xml:space="preserve">anticipated for the end of September, </w:t>
            </w:r>
            <w:r w:rsidRPr="00522459">
              <w:t xml:space="preserve">consistent with </w:t>
            </w:r>
            <w:r>
              <w:t>recent practice</w:t>
            </w:r>
            <w:r w:rsidRPr="002F081A">
              <w:t>. Legislated due date is 15 October 2014.</w:t>
            </w:r>
          </w:p>
        </w:tc>
      </w:tr>
      <w:tr w:rsidR="00DE2DF7" w:rsidRPr="00522459" w:rsidTr="009F2E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rsidR="00DE2DF7" w:rsidRPr="009A417A" w:rsidRDefault="00DE2DF7" w:rsidP="009F2E99">
            <w:pPr>
              <w:pStyle w:val="TableText"/>
              <w:rPr>
                <w:b/>
              </w:rPr>
            </w:pPr>
            <w:r w:rsidRPr="009A417A">
              <w:rPr>
                <w:b/>
              </w:rPr>
              <w:t>201</w:t>
            </w:r>
            <w:r>
              <w:rPr>
                <w:b/>
              </w:rPr>
              <w:t>3</w:t>
            </w:r>
            <w:r w:rsidR="008207D7">
              <w:rPr>
                <w:b/>
              </w:rPr>
              <w:noBreakHyphen/>
            </w:r>
            <w:r w:rsidRPr="009A417A">
              <w:rPr>
                <w:b/>
              </w:rPr>
              <w:t>1</w:t>
            </w:r>
            <w:r>
              <w:rPr>
                <w:b/>
              </w:rPr>
              <w:t>4</w:t>
            </w:r>
          </w:p>
        </w:tc>
        <w:tc>
          <w:tcPr>
            <w:tcW w:w="2482" w:type="dxa"/>
          </w:tcPr>
          <w:p w:rsidR="00DE2DF7" w:rsidRPr="00522459" w:rsidRDefault="00DE2DF7" w:rsidP="009F2E99">
            <w:pPr>
              <w:pStyle w:val="TableText"/>
              <w:cnfStyle w:val="010000000000" w:firstRow="0" w:lastRow="1" w:firstColumn="0" w:lastColumn="0" w:oddVBand="0" w:evenVBand="0" w:oddHBand="0" w:evenHBand="0" w:firstRowFirstColumn="0" w:firstRowLastColumn="0" w:lastRowFirstColumn="0" w:lastRowLastColumn="0"/>
            </w:pPr>
            <w:r>
              <w:t>Department and</w:t>
            </w:r>
            <w:r w:rsidRPr="00522459">
              <w:t xml:space="preserve"> entity reporting</w:t>
            </w:r>
          </w:p>
        </w:tc>
        <w:tc>
          <w:tcPr>
            <w:tcW w:w="3138" w:type="dxa"/>
          </w:tcPr>
          <w:p w:rsidR="00DE2DF7" w:rsidRPr="00522459" w:rsidRDefault="00DE2DF7" w:rsidP="009F2E99">
            <w:pPr>
              <w:pStyle w:val="TableText"/>
              <w:cnfStyle w:val="010000000000" w:firstRow="0" w:lastRow="1" w:firstColumn="0" w:lastColumn="0" w:oddVBand="0" w:evenVBand="0" w:oddHBand="0" w:evenHBand="0" w:firstRowFirstColumn="0" w:firstRowLastColumn="0" w:lastRowFirstColumn="0" w:lastRowLastColumn="0"/>
            </w:pPr>
            <w:r w:rsidRPr="00522459">
              <w:t xml:space="preserve">To be advised, </w:t>
            </w:r>
            <w:r>
              <w:t xml:space="preserve">but </w:t>
            </w:r>
            <w:r w:rsidRPr="00522459">
              <w:t>expected to be tabled progressively on or before the last s</w:t>
            </w:r>
            <w:r>
              <w:t>itting day in September 2014</w:t>
            </w:r>
            <w:r w:rsidRPr="00522459">
              <w:t>.</w:t>
            </w:r>
          </w:p>
        </w:tc>
      </w:tr>
    </w:tbl>
    <w:p w:rsidR="003A02B0" w:rsidRDefault="003A02B0" w:rsidP="006C4F46">
      <w:pPr>
        <w:pStyle w:val="NewsletterNormal"/>
      </w:pPr>
      <w:r w:rsidRPr="006C4F46">
        <w:br w:type="column"/>
      </w:r>
    </w:p>
    <w:p w:rsidR="003A02B0" w:rsidRDefault="00DE2DF7" w:rsidP="003A02B0">
      <w:pPr>
        <w:pStyle w:val="NewsletterHeading1"/>
      </w:pPr>
      <w:r>
        <w:br w:type="column"/>
      </w:r>
      <w:bookmarkStart w:id="5" w:name="_Toc379186555"/>
      <w:r w:rsidR="003A02B0" w:rsidRPr="002F081A">
        <w:t xml:space="preserve">Key </w:t>
      </w:r>
      <w:r w:rsidR="008207D7">
        <w:t>AASB </w:t>
      </w:r>
      <w:r w:rsidR="003A02B0" w:rsidRPr="002F081A">
        <w:t>Standards issued but not effective for 2013</w:t>
      </w:r>
      <w:r w:rsidR="008207D7">
        <w:noBreakHyphen/>
      </w:r>
      <w:r w:rsidR="003A02B0" w:rsidRPr="002F081A">
        <w:t>14</w:t>
      </w:r>
      <w:bookmarkEnd w:id="5"/>
    </w:p>
    <w:p w:rsidR="003A02B0" w:rsidRDefault="003A02B0" w:rsidP="003A02B0">
      <w:pPr>
        <w:pStyle w:val="NewsletterHeading2"/>
      </w:pPr>
      <w:r>
        <w:t>Effective from 2</w:t>
      </w:r>
      <w:r w:rsidRPr="00594EA2">
        <w:t>01</w:t>
      </w:r>
      <w:r>
        <w:t>4</w:t>
      </w:r>
      <w:r w:rsidR="008207D7">
        <w:noBreakHyphen/>
      </w:r>
      <w:r w:rsidRPr="00594EA2">
        <w:t>1</w:t>
      </w:r>
      <w:r>
        <w:t xml:space="preserve">5 </w:t>
      </w:r>
    </w:p>
    <w:p w:rsidR="003A02B0" w:rsidRDefault="003A02B0" w:rsidP="003A02B0">
      <w:pPr>
        <w:pStyle w:val="NewsletterHeading3"/>
      </w:pPr>
      <w:r>
        <w:t xml:space="preserve">The ‘package of five’ </w:t>
      </w:r>
    </w:p>
    <w:p w:rsidR="003A02B0" w:rsidRDefault="003A02B0" w:rsidP="003A02B0">
      <w:pPr>
        <w:pStyle w:val="NewsletterHeading3"/>
        <w:rPr>
          <w:b w:val="0"/>
        </w:rPr>
      </w:pPr>
      <w:r w:rsidRPr="00CF32B1">
        <w:rPr>
          <w:b w:val="0"/>
        </w:rPr>
        <w:t xml:space="preserve">The IASB issued the ‘package </w:t>
      </w:r>
      <w:r>
        <w:rPr>
          <w:b w:val="0"/>
        </w:rPr>
        <w:t xml:space="preserve">of </w:t>
      </w:r>
      <w:r w:rsidRPr="00CF32B1">
        <w:rPr>
          <w:b w:val="0"/>
        </w:rPr>
        <w:t>five’ standards in 2011, including</w:t>
      </w:r>
      <w:r>
        <w:rPr>
          <w:b w:val="0"/>
        </w:rPr>
        <w:t>:</w:t>
      </w:r>
    </w:p>
    <w:p w:rsidR="003A02B0" w:rsidRDefault="008207D7" w:rsidP="003A02B0">
      <w:pPr>
        <w:pStyle w:val="NewsletterBullet1"/>
      </w:pPr>
      <w:r>
        <w:t>AASB </w:t>
      </w:r>
      <w:r w:rsidR="003A02B0" w:rsidRPr="002F081A">
        <w:t xml:space="preserve">10 </w:t>
      </w:r>
      <w:r w:rsidR="003A02B0" w:rsidRPr="00E31E1D">
        <w:rPr>
          <w:i/>
        </w:rPr>
        <w:t>Consolidated Financial Statements</w:t>
      </w:r>
      <w:r w:rsidR="003A02B0">
        <w:rPr>
          <w:i/>
        </w:rPr>
        <w:t xml:space="preserve">, </w:t>
      </w:r>
      <w:r w:rsidR="003A02B0">
        <w:t>which retains the focus of the control principle in determining whether an entity needs t</w:t>
      </w:r>
      <w:r w:rsidR="00E25A7C">
        <w:t>o consolidate another</w:t>
      </w:r>
      <w:r w:rsidR="00F46202">
        <w:t xml:space="preserve"> entity</w:t>
      </w:r>
      <w:r w:rsidR="00E25A7C">
        <w:t>. T</w:t>
      </w:r>
      <w:r w:rsidR="003A02B0">
        <w:t>he Standard revises the definition of ‘control’, with three key criteria including:</w:t>
      </w:r>
    </w:p>
    <w:p w:rsidR="003A02B0" w:rsidRDefault="008207D7" w:rsidP="003A02B0">
      <w:pPr>
        <w:pStyle w:val="NewsletterBullet2"/>
      </w:pPr>
      <w:r>
        <w:t xml:space="preserve">power </w:t>
      </w:r>
      <w:r w:rsidR="003A02B0">
        <w:t>over the investee;</w:t>
      </w:r>
    </w:p>
    <w:p w:rsidR="003A02B0" w:rsidRDefault="008207D7" w:rsidP="003A02B0">
      <w:pPr>
        <w:pStyle w:val="NewsletterBullet2"/>
      </w:pPr>
      <w:r w:rsidRPr="00187AC3">
        <w:t>exposure</w:t>
      </w:r>
      <w:r w:rsidR="003A02B0" w:rsidRPr="00187AC3">
        <w:t>, or rights, to variable returns from an investee</w:t>
      </w:r>
      <w:r w:rsidR="003A02B0">
        <w:t>; and</w:t>
      </w:r>
    </w:p>
    <w:p w:rsidR="003A02B0" w:rsidRDefault="008207D7" w:rsidP="003A02B0">
      <w:pPr>
        <w:pStyle w:val="NewsletterBullet2"/>
      </w:pPr>
      <w:proofErr w:type="gramStart"/>
      <w:r>
        <w:t>investor’s</w:t>
      </w:r>
      <w:proofErr w:type="gramEnd"/>
      <w:r>
        <w:t xml:space="preserve"> </w:t>
      </w:r>
      <w:r w:rsidR="003A02B0">
        <w:t>ability to use its power to affect the amount of investee’s returns.</w:t>
      </w:r>
    </w:p>
    <w:p w:rsidR="003A02B0" w:rsidRDefault="003A02B0" w:rsidP="008207D7">
      <w:pPr>
        <w:pStyle w:val="NewsletterNormalindent"/>
      </w:pPr>
      <w:r>
        <w:t xml:space="preserve">VPS entities will need to evaluate the impact of </w:t>
      </w:r>
      <w:r w:rsidR="008207D7">
        <w:t>AASB </w:t>
      </w:r>
      <w:r w:rsidR="00F46202">
        <w:t>10 in the</w:t>
      </w:r>
      <w:r>
        <w:t xml:space="preserve"> assessment of the entities that they are required to consolidate. Assessment is also required as to the relationship with any structured entities and whether the disclosure in </w:t>
      </w:r>
      <w:r w:rsidR="008207D7">
        <w:t>AASB </w:t>
      </w:r>
      <w:r>
        <w:t>12 applies.</w:t>
      </w:r>
    </w:p>
    <w:p w:rsidR="003A02B0" w:rsidRDefault="008207D7" w:rsidP="003A02B0">
      <w:pPr>
        <w:pStyle w:val="NewsletterBullet1"/>
      </w:pPr>
      <w:r>
        <w:t>AASB </w:t>
      </w:r>
      <w:r w:rsidR="003A02B0" w:rsidRPr="002F081A">
        <w:t>11</w:t>
      </w:r>
      <w:r w:rsidR="003A02B0" w:rsidRPr="002F081A">
        <w:rPr>
          <w:sz w:val="22"/>
        </w:rPr>
        <w:t xml:space="preserve"> </w:t>
      </w:r>
      <w:r w:rsidR="003A02B0" w:rsidRPr="00E31E1D">
        <w:rPr>
          <w:i/>
        </w:rPr>
        <w:t>Joint Arrangements</w:t>
      </w:r>
      <w:r w:rsidR="003A02B0">
        <w:rPr>
          <w:i/>
        </w:rPr>
        <w:t xml:space="preserve">, </w:t>
      </w:r>
      <w:r w:rsidR="003A02B0">
        <w:t xml:space="preserve">which replaces and alters the existing method of accounting for joint ventures, which </w:t>
      </w:r>
      <w:r w:rsidR="002C7410">
        <w:t xml:space="preserve">is currently prescribed by </w:t>
      </w:r>
      <w:r>
        <w:t>AASB </w:t>
      </w:r>
      <w:r w:rsidR="003A02B0">
        <w:t xml:space="preserve">131 </w:t>
      </w:r>
      <w:r w:rsidR="003A02B0" w:rsidRPr="002F081A">
        <w:rPr>
          <w:i/>
        </w:rPr>
        <w:t>Interests in Joint Ventures</w:t>
      </w:r>
      <w:r w:rsidR="001F15FE">
        <w:t>.</w:t>
      </w:r>
    </w:p>
    <w:p w:rsidR="003A02B0" w:rsidRDefault="008207D7" w:rsidP="003A02B0">
      <w:pPr>
        <w:pStyle w:val="NewsletterBullet1"/>
      </w:pPr>
      <w:r>
        <w:t>AASB </w:t>
      </w:r>
      <w:r w:rsidR="003A02B0" w:rsidRPr="002F081A">
        <w:t xml:space="preserve">12 </w:t>
      </w:r>
      <w:r w:rsidR="003A02B0" w:rsidRPr="00E31E1D">
        <w:rPr>
          <w:i/>
        </w:rPr>
        <w:t>Disclosure of Interests in Other Entities</w:t>
      </w:r>
      <w:r w:rsidR="003A02B0">
        <w:t>, which requires extensive disclosure of information that enables users of financial statements to evaluate the nature of, and risks associated with, interests in other entities and the effects of those intere</w:t>
      </w:r>
      <w:r w:rsidR="001F15FE">
        <w:t>sts on the financial statements.</w:t>
      </w:r>
    </w:p>
    <w:p w:rsidR="00457067" w:rsidRDefault="008207D7">
      <w:pPr>
        <w:pStyle w:val="NewsletterBullet1"/>
      </w:pPr>
      <w:r>
        <w:t>AASB </w:t>
      </w:r>
      <w:r w:rsidR="003A02B0" w:rsidRPr="002F081A">
        <w:t xml:space="preserve">127 </w:t>
      </w:r>
      <w:r w:rsidR="003A02B0" w:rsidRPr="00CF32B1">
        <w:rPr>
          <w:i/>
        </w:rPr>
        <w:t>Separate Financial Statements</w:t>
      </w:r>
      <w:r w:rsidR="003A02B0">
        <w:rPr>
          <w:i/>
        </w:rPr>
        <w:t xml:space="preserve">, </w:t>
      </w:r>
      <w:r w:rsidR="003A02B0">
        <w:t xml:space="preserve">which </w:t>
      </w:r>
      <w:r w:rsidR="003A02B0" w:rsidRPr="0028438C">
        <w:t>prescribes the accounting and disclosure requirements for investments in subsidiaries, joint ventures and</w:t>
      </w:r>
      <w:r w:rsidR="003A02B0">
        <w:t xml:space="preserve"> </w:t>
      </w:r>
      <w:r w:rsidR="003A02B0" w:rsidRPr="0028438C">
        <w:t>associates when an entity prepares separate financial statements</w:t>
      </w:r>
      <w:r w:rsidR="001F15FE">
        <w:t>.</w:t>
      </w:r>
    </w:p>
    <w:p w:rsidR="003A02B0" w:rsidRDefault="008207D7">
      <w:pPr>
        <w:pStyle w:val="NewsletterBullet1"/>
      </w:pPr>
      <w:r>
        <w:t>AASB </w:t>
      </w:r>
      <w:r w:rsidR="005F40E0" w:rsidRPr="002F081A">
        <w:t xml:space="preserve">128 </w:t>
      </w:r>
      <w:r w:rsidR="005F40E0" w:rsidRPr="00E31E1D">
        <w:rPr>
          <w:i/>
        </w:rPr>
        <w:t>Investments in Associates and Joint Ventures</w:t>
      </w:r>
      <w:r w:rsidR="00970506">
        <w:t xml:space="preserve">, which prescribes the accounting for investments </w:t>
      </w:r>
      <w:r w:rsidR="00E25A7C">
        <w:t xml:space="preserve">in </w:t>
      </w:r>
      <w:r w:rsidR="00970506">
        <w:t xml:space="preserve">associates and </w:t>
      </w:r>
      <w:r w:rsidR="00970506" w:rsidRPr="0028438C">
        <w:t>sets out the requirements for th</w:t>
      </w:r>
      <w:r w:rsidR="003A02B0">
        <w:t>e</w:t>
      </w:r>
      <w:r w:rsidR="003A02B0" w:rsidRPr="003A02B0">
        <w:t xml:space="preserve"> </w:t>
      </w:r>
      <w:r w:rsidR="003A02B0" w:rsidRPr="0028438C">
        <w:t>application of the equity method when accounting for investments in associates and joint ventures.</w:t>
      </w:r>
      <w:r w:rsidR="003A02B0">
        <w:t xml:space="preserve"> The revision to </w:t>
      </w:r>
      <w:r>
        <w:t>AASB </w:t>
      </w:r>
      <w:r w:rsidR="003A02B0">
        <w:t xml:space="preserve">128 aligns with the requirements for joint ventures introduced in </w:t>
      </w:r>
      <w:r>
        <w:t>AASB </w:t>
      </w:r>
      <w:r w:rsidR="003A02B0">
        <w:t xml:space="preserve">11. When applied, this revised Standard supersedes </w:t>
      </w:r>
      <w:r w:rsidR="00693162">
        <w:t xml:space="preserve">the existing </w:t>
      </w:r>
      <w:r>
        <w:t>AASB </w:t>
      </w:r>
      <w:r w:rsidR="003A02B0">
        <w:t xml:space="preserve">128 </w:t>
      </w:r>
      <w:r w:rsidR="003A02B0" w:rsidRPr="00EF5EAF">
        <w:rPr>
          <w:i/>
        </w:rPr>
        <w:t>Investments in Associates</w:t>
      </w:r>
      <w:r w:rsidR="003A02B0">
        <w:t>.</w:t>
      </w:r>
    </w:p>
    <w:p w:rsidR="001C6D70" w:rsidRDefault="004C28B7" w:rsidP="006C4F46">
      <w:pPr>
        <w:pStyle w:val="NewsletterNormal"/>
      </w:pPr>
      <w:r w:rsidRPr="00252386">
        <w:t xml:space="preserve">For </w:t>
      </w:r>
      <w:r w:rsidR="002C7410">
        <w:t xml:space="preserve">entities that report on a calendar year basis, the above five standards became effective from 1 January 2014. However, for most VPS entities, the five standards will be applicable from </w:t>
      </w:r>
      <w:r w:rsidR="00C706CC">
        <w:t xml:space="preserve">the </w:t>
      </w:r>
      <w:r w:rsidR="002C7410">
        <w:t>2014</w:t>
      </w:r>
      <w:r w:rsidR="008207D7">
        <w:noBreakHyphen/>
      </w:r>
      <w:r w:rsidR="002C7410">
        <w:t xml:space="preserve">15 reporting period onwards. </w:t>
      </w:r>
    </w:p>
    <w:p w:rsidR="00F7787D" w:rsidRDefault="002C7410" w:rsidP="006C4F46">
      <w:pPr>
        <w:pStyle w:val="NewsletterNormal"/>
      </w:pPr>
      <w:r>
        <w:t xml:space="preserve">Accordingly, </w:t>
      </w:r>
      <w:r w:rsidR="00F05730">
        <w:t>entities are encouraged to review/reassess the relationships they have with other entities and the potential reporting implications, in light of the transition requirement set out in the standards.</w:t>
      </w:r>
      <w:r w:rsidR="004C28B7" w:rsidRPr="00252386">
        <w:t xml:space="preserve"> </w:t>
      </w:r>
      <w:r w:rsidR="004C13E5">
        <w:t>R</w:t>
      </w:r>
      <w:r w:rsidR="004C28B7">
        <w:t xml:space="preserve">efer to the August 2013 </w:t>
      </w:r>
      <w:r w:rsidR="004C28B7" w:rsidRPr="00252386">
        <w:rPr>
          <w:i/>
        </w:rPr>
        <w:t>Accounting Policy Update</w:t>
      </w:r>
      <w:r w:rsidR="003A02B0">
        <w:t>, Edition</w:t>
      </w:r>
      <w:r w:rsidR="00693162">
        <w:t xml:space="preserve"> No.</w:t>
      </w:r>
      <w:r w:rsidR="003A02B0">
        <w:t> </w:t>
      </w:r>
      <w:r w:rsidR="004C28B7">
        <w:t>24</w:t>
      </w:r>
      <w:r w:rsidR="004C13E5">
        <w:t xml:space="preserve"> for more details on the requirements related to the ‘package of five’ standards</w:t>
      </w:r>
      <w:r w:rsidR="004C28B7">
        <w:t>.</w:t>
      </w:r>
    </w:p>
    <w:p w:rsidR="00DE2DF7" w:rsidRDefault="00DE2DF7" w:rsidP="006C4F46">
      <w:pPr>
        <w:pStyle w:val="NewsletterNormal"/>
      </w:pPr>
    </w:p>
    <w:p w:rsidR="00DE2DF7" w:rsidRDefault="00DE2DF7" w:rsidP="006C4F46">
      <w:pPr>
        <w:pStyle w:val="NewsletterHeading3"/>
      </w:pPr>
      <w:r>
        <w:br w:type="column"/>
      </w:r>
      <w:r w:rsidR="008207D7">
        <w:br w:type="column"/>
      </w:r>
      <w:r w:rsidR="00F7787D">
        <w:t xml:space="preserve">Implementation guidance to </w:t>
      </w:r>
      <w:r w:rsidR="008207D7">
        <w:t>AASB </w:t>
      </w:r>
      <w:r w:rsidR="00F7787D">
        <w:t xml:space="preserve">10 and </w:t>
      </w:r>
      <w:r w:rsidR="008207D7">
        <w:t>AASB </w:t>
      </w:r>
      <w:r w:rsidR="00F7787D">
        <w:t>12</w:t>
      </w:r>
    </w:p>
    <w:p w:rsidR="00DA25C2" w:rsidRDefault="009B1300" w:rsidP="006C4F46">
      <w:pPr>
        <w:pStyle w:val="NewsletterNormal"/>
        <w:rPr>
          <w:szCs w:val="20"/>
        </w:rPr>
      </w:pPr>
      <w:r>
        <w:t xml:space="preserve">The </w:t>
      </w:r>
      <w:r w:rsidR="008207D7">
        <w:t>AASB </w:t>
      </w:r>
      <w:r w:rsidR="001F193F">
        <w:t>2013</w:t>
      </w:r>
      <w:r w:rsidR="008207D7">
        <w:noBreakHyphen/>
      </w:r>
      <w:r w:rsidR="001F193F">
        <w:t>8</w:t>
      </w:r>
      <w:r w:rsidR="005D1FF8">
        <w:t xml:space="preserve"> </w:t>
      </w:r>
      <w:r w:rsidR="001F193F" w:rsidRPr="006C4F46">
        <w:rPr>
          <w:i/>
        </w:rPr>
        <w:t>Australian Implementation Guidance for Not</w:t>
      </w:r>
      <w:r w:rsidR="008207D7">
        <w:rPr>
          <w:i/>
        </w:rPr>
        <w:noBreakHyphen/>
      </w:r>
      <w:r w:rsidR="001F193F" w:rsidRPr="006C4F46">
        <w:rPr>
          <w:i/>
        </w:rPr>
        <w:t>for</w:t>
      </w:r>
      <w:r w:rsidR="008207D7">
        <w:rPr>
          <w:i/>
        </w:rPr>
        <w:noBreakHyphen/>
      </w:r>
      <w:r w:rsidR="001F193F" w:rsidRPr="006C4F46">
        <w:rPr>
          <w:i/>
        </w:rPr>
        <w:t>Profit Entities –</w:t>
      </w:r>
      <w:r>
        <w:rPr>
          <w:i/>
        </w:rPr>
        <w:t xml:space="preserve"> Control and Structured </w:t>
      </w:r>
      <w:r w:rsidR="00EC4AEA">
        <w:rPr>
          <w:i/>
        </w:rPr>
        <w:t>Entities</w:t>
      </w:r>
      <w:r w:rsidR="00DA25C2">
        <w:rPr>
          <w:i/>
        </w:rPr>
        <w:t xml:space="preserve"> </w:t>
      </w:r>
      <w:r w:rsidR="001F193F">
        <w:rPr>
          <w:szCs w:val="20"/>
        </w:rPr>
        <w:t>add</w:t>
      </w:r>
      <w:r w:rsidR="00DA25C2">
        <w:rPr>
          <w:szCs w:val="20"/>
        </w:rPr>
        <w:t>s</w:t>
      </w:r>
      <w:r w:rsidR="001F193F">
        <w:rPr>
          <w:szCs w:val="20"/>
        </w:rPr>
        <w:t xml:space="preserve"> </w:t>
      </w:r>
      <w:r w:rsidR="00DA25C2">
        <w:rPr>
          <w:szCs w:val="20"/>
        </w:rPr>
        <w:t>authoritative implementation guidance</w:t>
      </w:r>
      <w:r w:rsidR="001F193F">
        <w:rPr>
          <w:szCs w:val="20"/>
        </w:rPr>
        <w:t xml:space="preserve"> to </w:t>
      </w:r>
      <w:r w:rsidR="008207D7">
        <w:rPr>
          <w:szCs w:val="20"/>
        </w:rPr>
        <w:t>AASB </w:t>
      </w:r>
      <w:r w:rsidR="005D1FF8">
        <w:rPr>
          <w:szCs w:val="20"/>
        </w:rPr>
        <w:t>10</w:t>
      </w:r>
      <w:r w:rsidR="00DA25C2">
        <w:rPr>
          <w:szCs w:val="20"/>
        </w:rPr>
        <w:t xml:space="preserve"> and </w:t>
      </w:r>
      <w:r w:rsidR="008207D7">
        <w:rPr>
          <w:szCs w:val="20"/>
        </w:rPr>
        <w:t>AASB </w:t>
      </w:r>
      <w:r w:rsidR="00DA25C2">
        <w:rPr>
          <w:szCs w:val="20"/>
        </w:rPr>
        <w:t xml:space="preserve">12, and also makes related amendments to </w:t>
      </w:r>
      <w:r w:rsidR="008207D7">
        <w:rPr>
          <w:szCs w:val="20"/>
        </w:rPr>
        <w:t>AASB </w:t>
      </w:r>
      <w:r w:rsidR="00DA25C2">
        <w:rPr>
          <w:szCs w:val="20"/>
        </w:rPr>
        <w:t xml:space="preserve">1049 </w:t>
      </w:r>
      <w:r w:rsidR="00DA25C2" w:rsidRPr="006C4F46">
        <w:rPr>
          <w:i/>
          <w:szCs w:val="20"/>
        </w:rPr>
        <w:t>Whole of Government and General Government Sector Financial Reporting</w:t>
      </w:r>
      <w:r w:rsidR="00DA25C2">
        <w:rPr>
          <w:szCs w:val="20"/>
        </w:rPr>
        <w:t xml:space="preserve">. </w:t>
      </w:r>
      <w:r w:rsidR="004C24EC">
        <w:rPr>
          <w:szCs w:val="20"/>
        </w:rPr>
        <w:t>Key aspects addressed in this guidance include:</w:t>
      </w:r>
    </w:p>
    <w:p w:rsidR="001F193F" w:rsidRPr="006C4F46" w:rsidRDefault="00AD2270">
      <w:pPr>
        <w:pStyle w:val="NewsletterBullet1"/>
        <w:rPr>
          <w:i/>
        </w:rPr>
      </w:pPr>
      <w:r>
        <w:rPr>
          <w:szCs w:val="20"/>
        </w:rPr>
        <w:t>c</w:t>
      </w:r>
      <w:r w:rsidR="007E519B">
        <w:rPr>
          <w:szCs w:val="20"/>
        </w:rPr>
        <w:t>larification</w:t>
      </w:r>
      <w:r w:rsidR="002A3055">
        <w:rPr>
          <w:szCs w:val="20"/>
        </w:rPr>
        <w:t xml:space="preserve"> of </w:t>
      </w:r>
      <w:r w:rsidR="007E519B">
        <w:rPr>
          <w:szCs w:val="20"/>
        </w:rPr>
        <w:t xml:space="preserve">the </w:t>
      </w:r>
      <w:r w:rsidR="002A3055">
        <w:rPr>
          <w:szCs w:val="20"/>
        </w:rPr>
        <w:t>basic term</w:t>
      </w:r>
      <w:r w:rsidR="001F193F">
        <w:rPr>
          <w:szCs w:val="20"/>
        </w:rPr>
        <w:t xml:space="preserve">: </w:t>
      </w:r>
      <w:r w:rsidR="002A3055">
        <w:rPr>
          <w:szCs w:val="20"/>
        </w:rPr>
        <w:t xml:space="preserve">investor vs. </w:t>
      </w:r>
      <w:r w:rsidR="001F193F">
        <w:rPr>
          <w:szCs w:val="20"/>
        </w:rPr>
        <w:t>investee</w:t>
      </w:r>
      <w:r w:rsidR="002A3055">
        <w:rPr>
          <w:szCs w:val="20"/>
        </w:rPr>
        <w:t xml:space="preserve"> – generally mean</w:t>
      </w:r>
      <w:r w:rsidR="007E519B">
        <w:rPr>
          <w:szCs w:val="20"/>
        </w:rPr>
        <w:t>s</w:t>
      </w:r>
      <w:r w:rsidR="002A3055">
        <w:rPr>
          <w:szCs w:val="20"/>
        </w:rPr>
        <w:t xml:space="preserve"> entities that have a relationship in which control of one entity (the investee) by the other (the investor) might arise;</w:t>
      </w:r>
    </w:p>
    <w:p w:rsidR="00DB4963" w:rsidRPr="006C4F46" w:rsidRDefault="00AD2270">
      <w:pPr>
        <w:pStyle w:val="NewsletterBullet1"/>
        <w:rPr>
          <w:i/>
        </w:rPr>
      </w:pPr>
      <w:r>
        <w:rPr>
          <w:szCs w:val="20"/>
        </w:rPr>
        <w:t>i</w:t>
      </w:r>
      <w:r w:rsidR="00DB4963">
        <w:rPr>
          <w:szCs w:val="20"/>
        </w:rPr>
        <w:t xml:space="preserve">nvestor’s power over investee – the guidance in </w:t>
      </w:r>
      <w:r w:rsidR="00791500">
        <w:rPr>
          <w:szCs w:val="20"/>
        </w:rPr>
        <w:t>paragraph</w:t>
      </w:r>
      <w:r w:rsidR="00F46202">
        <w:rPr>
          <w:szCs w:val="20"/>
        </w:rPr>
        <w:t>s</w:t>
      </w:r>
      <w:r w:rsidR="00791500">
        <w:rPr>
          <w:szCs w:val="20"/>
        </w:rPr>
        <w:t xml:space="preserve"> IG 5 – IG 17</w:t>
      </w:r>
      <w:r w:rsidR="00DB4963">
        <w:rPr>
          <w:szCs w:val="20"/>
        </w:rPr>
        <w:t xml:space="preserve"> </w:t>
      </w:r>
      <w:r w:rsidR="00A85A64">
        <w:rPr>
          <w:szCs w:val="20"/>
        </w:rPr>
        <w:t xml:space="preserve">addresses when a </w:t>
      </w:r>
      <w:r w:rsidR="007E519B">
        <w:rPr>
          <w:szCs w:val="20"/>
        </w:rPr>
        <w:t>not-for-profit (</w:t>
      </w:r>
      <w:r w:rsidR="00A85A64">
        <w:rPr>
          <w:szCs w:val="20"/>
        </w:rPr>
        <w:t>NFP</w:t>
      </w:r>
      <w:r w:rsidR="007E519B">
        <w:rPr>
          <w:szCs w:val="20"/>
        </w:rPr>
        <w:t>)</w:t>
      </w:r>
      <w:r w:rsidR="00A85A64">
        <w:rPr>
          <w:szCs w:val="20"/>
        </w:rPr>
        <w:t xml:space="preserve"> entity has </w:t>
      </w:r>
      <w:r w:rsidR="009B2ED5">
        <w:rPr>
          <w:szCs w:val="20"/>
        </w:rPr>
        <w:t xml:space="preserve">rights (other than voting rights or rights arising from contractual arrangements) </w:t>
      </w:r>
      <w:r w:rsidR="00A85A64">
        <w:rPr>
          <w:szCs w:val="20"/>
        </w:rPr>
        <w:t>that give it the current ability to direct the relevant activities of another entity, including possible sources of decision</w:t>
      </w:r>
      <w:r w:rsidR="008207D7">
        <w:rPr>
          <w:szCs w:val="20"/>
        </w:rPr>
        <w:noBreakHyphen/>
      </w:r>
      <w:r w:rsidR="00A85A64">
        <w:rPr>
          <w:szCs w:val="20"/>
        </w:rPr>
        <w:t>making rights relevant for NFP entities, and when rights would be considered substantive or protective rights;</w:t>
      </w:r>
    </w:p>
    <w:p w:rsidR="00E136F1" w:rsidRPr="006C4F46" w:rsidRDefault="00AD2270">
      <w:pPr>
        <w:pStyle w:val="NewsletterBullet1"/>
        <w:rPr>
          <w:i/>
        </w:rPr>
      </w:pPr>
      <w:r>
        <w:t>b</w:t>
      </w:r>
      <w:r w:rsidR="00187AC3">
        <w:t>road nature of returns from a controlled NFP entity – the guidance in paragraph</w:t>
      </w:r>
      <w:r w:rsidR="00F46202">
        <w:t>s</w:t>
      </w:r>
      <w:r w:rsidR="00187AC3">
        <w:t xml:space="preserve"> IG 18 and IG 19</w:t>
      </w:r>
      <w:r w:rsidR="00055621">
        <w:t xml:space="preserve"> explains that in application to NFP entities, the broad scope of the nature of returns encompasses financial, non</w:t>
      </w:r>
      <w:r w:rsidR="008207D7">
        <w:noBreakHyphen/>
      </w:r>
      <w:r w:rsidR="00055621">
        <w:t xml:space="preserve">financial, direct and indirect benefits, whether positive or negative, including </w:t>
      </w:r>
      <w:r w:rsidR="00DB4963">
        <w:t>the achievement or furtherance of the investor’</w:t>
      </w:r>
      <w:r w:rsidR="00E136F1">
        <w:t>s objective;</w:t>
      </w:r>
    </w:p>
    <w:p w:rsidR="00746B64" w:rsidRDefault="00AD2270">
      <w:pPr>
        <w:pStyle w:val="NewsletterBullet1"/>
      </w:pPr>
      <w:r>
        <w:t>q</w:t>
      </w:r>
      <w:r w:rsidR="00536C99">
        <w:t>ualification as</w:t>
      </w:r>
      <w:r w:rsidR="008E23AA">
        <w:t xml:space="preserve"> ‘</w:t>
      </w:r>
      <w:r w:rsidR="00DE1A69">
        <w:t>structured entities’</w:t>
      </w:r>
      <w:r w:rsidR="008E23AA">
        <w:t xml:space="preserve"> in </w:t>
      </w:r>
      <w:r w:rsidR="005236E7">
        <w:t xml:space="preserve">the </w:t>
      </w:r>
      <w:r w:rsidR="008E23AA">
        <w:t>NFP context</w:t>
      </w:r>
      <w:r w:rsidR="00DE1A69">
        <w:t xml:space="preserve"> – </w:t>
      </w:r>
      <w:r w:rsidR="008E23AA">
        <w:t xml:space="preserve">the principles underlying ‘structured entities’ mean that </w:t>
      </w:r>
      <w:r w:rsidR="0071560C">
        <w:t xml:space="preserve">the structured entities are designed/controlled </w:t>
      </w:r>
      <w:r w:rsidR="000D084E">
        <w:t>through</w:t>
      </w:r>
      <w:r w:rsidR="0071560C">
        <w:t xml:space="preserve"> </w:t>
      </w:r>
      <w:r w:rsidR="0071560C" w:rsidRPr="006C4F46">
        <w:rPr>
          <w:i/>
        </w:rPr>
        <w:t>less</w:t>
      </w:r>
      <w:r w:rsidR="0071560C">
        <w:t xml:space="preserve"> </w:t>
      </w:r>
      <w:r w:rsidR="000B25AF">
        <w:t>‘</w:t>
      </w:r>
      <w:r w:rsidR="0071560C">
        <w:t>conventional means</w:t>
      </w:r>
      <w:r w:rsidR="000B25AF">
        <w:t>’</w:t>
      </w:r>
      <w:r w:rsidR="0071560C">
        <w:t xml:space="preserve">. </w:t>
      </w:r>
      <w:r w:rsidR="009D5883">
        <w:t xml:space="preserve">In the NFP context, the </w:t>
      </w:r>
      <w:r w:rsidR="000B25AF">
        <w:t>‘</w:t>
      </w:r>
      <w:r w:rsidR="0071560C">
        <w:t>conventional means</w:t>
      </w:r>
      <w:r w:rsidR="000B25AF">
        <w:t>’</w:t>
      </w:r>
      <w:r w:rsidR="0071560C">
        <w:t xml:space="preserve"> </w:t>
      </w:r>
      <w:r w:rsidR="000B25AF">
        <w:t>in</w:t>
      </w:r>
      <w:r w:rsidR="009D5883">
        <w:t xml:space="preserve"> which one entity directs another </w:t>
      </w:r>
      <w:r w:rsidR="000D084E">
        <w:t xml:space="preserve">entity </w:t>
      </w:r>
      <w:r w:rsidR="00536C99">
        <w:t>typically i</w:t>
      </w:r>
      <w:r w:rsidR="0071560C">
        <w:t>nclude</w:t>
      </w:r>
      <w:r w:rsidR="000D084E">
        <w:t>s</w:t>
      </w:r>
      <w:r w:rsidR="0071560C">
        <w:t xml:space="preserve"> administra</w:t>
      </w:r>
      <w:r w:rsidR="00536C99">
        <w:t>tive arrangements or statutory provisions</w:t>
      </w:r>
      <w:r w:rsidR="000B25AF">
        <w:t>.</w:t>
      </w:r>
      <w:r w:rsidR="0071560C">
        <w:t xml:space="preserve"> </w:t>
      </w:r>
      <w:r w:rsidR="000B25AF">
        <w:t>T</w:t>
      </w:r>
      <w:r w:rsidR="009D5883">
        <w:t xml:space="preserve">herefore such </w:t>
      </w:r>
      <w:r w:rsidR="000B25AF">
        <w:t>‘</w:t>
      </w:r>
      <w:r w:rsidR="009D5883">
        <w:t>conventional means</w:t>
      </w:r>
      <w:r w:rsidR="000B25AF">
        <w:t>’</w:t>
      </w:r>
      <w:r w:rsidR="009D5883">
        <w:t xml:space="preserve"> in the NFP context are</w:t>
      </w:r>
      <w:r w:rsidR="008E23AA">
        <w:t xml:space="preserve"> considered as dominant factors in determining control</w:t>
      </w:r>
      <w:r w:rsidR="009D5883">
        <w:t>,</w:t>
      </w:r>
      <w:r w:rsidR="008E23AA">
        <w:t xml:space="preserve"> similar to</w:t>
      </w:r>
      <w:r w:rsidR="0006757A">
        <w:t xml:space="preserve"> voting or other similar rights in the for</w:t>
      </w:r>
      <w:r w:rsidR="008207D7">
        <w:noBreakHyphen/>
      </w:r>
      <w:r w:rsidR="0006757A">
        <w:t xml:space="preserve">profit context. Conversely, where an entity’s relevant activities are directly by means of contractual arrangements (i.e. less conventional means in NFP), such entities would qualify as </w:t>
      </w:r>
      <w:r w:rsidR="000B25AF">
        <w:t>‘</w:t>
      </w:r>
      <w:r w:rsidR="0006757A">
        <w:t>structured entities</w:t>
      </w:r>
      <w:r w:rsidR="000B25AF">
        <w:t>’; and</w:t>
      </w:r>
      <w:r w:rsidR="004C2526">
        <w:t xml:space="preserve"> </w:t>
      </w:r>
    </w:p>
    <w:p w:rsidR="0061598F" w:rsidRDefault="00AD2270" w:rsidP="006C4F46">
      <w:pPr>
        <w:pStyle w:val="NewsletterBullet1"/>
      </w:pPr>
      <w:proofErr w:type="gramStart"/>
      <w:r>
        <w:t>g</w:t>
      </w:r>
      <w:r w:rsidR="002624A3">
        <w:t>eneral</w:t>
      </w:r>
      <w:proofErr w:type="gramEnd"/>
      <w:r w:rsidR="002624A3">
        <w:t xml:space="preserve"> government sector (GGS) exemption under </w:t>
      </w:r>
      <w:r w:rsidR="008207D7">
        <w:t>AASB </w:t>
      </w:r>
      <w:r w:rsidR="002624A3">
        <w:t xml:space="preserve">12 – Prior to the issuance of </w:t>
      </w:r>
      <w:r w:rsidR="008207D7">
        <w:t>AASB </w:t>
      </w:r>
      <w:r w:rsidR="002624A3">
        <w:t xml:space="preserve">12, any of the requirements in the superseded </w:t>
      </w:r>
      <w:r w:rsidR="008207D7">
        <w:t>AASB </w:t>
      </w:r>
      <w:r w:rsidR="002624A3">
        <w:t xml:space="preserve">127 </w:t>
      </w:r>
      <w:r w:rsidR="002624A3" w:rsidRPr="006C4F46">
        <w:rPr>
          <w:i/>
        </w:rPr>
        <w:t>Consolidated and Separate Financial Statements</w:t>
      </w:r>
      <w:r w:rsidR="002624A3">
        <w:t xml:space="preserve"> were not required for inclusion in the GGS financial statements. The same exemption extends now to the application of </w:t>
      </w:r>
      <w:r w:rsidR="008207D7">
        <w:t>AASB </w:t>
      </w:r>
      <w:r w:rsidR="002624A3">
        <w:t xml:space="preserve">12 at GGS level, on the basis that such </w:t>
      </w:r>
      <w:r w:rsidR="003A02B0">
        <w:t xml:space="preserve">disclosure </w:t>
      </w:r>
      <w:r w:rsidR="00F956CE">
        <w:t xml:space="preserve">on </w:t>
      </w:r>
      <w:r w:rsidR="00F94C8C">
        <w:t>relationships</w:t>
      </w:r>
      <w:r w:rsidR="00F956CE">
        <w:t xml:space="preserve"> with structured entities under </w:t>
      </w:r>
      <w:r w:rsidR="008207D7">
        <w:t>AASB </w:t>
      </w:r>
      <w:r w:rsidR="00F956CE">
        <w:t>12 would essentially duplicate at the whole of government level.</w:t>
      </w:r>
    </w:p>
    <w:p w:rsidR="00E31E1D" w:rsidRDefault="008207D7" w:rsidP="006C4F46">
      <w:pPr>
        <w:pStyle w:val="NewsletterHeading3"/>
      </w:pPr>
      <w:r>
        <w:t>AASB </w:t>
      </w:r>
      <w:r w:rsidR="0061598F">
        <w:t xml:space="preserve">1055 </w:t>
      </w:r>
      <w:r w:rsidR="0061598F" w:rsidRPr="006C4F46">
        <w:rPr>
          <w:i/>
        </w:rPr>
        <w:t>Budgetary Reporting</w:t>
      </w:r>
    </w:p>
    <w:p w:rsidR="002F1160" w:rsidRDefault="008207D7" w:rsidP="006C4F46">
      <w:pPr>
        <w:pStyle w:val="NewsletterNormal"/>
      </w:pPr>
      <w:r>
        <w:t>AASB </w:t>
      </w:r>
      <w:r w:rsidR="0061598F" w:rsidRPr="008207D7">
        <w:t xml:space="preserve">1055 </w:t>
      </w:r>
      <w:r w:rsidR="0061598F" w:rsidRPr="008207D7">
        <w:rPr>
          <w:i/>
        </w:rPr>
        <w:t>Bu</w:t>
      </w:r>
      <w:r w:rsidR="0061598F" w:rsidRPr="00FA0574">
        <w:rPr>
          <w:i/>
        </w:rPr>
        <w:t>dgetary Reporting</w:t>
      </w:r>
      <w:r w:rsidR="00945CB5">
        <w:rPr>
          <w:i/>
        </w:rPr>
        <w:t xml:space="preserve"> </w:t>
      </w:r>
      <w:r w:rsidR="00945CB5">
        <w:t>is</w:t>
      </w:r>
      <w:r w:rsidR="0061598F" w:rsidRPr="008207D7">
        <w:t xml:space="preserve"> operative from 1 January 2014. This Standard sets out the budgetary reporting requirements for the whole of government, the general government sector, as well as for NFP entities </w:t>
      </w:r>
      <w:r w:rsidR="00945CB5">
        <w:t>with</w:t>
      </w:r>
      <w:r w:rsidR="0061598F" w:rsidRPr="008207D7">
        <w:t xml:space="preserve">in the general government sector to the extent that separate budgetary information is presented to Parliament. </w:t>
      </w:r>
    </w:p>
    <w:p w:rsidR="0061598F" w:rsidRDefault="008207D7" w:rsidP="006C4F46">
      <w:pPr>
        <w:pStyle w:val="NewsletterNormal"/>
      </w:pPr>
      <w:r>
        <w:br w:type="column"/>
      </w:r>
      <w:r>
        <w:br w:type="column"/>
      </w:r>
      <w:r w:rsidR="0061598F" w:rsidRPr="008207D7">
        <w:t xml:space="preserve">From the whole of government and general government sector’s perspective, this Standard replicates the budgetary disclosure requirements that currently exist in </w:t>
      </w:r>
      <w:r>
        <w:t>AASB </w:t>
      </w:r>
      <w:r w:rsidR="0061598F" w:rsidRPr="008207D7">
        <w:t xml:space="preserve">1049 and therefore will not result in any impacts on reporting. </w:t>
      </w:r>
    </w:p>
    <w:p w:rsidR="00E31E1D" w:rsidRDefault="00484D2D">
      <w:pPr>
        <w:pStyle w:val="NewsletterNormal"/>
        <w:rPr>
          <w:rFonts w:ascii="Arial" w:eastAsia="Times New Roman" w:hAnsi="Arial" w:cs="Arial"/>
          <w:b/>
          <w:i/>
          <w:iCs/>
          <w:noProof/>
          <w:sz w:val="18"/>
          <w:szCs w:val="18"/>
          <w:lang w:eastAsia="en-US"/>
        </w:rPr>
      </w:pPr>
      <w:r>
        <w:t xml:space="preserve">Where an entity presents budget separately to </w:t>
      </w:r>
      <w:r w:rsidR="00945CB5" w:rsidRPr="00B76845">
        <w:t>the parliament</w:t>
      </w:r>
      <w:r w:rsidR="005343EB">
        <w:t>, t</w:t>
      </w:r>
      <w:r w:rsidR="005343EB" w:rsidRPr="005343EB">
        <w:t>he entity will be required to restate in the financial statements the budgetary information in accordance with the presentation format prescribed in Australian Accounting Standards and explain the significant variances from the original budget.</w:t>
      </w:r>
      <w:r w:rsidR="005343EB">
        <w:t xml:space="preserve"> </w:t>
      </w:r>
      <w:r w:rsidR="007407D8">
        <w:t>However, where no</w:t>
      </w:r>
      <w:r w:rsidR="00945CB5" w:rsidRPr="00FA0574">
        <w:t xml:space="preserve"> separate budget is presented to the parliament</w:t>
      </w:r>
      <w:r w:rsidR="005343EB">
        <w:t xml:space="preserve">, </w:t>
      </w:r>
      <w:r w:rsidR="005343EB" w:rsidRPr="006C4F46">
        <w:t>this</w:t>
      </w:r>
      <w:r w:rsidR="007407D8" w:rsidRPr="006C4F46">
        <w:t xml:space="preserve"> Standard </w:t>
      </w:r>
      <w:r w:rsidR="007407D8">
        <w:t xml:space="preserve">would not be </w:t>
      </w:r>
      <w:r w:rsidR="00945CB5" w:rsidRPr="006C4F46">
        <w:t>applicable.</w:t>
      </w:r>
      <w:r w:rsidR="00304A7F" w:rsidRPr="006C4F46" w:rsidDel="00304A7F">
        <w:rPr>
          <w:rFonts w:ascii="Arial" w:eastAsia="Times New Roman" w:hAnsi="Arial" w:cs="Arial"/>
          <w:b/>
          <w:i/>
          <w:iCs/>
          <w:noProof/>
          <w:sz w:val="18"/>
          <w:szCs w:val="18"/>
          <w:lang w:eastAsia="en-US"/>
        </w:rPr>
        <w:t xml:space="preserve"> </w:t>
      </w:r>
    </w:p>
    <w:p w:rsidR="009F6B05" w:rsidRDefault="009F6B05" w:rsidP="009F6B05">
      <w:pPr>
        <w:pStyle w:val="NewsletterHeading3"/>
      </w:pPr>
      <w:r w:rsidRPr="006C4F46">
        <w:t xml:space="preserve">Withdrawn of </w:t>
      </w:r>
      <w:r>
        <w:t>AASB </w:t>
      </w:r>
      <w:r w:rsidRPr="006C4F46">
        <w:t>1031</w:t>
      </w:r>
      <w:r>
        <w:rPr>
          <w:bCs/>
        </w:rPr>
        <w:t xml:space="preserve"> </w:t>
      </w:r>
      <w:r w:rsidRPr="006C4F46">
        <w:rPr>
          <w:bCs/>
          <w:i/>
        </w:rPr>
        <w:t>Materiality</w:t>
      </w:r>
      <w:r w:rsidR="0050252C">
        <w:rPr>
          <w:bCs/>
          <w:i/>
        </w:rPr>
        <w:t xml:space="preserve"> </w:t>
      </w:r>
      <w:r w:rsidR="00F46202">
        <w:rPr>
          <w:bCs/>
        </w:rPr>
        <w:t>(E</w:t>
      </w:r>
      <w:r w:rsidR="0050252C" w:rsidRPr="0050252C">
        <w:rPr>
          <w:bCs/>
        </w:rPr>
        <w:t>ffective from 1 January 2014)</w:t>
      </w:r>
    </w:p>
    <w:p w:rsidR="009F6B05" w:rsidRDefault="009F6B05" w:rsidP="009F6B05">
      <w:pPr>
        <w:pStyle w:val="NewsletterNormal"/>
      </w:pPr>
      <w:r>
        <w:t xml:space="preserve">As proposed in the AASB ED 243 </w:t>
      </w:r>
      <w:r w:rsidRPr="006C4F46">
        <w:rPr>
          <w:i/>
        </w:rPr>
        <w:t xml:space="preserve">Withdrawal of </w:t>
      </w:r>
      <w:r>
        <w:rPr>
          <w:i/>
        </w:rPr>
        <w:t>AASB </w:t>
      </w:r>
      <w:r w:rsidRPr="006C4F46">
        <w:rPr>
          <w:i/>
        </w:rPr>
        <w:t>1031 Materiality</w:t>
      </w:r>
      <w:r>
        <w:rPr>
          <w:i/>
        </w:rPr>
        <w:t xml:space="preserve">, </w:t>
      </w:r>
      <w:r>
        <w:t>the AASB has recently issued AASB 2013</w:t>
      </w:r>
      <w:r>
        <w:noBreakHyphen/>
        <w:t xml:space="preserve">9 </w:t>
      </w:r>
      <w:r w:rsidRPr="006C4F46">
        <w:rPr>
          <w:i/>
        </w:rPr>
        <w:t>Amendments to Australian Accounting Standards – Conceptual Framework, Materiality and Financial Instruments</w:t>
      </w:r>
      <w:r>
        <w:t xml:space="preserve">, withdrawing the </w:t>
      </w:r>
      <w:r w:rsidRPr="00C725A0">
        <w:t>Australian guidance on materiality that is not available in IFRSs. It also directs entities</w:t>
      </w:r>
      <w:r>
        <w:t xml:space="preserve"> to other Australian pronouncements that contain guidance on materiality. </w:t>
      </w:r>
    </w:p>
    <w:p w:rsidR="009F6B05" w:rsidRDefault="009F6B05" w:rsidP="009F6B05">
      <w:pPr>
        <w:pStyle w:val="NewsletterNormal"/>
      </w:pPr>
      <w:r>
        <w:t xml:space="preserve">The withdrawal of AASB 1031 is not expected to impact practice regarding the application of materiality in financial reporting. Specifically, the withdrawal of AASB 1031 would not change the level of disclosure presently specified by other accounting standards. </w:t>
      </w:r>
    </w:p>
    <w:p w:rsidR="009F6B05" w:rsidRDefault="009F6B05" w:rsidP="009F6B05">
      <w:pPr>
        <w:pStyle w:val="NewsletterNormal"/>
      </w:pPr>
      <w:r>
        <w:t>The revised AASB 1031 (December 2013) will be withdrawn once all references to AASB 1031 in other accounting standards have been removed.</w:t>
      </w:r>
    </w:p>
    <w:p w:rsidR="00E31E1D" w:rsidRPr="00E31E1D" w:rsidRDefault="00E31E1D" w:rsidP="00E31E1D">
      <w:pPr>
        <w:pStyle w:val="NewsletterHeading2"/>
      </w:pPr>
      <w:r>
        <w:t xml:space="preserve">Effective from </w:t>
      </w:r>
      <w:r w:rsidRPr="002F081A">
        <w:t>2015</w:t>
      </w:r>
      <w:r w:rsidR="008207D7">
        <w:noBreakHyphen/>
      </w:r>
      <w:r w:rsidRPr="002F081A">
        <w:t>16</w:t>
      </w:r>
    </w:p>
    <w:p w:rsidR="00E31E1D" w:rsidRDefault="008207D7" w:rsidP="00E31E1D">
      <w:pPr>
        <w:pStyle w:val="NewsletterHeading3"/>
      </w:pPr>
      <w:r>
        <w:t>AASB </w:t>
      </w:r>
      <w:r w:rsidR="00E31E1D" w:rsidRPr="002F081A">
        <w:t xml:space="preserve">9 </w:t>
      </w:r>
      <w:r w:rsidR="00E31E1D" w:rsidRPr="00E31E1D">
        <w:rPr>
          <w:i/>
        </w:rPr>
        <w:t>Financial instruments</w:t>
      </w:r>
    </w:p>
    <w:p w:rsidR="00547A8B" w:rsidRDefault="00E31E1D" w:rsidP="001C61F7">
      <w:pPr>
        <w:pStyle w:val="NewsletterNormal"/>
        <w:rPr>
          <w:i/>
        </w:rPr>
      </w:pPr>
      <w:r>
        <w:t xml:space="preserve">Reflecting the </w:t>
      </w:r>
      <w:r w:rsidR="001C2C76" w:rsidRPr="002F081A">
        <w:t>International Accounting Standards Board</w:t>
      </w:r>
      <w:r w:rsidR="001C2C76">
        <w:t>’s</w:t>
      </w:r>
      <w:r w:rsidR="001C2C76" w:rsidRPr="002F081A">
        <w:t xml:space="preserve"> </w:t>
      </w:r>
      <w:r w:rsidR="001C2C76">
        <w:t>(</w:t>
      </w:r>
      <w:r>
        <w:t>IASB</w:t>
      </w:r>
      <w:r w:rsidR="001C2C76">
        <w:t>)</w:t>
      </w:r>
      <w:r>
        <w:t xml:space="preserve"> replacement project on IFRS 9 </w:t>
      </w:r>
      <w:r w:rsidRPr="002F081A">
        <w:rPr>
          <w:i/>
        </w:rPr>
        <w:t>Financial Instruments</w:t>
      </w:r>
      <w:r>
        <w:t xml:space="preserve">, </w:t>
      </w:r>
      <w:r w:rsidR="008207D7">
        <w:t>AASB </w:t>
      </w:r>
      <w:r>
        <w:t xml:space="preserve">9 is ultimately intended to replace </w:t>
      </w:r>
      <w:r w:rsidR="008207D7">
        <w:t>AASB </w:t>
      </w:r>
      <w:r>
        <w:t>139 in its entirety. This three</w:t>
      </w:r>
      <w:r w:rsidR="008207D7">
        <w:noBreakHyphen/>
      </w:r>
      <w:r>
        <w:t>stage project covers Phase 1</w:t>
      </w:r>
      <w:r w:rsidR="008207D7">
        <w:noBreakHyphen/>
      </w:r>
      <w:r w:rsidRPr="002F081A">
        <w:rPr>
          <w:i/>
        </w:rPr>
        <w:t>Classification and measurement of financial assets and financial liabilities</w:t>
      </w:r>
      <w:r>
        <w:t>, Phase 2</w:t>
      </w:r>
      <w:r w:rsidR="008207D7">
        <w:noBreakHyphen/>
      </w:r>
      <w:r w:rsidRPr="002F081A">
        <w:rPr>
          <w:i/>
        </w:rPr>
        <w:t>Impairment methodology</w:t>
      </w:r>
      <w:r>
        <w:t xml:space="preserve"> and Phase 3 </w:t>
      </w:r>
      <w:r w:rsidRPr="002F081A">
        <w:rPr>
          <w:i/>
        </w:rPr>
        <w:t xml:space="preserve">Hedge </w:t>
      </w:r>
      <w:r>
        <w:rPr>
          <w:i/>
        </w:rPr>
        <w:t xml:space="preserve">accounting. </w:t>
      </w:r>
    </w:p>
    <w:p w:rsidR="00547A8B" w:rsidRDefault="00547A8B" w:rsidP="001C61F7">
      <w:pPr>
        <w:pStyle w:val="NewsletterNormal"/>
      </w:pPr>
      <w:r>
        <w:t xml:space="preserve">The key change introduced in Phase 1 of the project is </w:t>
      </w:r>
      <w:r w:rsidR="00166B66">
        <w:t>to simplify and rationalise the</w:t>
      </w:r>
      <w:r>
        <w:t xml:space="preserve"> </w:t>
      </w:r>
      <w:r w:rsidR="00166B66">
        <w:t>categories</w:t>
      </w:r>
      <w:r>
        <w:t xml:space="preserve"> of </w:t>
      </w:r>
      <w:r w:rsidR="00166B66">
        <w:t>financial assets</w:t>
      </w:r>
      <w:r>
        <w:t>, reducing the previous ‘four categories’ into two</w:t>
      </w:r>
      <w:r w:rsidR="00166B66">
        <w:t>, based on asset’s measurement basis – either at amortised cost or at fair value</w:t>
      </w:r>
      <w:r>
        <w:t xml:space="preserve">. </w:t>
      </w:r>
    </w:p>
    <w:p w:rsidR="00052CED" w:rsidRDefault="00052CED" w:rsidP="001C61F7">
      <w:pPr>
        <w:pStyle w:val="NewsletterNormal"/>
      </w:pPr>
      <w:r>
        <w:t>In relation to o</w:t>
      </w:r>
      <w:r w:rsidR="00E25A7C">
        <w:t>ther aspects of the project, one</w:t>
      </w:r>
      <w:r>
        <w:t xml:space="preserve"> main proposal is to consider a</w:t>
      </w:r>
      <w:r w:rsidR="001D57EE">
        <w:t>n</w:t>
      </w:r>
      <w:r>
        <w:t xml:space="preserve"> ‘expected loss model’, as compared with the current ‘incurred loss model’ for the recognition of impairment losses. Under the expected loss approach, it </w:t>
      </w:r>
      <w:r w:rsidR="00A61248">
        <w:t>may</w:t>
      </w:r>
      <w:r>
        <w:t xml:space="preserve"> mean that entities </w:t>
      </w:r>
      <w:r w:rsidR="00A61248">
        <w:t>will</w:t>
      </w:r>
      <w:r>
        <w:t xml:space="preserve"> need to recognise losses earlier than the ‘incurred loss model’.</w:t>
      </w:r>
    </w:p>
    <w:p w:rsidR="009F6B05" w:rsidRPr="009F6B05" w:rsidRDefault="00052CED" w:rsidP="001C61F7">
      <w:pPr>
        <w:pStyle w:val="NewsletterNormal"/>
        <w:rPr>
          <w:rStyle w:val="Hyperlink"/>
          <w:color w:val="auto"/>
        </w:rPr>
      </w:pPr>
      <w:r w:rsidRPr="00A61248">
        <w:t>Due to the significant changes expected from this project, e</w:t>
      </w:r>
      <w:r w:rsidR="00547A8B" w:rsidRPr="00A61248">
        <w:t xml:space="preserve">ntities are encouraged to </w:t>
      </w:r>
      <w:r w:rsidR="00B52AA1" w:rsidRPr="00A61248">
        <w:t>monitor the development of the</w:t>
      </w:r>
      <w:r w:rsidR="005B0C34" w:rsidRPr="00A61248">
        <w:t xml:space="preserve"> </w:t>
      </w:r>
      <w:r w:rsidR="008207D7" w:rsidRPr="00A61248">
        <w:t>AASB </w:t>
      </w:r>
      <w:r w:rsidR="00547A8B" w:rsidRPr="00A61248">
        <w:t>9</w:t>
      </w:r>
      <w:r w:rsidR="00B52AA1" w:rsidRPr="00A61248">
        <w:t xml:space="preserve"> project</w:t>
      </w:r>
      <w:r w:rsidR="00547A8B" w:rsidRPr="00A61248">
        <w:t xml:space="preserve">, including </w:t>
      </w:r>
      <w:r w:rsidRPr="00A61248">
        <w:t xml:space="preserve">the assessment of </w:t>
      </w:r>
      <w:r w:rsidR="00547A8B" w:rsidRPr="00A61248">
        <w:t xml:space="preserve">the potential implications </w:t>
      </w:r>
      <w:r w:rsidRPr="00A61248">
        <w:t>where relevant</w:t>
      </w:r>
      <w:r w:rsidR="00547A8B" w:rsidRPr="00A61248">
        <w:t xml:space="preserve">. </w:t>
      </w:r>
    </w:p>
    <w:p w:rsidR="00015C68" w:rsidRPr="008207D7" w:rsidRDefault="00015C68" w:rsidP="006C4F46">
      <w:pPr>
        <w:pStyle w:val="NewsletterHeading2"/>
      </w:pPr>
      <w:r w:rsidRPr="008207D7">
        <w:t>Amending Standards issued but not effective in 2013</w:t>
      </w:r>
      <w:r w:rsidR="008207D7">
        <w:noBreakHyphen/>
      </w:r>
      <w:r w:rsidRPr="008207D7">
        <w:t>14</w:t>
      </w:r>
    </w:p>
    <w:p w:rsidR="00AF6FCD" w:rsidRDefault="00E31E1D" w:rsidP="001C61F7">
      <w:pPr>
        <w:pStyle w:val="NewsletterNormal"/>
      </w:pPr>
      <w:r>
        <w:t xml:space="preserve">In addition to the key standards mentioned </w:t>
      </w:r>
      <w:r w:rsidR="000941B5">
        <w:t>above</w:t>
      </w:r>
      <w:r>
        <w:t xml:space="preserve">, the </w:t>
      </w:r>
      <w:r w:rsidR="008207D7">
        <w:t>AASB </w:t>
      </w:r>
      <w:r>
        <w:t>has issued a se</w:t>
      </w:r>
      <w:r w:rsidR="0023062F">
        <w:t>ries of amending standards and i</w:t>
      </w:r>
      <w:r>
        <w:t>nterpretations that are not yet effective for 2013</w:t>
      </w:r>
      <w:r w:rsidR="008207D7">
        <w:noBreakHyphen/>
      </w:r>
      <w:r>
        <w:t>14</w:t>
      </w:r>
      <w:r w:rsidR="00AF6FCD">
        <w:t xml:space="preserve">. </w:t>
      </w:r>
      <w:r w:rsidR="00D32FD3">
        <w:t>The majority of these amend</w:t>
      </w:r>
      <w:r w:rsidR="000941B5">
        <w:t xml:space="preserve">ing standards are considered </w:t>
      </w:r>
      <w:r w:rsidR="00D32FD3">
        <w:t xml:space="preserve">insignificant for the </w:t>
      </w:r>
      <w:r w:rsidR="00D32FD3" w:rsidRPr="00594EA2">
        <w:t>public sector reporting</w:t>
      </w:r>
      <w:r w:rsidR="00D32FD3">
        <w:t>, with some exceptions outlined below</w:t>
      </w:r>
      <w:r w:rsidR="00AF6FCD">
        <w:t>:</w:t>
      </w:r>
    </w:p>
    <w:p w:rsidR="009F6B05" w:rsidRPr="009F6B05" w:rsidRDefault="008207D7" w:rsidP="009F6B05">
      <w:pPr>
        <w:pStyle w:val="NewsletterBullet1"/>
      </w:pPr>
      <w:r>
        <w:rPr>
          <w:szCs w:val="20"/>
        </w:rPr>
        <w:br w:type="column"/>
      </w:r>
      <w:r>
        <w:rPr>
          <w:szCs w:val="20"/>
        </w:rPr>
        <w:br w:type="column"/>
      </w:r>
      <w:r w:rsidR="009F6B05" w:rsidRPr="00D451AE">
        <w:t>AASB 2012</w:t>
      </w:r>
      <w:r w:rsidR="009F6B05" w:rsidRPr="00D451AE">
        <w:noBreakHyphen/>
        <w:t xml:space="preserve">3 </w:t>
      </w:r>
      <w:r w:rsidR="009F6B05" w:rsidRPr="00D451AE">
        <w:rPr>
          <w:i/>
        </w:rPr>
        <w:t xml:space="preserve">Amendments to Australian Accounting Standards – Offsetting Financial Assets and Financial Liabilities </w:t>
      </w:r>
      <w:r w:rsidR="009F6B05" w:rsidRPr="00D451AE">
        <w:t>(effective from 1 January 2014). The Standard removes the current inconsistency in applying some of the offsetting criteria of AASB 132</w:t>
      </w:r>
      <w:r w:rsidR="009F6B05">
        <w:t xml:space="preserve"> </w:t>
      </w:r>
      <w:r w:rsidR="009F6B05" w:rsidRPr="00817DF1">
        <w:rPr>
          <w:i/>
        </w:rPr>
        <w:t>Financial Instruments: Presentation</w:t>
      </w:r>
      <w:r w:rsidR="009F6B05" w:rsidRPr="00D451AE">
        <w:t xml:space="preserve">, </w:t>
      </w:r>
      <w:r w:rsidR="009F6B05" w:rsidRPr="00D451AE">
        <w:rPr>
          <w:szCs w:val="20"/>
        </w:rPr>
        <w:t>including clarifying the meaning of “currently has a legally enforceable right of set</w:t>
      </w:r>
      <w:r w:rsidR="009F6B05" w:rsidRPr="00D451AE">
        <w:rPr>
          <w:szCs w:val="20"/>
        </w:rPr>
        <w:noBreakHyphen/>
        <w:t>off” and that some gross settlement systems may be considered equivalent to net settlement.</w:t>
      </w:r>
    </w:p>
    <w:p w:rsidR="003A02B0" w:rsidRPr="008207D7" w:rsidRDefault="008207D7" w:rsidP="006C4F46">
      <w:pPr>
        <w:pStyle w:val="NewsletterBullet1"/>
      </w:pPr>
      <w:r>
        <w:rPr>
          <w:szCs w:val="20"/>
        </w:rPr>
        <w:t>AASB </w:t>
      </w:r>
      <w:r w:rsidR="001F453D">
        <w:rPr>
          <w:szCs w:val="20"/>
        </w:rPr>
        <w:t>2013</w:t>
      </w:r>
      <w:r>
        <w:rPr>
          <w:szCs w:val="20"/>
        </w:rPr>
        <w:noBreakHyphen/>
      </w:r>
      <w:r w:rsidR="001F453D">
        <w:rPr>
          <w:szCs w:val="20"/>
        </w:rPr>
        <w:t xml:space="preserve">3 </w:t>
      </w:r>
      <w:r w:rsidR="001F453D" w:rsidRPr="006C4F46">
        <w:rPr>
          <w:i/>
          <w:szCs w:val="20"/>
        </w:rPr>
        <w:t xml:space="preserve">Amendments to </w:t>
      </w:r>
      <w:r>
        <w:rPr>
          <w:i/>
          <w:szCs w:val="20"/>
        </w:rPr>
        <w:t>AASB </w:t>
      </w:r>
      <w:r w:rsidR="001F453D" w:rsidRPr="006C4F46">
        <w:rPr>
          <w:i/>
          <w:szCs w:val="20"/>
        </w:rPr>
        <w:t>136 – Recoverable Amount Disclosure for Non</w:t>
      </w:r>
      <w:r>
        <w:rPr>
          <w:i/>
          <w:szCs w:val="20"/>
        </w:rPr>
        <w:noBreakHyphen/>
      </w:r>
      <w:r w:rsidR="001F453D" w:rsidRPr="006C4F46">
        <w:rPr>
          <w:i/>
          <w:szCs w:val="20"/>
        </w:rPr>
        <w:t>financial Assets</w:t>
      </w:r>
      <w:r w:rsidR="00426017">
        <w:rPr>
          <w:i/>
          <w:szCs w:val="20"/>
        </w:rPr>
        <w:t xml:space="preserve"> </w:t>
      </w:r>
      <w:r w:rsidR="00426017">
        <w:rPr>
          <w:szCs w:val="20"/>
        </w:rPr>
        <w:t xml:space="preserve">(effective from 1 January 2014). This Standard amends the disclosure requirements in </w:t>
      </w:r>
      <w:r>
        <w:rPr>
          <w:szCs w:val="20"/>
        </w:rPr>
        <w:t>AASB </w:t>
      </w:r>
      <w:r w:rsidR="00426017">
        <w:rPr>
          <w:szCs w:val="20"/>
        </w:rPr>
        <w:t>136, including additional information about the fair value measurement when the recoverable amount of impaired assets is based on fair value less costs of disposal. In addition, disclos</w:t>
      </w:r>
      <w:r w:rsidR="00161DD5">
        <w:rPr>
          <w:szCs w:val="20"/>
        </w:rPr>
        <w:t>ure is required of</w:t>
      </w:r>
      <w:r w:rsidR="00426017">
        <w:rPr>
          <w:szCs w:val="20"/>
        </w:rPr>
        <w:t xml:space="preserve"> the discount rates that have been used in the current and previous measurements</w:t>
      </w:r>
      <w:r w:rsidR="00161DD5">
        <w:rPr>
          <w:szCs w:val="20"/>
        </w:rPr>
        <w:t>,</w:t>
      </w:r>
      <w:r w:rsidR="00426017">
        <w:rPr>
          <w:szCs w:val="20"/>
        </w:rPr>
        <w:t xml:space="preserve"> if the recoverable amount of impaired assets based on fair value less costs of disposal was measured using a present value technique.</w:t>
      </w:r>
    </w:p>
    <w:p w:rsidR="00E31E1D" w:rsidRDefault="00E31E1D">
      <w:pPr>
        <w:pStyle w:val="NewsletterHeading1"/>
      </w:pPr>
      <w:bookmarkStart w:id="6" w:name="_Toc365553152"/>
      <w:bookmarkStart w:id="7" w:name="_Toc379186556"/>
      <w:r w:rsidRPr="002F081A">
        <w:t>Looking forward</w:t>
      </w:r>
      <w:bookmarkEnd w:id="6"/>
      <w:bookmarkEnd w:id="7"/>
    </w:p>
    <w:p w:rsidR="00E31E1D" w:rsidRDefault="00E31E1D" w:rsidP="00E31E1D">
      <w:pPr>
        <w:pStyle w:val="NewsletterHeading2"/>
      </w:pPr>
      <w:r w:rsidRPr="00594EA2">
        <w:t>International</w:t>
      </w:r>
      <w:r w:rsidRPr="00781F3D">
        <w:t xml:space="preserve"> projects</w:t>
      </w:r>
    </w:p>
    <w:p w:rsidR="00E31E1D" w:rsidRPr="00E31E1D" w:rsidRDefault="00E31E1D" w:rsidP="008207D7">
      <w:pPr>
        <w:pStyle w:val="NewsletterHeading3"/>
      </w:pPr>
      <w:r w:rsidRPr="00594EA2">
        <w:t>Revenue</w:t>
      </w:r>
      <w:r>
        <w:t xml:space="preserve"> </w:t>
      </w:r>
      <w:r w:rsidRPr="008207D7">
        <w:t>recognition</w:t>
      </w:r>
      <w:r>
        <w:t xml:space="preserve"> project</w:t>
      </w:r>
    </w:p>
    <w:p w:rsidR="009463F8" w:rsidRDefault="00E31E1D" w:rsidP="001C61F7">
      <w:pPr>
        <w:pStyle w:val="NewsletterNormal"/>
      </w:pPr>
      <w:r>
        <w:t>T</w:t>
      </w:r>
      <w:r w:rsidRPr="002F081A">
        <w:t xml:space="preserve">he </w:t>
      </w:r>
      <w:r w:rsidR="009463F8">
        <w:t xml:space="preserve">joint project on revenue by the </w:t>
      </w:r>
      <w:r w:rsidRPr="002F081A">
        <w:t>(IASB) and</w:t>
      </w:r>
      <w:r w:rsidRPr="006723F3">
        <w:t xml:space="preserve"> the Financial Accounting Standards Board (FASB) </w:t>
      </w:r>
      <w:r w:rsidR="009463F8">
        <w:t xml:space="preserve">has now reached the finalisation stage, with the anticipated issuance of the Standard </w:t>
      </w:r>
      <w:r w:rsidR="00497E1D">
        <w:t>in quarter one</w:t>
      </w:r>
      <w:r w:rsidR="009463F8">
        <w:t xml:space="preserve"> of 2014. </w:t>
      </w:r>
    </w:p>
    <w:p w:rsidR="009463F8" w:rsidRDefault="009463F8" w:rsidP="001C61F7">
      <w:pPr>
        <w:pStyle w:val="NewsletterNormal"/>
      </w:pPr>
      <w:r>
        <w:t xml:space="preserve">In their joint October 2013 meeting, the two Boards considered a number of </w:t>
      </w:r>
      <w:r w:rsidR="004011E6">
        <w:t xml:space="preserve">outstanding </w:t>
      </w:r>
      <w:r>
        <w:t>issues prior to the final</w:t>
      </w:r>
      <w:r w:rsidR="004011E6">
        <w:t>isation of the drafted Standard, including</w:t>
      </w:r>
      <w:r w:rsidR="008207D7">
        <w:t>:</w:t>
      </w:r>
    </w:p>
    <w:p w:rsidR="009463F8" w:rsidRDefault="008207D7" w:rsidP="006C4F46">
      <w:pPr>
        <w:pStyle w:val="NewsletterBullet1"/>
      </w:pPr>
      <w:r>
        <w:t>collectability</w:t>
      </w:r>
      <w:r w:rsidR="009463F8">
        <w:t>, specifically how assessments of a customer’s credit risk should be reflected in accounting for contracts with customers;</w:t>
      </w:r>
      <w:r w:rsidR="00497E1D" w:rsidRPr="00497E1D">
        <w:t xml:space="preserve"> </w:t>
      </w:r>
      <w:r w:rsidR="00497E1D">
        <w:t>and</w:t>
      </w:r>
    </w:p>
    <w:p w:rsidR="00304A7F" w:rsidRDefault="008207D7">
      <w:pPr>
        <w:pStyle w:val="NewsletterBullet1"/>
      </w:pPr>
      <w:proofErr w:type="gramStart"/>
      <w:r>
        <w:t>the</w:t>
      </w:r>
      <w:proofErr w:type="gramEnd"/>
      <w:r>
        <w:t xml:space="preserve"> </w:t>
      </w:r>
      <w:r w:rsidR="00304A7F">
        <w:t>implementation guidance on</w:t>
      </w:r>
      <w:r w:rsidR="00497E1D">
        <w:t xml:space="preserve"> accounting for revenue arising from</w:t>
      </w:r>
      <w:r w:rsidR="00304A7F">
        <w:t xml:space="preserve"> licences.</w:t>
      </w:r>
    </w:p>
    <w:p w:rsidR="004011E6" w:rsidRDefault="004011E6">
      <w:pPr>
        <w:pStyle w:val="NewsletterNormal"/>
      </w:pPr>
      <w:r>
        <w:t>Once issued, this revenue standard will apply to annual reporting periods beginning on or after 1 January 2017.</w:t>
      </w:r>
    </w:p>
    <w:p w:rsidR="00195138" w:rsidRDefault="00195138" w:rsidP="00195138">
      <w:pPr>
        <w:pStyle w:val="NewsletterHeading3"/>
      </w:pPr>
      <w:r w:rsidRPr="00594EA2">
        <w:t>Leases</w:t>
      </w:r>
    </w:p>
    <w:p w:rsidR="008E05D4" w:rsidRDefault="00C04D6A">
      <w:pPr>
        <w:pStyle w:val="NewsletterNormal"/>
      </w:pPr>
      <w:r>
        <w:t>The l</w:t>
      </w:r>
      <w:r w:rsidR="008E05D4">
        <w:t xml:space="preserve">eases project is another joint project carried out by </w:t>
      </w:r>
      <w:r w:rsidR="00AA41BF">
        <w:t xml:space="preserve">the </w:t>
      </w:r>
      <w:r w:rsidR="008E05D4">
        <w:t xml:space="preserve">IASB and </w:t>
      </w:r>
      <w:r w:rsidR="00AA41BF">
        <w:t xml:space="preserve">the </w:t>
      </w:r>
      <w:r w:rsidR="008E05D4">
        <w:t xml:space="preserve">FASB. The objective of the project is to develop a standard that establishes the principles that lessees and lessors shall apply to report useful information to users of financial statements about the amount, timing and uncertainty of cash flows arising from a lease. </w:t>
      </w:r>
    </w:p>
    <w:p w:rsidR="00497E1D" w:rsidRDefault="00497E1D">
      <w:pPr>
        <w:pStyle w:val="NewsletterNormal"/>
      </w:pPr>
      <w:r>
        <w:t>To meet this objective, the Boards issued ED/2013/6</w:t>
      </w:r>
      <w:r w:rsidRPr="006723F3">
        <w:t xml:space="preserve"> </w:t>
      </w:r>
      <w:r w:rsidRPr="002F081A">
        <w:rPr>
          <w:i/>
        </w:rPr>
        <w:t>Lease</w:t>
      </w:r>
      <w:r w:rsidRPr="00997620">
        <w:rPr>
          <w:i/>
        </w:rPr>
        <w:t>s</w:t>
      </w:r>
      <w:r>
        <w:t xml:space="preserve"> in May 2013.</w:t>
      </w:r>
      <w:r w:rsidR="00C51B0F">
        <w:t xml:space="preserve"> The key change proposed was </w:t>
      </w:r>
      <w:r>
        <w:rPr>
          <w:lang w:val="en"/>
        </w:rPr>
        <w:t xml:space="preserve">a new classification system for leases, based on the nature of the asset being leased and also amends the definition of a lease. The </w:t>
      </w:r>
      <w:r w:rsidR="00B3261B">
        <w:rPr>
          <w:lang w:val="en"/>
        </w:rPr>
        <w:t>most significant implication for most VPS entities is</w:t>
      </w:r>
      <w:r w:rsidR="00C51B0F">
        <w:rPr>
          <w:lang w:val="en"/>
        </w:rPr>
        <w:t xml:space="preserve"> that</w:t>
      </w:r>
      <w:r>
        <w:rPr>
          <w:lang w:val="en"/>
        </w:rPr>
        <w:t xml:space="preserve"> most leases (the exception is for those with terms less than </w:t>
      </w:r>
      <w:r w:rsidR="00C04D6A">
        <w:rPr>
          <w:lang w:val="en"/>
        </w:rPr>
        <w:t xml:space="preserve">12 months) will now require </w:t>
      </w:r>
      <w:r>
        <w:rPr>
          <w:lang w:val="en"/>
        </w:rPr>
        <w:t>recognition of assets and liabilities on the balance sheet.</w:t>
      </w:r>
    </w:p>
    <w:p w:rsidR="004011E6" w:rsidRDefault="008E05D4">
      <w:pPr>
        <w:pStyle w:val="NewsletterNormal"/>
      </w:pPr>
      <w:r>
        <w:t xml:space="preserve">Since the last update, the </w:t>
      </w:r>
      <w:r w:rsidR="00195138">
        <w:t xml:space="preserve">IASB has </w:t>
      </w:r>
      <w:r>
        <w:t>received submissions on the</w:t>
      </w:r>
      <w:r w:rsidR="00195138">
        <w:t xml:space="preserve"> revised</w:t>
      </w:r>
      <w:r w:rsidR="00195138" w:rsidRPr="00823E75">
        <w:t xml:space="preserve"> </w:t>
      </w:r>
      <w:r w:rsidR="00195138" w:rsidRPr="006723F3">
        <w:t>exposure draft</w:t>
      </w:r>
      <w:r>
        <w:t>.</w:t>
      </w:r>
      <w:r w:rsidR="00C51B0F">
        <w:t xml:space="preserve"> </w:t>
      </w:r>
      <w:r>
        <w:t xml:space="preserve">Based on these submissions, a redeliberation plan has been undertaken, </w:t>
      </w:r>
      <w:r w:rsidR="00C04D6A">
        <w:t>with</w:t>
      </w:r>
      <w:r>
        <w:t xml:space="preserve"> five main topics</w:t>
      </w:r>
      <w:r w:rsidR="00C04D6A">
        <w:t xml:space="preserve"> identified</w:t>
      </w:r>
      <w:r>
        <w:t>:</w:t>
      </w:r>
    </w:p>
    <w:p w:rsidR="00C608AE" w:rsidRDefault="008207D7" w:rsidP="00C608AE">
      <w:pPr>
        <w:pStyle w:val="NewsletterBullet1"/>
        <w:ind w:left="288" w:hanging="288"/>
        <w:contextualSpacing/>
      </w:pPr>
      <w:r>
        <w:br w:type="column"/>
      </w:r>
      <w:r>
        <w:br w:type="column"/>
      </w:r>
      <w:r w:rsidR="00C608AE">
        <w:t xml:space="preserve">definition and scope; </w:t>
      </w:r>
    </w:p>
    <w:p w:rsidR="009F6B05" w:rsidRDefault="009F6B05" w:rsidP="009F6B05">
      <w:pPr>
        <w:pStyle w:val="NewsletterBullet1"/>
        <w:ind w:left="288" w:hanging="288"/>
        <w:contextualSpacing/>
      </w:pPr>
      <w:r>
        <w:t>lease classification;</w:t>
      </w:r>
    </w:p>
    <w:p w:rsidR="009F6B05" w:rsidRDefault="009F6B05" w:rsidP="009F6B05">
      <w:pPr>
        <w:pStyle w:val="NewsletterBullet1"/>
        <w:ind w:left="288" w:hanging="288"/>
        <w:contextualSpacing/>
      </w:pPr>
      <w:r>
        <w:t>lessor accounting model;</w:t>
      </w:r>
    </w:p>
    <w:p w:rsidR="009F6B05" w:rsidRDefault="009F6B05" w:rsidP="009F6B05">
      <w:pPr>
        <w:pStyle w:val="NewsletterBullet1"/>
        <w:ind w:left="288" w:hanging="288"/>
        <w:contextualSpacing/>
      </w:pPr>
      <w:r>
        <w:t xml:space="preserve">lessee accounting model; and </w:t>
      </w:r>
    </w:p>
    <w:p w:rsidR="009F6B05" w:rsidRDefault="009F6B05" w:rsidP="009F6B05">
      <w:pPr>
        <w:pStyle w:val="NewsletterBullet1"/>
        <w:ind w:left="288" w:hanging="288"/>
        <w:contextualSpacing/>
      </w:pPr>
      <w:proofErr w:type="gramStart"/>
      <w:r>
        <w:t>measurement</w:t>
      </w:r>
      <w:proofErr w:type="gramEnd"/>
      <w:r>
        <w:t>.</w:t>
      </w:r>
      <w:r w:rsidRPr="00202E8C">
        <w:t xml:space="preserve"> </w:t>
      </w:r>
    </w:p>
    <w:p w:rsidR="00497E1D" w:rsidRDefault="009F6B05" w:rsidP="006C4F46">
      <w:pPr>
        <w:pStyle w:val="NewsletterNormal"/>
      </w:pPr>
      <w:r>
        <w:t>The completion of the redeliberation is anticipated in quarter one of 2014.</w:t>
      </w:r>
    </w:p>
    <w:p w:rsidR="000B3697" w:rsidRDefault="00280E59" w:rsidP="006C4F46">
      <w:pPr>
        <w:pStyle w:val="NewsletterHeading2"/>
      </w:pPr>
      <w:r w:rsidRPr="002F081A">
        <w:t>Domestic projects</w:t>
      </w:r>
    </w:p>
    <w:p w:rsidR="00280E59" w:rsidRDefault="00280E59">
      <w:pPr>
        <w:pStyle w:val="NewsletterHeading3"/>
      </w:pPr>
      <w:r w:rsidRPr="002F081A">
        <w:t>Service concession arrangements: grantor accounting</w:t>
      </w:r>
    </w:p>
    <w:p w:rsidR="008C1E93" w:rsidRDefault="0014591F">
      <w:pPr>
        <w:pStyle w:val="NewsletterNormal"/>
      </w:pPr>
      <w:r w:rsidRPr="006C4F46">
        <w:t>Subsequent to AASB’s</w:t>
      </w:r>
      <w:r w:rsidR="00280E59" w:rsidRPr="00CA787C">
        <w:t xml:space="preserve"> meeting</w:t>
      </w:r>
      <w:r w:rsidRPr="006C4F46">
        <w:t xml:space="preserve"> in February 2013</w:t>
      </w:r>
      <w:r w:rsidR="00280E59" w:rsidRPr="00CA787C">
        <w:t xml:space="preserve">, the </w:t>
      </w:r>
      <w:r w:rsidRPr="006C4F46">
        <w:t xml:space="preserve">Board is planning to issue an Exposure Draft in quarter one of 2014. </w:t>
      </w:r>
      <w:r w:rsidR="00843B08">
        <w:t>While</w:t>
      </w:r>
      <w:r w:rsidRPr="006C4F46">
        <w:t xml:space="preserve"> the </w:t>
      </w:r>
      <w:r w:rsidR="008207D7">
        <w:t>AASB </w:t>
      </w:r>
      <w:r w:rsidRPr="006C4F46">
        <w:t xml:space="preserve">generally </w:t>
      </w:r>
      <w:r w:rsidR="00280E59" w:rsidRPr="00CA787C">
        <w:t xml:space="preserve">considered </w:t>
      </w:r>
      <w:r w:rsidRPr="006C4F46">
        <w:t>the</w:t>
      </w:r>
      <w:r w:rsidR="008620F7">
        <w:t xml:space="preserve"> </w:t>
      </w:r>
      <w:r w:rsidRPr="006C4F46">
        <w:t>international public sector standard</w:t>
      </w:r>
      <w:r w:rsidR="00280E59" w:rsidRPr="00CA787C">
        <w:t xml:space="preserve"> IPSAS 32 </w:t>
      </w:r>
      <w:r w:rsidR="00280E59" w:rsidRPr="00CA787C">
        <w:rPr>
          <w:i/>
        </w:rPr>
        <w:t>Service Concession Arrangements: Grantor</w:t>
      </w:r>
      <w:r w:rsidR="00280E59" w:rsidRPr="00CA787C">
        <w:t xml:space="preserve"> </w:t>
      </w:r>
      <w:r w:rsidR="00843B08">
        <w:t xml:space="preserve">as </w:t>
      </w:r>
      <w:r w:rsidRPr="006C4F46">
        <w:t xml:space="preserve">an appropriate basis for a Standard in Australia, some modifications </w:t>
      </w:r>
      <w:r w:rsidR="00E25A7C">
        <w:t>were</w:t>
      </w:r>
      <w:r w:rsidR="00843B08">
        <w:t xml:space="preserve"> </w:t>
      </w:r>
      <w:r w:rsidR="00E25A7C">
        <w:t>considered necessary</w:t>
      </w:r>
      <w:r w:rsidR="008C1E93">
        <w:t xml:space="preserve">. </w:t>
      </w:r>
    </w:p>
    <w:p w:rsidR="00280E59" w:rsidRPr="00280E59" w:rsidRDefault="003A42CC">
      <w:pPr>
        <w:pStyle w:val="NewsletterNormal"/>
      </w:pPr>
      <w:r>
        <w:t>Specifically</w:t>
      </w:r>
      <w:r w:rsidR="008C1E93">
        <w:t>,</w:t>
      </w:r>
      <w:r w:rsidR="0014591F" w:rsidRPr="006C4F46">
        <w:t xml:space="preserve"> </w:t>
      </w:r>
      <w:r w:rsidR="00CA787C" w:rsidRPr="006C4F46">
        <w:t xml:space="preserve">the </w:t>
      </w:r>
      <w:r w:rsidR="008207D7">
        <w:t>AASB </w:t>
      </w:r>
      <w:r w:rsidR="008C1E93">
        <w:t xml:space="preserve">tentatively </w:t>
      </w:r>
      <w:r w:rsidR="00CA787C" w:rsidRPr="006C4F46">
        <w:t xml:space="preserve">decided </w:t>
      </w:r>
      <w:r w:rsidR="008C1E93">
        <w:t>that there is a need for additional guidance on whether a grantor controls a service concession asset in circumstances in which a third</w:t>
      </w:r>
      <w:r w:rsidR="008207D7">
        <w:noBreakHyphen/>
      </w:r>
      <w:r w:rsidR="008C1E93">
        <w:t xml:space="preserve">party regulator is involved. In addition, </w:t>
      </w:r>
      <w:r>
        <w:t xml:space="preserve">it will need to consider </w:t>
      </w:r>
      <w:r w:rsidR="00CA787C" w:rsidRPr="006C4F46">
        <w:t xml:space="preserve">consistency </w:t>
      </w:r>
      <w:r>
        <w:t>with</w:t>
      </w:r>
      <w:r w:rsidR="00CA787C" w:rsidRPr="006C4F46">
        <w:t xml:space="preserve"> </w:t>
      </w:r>
      <w:r w:rsidR="00C725A0">
        <w:t xml:space="preserve">the </w:t>
      </w:r>
      <w:r w:rsidR="008C1E93">
        <w:t>r</w:t>
      </w:r>
      <w:r>
        <w:t>equirements of</w:t>
      </w:r>
      <w:r w:rsidR="008C1E93">
        <w:t xml:space="preserve"> IPSAS 32 and </w:t>
      </w:r>
      <w:r w:rsidR="00CA787C" w:rsidRPr="006C4F46">
        <w:t xml:space="preserve">the IASB’s revenue recognition project, in particular, the guidance on accounting for licenses. </w:t>
      </w:r>
    </w:p>
    <w:p w:rsidR="000C7C38" w:rsidRDefault="000C7C38" w:rsidP="008207D7">
      <w:pPr>
        <w:pStyle w:val="NewsletterHeading1"/>
      </w:pPr>
      <w:bookmarkStart w:id="8" w:name="_Toc379186557"/>
      <w:r>
        <w:t xml:space="preserve">How </w:t>
      </w:r>
      <w:r w:rsidRPr="00C30359">
        <w:t>to</w:t>
      </w:r>
      <w:r>
        <w:t xml:space="preserve"> contact us</w:t>
      </w:r>
      <w:bookmarkEnd w:id="8"/>
    </w:p>
    <w:p w:rsidR="00AB0A40" w:rsidRDefault="000C7C38" w:rsidP="000C7C38">
      <w:pPr>
        <w:pStyle w:val="NewsletterHeading2"/>
      </w:pPr>
      <w:proofErr w:type="spellStart"/>
      <w:r>
        <w:t>AccPol</w:t>
      </w:r>
      <w:proofErr w:type="spellEnd"/>
      <w:r>
        <w:t xml:space="preserve"> </w:t>
      </w:r>
      <w:r w:rsidR="008D493D">
        <w:t>mail</w:t>
      </w:r>
      <w:r>
        <w:t xml:space="preserve"> box</w:t>
      </w:r>
    </w:p>
    <w:p w:rsidR="00280E59" w:rsidRDefault="00280E59" w:rsidP="00280E59">
      <w:pPr>
        <w:pStyle w:val="NewsletterNormal"/>
        <w:rPr>
          <w:rFonts w:eastAsiaTheme="minorHAnsi"/>
          <w:lang w:eastAsia="en-US"/>
        </w:rPr>
      </w:pPr>
      <w:r>
        <w:rPr>
          <w:rFonts w:eastAsiaTheme="minorHAnsi"/>
          <w:lang w:eastAsia="en-US"/>
        </w:rPr>
        <w:t xml:space="preserve">When </w:t>
      </w:r>
      <w:r w:rsidRPr="00280E59">
        <w:t xml:space="preserve">directing accounting policy enquiries to DTF at </w:t>
      </w:r>
      <w:hyperlink r:id="rId10" w:history="1">
        <w:r w:rsidRPr="005A7B78">
          <w:rPr>
            <w:rStyle w:val="Hyperlink"/>
          </w:rPr>
          <w:t>accpol@dtf.vic.gov.au</w:t>
        </w:r>
      </w:hyperlink>
      <w:r w:rsidRPr="00280E59">
        <w:t>,</w:t>
      </w:r>
      <w:r>
        <w:rPr>
          <w:rFonts w:eastAsiaTheme="minorHAnsi"/>
          <w:lang w:eastAsia="en-US"/>
        </w:rPr>
        <w:t xml:space="preserve"> </w:t>
      </w:r>
      <w:r>
        <w:rPr>
          <w:rFonts w:eastAsiaTheme="minorHAnsi"/>
          <w:b/>
          <w:bCs/>
          <w:lang w:eastAsia="en-US"/>
        </w:rPr>
        <w:t>Departments</w:t>
      </w:r>
      <w:r>
        <w:rPr>
          <w:rFonts w:eastAsiaTheme="minorHAnsi"/>
          <w:lang w:eastAsia="en-US"/>
        </w:rPr>
        <w:t xml:space="preserve"> are requested to support their questions with the facts</w:t>
      </w:r>
      <w:r w:rsidR="00E225EB">
        <w:rPr>
          <w:rFonts w:eastAsiaTheme="minorHAnsi"/>
          <w:lang w:eastAsia="en-US"/>
        </w:rPr>
        <w:t xml:space="preserve"> and with clear referencing to accounting s</w:t>
      </w:r>
      <w:r>
        <w:rPr>
          <w:rFonts w:eastAsiaTheme="minorHAnsi"/>
          <w:lang w:eastAsia="en-US"/>
        </w:rPr>
        <w:t xml:space="preserve">tandards, FRDs and </w:t>
      </w:r>
      <w:r w:rsidRPr="00280E59">
        <w:t>other</w:t>
      </w:r>
      <w:r>
        <w:rPr>
          <w:rFonts w:eastAsiaTheme="minorHAnsi"/>
          <w:lang w:eastAsia="en-US"/>
        </w:rPr>
        <w:t xml:space="preserve"> authoritative pronouncements related to their queries. </w:t>
      </w:r>
    </w:p>
    <w:p w:rsidR="00580749" w:rsidRDefault="00280E59" w:rsidP="00280E59">
      <w:pPr>
        <w:pStyle w:val="NewsletterNormal"/>
        <w:rPr>
          <w:rFonts w:eastAsiaTheme="minorHAnsi"/>
          <w:lang w:eastAsia="en-US"/>
        </w:rPr>
      </w:pPr>
      <w:r>
        <w:rPr>
          <w:rFonts w:eastAsiaTheme="minorHAnsi"/>
          <w:b/>
          <w:bCs/>
          <w:lang w:eastAsia="en-US"/>
        </w:rPr>
        <w:t>Other entities</w:t>
      </w:r>
      <w:r>
        <w:rPr>
          <w:rFonts w:eastAsiaTheme="minorHAnsi"/>
          <w:lang w:eastAsia="en-US"/>
        </w:rPr>
        <w:t xml:space="preserve"> are requested to contact their portfolio department in the first instance to resolve any accounting policy issues</w:t>
      </w:r>
      <w:r w:rsidR="00312DD3">
        <w:rPr>
          <w:rFonts w:eastAsiaTheme="minorHAnsi"/>
          <w:lang w:eastAsia="en-US"/>
        </w:rPr>
        <w:t>.</w:t>
      </w:r>
    </w:p>
    <w:p w:rsidR="009F6B05" w:rsidRDefault="009F6B05" w:rsidP="009F6B05">
      <w:pPr>
        <w:pStyle w:val="NewsletterHeading2"/>
      </w:pPr>
      <w:r>
        <w:t>Useful websites</w:t>
      </w:r>
    </w:p>
    <w:p w:rsidR="009F6B05" w:rsidRDefault="009F6B05" w:rsidP="009F6B05">
      <w:pPr>
        <w:pStyle w:val="NewsletterNormal"/>
      </w:pPr>
      <w:proofErr w:type="gramStart"/>
      <w:r>
        <w:rPr>
          <w:b/>
        </w:rPr>
        <w:t>AASB </w:t>
      </w:r>
      <w:r>
        <w:t xml:space="preserve">– </w:t>
      </w:r>
      <w:hyperlink r:id="rId11" w:history="1">
        <w:r w:rsidRPr="00342D61">
          <w:rPr>
            <w:rStyle w:val="Hyperlink"/>
          </w:rPr>
          <w:t>www.aasb.com.au</w:t>
        </w:r>
      </w:hyperlink>
      <w:r>
        <w:t xml:space="preserve"> for information on AASB pronouncements, discussion papers and ED publications.</w:t>
      </w:r>
      <w:proofErr w:type="gramEnd"/>
    </w:p>
    <w:p w:rsidR="009F6B05" w:rsidRPr="00280E59" w:rsidRDefault="009F6B05" w:rsidP="009F6B05">
      <w:pPr>
        <w:pStyle w:val="NewsletterNormal"/>
      </w:pPr>
      <w:r w:rsidRPr="000C7C38">
        <w:rPr>
          <w:b/>
        </w:rPr>
        <w:t>International Public Sector Accounting Standards Board</w:t>
      </w:r>
      <w:r>
        <w:t xml:space="preserve"> (IPSASB) – </w:t>
      </w:r>
      <w:hyperlink r:id="rId12" w:history="1">
        <w:r w:rsidRPr="00342D61">
          <w:rPr>
            <w:rStyle w:val="Hyperlink"/>
          </w:rPr>
          <w:t>www.ifac.org/PublicSector/</w:t>
        </w:r>
      </w:hyperlink>
      <w:r>
        <w:t xml:space="preserve"> for information on IPSASB and IPSASB </w:t>
      </w:r>
      <w:r w:rsidRPr="000C7C38">
        <w:t>pronouncements</w:t>
      </w:r>
      <w:r>
        <w:t>.</w:t>
      </w:r>
    </w:p>
    <w:p w:rsidR="000C7C38" w:rsidRDefault="008207D7" w:rsidP="009F6B05">
      <w:pPr>
        <w:pStyle w:val="NewsletterHeading2"/>
      </w:pPr>
      <w:r>
        <w:br w:type="column"/>
      </w:r>
      <w:r>
        <w:br w:type="column"/>
      </w:r>
      <w:r w:rsidR="000C7C38">
        <w:t>DTF website</w:t>
      </w:r>
      <w:r w:rsidR="00867F04">
        <w:t xml:space="preserve"> </w:t>
      </w:r>
    </w:p>
    <w:p w:rsidR="00867F04" w:rsidRDefault="00867F04" w:rsidP="00867F04">
      <w:pPr>
        <w:pStyle w:val="NewsletterNormal"/>
      </w:pPr>
      <w:r>
        <w:rPr>
          <w:b/>
        </w:rPr>
        <w:t xml:space="preserve">The </w:t>
      </w:r>
      <w:r w:rsidRPr="00867F04">
        <w:rPr>
          <w:b/>
        </w:rPr>
        <w:t xml:space="preserve">DTF </w:t>
      </w:r>
      <w:r>
        <w:rPr>
          <w:b/>
        </w:rPr>
        <w:t xml:space="preserve">website </w:t>
      </w:r>
      <w:r w:rsidRPr="00867F04">
        <w:rPr>
          <w:b/>
        </w:rPr>
        <w:t>(for all internet users)</w:t>
      </w:r>
      <w:r>
        <w:t xml:space="preserve"> – </w:t>
      </w:r>
      <w:hyperlink r:id="rId13" w:history="1">
        <w:r w:rsidRPr="005A7B78">
          <w:rPr>
            <w:rStyle w:val="Hyperlink"/>
          </w:rPr>
          <w:t>http://www.dtf.vic.gov.au</w:t>
        </w:r>
      </w:hyperlink>
      <w:r>
        <w:t>, covers FRDs and guidance, the Model Report, accounting policy updates, long service leave discount rates. From the menu on the top of the home page, users should select Government Financial Management, then Financial Reporting Policy.</w:t>
      </w:r>
    </w:p>
    <w:p w:rsidR="00867F04" w:rsidRDefault="00867F04" w:rsidP="00867F04">
      <w:pPr>
        <w:pStyle w:val="NewsletterNormal"/>
      </w:pPr>
      <w:r w:rsidRPr="00867F04">
        <w:rPr>
          <w:b/>
        </w:rPr>
        <w:t>VPS users</w:t>
      </w:r>
      <w:r>
        <w:t xml:space="preserve"> should contact their portfolio department in the first instance for the login details to access the information relating to the 2008 LSL Model, the </w:t>
      </w:r>
      <w:proofErr w:type="spellStart"/>
      <w:r>
        <w:t>Valuer</w:t>
      </w:r>
      <w:proofErr w:type="spellEnd"/>
      <w:r w:rsidR="008207D7">
        <w:noBreakHyphen/>
      </w:r>
      <w:r>
        <w:t xml:space="preserve">General Building and Land Indices. </w:t>
      </w:r>
    </w:p>
    <w:p w:rsidR="00867F04" w:rsidRDefault="00867F04" w:rsidP="00867F04">
      <w:pPr>
        <w:pStyle w:val="NewsletterNormal"/>
      </w:pPr>
      <w:r>
        <w:t xml:space="preserve">For assistance with technical difficulties using the DTF website, e.g. broken links, please contact the DTF web team via email at </w:t>
      </w:r>
      <w:hyperlink r:id="rId14" w:history="1">
        <w:proofErr w:type="spellStart"/>
        <w:r w:rsidRPr="005A7B78">
          <w:rPr>
            <w:rStyle w:val="Hyperlink"/>
          </w:rPr>
          <w:t>dtfweb@dtf.vic.gov.au</w:t>
        </w:r>
        <w:proofErr w:type="spellEnd"/>
      </w:hyperlink>
      <w:r w:rsidR="00E225EB">
        <w:rPr>
          <w:rStyle w:val="Hyperlink"/>
        </w:rPr>
        <w:t>.</w:t>
      </w:r>
    </w:p>
    <w:p w:rsidR="000C7C38" w:rsidRDefault="000C7C38" w:rsidP="000C7C38">
      <w:pPr>
        <w:pStyle w:val="NewsletterHeading2"/>
      </w:pPr>
      <w:r>
        <w:t>About the Accounting Policy Update</w:t>
      </w:r>
    </w:p>
    <w:p w:rsidR="000C7C38" w:rsidRDefault="00867F04" w:rsidP="00AB0A40">
      <w:pPr>
        <w:pStyle w:val="NewsletterNormal"/>
        <w:pBdr>
          <w:bottom w:val="single" w:sz="4" w:space="1" w:color="1665A1"/>
        </w:pBdr>
      </w:pPr>
      <w:r w:rsidRPr="00823E75">
        <w:t>Accou</w:t>
      </w:r>
      <w:r>
        <w:t>nting Policy Update is published</w:t>
      </w:r>
      <w:r w:rsidRPr="00823E75">
        <w:t xml:space="preserve"> by the Accounting Policy team of </w:t>
      </w:r>
      <w:r w:rsidRPr="00594EA2">
        <w:t>DTF</w:t>
      </w:r>
      <w:r>
        <w:t xml:space="preserve"> twice a year. The aim of the n</w:t>
      </w:r>
      <w:r w:rsidRPr="00594EA2">
        <w:t>ewsletter is to highlight changes in financial reporting requirements affecting public sector entities, outlining any financial reporting related policy decisions reached by</w:t>
      </w:r>
      <w:r>
        <w:t xml:space="preserve"> </w:t>
      </w:r>
      <w:r w:rsidRPr="00781F3D">
        <w:t>DTF and to inform readers of other developments that are under consideration by the AASB.</w:t>
      </w:r>
      <w:r w:rsidR="004E270C" w:rsidDel="004E270C">
        <w:t xml:space="preserve"> </w:t>
      </w:r>
    </w:p>
    <w:p w:rsidR="005D3320" w:rsidRDefault="005D3320" w:rsidP="00AB0A40">
      <w:pPr>
        <w:pStyle w:val="NewsletterNormal"/>
        <w:pBdr>
          <w:bottom w:val="single" w:sz="4" w:space="1" w:color="1665A1"/>
        </w:pBdr>
      </w:pPr>
    </w:p>
    <w:p w:rsidR="00AB0A40" w:rsidRDefault="00867F04" w:rsidP="00FA0574">
      <w:pPr>
        <w:pStyle w:val="NewsletterNormal"/>
        <w:spacing w:after="0"/>
      </w:pPr>
      <w:r w:rsidRPr="00823E75">
        <w:rPr>
          <w:b/>
        </w:rPr>
        <w:t>Disclaimer:</w:t>
      </w:r>
      <w:r w:rsidRPr="006723F3">
        <w:t xml:space="preserve"> No responsibility is taken for any action(s) taken on the basis of information </w:t>
      </w:r>
      <w:proofErr w:type="gramStart"/>
      <w:r w:rsidRPr="006723F3">
        <w:t xml:space="preserve">contained </w:t>
      </w:r>
      <w:r>
        <w:t>in</w:t>
      </w:r>
      <w:proofErr w:type="gramEnd"/>
      <w:r>
        <w:t xml:space="preserve"> this </w:t>
      </w:r>
      <w:r w:rsidR="003E277F">
        <w:t>n</w:t>
      </w:r>
      <w:r>
        <w:t xml:space="preserve">ewsletter </w:t>
      </w:r>
      <w:r w:rsidRPr="006723F3">
        <w:t>nor for any errors or omissions in that information.</w:t>
      </w:r>
    </w:p>
    <w:p w:rsidR="009F2E99" w:rsidRDefault="009F2E99" w:rsidP="00FA0574">
      <w:pPr>
        <w:pStyle w:val="NewsletterNormal"/>
        <w:pBdr>
          <w:bottom w:val="single" w:sz="4" w:space="1" w:color="1665A1"/>
        </w:pBdr>
        <w:spacing w:before="0"/>
      </w:pPr>
    </w:p>
    <w:p w:rsidR="009F2E99" w:rsidRPr="009D1696" w:rsidRDefault="009F2E99" w:rsidP="009F2E99">
      <w:pPr>
        <w:pStyle w:val="NewsletterNormal"/>
      </w:pPr>
      <w:r w:rsidRPr="009D1696">
        <w:t>© State of Victoria 2014</w:t>
      </w:r>
    </w:p>
    <w:p w:rsidR="009F2E99" w:rsidRPr="009D1696" w:rsidRDefault="009F2E99" w:rsidP="009F2E99">
      <w:r>
        <w:rPr>
          <w:noProof/>
        </w:rPr>
        <w:drawing>
          <wp:inline distT="0" distB="0" distL="0" distR="0" wp14:anchorId="73720AD4" wp14:editId="79165E13">
            <wp:extent cx="1117600" cy="390525"/>
            <wp:effectExtent l="0" t="0" r="6350" b="952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0525"/>
                    </a:xfrm>
                    <a:prstGeom prst="rect">
                      <a:avLst/>
                    </a:prstGeom>
                    <a:noFill/>
                    <a:ln>
                      <a:noFill/>
                    </a:ln>
                  </pic:spPr>
                </pic:pic>
              </a:graphicData>
            </a:graphic>
          </wp:inline>
        </w:drawing>
      </w:r>
      <w:r w:rsidRPr="009D1696">
        <w:t xml:space="preserve"> </w:t>
      </w:r>
    </w:p>
    <w:p w:rsidR="009F2E99" w:rsidRPr="009D1696" w:rsidRDefault="009F2E99" w:rsidP="009F2E99">
      <w:pPr>
        <w:pStyle w:val="NewsletterNormal"/>
      </w:pPr>
      <w:r w:rsidRPr="009D1696">
        <w:t xml:space="preserve">This work is licensed under a </w:t>
      </w:r>
      <w:hyperlink r:id="rId17" w:history="1">
        <w:r w:rsidRPr="009D1696">
          <w:rPr>
            <w:rStyle w:val="Hyperlink"/>
          </w:rPr>
          <w:t>Creative Commons Attribution 3.0 Australia licence</w:t>
        </w:r>
      </w:hyperlink>
      <w:r w:rsidRPr="009D1696">
        <w:t xml:space="preserve">. You are free to re-use the work under that licence, on the condition that you credit the State of Victoria as author. The licence does not apply to any images, photographs or branding, including the Victorian Coat </w:t>
      </w:r>
      <w:r w:rsidRPr="008C2A38">
        <w:t>of Arms, the Victorian Government logo and the Department</w:t>
      </w:r>
      <w:r w:rsidRPr="009D1696">
        <w:t xml:space="preserve"> of Treasury and Finance logo.</w:t>
      </w:r>
    </w:p>
    <w:p w:rsidR="009F2E99" w:rsidRPr="009D1696" w:rsidRDefault="009F2E99" w:rsidP="00FA0574">
      <w:pPr>
        <w:pStyle w:val="NewsletterNormal"/>
        <w:spacing w:after="0"/>
      </w:pPr>
      <w:r w:rsidRPr="009D1696">
        <w:t xml:space="preserve">Copyright queries may be directed to </w:t>
      </w:r>
      <w:hyperlink r:id="rId18" w:history="1">
        <w:r w:rsidRPr="009D1696">
          <w:rPr>
            <w:rStyle w:val="Hyperlink"/>
          </w:rPr>
          <w:t>IPpolicy@dtf.vic.gov.au</w:t>
        </w:r>
      </w:hyperlink>
    </w:p>
    <w:p w:rsidR="009F2E99" w:rsidRDefault="009F2E99" w:rsidP="00867F04">
      <w:pPr>
        <w:pStyle w:val="NewsletterNormal"/>
        <w:pBdr>
          <w:bottom w:val="single" w:sz="4" w:space="1" w:color="1665A1"/>
        </w:pBdr>
        <w:spacing w:before="0"/>
      </w:pPr>
    </w:p>
    <w:sectPr w:rsidR="009F2E99" w:rsidSect="00CC60EC">
      <w:headerReference w:type="default" r:id="rId19"/>
      <w:footerReference w:type="default" r:id="rId20"/>
      <w:headerReference w:type="first" r:id="rId21"/>
      <w:footerReference w:type="first" r:id="rId22"/>
      <w:type w:val="continuous"/>
      <w:pgSz w:w="11906" w:h="16838" w:code="9"/>
      <w:pgMar w:top="2970" w:right="706" w:bottom="1800" w:left="706" w:header="562" w:footer="633" w:gutter="0"/>
      <w:cols w:num="2" w:space="461" w:equalWidth="0">
        <w:col w:w="3067" w:space="461"/>
        <w:col w:w="696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99" w:rsidRDefault="009F2E99" w:rsidP="002620A4">
      <w:pPr>
        <w:spacing w:after="0" w:line="240" w:lineRule="auto"/>
      </w:pPr>
      <w:r>
        <w:separator/>
      </w:r>
    </w:p>
  </w:endnote>
  <w:endnote w:type="continuationSeparator" w:id="0">
    <w:p w:rsidR="009F2E99" w:rsidRDefault="009F2E99" w:rsidP="0026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99" w:rsidRDefault="009F2E99" w:rsidP="00BE3677">
    <w:pPr>
      <w:pStyle w:val="Footer"/>
    </w:pPr>
    <w:r w:rsidRPr="00BE3677">
      <mc:AlternateContent>
        <mc:Choice Requires="wps">
          <w:drawing>
            <wp:anchor distT="0" distB="0" distL="114300" distR="114300" simplePos="0" relativeHeight="251663360" behindDoc="1" locked="0" layoutInCell="1" allowOverlap="1" wp14:anchorId="3B9B448B" wp14:editId="4EA15A78">
              <wp:simplePos x="0" y="0"/>
              <wp:positionH relativeFrom="page">
                <wp:posOffset>0</wp:posOffset>
              </wp:positionH>
              <wp:positionV relativeFrom="page">
                <wp:posOffset>9620250</wp:posOffset>
              </wp:positionV>
              <wp:extent cx="7562088" cy="1078992"/>
              <wp:effectExtent l="0" t="0" r="1270" b="6985"/>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5pt;width:595.45pt;height:8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54TuFI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Pr="00BE3677">
      <w:t xml:space="preserve">Page </w:t>
    </w:r>
    <w:r w:rsidRPr="00BE3677">
      <w:fldChar w:fldCharType="begin"/>
    </w:r>
    <w:r w:rsidRPr="00BE3677">
      <w:instrText xml:space="preserve"> page </w:instrText>
    </w:r>
    <w:r w:rsidRPr="00BE3677">
      <w:fldChar w:fldCharType="separate"/>
    </w:r>
    <w:r w:rsidR="0081639A">
      <w:t>11</w:t>
    </w:r>
    <w:r w:rsidRPr="00BE3677">
      <w:fldChar w:fldCharType="end"/>
    </w:r>
    <w:r>
      <mc:AlternateContent>
        <mc:Choice Requires="wpg">
          <w:drawing>
            <wp:anchor distT="0" distB="0" distL="114300" distR="114300" simplePos="0" relativeHeight="251662336" behindDoc="0" locked="0" layoutInCell="1" allowOverlap="1" wp14:anchorId="1F187C7F" wp14:editId="096CD1E2">
              <wp:simplePos x="0" y="0"/>
              <wp:positionH relativeFrom="page">
                <wp:posOffset>-2790825</wp:posOffset>
              </wp:positionH>
              <wp:positionV relativeFrom="page">
                <wp:posOffset>9420225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19.75pt;margin-top:741.75pt;width:436.5pt;height:124.4pt;z-index:2516623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99" w:rsidRDefault="009F2E99">
    <w:pPr>
      <w:pStyle w:val="Footer"/>
    </w:pPr>
    <w:r>
      <w:drawing>
        <wp:anchor distT="0" distB="0" distL="114300" distR="114300" simplePos="0" relativeHeight="251670528" behindDoc="0" locked="0" layoutInCell="1" allowOverlap="1" wp14:anchorId="5D4129B1" wp14:editId="27E9442B">
          <wp:simplePos x="0" y="0"/>
          <wp:positionH relativeFrom="column">
            <wp:posOffset>5908675</wp:posOffset>
          </wp:positionH>
          <wp:positionV relativeFrom="page">
            <wp:posOffset>9926320</wp:posOffset>
          </wp:positionV>
          <wp:extent cx="758952" cy="438912"/>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438912"/>
                  </a:xfrm>
                  <a:prstGeom prst="rect">
                    <a:avLst/>
                  </a:prstGeom>
                </pic:spPr>
              </pic:pic>
            </a:graphicData>
          </a:graphic>
          <wp14:sizeRelH relativeFrom="margin">
            <wp14:pctWidth>0</wp14:pctWidth>
          </wp14:sizeRelH>
          <wp14:sizeRelV relativeFrom="margin">
            <wp14:pctHeight>0</wp14:pctHeight>
          </wp14:sizeRelV>
        </wp:anchor>
      </w:drawing>
    </w:r>
    <w:r w:rsidRPr="00BE3677">
      <mc:AlternateContent>
        <mc:Choice Requires="wps">
          <w:drawing>
            <wp:anchor distT="0" distB="0" distL="114300" distR="114300" simplePos="0" relativeHeight="251669504" behindDoc="1" locked="0" layoutInCell="1" allowOverlap="1" wp14:anchorId="3AE8E96F" wp14:editId="14500990">
              <wp:simplePos x="0" y="0"/>
              <wp:positionH relativeFrom="page">
                <wp:posOffset>0</wp:posOffset>
              </wp:positionH>
              <wp:positionV relativeFrom="page">
                <wp:posOffset>9620250</wp:posOffset>
              </wp:positionV>
              <wp:extent cx="7562088" cy="1078992"/>
              <wp:effectExtent l="0" t="0" r="1270" b="6985"/>
              <wp:wrapNone/>
              <wp:docPr id="10" name="Rectangle 10"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ver Coloured Footer Section - Description: Cover Coloured Footer Section" style="position:absolute;margin-left:0;margin-top:757.5pt;width:595.45pt;height:8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Ikd9vo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mc:AlternateContent>
        <mc:Choice Requires="wpg">
          <w:drawing>
            <wp:anchor distT="0" distB="0" distL="114300" distR="114300" simplePos="0" relativeHeight="251668480" behindDoc="0" locked="0" layoutInCell="1" allowOverlap="1" wp14:anchorId="5D8BA2AA" wp14:editId="50EC4D4A">
              <wp:simplePos x="0" y="0"/>
              <wp:positionH relativeFrom="page">
                <wp:posOffset>-2790825</wp:posOffset>
              </wp:positionH>
              <wp:positionV relativeFrom="page">
                <wp:posOffset>9420225</wp:posOffset>
              </wp:positionV>
              <wp:extent cx="5543550" cy="1579880"/>
              <wp:effectExtent l="0" t="0" r="19050" b="203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5"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6"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7"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8"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19"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0"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1"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2"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3"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6"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7"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8"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9"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0"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1"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24"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5"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6"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7"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19.75pt;margin-top:741.75pt;width:436.5pt;height:124.4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PmsIAAADbAAAADwAAAGRycy9kb3ducmV2LnhtbERPTWvCQBC9C/6HZYTezMZAbUldpSiF&#10;FqRQE8h1mh2T2OxszG5N/PduQehtHu9zVpvRtOJCvWssK1hEMQji0uqGKwV59jZ/BuE8ssbWMim4&#10;koPNejpZYartwF90OfhKhBB2KSqove9SKV1Zk0EX2Y44cEfbG/QB9pXUPQ4h3LQyieOlNNhwaKix&#10;o21N5c/h1yj4Lp6KT3bkPoryLPePycnk2U6ph9n4+gLC0+j/xXf3uw7zE/j7JRw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HPmsIAAADbAAAADwAAAAAAAAAAAAAA&#10;AAChAgAAZHJzL2Rvd25yZXYueG1sUEsFBgAAAAAEAAQA+QAAAJA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MQAAADcAAAADwAAAGRycy9kb3ducmV2LnhtbESP3YrCMBSE74V9h3AWvNPUgj9Uo8gu&#10;goIIq0Jvj82xrTYntYla394sLOzlMDPfMLNFayrxoMaVlhUM+hEI4szqknMFx8OqNwHhPLLGyjIp&#10;eJGDxfyjM8NE2yf/0GPvcxEg7BJUUHhfJ1K6rCCDrm9r4uCdbWPQB9nkUjf4DHBTyTiKRtJgyWGh&#10;wJq+Csqu+7tRcErH6Y4duU2a3eR2GF/M8fCtVPezXU5BeGr9f/ivvdYK4ngMv2fC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YkkxAAAANwAAAAPAAAAAAAAAAAA&#10;AAAAAKECAABkcnMvZG93bnJldi54bWxQSwUGAAAAAAQABAD5AAAAkgM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99" w:rsidRDefault="009F2E99" w:rsidP="002620A4">
      <w:pPr>
        <w:spacing w:after="0" w:line="240" w:lineRule="auto"/>
      </w:pPr>
      <w:r>
        <w:separator/>
      </w:r>
    </w:p>
  </w:footnote>
  <w:footnote w:type="continuationSeparator" w:id="0">
    <w:p w:rsidR="009F2E99" w:rsidRDefault="009F2E99" w:rsidP="00262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99" w:rsidRDefault="009F2E99" w:rsidP="002620A4">
    <w:pPr>
      <w:pStyle w:val="Header"/>
      <w:ind w:right="41"/>
      <w:jc w:val="right"/>
    </w:pPr>
    <w:r>
      <w:rPr>
        <w:noProof/>
      </w:rPr>
      <mc:AlternateContent>
        <mc:Choice Requires="wps">
          <w:drawing>
            <wp:anchor distT="0" distB="0" distL="114300" distR="114300" simplePos="0" relativeHeight="251660288" behindDoc="0" locked="1" layoutInCell="1" allowOverlap="1" wp14:anchorId="1D30286F" wp14:editId="5B8BFF24">
              <wp:simplePos x="0" y="0"/>
              <wp:positionH relativeFrom="page">
                <wp:posOffset>414655</wp:posOffset>
              </wp:positionH>
              <wp:positionV relativeFrom="page">
                <wp:posOffset>340995</wp:posOffset>
              </wp:positionV>
              <wp:extent cx="6228715" cy="720725"/>
              <wp:effectExtent l="0" t="0" r="0" b="0"/>
              <wp:wrapNone/>
              <wp:docPr id="2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2E99" w:rsidRPr="00607F49" w:rsidRDefault="009F2E99" w:rsidP="002620A4">
                          <w:pPr>
                            <w:pStyle w:val="NewsletterTitle"/>
                          </w:pPr>
                          <w:r w:rsidRPr="00607F49">
                            <w:t>Accounting policy update</w:t>
                          </w:r>
                        </w:p>
                        <w:p w:rsidR="009F2E99" w:rsidRPr="00607F49" w:rsidRDefault="009F2E99" w:rsidP="002620A4">
                          <w:pPr>
                            <w:pStyle w:val="NewsletterSubtitle"/>
                          </w:pPr>
                          <w:r w:rsidRPr="00607F49">
                            <w:t xml:space="preserve">Newsletter </w:t>
                          </w:r>
                          <w:r>
                            <w:noBreakHyphen/>
                          </w:r>
                          <w:r w:rsidRPr="00607F49">
                            <w:t xml:space="preserve"> Edition No. </w:t>
                          </w:r>
                          <w:r>
                            <w:t>25</w:t>
                          </w:r>
                          <w:r w:rsidRPr="00607F49">
                            <w:t xml:space="preserve">, </w:t>
                          </w:r>
                          <w:r w:rsidR="003D5458">
                            <w:t>February</w:t>
                          </w:r>
                          <w:r>
                            <w:t xml:space="preserve"> </w:t>
                          </w:r>
                          <w:r w:rsidRPr="00607F49">
                            <w:t>201</w:t>
                          </w:r>
                          <w:r>
                            <w:t>4</w:t>
                          </w:r>
                        </w:p>
                        <w:p w:rsidR="009F2E99" w:rsidRDefault="009F2E99"/>
                        <w:p w:rsidR="009F2E99" w:rsidRPr="00607F49" w:rsidRDefault="009F2E99" w:rsidP="002620A4">
                          <w:pPr>
                            <w:pStyle w:val="NewsletterTitle"/>
                          </w:pPr>
                          <w:r w:rsidRPr="00607F49">
                            <w:t>Accounting policy update</w:t>
                          </w:r>
                        </w:p>
                        <w:p w:rsidR="009F2E99" w:rsidRPr="00607F49" w:rsidRDefault="009F2E99" w:rsidP="002620A4">
                          <w:pPr>
                            <w:pStyle w:val="NewsletterSubtitle"/>
                          </w:pPr>
                          <w:r w:rsidRPr="00607F49">
                            <w:t xml:space="preserve">Newsletter </w:t>
                          </w:r>
                          <w:r>
                            <w:noBreakHyphen/>
                          </w:r>
                          <w:r w:rsidRPr="00607F49">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65pt;margin-top:26.85pt;width:490.45pt;height:5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VQ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" filled="f" stroked="f" strokeweight=".5pt">
              <v:textbox inset="0,0,0,0">
                <w:txbxContent>
                  <w:p w:rsidR="009F2E99" w:rsidRPr="00607F49" w:rsidRDefault="009F2E99" w:rsidP="002620A4">
                    <w:pPr>
                      <w:pStyle w:val="NewsletterTitle"/>
                    </w:pPr>
                    <w:r w:rsidRPr="00607F49">
                      <w:t>Accounting policy update</w:t>
                    </w:r>
                  </w:p>
                  <w:p w:rsidR="009F2E99" w:rsidRPr="00607F49" w:rsidRDefault="009F2E99" w:rsidP="002620A4">
                    <w:pPr>
                      <w:pStyle w:val="NewsletterSubtitle"/>
                    </w:pPr>
                    <w:r w:rsidRPr="00607F49">
                      <w:t xml:space="preserve">Newsletter </w:t>
                    </w:r>
                    <w:r>
                      <w:noBreakHyphen/>
                    </w:r>
                    <w:r w:rsidRPr="00607F49">
                      <w:t xml:space="preserve"> Edition No. </w:t>
                    </w:r>
                    <w:r>
                      <w:t>25</w:t>
                    </w:r>
                    <w:r w:rsidRPr="00607F49">
                      <w:t xml:space="preserve">, </w:t>
                    </w:r>
                    <w:r w:rsidR="003D5458">
                      <w:t>February</w:t>
                    </w:r>
                    <w:r>
                      <w:t xml:space="preserve"> </w:t>
                    </w:r>
                    <w:r w:rsidRPr="00607F49">
                      <w:t>201</w:t>
                    </w:r>
                    <w:r>
                      <w:t>4</w:t>
                    </w:r>
                  </w:p>
                  <w:p w:rsidR="009F2E99" w:rsidRDefault="009F2E99"/>
                  <w:p w:rsidR="009F2E99" w:rsidRPr="00607F49" w:rsidRDefault="009F2E99" w:rsidP="002620A4">
                    <w:pPr>
                      <w:pStyle w:val="NewsletterTitle"/>
                    </w:pPr>
                    <w:r w:rsidRPr="00607F49">
                      <w:t>Accounting policy update</w:t>
                    </w:r>
                  </w:p>
                  <w:p w:rsidR="009F2E99" w:rsidRPr="00607F49" w:rsidRDefault="009F2E99" w:rsidP="002620A4">
                    <w:pPr>
                      <w:pStyle w:val="NewsletterSubtitle"/>
                    </w:pPr>
                    <w:r w:rsidRPr="00607F49">
                      <w:t xml:space="preserve">Newsletter </w:t>
                    </w:r>
                    <w:r>
                      <w:noBreakHyphen/>
                    </w:r>
                    <w:r w:rsidRPr="00607F49">
                      <w:t xml:space="preserve"> Edition No. xx, Month 2013</w:t>
                    </w:r>
                  </w:p>
                </w:txbxContent>
              </v:textbox>
              <w10:wrap anchorx="page" anchory="page"/>
              <w10:anchorlock/>
            </v:shape>
          </w:pict>
        </mc:Fallback>
      </mc:AlternateContent>
    </w:r>
    <w:r>
      <w:rPr>
        <w:noProof/>
      </w:rPr>
      <w:drawing>
        <wp:inline distT="0" distB="0" distL="0" distR="0" wp14:anchorId="24C7F999" wp14:editId="26BF1D2E">
          <wp:extent cx="2162175" cy="1333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CCF22D7" wp14:editId="01783D45">
          <wp:simplePos x="0" y="0"/>
          <wp:positionH relativeFrom="page">
            <wp:posOffset>528955</wp:posOffset>
          </wp:positionH>
          <wp:positionV relativeFrom="page">
            <wp:posOffset>1194435</wp:posOffset>
          </wp:positionV>
          <wp:extent cx="7205345" cy="605790"/>
          <wp:effectExtent l="0" t="0" r="0" b="3810"/>
          <wp:wrapNone/>
          <wp:docPr id="8"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E99" w:rsidRDefault="009F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99" w:rsidRDefault="009F2E99" w:rsidP="003F31CE">
    <w:pPr>
      <w:pStyle w:val="Header"/>
      <w:ind w:right="41"/>
      <w:jc w:val="right"/>
    </w:pPr>
    <w:r>
      <w:rPr>
        <w:noProof/>
      </w:rPr>
      <mc:AlternateContent>
        <mc:Choice Requires="wps">
          <w:drawing>
            <wp:anchor distT="0" distB="0" distL="114300" distR="114300" simplePos="0" relativeHeight="251666432" behindDoc="0" locked="1" layoutInCell="1" allowOverlap="1" wp14:anchorId="2E474882" wp14:editId="7FB57D70">
              <wp:simplePos x="0" y="0"/>
              <wp:positionH relativeFrom="page">
                <wp:posOffset>414655</wp:posOffset>
              </wp:positionH>
              <wp:positionV relativeFrom="page">
                <wp:posOffset>340995</wp:posOffset>
              </wp:positionV>
              <wp:extent cx="6228715" cy="7207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2E99" w:rsidRPr="00607F49" w:rsidRDefault="009F2E99" w:rsidP="003F31CE">
                          <w:pPr>
                            <w:pStyle w:val="NewsletterTitle"/>
                          </w:pPr>
                          <w:r w:rsidRPr="00607F49">
                            <w:t>Accounting policy update</w:t>
                          </w:r>
                        </w:p>
                        <w:p w:rsidR="009F2E99" w:rsidRPr="00607F49" w:rsidRDefault="009F2E99" w:rsidP="003F31CE">
                          <w:pPr>
                            <w:pStyle w:val="NewsletterSubtitle"/>
                          </w:pPr>
                          <w:r w:rsidRPr="00607F49">
                            <w:t xml:space="preserve">Newsletter </w:t>
                          </w:r>
                          <w:r>
                            <w:noBreakHyphen/>
                          </w:r>
                          <w:r w:rsidRPr="00607F49">
                            <w:t xml:space="preserve"> Edition No. </w:t>
                          </w:r>
                          <w:r>
                            <w:t>25</w:t>
                          </w:r>
                          <w:r w:rsidRPr="00607F49">
                            <w:t xml:space="preserve">, </w:t>
                          </w:r>
                          <w:r w:rsidR="003D5458">
                            <w:t>February</w:t>
                          </w:r>
                          <w:r>
                            <w:t xml:space="preserve"> </w:t>
                          </w:r>
                          <w:r w:rsidRPr="00607F49">
                            <w:t>201</w:t>
                          </w:r>
                          <w:r>
                            <w:t>4</w:t>
                          </w:r>
                        </w:p>
                        <w:p w:rsidR="009F2E99" w:rsidRDefault="009F2E99"/>
                        <w:p w:rsidR="009F2E99" w:rsidRPr="00607F49" w:rsidRDefault="009F2E99" w:rsidP="003F31CE">
                          <w:pPr>
                            <w:pStyle w:val="NewsletterTitle"/>
                          </w:pPr>
                          <w:r w:rsidRPr="00607F49">
                            <w:t>Accounting policy update</w:t>
                          </w:r>
                        </w:p>
                        <w:p w:rsidR="009F2E99" w:rsidRPr="00607F49" w:rsidRDefault="009F2E99" w:rsidP="003F31CE">
                          <w:pPr>
                            <w:pStyle w:val="NewsletterSubtitle"/>
                          </w:pPr>
                          <w:r w:rsidRPr="00607F49">
                            <w:t xml:space="preserve">Newsletter </w:t>
                          </w:r>
                          <w:r>
                            <w:noBreakHyphen/>
                          </w:r>
                          <w:r w:rsidRPr="00607F49">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65pt;margin-top:26.85pt;width:490.45pt;height:5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cusgIAALA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" filled="f" stroked="f" strokeweight=".5pt">
              <v:textbox inset="0,0,0,0">
                <w:txbxContent>
                  <w:p w:rsidR="009F2E99" w:rsidRPr="00607F49" w:rsidRDefault="009F2E99" w:rsidP="003F31CE">
                    <w:pPr>
                      <w:pStyle w:val="NewsletterTitle"/>
                    </w:pPr>
                    <w:r w:rsidRPr="00607F49">
                      <w:t>Accounting policy update</w:t>
                    </w:r>
                  </w:p>
                  <w:p w:rsidR="009F2E99" w:rsidRPr="00607F49" w:rsidRDefault="009F2E99" w:rsidP="003F31CE">
                    <w:pPr>
                      <w:pStyle w:val="NewsletterSubtitle"/>
                    </w:pPr>
                    <w:r w:rsidRPr="00607F49">
                      <w:t xml:space="preserve">Newsletter </w:t>
                    </w:r>
                    <w:r>
                      <w:noBreakHyphen/>
                    </w:r>
                    <w:r w:rsidRPr="00607F49">
                      <w:t xml:space="preserve"> Edition No. </w:t>
                    </w:r>
                    <w:r>
                      <w:t>25</w:t>
                    </w:r>
                    <w:r w:rsidRPr="00607F49">
                      <w:t xml:space="preserve">, </w:t>
                    </w:r>
                    <w:r w:rsidR="003D5458">
                      <w:t>February</w:t>
                    </w:r>
                    <w:r>
                      <w:t xml:space="preserve"> </w:t>
                    </w:r>
                    <w:r w:rsidRPr="00607F49">
                      <w:t>201</w:t>
                    </w:r>
                    <w:r>
                      <w:t>4</w:t>
                    </w:r>
                  </w:p>
                  <w:p w:rsidR="009F2E99" w:rsidRDefault="009F2E99"/>
                  <w:p w:rsidR="009F2E99" w:rsidRPr="00607F49" w:rsidRDefault="009F2E99" w:rsidP="003F31CE">
                    <w:pPr>
                      <w:pStyle w:val="NewsletterTitle"/>
                    </w:pPr>
                    <w:r w:rsidRPr="00607F49">
                      <w:t>Accounting policy update</w:t>
                    </w:r>
                  </w:p>
                  <w:p w:rsidR="009F2E99" w:rsidRPr="00607F49" w:rsidRDefault="009F2E99" w:rsidP="003F31CE">
                    <w:pPr>
                      <w:pStyle w:val="NewsletterSubtitle"/>
                    </w:pPr>
                    <w:r w:rsidRPr="00607F49">
                      <w:t xml:space="preserve">Newsletter </w:t>
                    </w:r>
                    <w:r>
                      <w:noBreakHyphen/>
                    </w:r>
                    <w:r w:rsidRPr="00607F49">
                      <w:t xml:space="preserve"> Edition No. xx, Month 2013</w:t>
                    </w:r>
                  </w:p>
                </w:txbxContent>
              </v:textbox>
              <w10:wrap anchorx="page" anchory="page"/>
              <w10:anchorlock/>
            </v:shape>
          </w:pict>
        </mc:Fallback>
      </mc:AlternateContent>
    </w:r>
    <w:r>
      <w:rPr>
        <w:noProof/>
      </w:rPr>
      <w:drawing>
        <wp:inline distT="0" distB="0" distL="0" distR="0" wp14:anchorId="709A2633" wp14:editId="64B85DBF">
          <wp:extent cx="2162175" cy="13335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0FF165E5" wp14:editId="3ADEBF2F">
          <wp:simplePos x="0" y="0"/>
          <wp:positionH relativeFrom="page">
            <wp:posOffset>528955</wp:posOffset>
          </wp:positionH>
          <wp:positionV relativeFrom="page">
            <wp:posOffset>1194435</wp:posOffset>
          </wp:positionV>
          <wp:extent cx="7205345" cy="605790"/>
          <wp:effectExtent l="0" t="0" r="0" b="3810"/>
          <wp:wrapNone/>
          <wp:docPr id="228" name="Picture 228"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E99" w:rsidRDefault="009F2E99" w:rsidP="003F31CE">
    <w:pPr>
      <w:pStyle w:val="Header"/>
    </w:pPr>
  </w:p>
  <w:p w:rsidR="009F2E99" w:rsidRDefault="009F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4F2"/>
    <w:multiLevelType w:val="hybridMultilevel"/>
    <w:tmpl w:val="C9AE999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446D3A6A"/>
    <w:multiLevelType w:val="multilevel"/>
    <w:tmpl w:val="C4466C64"/>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4">
    <w:nsid w:val="5D4032DB"/>
    <w:multiLevelType w:val="hybridMultilevel"/>
    <w:tmpl w:val="7CAC795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nsid w:val="600978C1"/>
    <w:multiLevelType w:val="hybridMultilevel"/>
    <w:tmpl w:val="8552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047C7"/>
    <w:rsid w:val="000048D8"/>
    <w:rsid w:val="00015C68"/>
    <w:rsid w:val="00027AFB"/>
    <w:rsid w:val="00052CED"/>
    <w:rsid w:val="00055621"/>
    <w:rsid w:val="00062DE2"/>
    <w:rsid w:val="0006757A"/>
    <w:rsid w:val="000727F1"/>
    <w:rsid w:val="00091140"/>
    <w:rsid w:val="000941B5"/>
    <w:rsid w:val="000A4A96"/>
    <w:rsid w:val="000B25AF"/>
    <w:rsid w:val="000B3697"/>
    <w:rsid w:val="000B55FE"/>
    <w:rsid w:val="000C7C38"/>
    <w:rsid w:val="000D084E"/>
    <w:rsid w:val="000E64D6"/>
    <w:rsid w:val="000F4569"/>
    <w:rsid w:val="00113879"/>
    <w:rsid w:val="00121131"/>
    <w:rsid w:val="001268E0"/>
    <w:rsid w:val="0014591F"/>
    <w:rsid w:val="001574D4"/>
    <w:rsid w:val="00161DD5"/>
    <w:rsid w:val="00165F1D"/>
    <w:rsid w:val="00166B66"/>
    <w:rsid w:val="0017102D"/>
    <w:rsid w:val="0017264F"/>
    <w:rsid w:val="00180EEB"/>
    <w:rsid w:val="00181682"/>
    <w:rsid w:val="00187AC3"/>
    <w:rsid w:val="00194AE0"/>
    <w:rsid w:val="00195138"/>
    <w:rsid w:val="001958E3"/>
    <w:rsid w:val="001B3819"/>
    <w:rsid w:val="001B60F8"/>
    <w:rsid w:val="001C04AD"/>
    <w:rsid w:val="001C2C76"/>
    <w:rsid w:val="001C61F7"/>
    <w:rsid w:val="001C6D70"/>
    <w:rsid w:val="001C7142"/>
    <w:rsid w:val="001D57EE"/>
    <w:rsid w:val="001F15FE"/>
    <w:rsid w:val="001F193F"/>
    <w:rsid w:val="001F1E33"/>
    <w:rsid w:val="001F453D"/>
    <w:rsid w:val="00202E8C"/>
    <w:rsid w:val="002057E7"/>
    <w:rsid w:val="0023062F"/>
    <w:rsid w:val="00241F3F"/>
    <w:rsid w:val="00251286"/>
    <w:rsid w:val="002524F5"/>
    <w:rsid w:val="002620A4"/>
    <w:rsid w:val="002624A3"/>
    <w:rsid w:val="00266D90"/>
    <w:rsid w:val="002715DA"/>
    <w:rsid w:val="00280E59"/>
    <w:rsid w:val="002A3055"/>
    <w:rsid w:val="002C7410"/>
    <w:rsid w:val="002E40E9"/>
    <w:rsid w:val="002F1160"/>
    <w:rsid w:val="002F6CBB"/>
    <w:rsid w:val="00304A7F"/>
    <w:rsid w:val="00312DD3"/>
    <w:rsid w:val="003413C7"/>
    <w:rsid w:val="003456FA"/>
    <w:rsid w:val="0035167F"/>
    <w:rsid w:val="0036494F"/>
    <w:rsid w:val="00367D93"/>
    <w:rsid w:val="003722FF"/>
    <w:rsid w:val="00373643"/>
    <w:rsid w:val="00386778"/>
    <w:rsid w:val="003A02B0"/>
    <w:rsid w:val="003A42CC"/>
    <w:rsid w:val="003B5E90"/>
    <w:rsid w:val="003B7BD4"/>
    <w:rsid w:val="003D0C12"/>
    <w:rsid w:val="003D5458"/>
    <w:rsid w:val="003E277F"/>
    <w:rsid w:val="003E4DAE"/>
    <w:rsid w:val="003E670C"/>
    <w:rsid w:val="003F31CE"/>
    <w:rsid w:val="003F4A9F"/>
    <w:rsid w:val="004011E6"/>
    <w:rsid w:val="0040263D"/>
    <w:rsid w:val="00426017"/>
    <w:rsid w:val="00436C3F"/>
    <w:rsid w:val="00457067"/>
    <w:rsid w:val="00462032"/>
    <w:rsid w:val="00484203"/>
    <w:rsid w:val="00484D2D"/>
    <w:rsid w:val="004929BB"/>
    <w:rsid w:val="0049457A"/>
    <w:rsid w:val="00497E1D"/>
    <w:rsid w:val="004A0C08"/>
    <w:rsid w:val="004A4DD2"/>
    <w:rsid w:val="004C13E5"/>
    <w:rsid w:val="004C24EC"/>
    <w:rsid w:val="004C2526"/>
    <w:rsid w:val="004C28B7"/>
    <w:rsid w:val="004E270C"/>
    <w:rsid w:val="004E67F8"/>
    <w:rsid w:val="004F1A63"/>
    <w:rsid w:val="004F4E62"/>
    <w:rsid w:val="00500923"/>
    <w:rsid w:val="00501250"/>
    <w:rsid w:val="0050252C"/>
    <w:rsid w:val="00507ECA"/>
    <w:rsid w:val="00514062"/>
    <w:rsid w:val="005236E7"/>
    <w:rsid w:val="00525911"/>
    <w:rsid w:val="00525DCE"/>
    <w:rsid w:val="00526899"/>
    <w:rsid w:val="005343EB"/>
    <w:rsid w:val="005354EE"/>
    <w:rsid w:val="00536C99"/>
    <w:rsid w:val="00542B5C"/>
    <w:rsid w:val="00547A8B"/>
    <w:rsid w:val="00547D73"/>
    <w:rsid w:val="005671B2"/>
    <w:rsid w:val="00580749"/>
    <w:rsid w:val="00597929"/>
    <w:rsid w:val="005A2BD3"/>
    <w:rsid w:val="005B0C34"/>
    <w:rsid w:val="005B3780"/>
    <w:rsid w:val="005C0D35"/>
    <w:rsid w:val="005C2AD7"/>
    <w:rsid w:val="005D1FF8"/>
    <w:rsid w:val="005D3320"/>
    <w:rsid w:val="005F40E0"/>
    <w:rsid w:val="005F5397"/>
    <w:rsid w:val="005F54AF"/>
    <w:rsid w:val="0061598F"/>
    <w:rsid w:val="0061647D"/>
    <w:rsid w:val="006247E0"/>
    <w:rsid w:val="00641C44"/>
    <w:rsid w:val="006451FB"/>
    <w:rsid w:val="006533C1"/>
    <w:rsid w:val="00662CFF"/>
    <w:rsid w:val="006664EB"/>
    <w:rsid w:val="0067119B"/>
    <w:rsid w:val="00674B81"/>
    <w:rsid w:val="00675FAB"/>
    <w:rsid w:val="006777A6"/>
    <w:rsid w:val="00677B0F"/>
    <w:rsid w:val="006928EB"/>
    <w:rsid w:val="00693162"/>
    <w:rsid w:val="006B0908"/>
    <w:rsid w:val="006B3A50"/>
    <w:rsid w:val="006C4F46"/>
    <w:rsid w:val="006D5D42"/>
    <w:rsid w:val="006E0041"/>
    <w:rsid w:val="00705314"/>
    <w:rsid w:val="0071560C"/>
    <w:rsid w:val="00716025"/>
    <w:rsid w:val="00734506"/>
    <w:rsid w:val="00737E9B"/>
    <w:rsid w:val="007407D8"/>
    <w:rsid w:val="00746B64"/>
    <w:rsid w:val="00752A25"/>
    <w:rsid w:val="00760411"/>
    <w:rsid w:val="007644CD"/>
    <w:rsid w:val="007679D4"/>
    <w:rsid w:val="007735A0"/>
    <w:rsid w:val="00780530"/>
    <w:rsid w:val="00791500"/>
    <w:rsid w:val="007B67BE"/>
    <w:rsid w:val="007D0B6C"/>
    <w:rsid w:val="007D7B04"/>
    <w:rsid w:val="007E443B"/>
    <w:rsid w:val="007E519B"/>
    <w:rsid w:val="0081202D"/>
    <w:rsid w:val="00812B76"/>
    <w:rsid w:val="0081639A"/>
    <w:rsid w:val="00816C5A"/>
    <w:rsid w:val="00817DF1"/>
    <w:rsid w:val="008207D7"/>
    <w:rsid w:val="00825BB4"/>
    <w:rsid w:val="00831A62"/>
    <w:rsid w:val="00833199"/>
    <w:rsid w:val="00843B08"/>
    <w:rsid w:val="0085098D"/>
    <w:rsid w:val="00850A8D"/>
    <w:rsid w:val="00855C27"/>
    <w:rsid w:val="00860450"/>
    <w:rsid w:val="008616E0"/>
    <w:rsid w:val="008620F7"/>
    <w:rsid w:val="00867F04"/>
    <w:rsid w:val="008709B7"/>
    <w:rsid w:val="0087125B"/>
    <w:rsid w:val="008907AC"/>
    <w:rsid w:val="00896EE5"/>
    <w:rsid w:val="008C1E93"/>
    <w:rsid w:val="008C5D14"/>
    <w:rsid w:val="008D2903"/>
    <w:rsid w:val="008D493D"/>
    <w:rsid w:val="008E05D4"/>
    <w:rsid w:val="008E23AA"/>
    <w:rsid w:val="008F28C2"/>
    <w:rsid w:val="008F65D8"/>
    <w:rsid w:val="008F741F"/>
    <w:rsid w:val="00903515"/>
    <w:rsid w:val="009056C0"/>
    <w:rsid w:val="009339E7"/>
    <w:rsid w:val="009414FE"/>
    <w:rsid w:val="00945CB5"/>
    <w:rsid w:val="009463F8"/>
    <w:rsid w:val="00970506"/>
    <w:rsid w:val="00973C81"/>
    <w:rsid w:val="00995613"/>
    <w:rsid w:val="009B0855"/>
    <w:rsid w:val="009B1300"/>
    <w:rsid w:val="009B2ED5"/>
    <w:rsid w:val="009B43F2"/>
    <w:rsid w:val="009C0343"/>
    <w:rsid w:val="009C4E85"/>
    <w:rsid w:val="009D004A"/>
    <w:rsid w:val="009D2E89"/>
    <w:rsid w:val="009D3CEC"/>
    <w:rsid w:val="009D5883"/>
    <w:rsid w:val="009E2561"/>
    <w:rsid w:val="009F2E99"/>
    <w:rsid w:val="009F6B05"/>
    <w:rsid w:val="009F730E"/>
    <w:rsid w:val="009F7B7F"/>
    <w:rsid w:val="00A02A21"/>
    <w:rsid w:val="00A05D5A"/>
    <w:rsid w:val="00A2354E"/>
    <w:rsid w:val="00A2435C"/>
    <w:rsid w:val="00A42CEB"/>
    <w:rsid w:val="00A445C0"/>
    <w:rsid w:val="00A502B0"/>
    <w:rsid w:val="00A52B5F"/>
    <w:rsid w:val="00A61248"/>
    <w:rsid w:val="00A8525A"/>
    <w:rsid w:val="00A85A64"/>
    <w:rsid w:val="00A93E4B"/>
    <w:rsid w:val="00A97E55"/>
    <w:rsid w:val="00AA41BF"/>
    <w:rsid w:val="00AA6928"/>
    <w:rsid w:val="00AB0A40"/>
    <w:rsid w:val="00AD2270"/>
    <w:rsid w:val="00AE204F"/>
    <w:rsid w:val="00AE304D"/>
    <w:rsid w:val="00AF3B95"/>
    <w:rsid w:val="00AF6FCD"/>
    <w:rsid w:val="00B00264"/>
    <w:rsid w:val="00B13B6B"/>
    <w:rsid w:val="00B236E4"/>
    <w:rsid w:val="00B24D59"/>
    <w:rsid w:val="00B3261B"/>
    <w:rsid w:val="00B3784C"/>
    <w:rsid w:val="00B52AA1"/>
    <w:rsid w:val="00B61C39"/>
    <w:rsid w:val="00B76845"/>
    <w:rsid w:val="00B925D7"/>
    <w:rsid w:val="00B94A00"/>
    <w:rsid w:val="00BB3B43"/>
    <w:rsid w:val="00BD603E"/>
    <w:rsid w:val="00BE19F8"/>
    <w:rsid w:val="00BE3677"/>
    <w:rsid w:val="00BE72D4"/>
    <w:rsid w:val="00BF13FD"/>
    <w:rsid w:val="00BF1610"/>
    <w:rsid w:val="00C044AF"/>
    <w:rsid w:val="00C04D6A"/>
    <w:rsid w:val="00C071A8"/>
    <w:rsid w:val="00C17403"/>
    <w:rsid w:val="00C27470"/>
    <w:rsid w:val="00C30359"/>
    <w:rsid w:val="00C41FD9"/>
    <w:rsid w:val="00C474BD"/>
    <w:rsid w:val="00C51B0F"/>
    <w:rsid w:val="00C608AE"/>
    <w:rsid w:val="00C633F9"/>
    <w:rsid w:val="00C706CC"/>
    <w:rsid w:val="00C725A0"/>
    <w:rsid w:val="00CA787C"/>
    <w:rsid w:val="00CA7EA1"/>
    <w:rsid w:val="00CB6964"/>
    <w:rsid w:val="00CC14AB"/>
    <w:rsid w:val="00CC60EC"/>
    <w:rsid w:val="00CC6664"/>
    <w:rsid w:val="00CC6B9C"/>
    <w:rsid w:val="00CD1B7E"/>
    <w:rsid w:val="00CD41FE"/>
    <w:rsid w:val="00CE41B6"/>
    <w:rsid w:val="00CF23C9"/>
    <w:rsid w:val="00D020A0"/>
    <w:rsid w:val="00D26CD3"/>
    <w:rsid w:val="00D328C8"/>
    <w:rsid w:val="00D32FD3"/>
    <w:rsid w:val="00D34B18"/>
    <w:rsid w:val="00D41261"/>
    <w:rsid w:val="00D451AE"/>
    <w:rsid w:val="00D55584"/>
    <w:rsid w:val="00D624D3"/>
    <w:rsid w:val="00D63E48"/>
    <w:rsid w:val="00D8709E"/>
    <w:rsid w:val="00DA25C2"/>
    <w:rsid w:val="00DA439F"/>
    <w:rsid w:val="00DB4963"/>
    <w:rsid w:val="00DB4D63"/>
    <w:rsid w:val="00DC753A"/>
    <w:rsid w:val="00DE1A69"/>
    <w:rsid w:val="00DE2DF7"/>
    <w:rsid w:val="00DE44C5"/>
    <w:rsid w:val="00DF50A9"/>
    <w:rsid w:val="00E022A6"/>
    <w:rsid w:val="00E032D1"/>
    <w:rsid w:val="00E10B60"/>
    <w:rsid w:val="00E136F1"/>
    <w:rsid w:val="00E225EB"/>
    <w:rsid w:val="00E246CB"/>
    <w:rsid w:val="00E25A7C"/>
    <w:rsid w:val="00E31E1D"/>
    <w:rsid w:val="00E3373F"/>
    <w:rsid w:val="00E538CF"/>
    <w:rsid w:val="00E670D4"/>
    <w:rsid w:val="00E744C0"/>
    <w:rsid w:val="00E80105"/>
    <w:rsid w:val="00E8764D"/>
    <w:rsid w:val="00E91225"/>
    <w:rsid w:val="00EB0BC3"/>
    <w:rsid w:val="00EB4D8A"/>
    <w:rsid w:val="00EC02E9"/>
    <w:rsid w:val="00EC03DB"/>
    <w:rsid w:val="00EC4AEA"/>
    <w:rsid w:val="00EE5B44"/>
    <w:rsid w:val="00EF5FA5"/>
    <w:rsid w:val="00EF7FF5"/>
    <w:rsid w:val="00F00724"/>
    <w:rsid w:val="00F0207E"/>
    <w:rsid w:val="00F0482C"/>
    <w:rsid w:val="00F05730"/>
    <w:rsid w:val="00F46202"/>
    <w:rsid w:val="00F7787D"/>
    <w:rsid w:val="00F855CC"/>
    <w:rsid w:val="00F94C8C"/>
    <w:rsid w:val="00F956CE"/>
    <w:rsid w:val="00FA0574"/>
    <w:rsid w:val="00FB5E09"/>
    <w:rsid w:val="00FB7DFC"/>
    <w:rsid w:val="00FF6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F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8207D7"/>
    <w:pPr>
      <w:keepNext/>
      <w:keepLines/>
      <w:spacing w:before="30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8F741F"/>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 w:type="paragraph" w:styleId="BalloonText">
    <w:name w:val="Balloon Text"/>
    <w:basedOn w:val="Normal"/>
    <w:link w:val="BalloonTextChar"/>
    <w:uiPriority w:val="99"/>
    <w:semiHidden/>
    <w:unhideWhenUsed/>
    <w:rsid w:val="004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03"/>
    <w:rPr>
      <w:rFonts w:ascii="Tahoma" w:hAnsi="Tahoma" w:cs="Tahoma"/>
      <w:sz w:val="16"/>
      <w:szCs w:val="16"/>
    </w:rPr>
  </w:style>
  <w:style w:type="paragraph" w:styleId="TableofFigures">
    <w:name w:val="table of figures"/>
    <w:basedOn w:val="Normal"/>
    <w:next w:val="Normal"/>
    <w:uiPriority w:val="99"/>
    <w:semiHidden/>
    <w:unhideWhenUsed/>
    <w:rsid w:val="00945CB5"/>
    <w:pPr>
      <w:spacing w:after="0"/>
    </w:pPr>
  </w:style>
  <w:style w:type="paragraph" w:customStyle="1" w:styleId="Default">
    <w:name w:val="Default"/>
    <w:semiHidden/>
    <w:rsid w:val="00CA78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F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8207D7"/>
    <w:pPr>
      <w:keepNext/>
      <w:keepLines/>
      <w:spacing w:before="30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8F741F"/>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 w:type="paragraph" w:styleId="BalloonText">
    <w:name w:val="Balloon Text"/>
    <w:basedOn w:val="Normal"/>
    <w:link w:val="BalloonTextChar"/>
    <w:uiPriority w:val="99"/>
    <w:semiHidden/>
    <w:unhideWhenUsed/>
    <w:rsid w:val="004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03"/>
    <w:rPr>
      <w:rFonts w:ascii="Tahoma" w:hAnsi="Tahoma" w:cs="Tahoma"/>
      <w:sz w:val="16"/>
      <w:szCs w:val="16"/>
    </w:rPr>
  </w:style>
  <w:style w:type="paragraph" w:styleId="TableofFigures">
    <w:name w:val="table of figures"/>
    <w:basedOn w:val="Normal"/>
    <w:next w:val="Normal"/>
    <w:uiPriority w:val="99"/>
    <w:semiHidden/>
    <w:unhideWhenUsed/>
    <w:rsid w:val="00945CB5"/>
    <w:pPr>
      <w:spacing w:after="0"/>
    </w:pPr>
  </w:style>
  <w:style w:type="paragraph" w:customStyle="1" w:styleId="Default">
    <w:name w:val="Default"/>
    <w:semiHidden/>
    <w:rsid w:val="00CA78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hyperlink" Target="mailto:IPpolicy@dtf.vic.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fac.org/PublicSector/" TargetMode="External"/><Relationship Id="rId17"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sb.com.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fontTable" Target="fontTable.xml"/><Relationship Id="rId10" Type="http://schemas.openxmlformats.org/officeDocument/2006/relationships/hyperlink" Target="mailto:accpol@dtf.vic.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sb.gov.au" TargetMode="External"/><Relationship Id="rId14" Type="http://schemas.openxmlformats.org/officeDocument/2006/relationships/hyperlink" Target="mailto:dtfweb@dtf.vic.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E350-1A5C-4C46-A070-37A51421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Template>
  <TotalTime>3</TotalTime>
  <Pages>11</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dc:description/>
  <cp:lastModifiedBy>Ting Lin</cp:lastModifiedBy>
  <cp:revision>5</cp:revision>
  <cp:lastPrinted>2014-02-03T00:31:00Z</cp:lastPrinted>
  <dcterms:created xsi:type="dcterms:W3CDTF">2014-02-03T00:27:00Z</dcterms:created>
  <dcterms:modified xsi:type="dcterms:W3CDTF">2014-02-03T00:31:00Z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54abf644-a8d0-44e2-837c-c6aeee455631</vt:lpwstr>
  </property>
  <property fmtid="{D5CDD505-2E9C-101B-9397-08002B2CF9AE}" pid="3" name="PSPFClassification">
    <vt:lpwstr>Do Not Mark</vt:lpwstr>
  </property>
</Properties>
</file>